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59" w:lineRule="exact"/>
        <w:rPr>
          <w:sz w:val="24"/>
          <w:szCs w:val="24"/>
          <w:color w:val="auto"/>
        </w:rPr>
      </w:pPr>
    </w:p>
    <w:p>
      <w:pPr>
        <w:ind w:left="2300"/>
        <w:spacing w:after="0"/>
        <w:rPr>
          <w:sz w:val="20"/>
          <w:szCs w:val="20"/>
          <w:color w:val="auto"/>
        </w:rPr>
      </w:pPr>
      <w:r>
        <w:rPr>
          <w:rFonts w:ascii="Arial" w:cs="Arial" w:eastAsia="Arial" w:hAnsi="Arial"/>
          <w:sz w:val="12"/>
          <w:szCs w:val="12"/>
          <w:b w:val="1"/>
          <w:bCs w:val="1"/>
          <w:color w:val="auto"/>
        </w:rPr>
        <w:t>As filed with the Securities and Exchange Commission on May 28, 2021.</w:t>
      </w:r>
    </w:p>
    <w:p>
      <w:pPr>
        <w:spacing w:after="0" w:line="24" w:lineRule="exact"/>
        <w:rPr>
          <w:sz w:val="24"/>
          <w:szCs w:val="24"/>
          <w:color w:val="auto"/>
        </w:rPr>
      </w:pPr>
    </w:p>
    <w:p>
      <w:pPr>
        <w:ind w:left="662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wp:posOffset>
            </wp:positionH>
            <wp:positionV relativeFrom="paragraph">
              <wp:posOffset>53340</wp:posOffset>
            </wp:positionV>
            <wp:extent cx="493966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9665" cy="20320"/>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87630</wp:posOffset>
            </wp:positionV>
            <wp:extent cx="4939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9665" cy="6985"/>
                    </a:xfrm>
                    <a:prstGeom prst="rect">
                      <a:avLst/>
                    </a:prstGeom>
                    <a:noFill/>
                  </pic:spPr>
                </pic:pic>
              </a:graphicData>
            </a:graphic>
          </wp:anchor>
        </w:drawing>
      </w:r>
    </w:p>
    <w:p>
      <w:pPr>
        <w:spacing w:after="0" w:line="18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REGISTRATION STATEMENT</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UNDER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THE SECURITIES ACT OF 1933</w:t>
      </w:r>
    </w:p>
    <w:tbl>
      <w:tblPr>
        <w:tblLayout w:type="fixed"/>
        <w:tblInd w:w="1160" w:type="dxa"/>
        <w:tblCellMar>
          <w:top w:w="0" w:type="dxa"/>
          <w:left w:w="0" w:type="dxa"/>
          <w:bottom w:w="0" w:type="dxa"/>
          <w:right w:w="0" w:type="dxa"/>
        </w:tblCellMar>
      </w:tblPr>
      <w:tr>
        <w:trPr>
          <w:trHeight w:val="164"/>
        </w:trPr>
        <w:tc>
          <w:tcPr>
            <w:tcW w:w="1760" w:type="dxa"/>
            <w:vAlign w:val="bottom"/>
          </w:tcPr>
          <w:p>
            <w:pPr>
              <w:spacing w:after="0"/>
              <w:rPr>
                <w:sz w:val="14"/>
                <w:szCs w:val="14"/>
                <w:color w:val="auto"/>
              </w:rPr>
            </w:pPr>
          </w:p>
        </w:tc>
        <w:tc>
          <w:tcPr>
            <w:tcW w:w="3240" w:type="dxa"/>
            <w:vAlign w:val="bottom"/>
          </w:tcPr>
          <w:p>
            <w:pPr>
              <w:ind w:left="420"/>
              <w:spacing w:after="0" w:line="163" w:lineRule="exact"/>
              <w:rPr>
                <w:sz w:val="20"/>
                <w:szCs w:val="20"/>
                <w:color w:val="auto"/>
              </w:rPr>
            </w:pPr>
            <w:r>
              <w:rPr>
                <w:rFonts w:ascii="Arial" w:cs="Arial" w:eastAsia="Arial" w:hAnsi="Arial"/>
                <w:sz w:val="17"/>
                <w:szCs w:val="17"/>
                <w:b w:val="1"/>
                <w:bCs w:val="1"/>
                <w:color w:val="auto"/>
              </w:rPr>
              <w:t>Century Therapeutics, Inc.</w:t>
            </w:r>
          </w:p>
        </w:tc>
        <w:tc>
          <w:tcPr>
            <w:tcW w:w="1500" w:type="dxa"/>
            <w:vAlign w:val="bottom"/>
          </w:tcPr>
          <w:p>
            <w:pPr>
              <w:spacing w:after="0"/>
              <w:rPr>
                <w:sz w:val="14"/>
                <w:szCs w:val="14"/>
                <w:color w:val="auto"/>
              </w:rPr>
            </w:pPr>
          </w:p>
        </w:tc>
      </w:tr>
      <w:tr>
        <w:trPr>
          <w:trHeight w:val="121"/>
        </w:trPr>
        <w:tc>
          <w:tcPr>
            <w:tcW w:w="1760" w:type="dxa"/>
            <w:vAlign w:val="bottom"/>
          </w:tcPr>
          <w:p>
            <w:pPr>
              <w:spacing w:after="0"/>
              <w:rPr>
                <w:sz w:val="10"/>
                <w:szCs w:val="10"/>
                <w:color w:val="auto"/>
              </w:rPr>
            </w:pPr>
          </w:p>
        </w:tc>
        <w:tc>
          <w:tcPr>
            <w:tcW w:w="3240" w:type="dxa"/>
            <w:vAlign w:val="bottom"/>
          </w:tcPr>
          <w:p>
            <w:pPr>
              <w:jc w:val="center"/>
              <w:ind w:right="20"/>
              <w:spacing w:after="0"/>
              <w:rPr>
                <w:sz w:val="20"/>
                <w:szCs w:val="20"/>
                <w:color w:val="auto"/>
              </w:rPr>
            </w:pPr>
            <w:r>
              <w:rPr>
                <w:rFonts w:ascii="Arial" w:cs="Arial" w:eastAsia="Arial" w:hAnsi="Arial"/>
                <w:sz w:val="10"/>
                <w:szCs w:val="10"/>
                <w:color w:val="auto"/>
              </w:rPr>
              <w:t>(Exact name of registrant as specified in its charter)</w:t>
            </w:r>
          </w:p>
        </w:tc>
        <w:tc>
          <w:tcPr>
            <w:tcW w:w="1500" w:type="dxa"/>
            <w:vAlign w:val="bottom"/>
          </w:tcPr>
          <w:p>
            <w:pPr>
              <w:spacing w:after="0"/>
              <w:rPr>
                <w:sz w:val="10"/>
                <w:szCs w:val="10"/>
                <w:color w:val="auto"/>
              </w:rPr>
            </w:pPr>
          </w:p>
        </w:tc>
      </w:tr>
      <w:tr>
        <w:trPr>
          <w:trHeight w:val="230"/>
        </w:trPr>
        <w:tc>
          <w:tcPr>
            <w:tcW w:w="1760" w:type="dxa"/>
            <w:vAlign w:val="bottom"/>
          </w:tcPr>
          <w:p>
            <w:pPr>
              <w:jc w:val="center"/>
              <w:ind w:right="306"/>
              <w:spacing w:after="0"/>
              <w:rPr>
                <w:sz w:val="20"/>
                <w:szCs w:val="20"/>
                <w:color w:val="auto"/>
              </w:rPr>
            </w:pPr>
            <w:r>
              <w:rPr>
                <w:rFonts w:ascii="Arial" w:cs="Arial" w:eastAsia="Arial" w:hAnsi="Arial"/>
                <w:sz w:val="12"/>
                <w:szCs w:val="12"/>
                <w:b w:val="1"/>
                <w:bCs w:val="1"/>
                <w:color w:val="auto"/>
              </w:rPr>
              <w:t>Delaware</w:t>
            </w:r>
          </w:p>
        </w:tc>
        <w:tc>
          <w:tcPr>
            <w:tcW w:w="3240" w:type="dxa"/>
            <w:vAlign w:val="bottom"/>
          </w:tcPr>
          <w:p>
            <w:pPr>
              <w:jc w:val="center"/>
              <w:ind w:right="20"/>
              <w:spacing w:after="0"/>
              <w:rPr>
                <w:sz w:val="20"/>
                <w:szCs w:val="20"/>
                <w:color w:val="auto"/>
              </w:rPr>
            </w:pPr>
            <w:r>
              <w:rPr>
                <w:rFonts w:ascii="Arial" w:cs="Arial" w:eastAsia="Arial" w:hAnsi="Arial"/>
                <w:sz w:val="12"/>
                <w:szCs w:val="12"/>
                <w:b w:val="1"/>
                <w:bCs w:val="1"/>
                <w:color w:val="auto"/>
              </w:rPr>
              <w:t>2836</w:t>
            </w:r>
          </w:p>
        </w:tc>
        <w:tc>
          <w:tcPr>
            <w:tcW w:w="1500" w:type="dxa"/>
            <w:vAlign w:val="bottom"/>
          </w:tcPr>
          <w:p>
            <w:pPr>
              <w:jc w:val="center"/>
              <w:ind w:left="406"/>
              <w:spacing w:after="0"/>
              <w:rPr>
                <w:sz w:val="20"/>
                <w:szCs w:val="20"/>
                <w:color w:val="auto"/>
              </w:rPr>
            </w:pPr>
            <w:r>
              <w:rPr>
                <w:rFonts w:ascii="Arial" w:cs="Arial" w:eastAsia="Arial" w:hAnsi="Arial"/>
                <w:sz w:val="12"/>
                <w:szCs w:val="12"/>
                <w:b w:val="1"/>
                <w:bCs w:val="1"/>
                <w:color w:val="auto"/>
              </w:rPr>
              <w:t>84-2040295</w:t>
            </w:r>
          </w:p>
        </w:tc>
      </w:tr>
      <w:tr>
        <w:trPr>
          <w:trHeight w:val="108"/>
        </w:trPr>
        <w:tc>
          <w:tcPr>
            <w:tcW w:w="1760" w:type="dxa"/>
            <w:vAlign w:val="bottom"/>
          </w:tcPr>
          <w:p>
            <w:pPr>
              <w:jc w:val="center"/>
              <w:ind w:right="346"/>
              <w:spacing w:after="0" w:line="108" w:lineRule="exact"/>
              <w:rPr>
                <w:sz w:val="20"/>
                <w:szCs w:val="20"/>
                <w:color w:val="auto"/>
              </w:rPr>
            </w:pPr>
            <w:r>
              <w:rPr>
                <w:rFonts w:ascii="Arial" w:cs="Arial" w:eastAsia="Arial" w:hAnsi="Arial"/>
                <w:sz w:val="10"/>
                <w:szCs w:val="10"/>
                <w:color w:val="auto"/>
              </w:rPr>
              <w:t>(State or other jurisdiction of</w:t>
            </w:r>
          </w:p>
        </w:tc>
        <w:tc>
          <w:tcPr>
            <w:tcW w:w="3240" w:type="dxa"/>
            <w:vAlign w:val="bottom"/>
          </w:tcPr>
          <w:p>
            <w:pPr>
              <w:jc w:val="center"/>
              <w:ind w:right="60"/>
              <w:spacing w:after="0" w:line="108" w:lineRule="exact"/>
              <w:rPr>
                <w:sz w:val="20"/>
                <w:szCs w:val="20"/>
                <w:color w:val="auto"/>
              </w:rPr>
            </w:pPr>
            <w:r>
              <w:rPr>
                <w:rFonts w:ascii="Arial" w:cs="Arial" w:eastAsia="Arial" w:hAnsi="Arial"/>
                <w:sz w:val="10"/>
                <w:szCs w:val="10"/>
                <w:color w:val="auto"/>
              </w:rPr>
              <w:t>(Primary Standard Industrial</w:t>
            </w:r>
          </w:p>
        </w:tc>
        <w:tc>
          <w:tcPr>
            <w:tcW w:w="1500" w:type="dxa"/>
            <w:vAlign w:val="bottom"/>
          </w:tcPr>
          <w:p>
            <w:pPr>
              <w:jc w:val="center"/>
              <w:ind w:left="386"/>
              <w:spacing w:after="0" w:line="108" w:lineRule="exact"/>
              <w:rPr>
                <w:sz w:val="20"/>
                <w:szCs w:val="20"/>
                <w:color w:val="auto"/>
              </w:rPr>
            </w:pPr>
            <w:r>
              <w:rPr>
                <w:rFonts w:ascii="Arial" w:cs="Arial" w:eastAsia="Arial" w:hAnsi="Arial"/>
                <w:sz w:val="10"/>
                <w:szCs w:val="10"/>
                <w:color w:val="auto"/>
              </w:rPr>
              <w:t>(I.R.S. Employer</w:t>
            </w:r>
          </w:p>
        </w:tc>
      </w:tr>
      <w:tr>
        <w:trPr>
          <w:trHeight w:val="132"/>
        </w:trPr>
        <w:tc>
          <w:tcPr>
            <w:tcW w:w="1760" w:type="dxa"/>
            <w:vAlign w:val="bottom"/>
          </w:tcPr>
          <w:p>
            <w:pPr>
              <w:jc w:val="center"/>
              <w:ind w:right="326"/>
              <w:spacing w:after="0"/>
              <w:rPr>
                <w:sz w:val="20"/>
                <w:szCs w:val="20"/>
                <w:color w:val="auto"/>
              </w:rPr>
            </w:pPr>
            <w:r>
              <w:rPr>
                <w:rFonts w:ascii="Arial" w:cs="Arial" w:eastAsia="Arial" w:hAnsi="Arial"/>
                <w:sz w:val="10"/>
                <w:szCs w:val="10"/>
                <w:color w:val="auto"/>
              </w:rPr>
              <w:t>incorporation or organization)</w:t>
            </w:r>
          </w:p>
        </w:tc>
        <w:tc>
          <w:tcPr>
            <w:tcW w:w="3240" w:type="dxa"/>
            <w:vAlign w:val="bottom"/>
          </w:tcPr>
          <w:p>
            <w:pPr>
              <w:jc w:val="center"/>
              <w:ind w:right="20"/>
              <w:spacing w:after="0"/>
              <w:rPr>
                <w:sz w:val="20"/>
                <w:szCs w:val="20"/>
                <w:color w:val="auto"/>
              </w:rPr>
            </w:pPr>
            <w:r>
              <w:rPr>
                <w:rFonts w:ascii="Arial" w:cs="Arial" w:eastAsia="Arial" w:hAnsi="Arial"/>
                <w:sz w:val="10"/>
                <w:szCs w:val="10"/>
                <w:color w:val="auto"/>
              </w:rPr>
              <w:t>Classification Code Number)</w:t>
            </w:r>
          </w:p>
        </w:tc>
        <w:tc>
          <w:tcPr>
            <w:tcW w:w="1500" w:type="dxa"/>
            <w:vAlign w:val="bottom"/>
          </w:tcPr>
          <w:p>
            <w:pPr>
              <w:jc w:val="center"/>
              <w:ind w:left="406"/>
              <w:spacing w:after="0"/>
              <w:rPr>
                <w:sz w:val="20"/>
                <w:szCs w:val="20"/>
                <w:color w:val="auto"/>
              </w:rPr>
            </w:pPr>
            <w:r>
              <w:rPr>
                <w:rFonts w:ascii="Arial" w:cs="Arial" w:eastAsia="Arial" w:hAnsi="Arial"/>
                <w:sz w:val="10"/>
                <w:szCs w:val="10"/>
                <w:color w:val="auto"/>
              </w:rPr>
              <w:t>Identification Number)</w:t>
            </w:r>
          </w:p>
        </w:tc>
      </w:tr>
    </w:tbl>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3675 Market Street</w:t>
      </w:r>
    </w:p>
    <w:p>
      <w:pPr>
        <w:jc w:val="center"/>
        <w:ind w:right="39"/>
        <w:spacing w:after="0" w:line="234" w:lineRule="auto"/>
        <w:rPr>
          <w:sz w:val="20"/>
          <w:szCs w:val="20"/>
          <w:color w:val="auto"/>
        </w:rPr>
      </w:pPr>
      <w:r>
        <w:rPr>
          <w:rFonts w:ascii="Arial" w:cs="Arial" w:eastAsia="Arial" w:hAnsi="Arial"/>
          <w:sz w:val="12"/>
          <w:szCs w:val="12"/>
          <w:b w:val="1"/>
          <w:bCs w:val="1"/>
          <w:color w:val="auto"/>
        </w:rPr>
        <w:t>Philadelphia, Pennsylvania 19104</w:t>
      </w:r>
    </w:p>
    <w:p>
      <w:pPr>
        <w:jc w:val="center"/>
        <w:spacing w:after="0"/>
        <w:rPr>
          <w:sz w:val="20"/>
          <w:szCs w:val="20"/>
          <w:color w:val="auto"/>
        </w:rPr>
      </w:pPr>
      <w:r>
        <w:rPr>
          <w:rFonts w:ascii="Arial" w:cs="Arial" w:eastAsia="Arial" w:hAnsi="Arial"/>
          <w:sz w:val="12"/>
          <w:szCs w:val="12"/>
          <w:b w:val="1"/>
          <w:bCs w:val="1"/>
          <w:color w:val="auto"/>
        </w:rPr>
        <w:t>(267) 817-5790</w:t>
      </w:r>
    </w:p>
    <w:p>
      <w:pPr>
        <w:jc w:val="center"/>
        <w:spacing w:after="0"/>
        <w:rPr>
          <w:sz w:val="20"/>
          <w:szCs w:val="20"/>
          <w:color w:val="auto"/>
        </w:rPr>
      </w:pPr>
      <w:r>
        <w:rPr>
          <w:rFonts w:ascii="Arial" w:cs="Arial" w:eastAsia="Arial" w:hAnsi="Arial"/>
          <w:sz w:val="10"/>
          <w:szCs w:val="10"/>
          <w:color w:val="auto"/>
        </w:rPr>
        <w:t>(Address, including zip code, and telephone number, including area code, of Registrant’s principal executive offices)</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Osvaldo Flores, Ph.D.</w:t>
      </w:r>
    </w:p>
    <w:p>
      <w:pPr>
        <w:jc w:val="center"/>
        <w:ind w:right="39"/>
        <w:spacing w:after="0" w:line="234"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39"/>
        <w:spacing w:after="0" w:line="225" w:lineRule="auto"/>
        <w:rPr>
          <w:sz w:val="20"/>
          <w:szCs w:val="20"/>
          <w:color w:val="auto"/>
        </w:rPr>
      </w:pPr>
      <w:r>
        <w:rPr>
          <w:rFonts w:ascii="Arial" w:cs="Arial" w:eastAsia="Arial" w:hAnsi="Arial"/>
          <w:sz w:val="12"/>
          <w:szCs w:val="12"/>
          <w:b w:val="1"/>
          <w:bCs w:val="1"/>
          <w:color w:val="auto"/>
        </w:rPr>
        <w:t>Century Therapeutics, Inc.</w:t>
      </w:r>
    </w:p>
    <w:p>
      <w:pPr>
        <w:jc w:val="center"/>
        <w:ind w:right="39"/>
        <w:spacing w:after="0" w:line="226" w:lineRule="auto"/>
        <w:rPr>
          <w:sz w:val="20"/>
          <w:szCs w:val="20"/>
          <w:color w:val="auto"/>
        </w:rPr>
      </w:pPr>
      <w:r>
        <w:rPr>
          <w:rFonts w:ascii="Arial" w:cs="Arial" w:eastAsia="Arial" w:hAnsi="Arial"/>
          <w:sz w:val="12"/>
          <w:szCs w:val="12"/>
          <w:b w:val="1"/>
          <w:bCs w:val="1"/>
          <w:color w:val="auto"/>
        </w:rPr>
        <w:t>3675 Market Street</w:t>
      </w:r>
    </w:p>
    <w:p>
      <w:pPr>
        <w:jc w:val="center"/>
        <w:ind w:right="39"/>
        <w:spacing w:after="0" w:line="225" w:lineRule="auto"/>
        <w:rPr>
          <w:sz w:val="20"/>
          <w:szCs w:val="20"/>
          <w:color w:val="auto"/>
        </w:rPr>
      </w:pPr>
      <w:r>
        <w:rPr>
          <w:rFonts w:ascii="Arial" w:cs="Arial" w:eastAsia="Arial" w:hAnsi="Arial"/>
          <w:sz w:val="12"/>
          <w:szCs w:val="12"/>
          <w:b w:val="1"/>
          <w:bCs w:val="1"/>
          <w:color w:val="auto"/>
        </w:rPr>
        <w:t>Philadelphia, Pennsylvania 19104</w:t>
      </w:r>
    </w:p>
    <w:p>
      <w:pPr>
        <w:jc w:val="center"/>
        <w:spacing w:after="0"/>
        <w:rPr>
          <w:sz w:val="20"/>
          <w:szCs w:val="20"/>
          <w:color w:val="auto"/>
        </w:rPr>
      </w:pPr>
      <w:r>
        <w:rPr>
          <w:rFonts w:ascii="Arial" w:cs="Arial" w:eastAsia="Arial" w:hAnsi="Arial"/>
          <w:sz w:val="12"/>
          <w:szCs w:val="12"/>
          <w:b w:val="1"/>
          <w:bCs w:val="1"/>
          <w:color w:val="auto"/>
        </w:rPr>
        <w:t>(267) 817-5790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(Name, address, including zip code, and telephone number, including area code, of agent for service)</w:t>
      </w:r>
    </w:p>
    <w:p>
      <w:pPr>
        <w:spacing w:after="0" w:line="48" w:lineRule="exact"/>
        <w:rPr>
          <w:sz w:val="24"/>
          <w:szCs w:val="24"/>
          <w:color w:val="auto"/>
        </w:rPr>
      </w:pPr>
    </w:p>
    <w:tbl>
      <w:tblPr>
        <w:tblLayout w:type="fixed"/>
        <w:tblInd w:w="126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3320" w:type="dxa"/>
            <w:vAlign w:val="bottom"/>
          </w:tcPr>
          <w:p>
            <w:pPr>
              <w:ind w:left="260"/>
              <w:spacing w:after="0"/>
              <w:rPr>
                <w:sz w:val="20"/>
                <w:szCs w:val="20"/>
                <w:color w:val="auto"/>
              </w:rPr>
            </w:pPr>
            <w:r>
              <w:rPr>
                <w:rFonts w:ascii="Arial" w:cs="Arial" w:eastAsia="Arial" w:hAnsi="Arial"/>
                <w:sz w:val="12"/>
                <w:szCs w:val="12"/>
                <w:color w:val="auto"/>
              </w:rPr>
              <w:t>Copies to:</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Rachael M. Bushey</w:t>
            </w:r>
          </w:p>
        </w:tc>
        <w:tc>
          <w:tcPr>
            <w:tcW w:w="3320" w:type="dxa"/>
            <w:vAlign w:val="bottom"/>
          </w:tcPr>
          <w:p>
            <w:pPr>
              <w:jc w:val="center"/>
              <w:ind w:left="1639"/>
              <w:spacing w:after="0" w:line="130" w:lineRule="exact"/>
              <w:rPr>
                <w:sz w:val="20"/>
                <w:szCs w:val="20"/>
                <w:color w:val="auto"/>
              </w:rPr>
            </w:pPr>
            <w:r>
              <w:rPr>
                <w:rFonts w:ascii="Arial" w:cs="Arial" w:eastAsia="Arial" w:hAnsi="Arial"/>
                <w:sz w:val="12"/>
                <w:szCs w:val="12"/>
                <w:b w:val="1"/>
                <w:bCs w:val="1"/>
                <w:color w:val="auto"/>
              </w:rPr>
              <w:t>Richard Truesdell, Jr.</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Jennifer L. Porter</w:t>
            </w:r>
          </w:p>
        </w:tc>
        <w:tc>
          <w:tcPr>
            <w:tcW w:w="3320" w:type="dxa"/>
            <w:vAlign w:val="bottom"/>
          </w:tcPr>
          <w:p>
            <w:pPr>
              <w:jc w:val="center"/>
              <w:ind w:left="1639"/>
              <w:spacing w:after="0" w:line="130" w:lineRule="exact"/>
              <w:rPr>
                <w:sz w:val="20"/>
                <w:szCs w:val="20"/>
                <w:color w:val="auto"/>
              </w:rPr>
            </w:pPr>
            <w:r>
              <w:rPr>
                <w:rFonts w:ascii="Arial" w:cs="Arial" w:eastAsia="Arial" w:hAnsi="Arial"/>
                <w:sz w:val="12"/>
                <w:szCs w:val="12"/>
                <w:b w:val="1"/>
                <w:bCs w:val="1"/>
                <w:color w:val="auto"/>
              </w:rPr>
              <w:t>Roshni Cariello</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Troutman Pepper Hamilton Sanders LLP</w:t>
            </w:r>
          </w:p>
        </w:tc>
        <w:tc>
          <w:tcPr>
            <w:tcW w:w="3320" w:type="dxa"/>
            <w:vAlign w:val="bottom"/>
          </w:tcPr>
          <w:p>
            <w:pPr>
              <w:jc w:val="center"/>
              <w:ind w:left="1619"/>
              <w:spacing w:after="0" w:line="130" w:lineRule="exact"/>
              <w:rPr>
                <w:sz w:val="20"/>
                <w:szCs w:val="20"/>
                <w:color w:val="auto"/>
              </w:rPr>
            </w:pPr>
            <w:r>
              <w:rPr>
                <w:rFonts w:ascii="Arial" w:cs="Arial" w:eastAsia="Arial" w:hAnsi="Arial"/>
                <w:sz w:val="12"/>
                <w:szCs w:val="12"/>
                <w:b w:val="1"/>
                <w:bCs w:val="1"/>
                <w:color w:val="auto"/>
              </w:rPr>
              <w:t>Davis Polk &amp; Wardwell LLP</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3000 Two Logan Square</w:t>
            </w:r>
          </w:p>
        </w:tc>
        <w:tc>
          <w:tcPr>
            <w:tcW w:w="3320" w:type="dxa"/>
            <w:vAlign w:val="bottom"/>
          </w:tcPr>
          <w:p>
            <w:pPr>
              <w:jc w:val="center"/>
              <w:ind w:left="1619"/>
              <w:spacing w:after="0" w:line="130" w:lineRule="exact"/>
              <w:rPr>
                <w:sz w:val="20"/>
                <w:szCs w:val="20"/>
                <w:color w:val="auto"/>
              </w:rPr>
            </w:pPr>
            <w:r>
              <w:rPr>
                <w:rFonts w:ascii="Arial" w:cs="Arial" w:eastAsia="Arial" w:hAnsi="Arial"/>
                <w:sz w:val="12"/>
                <w:szCs w:val="12"/>
                <w:b w:val="1"/>
                <w:bCs w:val="1"/>
                <w:color w:val="auto"/>
              </w:rPr>
              <w:t>450 Lexington Avenue</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Philadelphia, Pennsylvania 19103</w:t>
            </w:r>
          </w:p>
        </w:tc>
        <w:tc>
          <w:tcPr>
            <w:tcW w:w="3320" w:type="dxa"/>
            <w:vAlign w:val="bottom"/>
          </w:tcPr>
          <w:p>
            <w:pPr>
              <w:jc w:val="center"/>
              <w:ind w:left="1619"/>
              <w:spacing w:after="0" w:line="130" w:lineRule="exact"/>
              <w:rPr>
                <w:sz w:val="20"/>
                <w:szCs w:val="20"/>
                <w:color w:val="auto"/>
              </w:rPr>
            </w:pPr>
            <w:r>
              <w:rPr>
                <w:rFonts w:ascii="Arial" w:cs="Arial" w:eastAsia="Arial" w:hAnsi="Arial"/>
                <w:sz w:val="12"/>
                <w:szCs w:val="12"/>
                <w:b w:val="1"/>
                <w:bCs w:val="1"/>
                <w:color w:val="auto"/>
              </w:rPr>
              <w:t>New York, New York 10017</w:t>
            </w:r>
          </w:p>
        </w:tc>
      </w:tr>
      <w:tr>
        <w:trPr>
          <w:trHeight w:val="161"/>
        </w:trPr>
        <w:tc>
          <w:tcPr>
            <w:tcW w:w="2700" w:type="dxa"/>
            <w:vAlign w:val="bottom"/>
          </w:tcPr>
          <w:p>
            <w:pPr>
              <w:jc w:val="center"/>
              <w:ind w:right="139"/>
              <w:spacing w:after="0"/>
              <w:rPr>
                <w:sz w:val="20"/>
                <w:szCs w:val="20"/>
                <w:color w:val="auto"/>
              </w:rPr>
            </w:pPr>
            <w:r>
              <w:rPr>
                <w:rFonts w:ascii="Arial" w:cs="Arial" w:eastAsia="Arial" w:hAnsi="Arial"/>
                <w:sz w:val="12"/>
                <w:szCs w:val="12"/>
                <w:b w:val="1"/>
                <w:bCs w:val="1"/>
                <w:color w:val="auto"/>
              </w:rPr>
              <w:t>(215) 981-4331</w:t>
            </w:r>
          </w:p>
        </w:tc>
        <w:tc>
          <w:tcPr>
            <w:tcW w:w="3320" w:type="dxa"/>
            <w:vAlign w:val="bottom"/>
          </w:tcPr>
          <w:p>
            <w:pPr>
              <w:jc w:val="center"/>
              <w:ind w:left="1659"/>
              <w:spacing w:after="0"/>
              <w:rPr>
                <w:sz w:val="20"/>
                <w:szCs w:val="20"/>
                <w:color w:val="auto"/>
              </w:rPr>
            </w:pPr>
            <w:r>
              <w:rPr>
                <w:rFonts w:ascii="Arial" w:cs="Arial" w:eastAsia="Arial" w:hAnsi="Arial"/>
                <w:sz w:val="12"/>
                <w:szCs w:val="12"/>
                <w:b w:val="1"/>
                <w:bCs w:val="1"/>
                <w:color w:val="auto"/>
              </w:rPr>
              <w:t>(212) 450-4000</w:t>
            </w:r>
          </w:p>
        </w:tc>
      </w:tr>
    </w:tbl>
    <w:p>
      <w:pPr>
        <w:spacing w:after="0" w:line="66" w:lineRule="exact"/>
        <w:rPr>
          <w:sz w:val="24"/>
          <w:szCs w:val="24"/>
          <w:color w:val="auto"/>
        </w:rPr>
      </w:pPr>
    </w:p>
    <w:p>
      <w:pPr>
        <w:jc w:val="center"/>
        <w:ind w:left="2080" w:right="160"/>
        <w:spacing w:after="0" w:line="264" w:lineRule="auto"/>
        <w:rPr>
          <w:sz w:val="20"/>
          <w:szCs w:val="20"/>
          <w:color w:val="auto"/>
        </w:rPr>
      </w:pPr>
      <w:r>
        <w:rPr>
          <w:rFonts w:ascii="Arial" w:cs="Arial" w:eastAsia="Arial" w:hAnsi="Arial"/>
          <w:sz w:val="12"/>
          <w:szCs w:val="12"/>
          <w:b w:val="1"/>
          <w:bCs w:val="1"/>
          <w:color w:val="auto"/>
        </w:rPr>
        <w:t>Approximate date of commencement of proposed sale to the public: As soon as practicable after the effective date of this Registration Statement.</w:t>
      </w:r>
    </w:p>
    <w:p>
      <w:pPr>
        <w:spacing w:after="0" w:line="23" w:lineRule="exact"/>
        <w:rPr>
          <w:sz w:val="24"/>
          <w:szCs w:val="24"/>
          <w:color w:val="auto"/>
        </w:rPr>
      </w:pPr>
    </w:p>
    <w:p>
      <w:pPr>
        <w:ind w:left="620" w:right="719"/>
        <w:spacing w:after="0" w:line="145"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23" w:lineRule="exact"/>
        <w:rPr>
          <w:sz w:val="24"/>
          <w:szCs w:val="24"/>
          <w:color w:val="auto"/>
        </w:rPr>
      </w:pPr>
    </w:p>
    <w:p>
      <w:pPr>
        <w:ind w:left="620" w:right="939"/>
        <w:spacing w:after="0" w:line="142"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70" w:lineRule="exact"/>
        <w:rPr>
          <w:sz w:val="24"/>
          <w:szCs w:val="24"/>
          <w:color w:val="auto"/>
        </w:rPr>
      </w:pPr>
    </w:p>
    <w:p>
      <w:pPr>
        <w:ind w:left="620" w:right="899"/>
        <w:spacing w:after="0" w:line="14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3" w:lineRule="exact"/>
        <w:rPr>
          <w:sz w:val="24"/>
          <w:szCs w:val="24"/>
          <w:color w:val="auto"/>
        </w:rPr>
      </w:pPr>
    </w:p>
    <w:p>
      <w:pPr>
        <w:ind w:left="620" w:right="899"/>
        <w:spacing w:after="0" w:line="14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3" w:lineRule="exact"/>
        <w:rPr>
          <w:sz w:val="24"/>
          <w:szCs w:val="24"/>
          <w:color w:val="auto"/>
        </w:rPr>
      </w:pPr>
    </w:p>
    <w:p>
      <w:pPr>
        <w:ind w:left="620" w:right="639"/>
        <w:spacing w:after="0" w:line="23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219" w:right="1440" w:bottom="1440" w:gutter="0" w:footer="0" w:header="0"/>
        </w:sectPr>
      </w:pPr>
    </w:p>
    <w:p>
      <w:pPr>
        <w:spacing w:after="0" w:line="17" w:lineRule="exact"/>
        <w:rPr>
          <w:sz w:val="24"/>
          <w:szCs w:val="24"/>
          <w:color w:val="auto"/>
        </w:rPr>
      </w:pPr>
    </w:p>
    <w:p>
      <w:pPr>
        <w:ind w:left="9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5"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53" w:lineRule="exact"/>
        <w:rPr>
          <w:sz w:val="24"/>
          <w:szCs w:val="24"/>
          <w:color w:val="auto"/>
        </w:rPr>
      </w:pPr>
    </w:p>
    <w:p>
      <w:pPr>
        <w:sectPr>
          <w:pgSz w:w="11900" w:h="16838" w:orient="portrait"/>
          <w:cols w:equalWidth="0" w:num="2">
            <w:col w:w="3860" w:space="720"/>
            <w:col w:w="4439"/>
          </w:cols>
          <w:pgMar w:left="1440" w:top="219" w:right="1440" w:bottom="1440" w:gutter="0" w:footer="0" w:header="0"/>
          <w:type w:val="continuous"/>
        </w:sectPr>
      </w:pPr>
    </w:p>
    <w:p>
      <w:pPr>
        <w:ind w:left="90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70" w:lineRule="exact"/>
        <w:rPr>
          <w:sz w:val="24"/>
          <w:szCs w:val="24"/>
          <w:color w:val="auto"/>
        </w:rPr>
      </w:pPr>
    </w:p>
    <w:p>
      <w:pPr>
        <w:sectPr>
          <w:pgSz w:w="11900" w:h="16838" w:orient="portrait"/>
          <w:cols w:equalWidth="0" w:num="2">
            <w:col w:w="3860" w:space="720"/>
            <w:col w:w="4439"/>
          </w:cols>
          <w:pgMar w:left="1440" w:top="219" w:right="1440" w:bottom="1440" w:gutter="0" w:footer="0" w:header="0"/>
          <w:type w:val="continuous"/>
        </w:sectPr>
      </w:pPr>
    </w:p>
    <w:p>
      <w:pPr>
        <w:ind w:left="4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9019"/>
          </w:cols>
          <w:pgMar w:left="1440" w:top="219" w:right="1440" w:bottom="1440" w:gutter="0" w:footer="0" w:header="0"/>
          <w:type w:val="continuous"/>
        </w:sectPr>
      </w:pPr>
    </w:p>
    <w:p>
      <w:pPr>
        <w:spacing w:after="0" w:line="217" w:lineRule="exact"/>
        <w:rPr>
          <w:sz w:val="24"/>
          <w:szCs w:val="24"/>
          <w:color w:val="auto"/>
        </w:rPr>
      </w:pPr>
    </w:p>
    <w:p>
      <w:pPr>
        <w:ind w:left="620" w:right="1019"/>
        <w:spacing w:after="0" w:line="14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CALCULATION OF REGISTRATION FEE</w:t>
      </w:r>
    </w:p>
    <w:p>
      <w:pPr>
        <w:spacing w:after="0" w:line="19" w:lineRule="exact"/>
        <w:rPr>
          <w:sz w:val="24"/>
          <w:szCs w:val="24"/>
          <w:color w:val="auto"/>
        </w:rPr>
      </w:pPr>
    </w:p>
    <w:tbl>
      <w:tblPr>
        <w:tblLayout w:type="fixed"/>
        <w:tblInd w:w="620" w:type="dxa"/>
        <w:tblCellMar>
          <w:top w:w="0" w:type="dxa"/>
          <w:left w:w="0" w:type="dxa"/>
          <w:bottom w:w="0" w:type="dxa"/>
          <w:right w:w="0" w:type="dxa"/>
        </w:tblCellMar>
      </w:tblPr>
      <w:tr>
        <w:trPr>
          <w:trHeight w:val="142"/>
        </w:trPr>
        <w:tc>
          <w:tcPr>
            <w:tcW w:w="57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Proposed</w:t>
            </w:r>
          </w:p>
        </w:tc>
        <w:tc>
          <w:tcPr>
            <w:tcW w:w="1040" w:type="dxa"/>
            <w:vAlign w:val="bottom"/>
            <w:tcBorders>
              <w:top w:val="single" w:sz="8" w:color="auto"/>
            </w:tcBorders>
          </w:tcPr>
          <w:p>
            <w:pPr>
              <w:spacing w:after="0"/>
              <w:rPr>
                <w:sz w:val="12"/>
                <w:szCs w:val="12"/>
                <w:color w:val="auto"/>
              </w:rPr>
            </w:pPr>
          </w:p>
        </w:tc>
      </w:tr>
      <w:tr>
        <w:trPr>
          <w:trHeight w:val="140"/>
        </w:trPr>
        <w:tc>
          <w:tcPr>
            <w:tcW w:w="57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maximum</w:t>
            </w:r>
          </w:p>
        </w:tc>
        <w:tc>
          <w:tcPr>
            <w:tcW w:w="1040" w:type="dxa"/>
            <w:vAlign w:val="bottom"/>
          </w:tcPr>
          <w:p>
            <w:pPr>
              <w:spacing w:after="0"/>
              <w:rPr>
                <w:sz w:val="12"/>
                <w:szCs w:val="12"/>
                <w:color w:val="auto"/>
              </w:rPr>
            </w:pPr>
          </w:p>
        </w:tc>
      </w:tr>
      <w:tr>
        <w:trPr>
          <w:trHeight w:val="129"/>
        </w:trPr>
        <w:tc>
          <w:tcPr>
            <w:tcW w:w="5780" w:type="dxa"/>
            <w:vAlign w:val="bottom"/>
            <w:tcBorders>
              <w:right w:val="single" w:sz="8" w:color="auto"/>
            </w:tcBorders>
          </w:tcPr>
          <w:p>
            <w:pPr>
              <w:jc w:val="center"/>
              <w:ind w:right="41"/>
              <w:spacing w:after="0" w:line="129" w:lineRule="exact"/>
              <w:rPr>
                <w:sz w:val="20"/>
                <w:szCs w:val="20"/>
                <w:color w:val="auto"/>
              </w:rPr>
            </w:pPr>
            <w:r>
              <w:rPr>
                <w:rFonts w:ascii="Arial" w:cs="Arial" w:eastAsia="Arial" w:hAnsi="Arial"/>
                <w:sz w:val="12"/>
                <w:szCs w:val="12"/>
                <w:b w:val="1"/>
                <w:bCs w:val="1"/>
                <w:color w:val="auto"/>
              </w:rPr>
              <w:t>Title of each class of</w:t>
            </w:r>
          </w:p>
        </w:tc>
        <w:tc>
          <w:tcPr>
            <w:tcW w:w="960" w:type="dxa"/>
            <w:vAlign w:val="bottom"/>
            <w:tcBorders>
              <w:right w:val="single" w:sz="8" w:color="auto"/>
            </w:tcBorders>
          </w:tcPr>
          <w:p>
            <w:pPr>
              <w:jc w:val="right"/>
              <w:ind w:right="42"/>
              <w:spacing w:after="0" w:line="129" w:lineRule="exact"/>
              <w:rPr>
                <w:sz w:val="20"/>
                <w:szCs w:val="20"/>
                <w:color w:val="auto"/>
              </w:rPr>
            </w:pPr>
            <w:r>
              <w:rPr>
                <w:rFonts w:ascii="Arial" w:cs="Arial" w:eastAsia="Arial" w:hAnsi="Arial"/>
                <w:sz w:val="12"/>
                <w:szCs w:val="12"/>
                <w:b w:val="1"/>
                <w:bCs w:val="1"/>
                <w:color w:val="auto"/>
              </w:rPr>
              <w:t>aggregate</w:t>
            </w:r>
          </w:p>
        </w:tc>
        <w:tc>
          <w:tcPr>
            <w:tcW w:w="1040" w:type="dxa"/>
            <w:vAlign w:val="bottom"/>
          </w:tcPr>
          <w:p>
            <w:pPr>
              <w:jc w:val="right"/>
              <w:ind w:right="1"/>
              <w:spacing w:after="0" w:line="129" w:lineRule="exact"/>
              <w:rPr>
                <w:sz w:val="20"/>
                <w:szCs w:val="20"/>
                <w:color w:val="auto"/>
              </w:rPr>
            </w:pPr>
            <w:r>
              <w:rPr>
                <w:rFonts w:ascii="Arial" w:cs="Arial" w:eastAsia="Arial" w:hAnsi="Arial"/>
                <w:sz w:val="12"/>
                <w:szCs w:val="12"/>
                <w:b w:val="1"/>
                <w:bCs w:val="1"/>
                <w:color w:val="auto"/>
              </w:rPr>
              <w:t>Amount of</w:t>
            </w:r>
          </w:p>
        </w:tc>
      </w:tr>
      <w:tr>
        <w:trPr>
          <w:trHeight w:val="194"/>
        </w:trPr>
        <w:tc>
          <w:tcPr>
            <w:tcW w:w="578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b w:val="1"/>
                <w:bCs w:val="1"/>
                <w:color w:val="auto"/>
              </w:rPr>
              <w:t>securities to be registered</w:t>
            </w:r>
          </w:p>
        </w:tc>
        <w:tc>
          <w:tcPr>
            <w:tcW w:w="960" w:type="dxa"/>
            <w:vAlign w:val="bottom"/>
            <w:tcBorders>
              <w:bottom w:val="single" w:sz="8" w:color="auto"/>
              <w:right w:val="single" w:sz="8" w:color="auto"/>
            </w:tcBorders>
          </w:tcPr>
          <w:p>
            <w:pPr>
              <w:jc w:val="right"/>
              <w:ind w:right="2"/>
              <w:spacing w:after="0" w:line="194" w:lineRule="exact"/>
              <w:rPr>
                <w:sz w:val="20"/>
                <w:szCs w:val="20"/>
                <w:color w:val="auto"/>
              </w:rPr>
            </w:pPr>
            <w:r>
              <w:rPr>
                <w:rFonts w:ascii="Arial" w:cs="Arial" w:eastAsia="Arial" w:hAnsi="Arial"/>
                <w:sz w:val="12"/>
                <w:szCs w:val="12"/>
                <w:b w:val="1"/>
                <w:bCs w:val="1"/>
                <w:color w:val="auto"/>
                <w:w w:val="97"/>
              </w:rPr>
              <w:t>offering price</w:t>
            </w:r>
            <w:r>
              <w:rPr>
                <w:rFonts w:ascii="Arial" w:cs="Arial" w:eastAsia="Arial" w:hAnsi="Arial"/>
                <w:sz w:val="17"/>
                <w:szCs w:val="17"/>
                <w:b w:val="1"/>
                <w:bCs w:val="1"/>
                <w:color w:val="auto"/>
                <w:w w:val="97"/>
                <w:vertAlign w:val="superscript"/>
              </w:rPr>
              <w:t>(1)</w:t>
            </w: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2"/>
                <w:szCs w:val="12"/>
                <w:b w:val="1"/>
                <w:bCs w:val="1"/>
                <w:color w:val="auto"/>
                <w:w w:val="99"/>
              </w:rPr>
              <w:t>registration fee</w:t>
            </w:r>
            <w:r>
              <w:rPr>
                <w:rFonts w:ascii="Arial" w:cs="Arial" w:eastAsia="Arial" w:hAnsi="Arial"/>
                <w:sz w:val="17"/>
                <w:szCs w:val="17"/>
                <w:b w:val="1"/>
                <w:bCs w:val="1"/>
                <w:color w:val="auto"/>
                <w:w w:val="99"/>
                <w:vertAlign w:val="superscript"/>
              </w:rPr>
              <w:t>(2)</w:t>
            </w:r>
          </w:p>
        </w:tc>
      </w:tr>
      <w:tr>
        <w:trPr>
          <w:trHeight w:val="140"/>
        </w:trPr>
        <w:tc>
          <w:tcPr>
            <w:tcW w:w="578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Common Stock, $0.0001 par value per share</w:t>
            </w:r>
          </w:p>
        </w:tc>
        <w:tc>
          <w:tcPr>
            <w:tcW w:w="960" w:type="dxa"/>
            <w:vAlign w:val="bottom"/>
            <w:tcBorders>
              <w:bottom w:val="single" w:sz="8" w:color="auto"/>
              <w:right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$100,000,000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$ 10,910</w:t>
            </w:r>
          </w:p>
        </w:tc>
      </w:tr>
    </w:tbl>
    <w:p>
      <w:pPr>
        <w:spacing w:after="0" w:line="30" w:lineRule="exact"/>
        <w:rPr>
          <w:sz w:val="24"/>
          <w:szCs w:val="24"/>
          <w:color w:val="auto"/>
        </w:rPr>
      </w:pPr>
    </w:p>
    <w:p>
      <w:pPr>
        <w:jc w:val="both"/>
        <w:ind w:left="620" w:right="719" w:hanging="10"/>
        <w:spacing w:after="0"/>
        <w:tabs>
          <w:tab w:leader="none" w:pos="816"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pursuant to Rule 457(o) under the Securities Act of 1933, as amended. Includes the aggregate offering price of additional shares of common stock that the underwriters have the option to purchase.</w:t>
      </w:r>
    </w:p>
    <w:p>
      <w:pPr>
        <w:spacing w:after="0" w:line="144" w:lineRule="exact"/>
        <w:rPr>
          <w:rFonts w:ascii="Arial" w:cs="Arial" w:eastAsia="Arial" w:hAnsi="Arial"/>
          <w:sz w:val="12"/>
          <w:szCs w:val="12"/>
          <w:color w:val="auto"/>
        </w:rPr>
      </w:pPr>
    </w:p>
    <w:p>
      <w:pPr>
        <w:ind w:left="800" w:hanging="190"/>
        <w:spacing w:after="0"/>
        <w:tabs>
          <w:tab w:leader="none" w:pos="80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31" w:lineRule="exact"/>
        <w:rPr>
          <w:sz w:val="24"/>
          <w:szCs w:val="24"/>
          <w:color w:val="auto"/>
        </w:rPr>
      </w:pPr>
    </w:p>
    <w:p>
      <w:pPr>
        <w:ind w:left="620" w:right="659" w:firstLine="259"/>
        <w:spacing w:after="0"/>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wp:posOffset>
            </wp:positionH>
            <wp:positionV relativeFrom="paragraph">
              <wp:posOffset>125730</wp:posOffset>
            </wp:positionV>
            <wp:extent cx="49396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698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153670</wp:posOffset>
            </wp:positionV>
            <wp:extent cx="493966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139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353060</wp:posOffset>
            </wp:positionV>
            <wp:extent cx="5458460"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219" w:right="1440" w:bottom="1440" w:gutter="0" w:footer="0" w:header="0"/>
          <w:type w:val="continuous"/>
        </w:sectPr>
      </w:pPr>
    </w:p>
    <w:bookmarkStart w:id="1" w:name="page2"/>
    <w:bookmarkEnd w:id="1"/>
    <w:p>
      <w:pPr>
        <w:ind w:left="220"/>
        <w:spacing w:after="0"/>
        <w:rPr>
          <w:rFonts w:ascii="Arial" w:cs="Arial" w:eastAsia="Arial" w:hAnsi="Arial"/>
          <w:sz w:val="10"/>
          <w:szCs w:val="10"/>
          <w:color w:val="003366"/>
        </w:rPr>
      </w:pPr>
      <w:hyperlink w:anchor="page2">
        <w:r>
          <w:rPr>
            <w:rFonts w:ascii="Arial" w:cs="Arial" w:eastAsia="Arial" w:hAnsi="Arial"/>
            <w:sz w:val="10"/>
            <w:szCs w:val="10"/>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369" w:lineRule="exact"/>
        <w:rPr>
          <w:sz w:val="20"/>
          <w:szCs w:val="20"/>
          <w:color w:val="auto"/>
        </w:rPr>
      </w:pPr>
    </w:p>
    <w:tbl>
      <w:tblPr>
        <w:tblLayout w:type="fixed"/>
        <w:tblInd w:w="920" w:type="dxa"/>
        <w:tblCellMar>
          <w:top w:w="0" w:type="dxa"/>
          <w:left w:w="0" w:type="dxa"/>
          <w:bottom w:w="0" w:type="dxa"/>
          <w:right w:w="0" w:type="dxa"/>
        </w:tblCellMar>
      </w:tblPr>
      <w:tr>
        <w:trPr>
          <w:trHeight w:val="160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and it is not soliciting</w:t>
            </w:r>
          </w:p>
        </w:tc>
        <w:tc>
          <w:tcPr>
            <w:tcW w:w="140" w:type="dxa"/>
            <w:vAlign w:val="bottom"/>
          </w:tcPr>
          <w:p>
            <w:pPr>
              <w:spacing w:after="0"/>
              <w:rPr>
                <w:sz w:val="24"/>
                <w:szCs w:val="24"/>
                <w:color w:val="auto"/>
              </w:rPr>
            </w:pPr>
          </w:p>
        </w:tc>
      </w:tr>
      <w:tr>
        <w:trPr>
          <w:trHeight w:val="72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until the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securities</w:t>
            </w:r>
          </w:p>
        </w:tc>
        <w:tc>
          <w:tcPr>
            <w:tcW w:w="140" w:type="dxa"/>
            <w:vAlign w:val="bottom"/>
          </w:tcPr>
          <w:p>
            <w:pPr>
              <w:spacing w:after="0"/>
              <w:rPr>
                <w:sz w:val="24"/>
                <w:szCs w:val="24"/>
                <w:color w:val="auto"/>
              </w:rPr>
            </w:pPr>
          </w:p>
        </w:tc>
      </w:tr>
      <w:tr>
        <w:trPr>
          <w:trHeight w:val="73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sell these</w:t>
            </w:r>
          </w:p>
        </w:tc>
        <w:tc>
          <w:tcPr>
            <w:tcW w:w="140" w:type="dxa"/>
            <w:vAlign w:val="bottom"/>
          </w:tcPr>
          <w:p>
            <w:pPr>
              <w:spacing w:after="0"/>
              <w:rPr>
                <w:sz w:val="24"/>
                <w:szCs w:val="24"/>
                <w:color w:val="auto"/>
              </w:rPr>
            </w:pPr>
          </w:p>
        </w:tc>
      </w:tr>
      <w:tr>
        <w:trPr>
          <w:trHeight w:val="43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 may be changed. We may not sell these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Commission is effective. This prospectus is not an offer to</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 is not permitted.</w:t>
            </w:r>
          </w:p>
        </w:tc>
      </w:tr>
      <w:tr>
        <w:trPr>
          <w:trHeight w:val="27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filed with 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buy these securities in any</w:t>
            </w: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FC0014"/>
        </w:rPr>
        <w:t>Subject to completion, dated May 28, 2021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144" w:lineRule="exact"/>
        <w:rPr>
          <w:sz w:val="20"/>
          <w:szCs w:val="20"/>
          <w:color w:val="auto"/>
        </w:rPr>
      </w:pPr>
    </w:p>
    <w:p>
      <w:pPr>
        <w:ind w:left="1580"/>
        <w:spacing w:after="0"/>
        <w:rPr>
          <w:sz w:val="20"/>
          <w:szCs w:val="20"/>
          <w:color w:val="auto"/>
        </w:rPr>
      </w:pPr>
      <w:r>
        <w:rPr>
          <w:rFonts w:ascii="Arial" w:cs="Arial" w:eastAsia="Arial" w:hAnsi="Arial"/>
          <w:sz w:val="26"/>
          <w:szCs w:val="2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2350135" cy="63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013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6"/>
          <w:szCs w:val="26"/>
          <w:b w:val="1"/>
          <w:bCs w:val="1"/>
          <w:i w:val="1"/>
          <w:iCs w:val="1"/>
          <w:color w:val="auto"/>
        </w:rPr>
        <w:t>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This is the initial public offering of shares of common stock of Century Therapeutics, Inc.</w:t>
      </w:r>
    </w:p>
    <w:p>
      <w:pPr>
        <w:spacing w:after="0" w:line="130" w:lineRule="exact"/>
        <w:rPr>
          <w:sz w:val="20"/>
          <w:szCs w:val="20"/>
          <w:color w:val="auto"/>
        </w:rPr>
      </w:pPr>
    </w:p>
    <w:p>
      <w:pPr>
        <w:ind w:right="1359"/>
        <w:spacing w:after="0" w:line="257" w:lineRule="auto"/>
        <w:rPr>
          <w:sz w:val="20"/>
          <w:szCs w:val="20"/>
          <w:color w:val="auto"/>
        </w:rPr>
      </w:pPr>
      <w:r>
        <w:rPr>
          <w:rFonts w:ascii="Arial" w:cs="Arial" w:eastAsia="Arial" w:hAnsi="Arial"/>
          <w:sz w:val="14"/>
          <w:szCs w:val="14"/>
          <w:color w:val="auto"/>
        </w:rPr>
        <w:t>We are offering shares of our common stock. Prior to this offering, there has been no public market for our common stock. It is currently estimated that the initial public offering price per</w:t>
      </w:r>
    </w:p>
    <w:p>
      <w:pPr>
        <w:spacing w:after="0"/>
        <w:tabs>
          <w:tab w:leader="none" w:pos="2140" w:val="left"/>
          <w:tab w:leader="none" w:pos="3040" w:val="left"/>
        </w:tabs>
        <w:rPr>
          <w:sz w:val="20"/>
          <w:szCs w:val="20"/>
          <w:color w:val="auto"/>
        </w:rPr>
      </w:pPr>
      <w:r>
        <w:rPr>
          <w:rFonts w:ascii="Arial" w:cs="Arial" w:eastAsia="Arial" w:hAnsi="Arial"/>
          <w:sz w:val="14"/>
          <w:szCs w:val="14"/>
          <w:color w:val="auto"/>
        </w:rPr>
        <w:t>share will be between $</w:t>
      </w:r>
      <w:r>
        <w:rPr>
          <w:sz w:val="20"/>
          <w:szCs w:val="20"/>
          <w:color w:val="auto"/>
        </w:rPr>
        <w:tab/>
      </w:r>
      <w:r>
        <w:rPr>
          <w:rFonts w:ascii="Arial" w:cs="Arial" w:eastAsia="Arial" w:hAnsi="Arial"/>
          <w:sz w:val="14"/>
          <w:szCs w:val="14"/>
          <w:color w:val="auto"/>
        </w:rPr>
        <w:t>and $</w:t>
      </w:r>
      <w:r>
        <w:rPr>
          <w:sz w:val="20"/>
          <w:szCs w:val="20"/>
          <w:color w:val="auto"/>
        </w:rPr>
        <w:tab/>
      </w:r>
      <w:r>
        <w:rPr>
          <w:rFonts w:ascii="Arial" w:cs="Arial" w:eastAsia="Arial" w:hAnsi="Arial"/>
          <w:sz w:val="14"/>
          <w:szCs w:val="14"/>
          <w:color w:val="auto"/>
        </w:rPr>
        <w:t>.</w:t>
      </w:r>
    </w:p>
    <w:p>
      <w:pPr>
        <w:spacing w:after="0" w:line="141" w:lineRule="exact"/>
        <w:rPr>
          <w:sz w:val="20"/>
          <w:szCs w:val="20"/>
          <w:color w:val="auto"/>
        </w:rPr>
      </w:pPr>
    </w:p>
    <w:p>
      <w:pPr>
        <w:ind w:right="1059"/>
        <w:spacing w:after="0" w:line="290"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75" w:lineRule="exact"/>
        <w:rPr>
          <w:sz w:val="20"/>
          <w:szCs w:val="20"/>
          <w:color w:val="auto"/>
        </w:rPr>
      </w:pPr>
    </w:p>
    <w:p>
      <w:pPr>
        <w:ind w:right="999"/>
        <w:spacing w:after="0" w:line="265" w:lineRule="auto"/>
        <w:rPr>
          <w:sz w:val="20"/>
          <w:szCs w:val="20"/>
          <w:color w:val="auto"/>
        </w:rPr>
      </w:pPr>
      <w:r>
        <w:rPr>
          <w:rFonts w:ascii="Arial" w:cs="Arial" w:eastAsia="Arial" w:hAnsi="Arial"/>
          <w:sz w:val="14"/>
          <w:szCs w:val="14"/>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w:t>
      </w:r>
    </w:p>
    <w:p>
      <w:pPr>
        <w:spacing w:after="0" w:line="120" w:lineRule="exact"/>
        <w:rPr>
          <w:sz w:val="20"/>
          <w:szCs w:val="20"/>
          <w:color w:val="auto"/>
        </w:rPr>
      </w:pPr>
    </w:p>
    <w:p>
      <w:pPr>
        <w:ind w:right="1099"/>
        <w:spacing w:after="0" w:line="23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the section titled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xml:space="preserve">” beginning on page </w:t>
      </w:r>
      <w:hyperlink w:anchor="page15">
        <w:r>
          <w:rPr>
            <w:rFonts w:ascii="Arial" w:cs="Arial" w:eastAsia="Arial" w:hAnsi="Arial"/>
            <w:sz w:val="17"/>
            <w:szCs w:val="17"/>
            <w:b w:val="1"/>
            <w:bCs w:val="1"/>
            <w:u w:val="single" w:color="auto"/>
            <w:color w:val="0000EE"/>
          </w:rPr>
          <w:t>1</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16560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Per share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10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10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31108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spacing w:after="0" w:line="87" w:lineRule="exact"/>
        <w:rPr>
          <w:sz w:val="20"/>
          <w:szCs w:val="20"/>
          <w:color w:val="auto"/>
        </w:rPr>
      </w:pPr>
    </w:p>
    <w:p>
      <w:pPr>
        <w:ind w:right="1079" w:firstLine="3"/>
        <w:spacing w:after="0" w:line="251" w:lineRule="auto"/>
        <w:tabs>
          <w:tab w:leader="none" w:pos="173"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See the section titled “Underwriting” beginning on page </w:t>
      </w:r>
      <w:hyperlink w:anchor="page203">
        <w:r>
          <w:rPr>
            <w:rFonts w:ascii="Arial" w:cs="Arial" w:eastAsia="Arial" w:hAnsi="Arial"/>
            <w:sz w:val="11"/>
            <w:szCs w:val="11"/>
            <w:u w:val="single" w:color="auto"/>
            <w:color w:val="0000EE"/>
          </w:rPr>
          <w:t>189</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for additional information regarding compensation payable to the underwriters.</w:t>
      </w:r>
    </w:p>
    <w:p>
      <w:pPr>
        <w:spacing w:after="0" w:line="113" w:lineRule="exact"/>
        <w:rPr>
          <w:sz w:val="20"/>
          <w:szCs w:val="20"/>
          <w:color w:val="auto"/>
        </w:rPr>
      </w:pPr>
    </w:p>
    <w:p>
      <w:pPr>
        <w:ind w:left="220" w:right="1339" w:hanging="210"/>
        <w:spacing w:after="0" w:line="257" w:lineRule="auto"/>
        <w:rPr>
          <w:sz w:val="20"/>
          <w:szCs w:val="20"/>
          <w:color w:val="auto"/>
        </w:rPr>
      </w:pPr>
      <w:r>
        <w:rPr>
          <w:rFonts w:ascii="Arial" w:cs="Arial" w:eastAsia="Arial" w:hAnsi="Arial"/>
          <w:sz w:val="14"/>
          <w:szCs w:val="14"/>
          <w:color w:val="auto"/>
        </w:rPr>
        <w:t>We have granted the underwriters an option for a period of 30 days to purchase up to additional shares of common stock at the initial public offering price, less the underwriting</w:t>
      </w:r>
    </w:p>
    <w:p>
      <w:pPr>
        <w:spacing w:after="0"/>
        <w:rPr>
          <w:sz w:val="20"/>
          <w:szCs w:val="20"/>
          <w:color w:val="auto"/>
        </w:rPr>
      </w:pPr>
      <w:r>
        <w:rPr>
          <w:rFonts w:ascii="Arial" w:cs="Arial" w:eastAsia="Arial" w:hAnsi="Arial"/>
          <w:sz w:val="14"/>
          <w:szCs w:val="14"/>
          <w:color w:val="auto"/>
        </w:rPr>
        <w:t>discounts and commissions.</w:t>
      </w:r>
    </w:p>
    <w:p>
      <w:pPr>
        <w:spacing w:after="0" w:line="141" w:lineRule="exact"/>
        <w:rPr>
          <w:sz w:val="20"/>
          <w:szCs w:val="20"/>
          <w:color w:val="auto"/>
        </w:rPr>
      </w:pPr>
    </w:p>
    <w:p>
      <w:pPr>
        <w:spacing w:after="0"/>
        <w:tabs>
          <w:tab w:leader="none" w:pos="6460" w:val="left"/>
        </w:tabs>
        <w:rPr>
          <w:sz w:val="20"/>
          <w:szCs w:val="20"/>
          <w:color w:val="auto"/>
        </w:rPr>
      </w:pPr>
      <w:r>
        <w:rPr>
          <w:rFonts w:ascii="Arial" w:cs="Arial" w:eastAsia="Arial" w:hAnsi="Arial"/>
          <w:sz w:val="14"/>
          <w:szCs w:val="14"/>
          <w:color w:val="auto"/>
        </w:rPr>
        <w:t>The underwriters expect to deliver the shares against payment in New York, New York on</w:t>
      </w:r>
      <w:r>
        <w:rPr>
          <w:sz w:val="20"/>
          <w:szCs w:val="20"/>
          <w:color w:val="auto"/>
        </w:rPr>
        <w:tab/>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2021.</w:t>
      </w:r>
    </w:p>
    <w:p>
      <w:pPr>
        <w:spacing w:after="0" w:line="112" w:lineRule="exact"/>
        <w:rPr>
          <w:sz w:val="20"/>
          <w:szCs w:val="20"/>
          <w:color w:val="auto"/>
        </w:rPr>
      </w:pPr>
    </w:p>
    <w:p>
      <w:pPr>
        <w:jc w:val="both"/>
        <w:ind w:right="1019"/>
        <w:spacing w:after="0" w:line="29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527" w:lineRule="exact"/>
        <w:rPr>
          <w:sz w:val="20"/>
          <w:szCs w:val="20"/>
          <w:color w:val="auto"/>
        </w:rPr>
      </w:pPr>
    </w:p>
    <w:p>
      <w:pPr>
        <w:sectPr>
          <w:pgSz w:w="11900" w:h="16838" w:orient="portrait"/>
          <w:cols w:equalWidth="0" w:num="2">
            <w:col w:w="1400" w:space="80"/>
            <w:col w:w="7539"/>
          </w:cols>
          <w:pgMar w:left="1440" w:top="134" w:right="1440" w:bottom="1440" w:gutter="0" w:footer="0" w:header="0"/>
          <w:type w:val="continuous"/>
        </w:sectPr>
      </w:pPr>
    </w:p>
    <w:p>
      <w:pPr>
        <w:spacing w:after="0" w:line="261"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840" w:type="dxa"/>
            <w:vAlign w:val="bottom"/>
          </w:tcPr>
          <w:p>
            <w:pPr>
              <w:ind w:left="1260"/>
              <w:spacing w:after="0"/>
              <w:rPr>
                <w:sz w:val="20"/>
                <w:szCs w:val="20"/>
                <w:color w:val="auto"/>
              </w:rPr>
            </w:pPr>
            <w:r>
              <w:rPr>
                <w:rFonts w:ascii="Arial" w:cs="Arial" w:eastAsia="Arial" w:hAnsi="Arial"/>
                <w:sz w:val="16"/>
                <w:szCs w:val="16"/>
                <w:color w:val="auto"/>
              </w:rPr>
              <w:t>Prospectus dated</w:t>
            </w:r>
          </w:p>
        </w:tc>
        <w:tc>
          <w:tcPr>
            <w:tcW w:w="5720" w:type="dxa"/>
            <w:vAlign w:val="bottom"/>
          </w:tcPr>
          <w:p>
            <w:pPr>
              <w:jc w:val="right"/>
              <w:ind w:right="4921"/>
              <w:spacing w:after="0"/>
              <w:rPr>
                <w:sz w:val="20"/>
                <w:szCs w:val="20"/>
                <w:color w:val="auto"/>
              </w:rPr>
            </w:pPr>
            <w:r>
              <w:rPr>
                <w:rFonts w:ascii="Arial" w:cs="Arial" w:eastAsia="Arial" w:hAnsi="Arial"/>
                <w:sz w:val="16"/>
                <w:szCs w:val="16"/>
                <w:color w:val="auto"/>
              </w:rPr>
              <w:t>, 2021</w:t>
            </w:r>
          </w:p>
        </w:tc>
      </w:tr>
      <w:tr>
        <w:trPr>
          <w:trHeight w:val="74"/>
        </w:trPr>
        <w:tc>
          <w:tcPr>
            <w:tcW w:w="2840" w:type="dxa"/>
            <w:vAlign w:val="bottom"/>
            <w:tcBorders>
              <w:bottom w:val="single" w:sz="8" w:color="9A9A9A"/>
            </w:tcBorders>
          </w:tcPr>
          <w:p>
            <w:pPr>
              <w:spacing w:after="0"/>
              <w:rPr>
                <w:sz w:val="6"/>
                <w:szCs w:val="6"/>
                <w:color w:val="auto"/>
              </w:rPr>
            </w:pPr>
          </w:p>
        </w:tc>
        <w:tc>
          <w:tcPr>
            <w:tcW w:w="5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196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 cy="3937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-26035</wp:posOffset>
            </wp:positionV>
            <wp:extent cx="196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 w:name="page3"/>
    <w:bookmarkEnd w:id="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Table of contents</w:t>
      </w:r>
    </w:p>
    <w:p>
      <w:pPr>
        <w:spacing w:after="0" w:line="130"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185"/>
        </w:trPr>
        <w:tc>
          <w:tcPr>
            <w:tcW w:w="1480" w:type="dxa"/>
            <w:vAlign w:val="bottom"/>
            <w:tcBorders>
              <w:bottom w:val="single" w:sz="8" w:color="0000EE"/>
              <w:right w:val="single" w:sz="8" w:color="CCEEFF"/>
            </w:tcBorders>
            <w:gridSpan w:val="7"/>
            <w:shd w:val="clear" w:color="auto" w:fill="CCEEFF"/>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Prospectus summary</w:t>
              </w:r>
            </w:hyperlink>
          </w:p>
        </w:tc>
        <w:tc>
          <w:tcPr>
            <w:tcW w:w="4280" w:type="dxa"/>
            <w:vAlign w:val="bottom"/>
            <w:tcBorders>
              <w:bottom w:val="single" w:sz="8" w:color="CCEEFF"/>
            </w:tcBorders>
            <w:gridSpan w:val="8"/>
            <w:shd w:val="clear" w:color="auto" w:fill="CCEEFF"/>
          </w:tcPr>
          <w:p>
            <w:pPr>
              <w:spacing w:after="0"/>
              <w:rPr>
                <w:sz w:val="16"/>
                <w:szCs w:val="16"/>
                <w:color w:val="auto"/>
              </w:rPr>
            </w:pPr>
          </w:p>
        </w:tc>
        <w:tc>
          <w:tcPr>
            <w:tcW w:w="6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w:t>
              </w:r>
            </w:hyperlink>
          </w:p>
        </w:tc>
      </w:tr>
      <w:tr>
        <w:trPr>
          <w:trHeight w:val="185"/>
        </w:trPr>
        <w:tc>
          <w:tcPr>
            <w:tcW w:w="880" w:type="dxa"/>
            <w:vAlign w:val="bottom"/>
            <w:tcBorders>
              <w:bottom w:val="single" w:sz="8" w:color="0000EE"/>
            </w:tcBorders>
            <w:gridSpan w:val="4"/>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The offering</w:t>
              </w:r>
            </w:hyperlink>
          </w:p>
        </w:tc>
        <w:tc>
          <w:tcPr>
            <w:tcW w:w="4880" w:type="dxa"/>
            <w:vAlign w:val="bottom"/>
            <w:gridSpan w:val="11"/>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rPr>
            </w:pPr>
            <w:hyperlink w:anchor="page11">
              <w:r>
                <w:rPr>
                  <w:rFonts w:ascii="Arial" w:cs="Arial" w:eastAsia="Arial" w:hAnsi="Arial"/>
                  <w:sz w:val="14"/>
                  <w:szCs w:val="14"/>
                  <w:color w:val="0000EE"/>
                </w:rPr>
                <w:t>ix</w:t>
              </w:r>
            </w:hyperlink>
          </w:p>
        </w:tc>
      </w:tr>
      <w:tr>
        <w:trPr>
          <w:trHeight w:val="185"/>
        </w:trPr>
        <w:tc>
          <w:tcPr>
            <w:tcW w:w="2480" w:type="dxa"/>
            <w:vAlign w:val="bottom"/>
            <w:tcBorders>
              <w:bottom w:val="single" w:sz="8" w:color="0000EE"/>
              <w:right w:val="single" w:sz="8" w:color="CCEEFF"/>
            </w:tcBorders>
            <w:gridSpan w:val="11"/>
            <w:shd w:val="clear" w:color="auto" w:fill="CCEEFF"/>
          </w:tcPr>
          <w:p>
            <w:pPr>
              <w:spacing w:after="0"/>
              <w:rPr>
                <w:rFonts w:ascii="Arial" w:cs="Arial" w:eastAsia="Arial" w:hAnsi="Arial"/>
                <w:sz w:val="14"/>
                <w:szCs w:val="14"/>
                <w:color w:val="0000EE"/>
              </w:rPr>
            </w:pPr>
            <w:hyperlink w:anchor="page13">
              <w:r>
                <w:rPr>
                  <w:rFonts w:ascii="Arial" w:cs="Arial" w:eastAsia="Arial" w:hAnsi="Arial"/>
                  <w:sz w:val="14"/>
                  <w:szCs w:val="14"/>
                  <w:color w:val="0000EE"/>
                </w:rPr>
                <w:t>Summary consolidated financial data</w:t>
              </w:r>
            </w:hyperlink>
          </w:p>
        </w:tc>
        <w:tc>
          <w:tcPr>
            <w:tcW w:w="3280" w:type="dxa"/>
            <w:vAlign w:val="bottom"/>
            <w:tcBorders>
              <w:bottom w:val="single" w:sz="8" w:color="CCEEFF"/>
            </w:tcBorders>
            <w:gridSpan w:val="4"/>
            <w:shd w:val="clear" w:color="auto" w:fill="CCEEFF"/>
          </w:tcPr>
          <w:p>
            <w:pPr>
              <w:spacing w:after="0"/>
              <w:rPr>
                <w:sz w:val="16"/>
                <w:szCs w:val="16"/>
                <w:color w:val="auto"/>
              </w:rPr>
            </w:pPr>
          </w:p>
        </w:tc>
        <w:tc>
          <w:tcPr>
            <w:tcW w:w="64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4"/>
                <w:szCs w:val="14"/>
                <w:color w:val="0000EE"/>
              </w:rPr>
            </w:pPr>
            <w:hyperlink w:anchor="page13">
              <w:r>
                <w:rPr>
                  <w:rFonts w:ascii="Arial" w:cs="Arial" w:eastAsia="Arial" w:hAnsi="Arial"/>
                  <w:sz w:val="14"/>
                  <w:szCs w:val="14"/>
                  <w:color w:val="0000EE"/>
                </w:rPr>
                <w:t>xi</w:t>
              </w:r>
            </w:hyperlink>
          </w:p>
        </w:tc>
      </w:tr>
      <w:tr>
        <w:trPr>
          <w:trHeight w:val="185"/>
        </w:trPr>
        <w:tc>
          <w:tcPr>
            <w:tcW w:w="800" w:type="dxa"/>
            <w:vAlign w:val="bottom"/>
            <w:tcBorders>
              <w:bottom w:val="single" w:sz="8" w:color="0000EE"/>
            </w:tcBorders>
            <w:gridSpan w:val="3"/>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Risk factors</w:t>
              </w:r>
            </w:hyperlink>
          </w:p>
        </w:tc>
        <w:tc>
          <w:tcPr>
            <w:tcW w:w="4960" w:type="dxa"/>
            <w:vAlign w:val="bottom"/>
            <w:gridSpan w:val="12"/>
          </w:tcPr>
          <w:p>
            <w:pPr>
              <w:spacing w:after="0"/>
              <w:rPr>
                <w:sz w:val="16"/>
                <w:szCs w:val="16"/>
                <w:color w:val="auto"/>
              </w:rPr>
            </w:pPr>
          </w:p>
        </w:tc>
        <w:tc>
          <w:tcPr>
            <w:tcW w:w="720" w:type="dxa"/>
            <w:vAlign w:val="bottom"/>
            <w:gridSpan w:val="2"/>
          </w:tcPr>
          <w:p>
            <w:pPr>
              <w:spacing w:after="0"/>
              <w:rPr>
                <w:sz w:val="16"/>
                <w:szCs w:val="16"/>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15">
              <w:r>
                <w:rPr>
                  <w:rFonts w:ascii="Arial" w:cs="Arial" w:eastAsia="Arial" w:hAnsi="Arial"/>
                  <w:sz w:val="14"/>
                  <w:szCs w:val="14"/>
                  <w:color w:val="0000EE"/>
                  <w:w w:val="76"/>
                </w:rPr>
                <w:t>1</w:t>
              </w:r>
            </w:hyperlink>
          </w:p>
        </w:tc>
      </w:tr>
      <w:tr>
        <w:trPr>
          <w:trHeight w:val="183"/>
        </w:trPr>
        <w:tc>
          <w:tcPr>
            <w:tcW w:w="5760" w:type="dxa"/>
            <w:vAlign w:val="bottom"/>
            <w:gridSpan w:val="15"/>
            <w:shd w:val="clear" w:color="auto" w:fill="CCEEFF"/>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Special note regarding forward-looking statements</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2">
              <w:r>
                <w:rPr>
                  <w:rFonts w:ascii="Arial" w:cs="Arial" w:eastAsia="Arial" w:hAnsi="Arial"/>
                  <w:sz w:val="14"/>
                  <w:szCs w:val="14"/>
                  <w:color w:val="0000EE"/>
                </w:rPr>
                <w:t>58</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680" w:type="dxa"/>
            <w:vAlign w:val="bottom"/>
            <w:gridSpan w:val="8"/>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Market and industry data</w:t>
              </w:r>
            </w:hyperlink>
          </w:p>
        </w:tc>
        <w:tc>
          <w:tcPr>
            <w:tcW w:w="1760" w:type="dxa"/>
            <w:vAlign w:val="bottom"/>
            <w:gridSpan w:val="5"/>
          </w:tcPr>
          <w:p>
            <w:pPr>
              <w:spacing w:after="0"/>
              <w:rPr>
                <w:sz w:val="15"/>
                <w:szCs w:val="15"/>
                <w:color w:val="auto"/>
              </w:rPr>
            </w:pPr>
          </w:p>
        </w:tc>
        <w:tc>
          <w:tcPr>
            <w:tcW w:w="232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60</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680" w:type="dxa"/>
            <w:vAlign w:val="bottom"/>
            <w:tcBorders>
              <w:right w:val="single" w:sz="8" w:color="CCEEFF"/>
            </w:tcBorders>
            <w:gridSpan w:val="8"/>
            <w:shd w:val="clear" w:color="auto" w:fill="CCEEFF"/>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Use of proceeds</w:t>
              </w:r>
            </w:hyperlink>
          </w:p>
        </w:tc>
        <w:tc>
          <w:tcPr>
            <w:tcW w:w="408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61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100" w:type="dxa"/>
            <w:vAlign w:val="bottom"/>
            <w:gridSpan w:val="6"/>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Dividend policy</w:t>
              </w:r>
            </w:hyperlink>
          </w:p>
        </w:tc>
        <w:tc>
          <w:tcPr>
            <w:tcW w:w="4660" w:type="dxa"/>
            <w:vAlign w:val="bottom"/>
            <w:gridSpan w:val="9"/>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63</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880" w:type="dxa"/>
            <w:vAlign w:val="bottom"/>
            <w:tcBorders>
              <w:right w:val="single" w:sz="8" w:color="CCEEFF"/>
            </w:tcBorders>
            <w:gridSpan w:val="4"/>
            <w:shd w:val="clear" w:color="auto" w:fill="CCEEFF"/>
          </w:tcPr>
          <w:p>
            <w:pPr>
              <w:spacing w:after="0"/>
              <w:rPr>
                <w:rFonts w:ascii="Arial" w:cs="Arial" w:eastAsia="Arial" w:hAnsi="Arial"/>
                <w:sz w:val="14"/>
                <w:szCs w:val="14"/>
                <w:color w:val="0000EE"/>
                <w:w w:val="99"/>
              </w:rPr>
            </w:pPr>
            <w:hyperlink w:anchor="page78">
              <w:r>
                <w:rPr>
                  <w:rFonts w:ascii="Arial" w:cs="Arial" w:eastAsia="Arial" w:hAnsi="Arial"/>
                  <w:sz w:val="14"/>
                  <w:szCs w:val="14"/>
                  <w:color w:val="0000EE"/>
                  <w:w w:val="99"/>
                </w:rPr>
                <w:t>Capitalization</w:t>
              </w:r>
            </w:hyperlink>
          </w:p>
        </w:tc>
        <w:tc>
          <w:tcPr>
            <w:tcW w:w="140" w:type="dxa"/>
            <w:vAlign w:val="bottom"/>
            <w:tcBorders>
              <w:left w:val="single" w:sz="8" w:color="CCEEFF"/>
            </w:tcBorders>
            <w:shd w:val="clear" w:color="auto" w:fill="CCEEFF"/>
          </w:tcPr>
          <w:p>
            <w:pPr>
              <w:spacing w:after="0"/>
              <w:rPr>
                <w:sz w:val="15"/>
                <w:szCs w:val="15"/>
                <w:color w:val="auto"/>
              </w:rPr>
            </w:pPr>
          </w:p>
        </w:tc>
        <w:tc>
          <w:tcPr>
            <w:tcW w:w="4740" w:type="dxa"/>
            <w:vAlign w:val="bottom"/>
            <w:gridSpan w:val="10"/>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8">
              <w:r>
                <w:rPr>
                  <w:rFonts w:ascii="Arial" w:cs="Arial" w:eastAsia="Arial" w:hAnsi="Arial"/>
                  <w:sz w:val="14"/>
                  <w:szCs w:val="14"/>
                  <w:color w:val="0000EE"/>
                </w:rPr>
                <w:t>64</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520" w:type="dxa"/>
            <w:vAlign w:val="bottom"/>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Dilution</w:t>
              </w:r>
            </w:hyperlink>
          </w:p>
        </w:tc>
        <w:tc>
          <w:tcPr>
            <w:tcW w:w="360" w:type="dxa"/>
            <w:vAlign w:val="bottom"/>
            <w:gridSpan w:val="3"/>
          </w:tcPr>
          <w:p>
            <w:pPr>
              <w:spacing w:after="0"/>
              <w:rPr>
                <w:sz w:val="15"/>
                <w:szCs w:val="15"/>
                <w:color w:val="auto"/>
              </w:rPr>
            </w:pPr>
          </w:p>
        </w:tc>
        <w:tc>
          <w:tcPr>
            <w:tcW w:w="488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80">
              <w:r>
                <w:rPr>
                  <w:rFonts w:ascii="Arial" w:cs="Arial" w:eastAsia="Arial" w:hAnsi="Arial"/>
                  <w:sz w:val="14"/>
                  <w:szCs w:val="14"/>
                  <w:color w:val="0000EE"/>
                </w:rPr>
                <w:t>66</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5760" w:type="dxa"/>
            <w:vAlign w:val="bottom"/>
            <w:gridSpan w:val="15"/>
            <w:shd w:val="clear" w:color="auto" w:fill="CCEEFF"/>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Selected consolidated financial data</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82">
              <w:r>
                <w:rPr>
                  <w:rFonts w:ascii="Arial" w:cs="Arial" w:eastAsia="Arial" w:hAnsi="Arial"/>
                  <w:sz w:val="14"/>
                  <w:szCs w:val="14"/>
                  <w:color w:val="0000EE"/>
                </w:rPr>
                <w:t>68</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5760" w:type="dxa"/>
            <w:vAlign w:val="bottom"/>
            <w:gridSpan w:val="15"/>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Management’s discussion and analysis of financial condition and results of operations</w:t>
              </w:r>
            </w:hyperlink>
          </w:p>
        </w:tc>
        <w:tc>
          <w:tcPr>
            <w:tcW w:w="800" w:type="dxa"/>
            <w:vAlign w:val="bottom"/>
            <w:gridSpan w:val="3"/>
          </w:tcPr>
          <w:p>
            <w:pPr>
              <w:jc w:val="right"/>
              <w:spacing w:after="0"/>
              <w:rPr>
                <w:rFonts w:ascii="Arial" w:cs="Arial" w:eastAsia="Arial" w:hAnsi="Arial"/>
                <w:sz w:val="14"/>
                <w:szCs w:val="14"/>
                <w:color w:val="0000EE"/>
              </w:rPr>
            </w:pPr>
            <w:hyperlink w:anchor="page84">
              <w:r>
                <w:rPr>
                  <w:rFonts w:ascii="Arial" w:cs="Arial" w:eastAsia="Arial" w:hAnsi="Arial"/>
                  <w:sz w:val="14"/>
                  <w:szCs w:val="14"/>
                  <w:color w:val="0000EE"/>
                </w:rPr>
                <w:t>70</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620" w:type="dxa"/>
            <w:vAlign w:val="bottom"/>
            <w:gridSpan w:val="2"/>
            <w:shd w:val="clear" w:color="auto" w:fill="CCEEFF"/>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Business</w:t>
              </w:r>
            </w:hyperlink>
          </w:p>
        </w:tc>
        <w:tc>
          <w:tcPr>
            <w:tcW w:w="5140" w:type="dxa"/>
            <w:vAlign w:val="bottom"/>
            <w:gridSpan w:val="13"/>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01">
              <w:r>
                <w:rPr>
                  <w:rFonts w:ascii="Arial" w:cs="Arial" w:eastAsia="Arial" w:hAnsi="Arial"/>
                  <w:sz w:val="14"/>
                  <w:szCs w:val="14"/>
                  <w:color w:val="0000EE"/>
                </w:rPr>
                <w:t>87</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880" w:type="dxa"/>
            <w:vAlign w:val="bottom"/>
            <w:gridSpan w:val="4"/>
          </w:tcPr>
          <w:p>
            <w:pPr>
              <w:spacing w:after="0"/>
              <w:rPr>
                <w:rFonts w:ascii="Arial" w:cs="Arial" w:eastAsia="Arial" w:hAnsi="Arial"/>
                <w:sz w:val="14"/>
                <w:szCs w:val="14"/>
                <w:color w:val="0000EE"/>
              </w:rPr>
            </w:pPr>
            <w:hyperlink w:anchor="page163">
              <w:r>
                <w:rPr>
                  <w:rFonts w:ascii="Arial" w:cs="Arial" w:eastAsia="Arial" w:hAnsi="Arial"/>
                  <w:sz w:val="14"/>
                  <w:szCs w:val="14"/>
                  <w:color w:val="0000EE"/>
                </w:rPr>
                <w:t>Management</w:t>
              </w:r>
            </w:hyperlink>
          </w:p>
        </w:tc>
        <w:tc>
          <w:tcPr>
            <w:tcW w:w="488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63">
              <w:r>
                <w:rPr>
                  <w:rFonts w:ascii="Arial" w:cs="Arial" w:eastAsia="Arial" w:hAnsi="Arial"/>
                  <w:sz w:val="14"/>
                  <w:szCs w:val="14"/>
                  <w:color w:val="0000EE"/>
                </w:rPr>
                <w:t>149</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680" w:type="dxa"/>
            <w:vAlign w:val="bottom"/>
            <w:tcBorders>
              <w:right w:val="single" w:sz="8" w:color="CCEEFF"/>
            </w:tcBorders>
            <w:gridSpan w:val="8"/>
            <w:shd w:val="clear" w:color="auto" w:fill="CCEEFF"/>
          </w:tcPr>
          <w:p>
            <w:pPr>
              <w:spacing w:after="0"/>
              <w:rPr>
                <w:rFonts w:ascii="Arial" w:cs="Arial" w:eastAsia="Arial" w:hAnsi="Arial"/>
                <w:sz w:val="14"/>
                <w:szCs w:val="14"/>
                <w:color w:val="0000EE"/>
              </w:rPr>
            </w:pPr>
            <w:hyperlink w:anchor="page175">
              <w:r>
                <w:rPr>
                  <w:rFonts w:ascii="Arial" w:cs="Arial" w:eastAsia="Arial" w:hAnsi="Arial"/>
                  <w:sz w:val="14"/>
                  <w:szCs w:val="14"/>
                  <w:color w:val="0000EE"/>
                </w:rPr>
                <w:t>Executive compensation</w:t>
              </w:r>
            </w:hyperlink>
          </w:p>
        </w:tc>
        <w:tc>
          <w:tcPr>
            <w:tcW w:w="408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75">
              <w:r>
                <w:rPr>
                  <w:rFonts w:ascii="Arial" w:cs="Arial" w:eastAsia="Arial" w:hAnsi="Arial"/>
                  <w:sz w:val="14"/>
                  <w:szCs w:val="14"/>
                  <w:color w:val="0000EE"/>
                </w:rPr>
                <w:t>161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3440" w:type="dxa"/>
            <w:vAlign w:val="bottom"/>
            <w:gridSpan w:val="13"/>
          </w:tcPr>
          <w:p>
            <w:pPr>
              <w:spacing w:after="0"/>
              <w:rPr>
                <w:rFonts w:ascii="Arial" w:cs="Arial" w:eastAsia="Arial" w:hAnsi="Arial"/>
                <w:sz w:val="14"/>
                <w:szCs w:val="14"/>
                <w:color w:val="0000EE"/>
              </w:rPr>
            </w:pPr>
            <w:hyperlink w:anchor="page186">
              <w:r>
                <w:rPr>
                  <w:rFonts w:ascii="Arial" w:cs="Arial" w:eastAsia="Arial" w:hAnsi="Arial"/>
                  <w:sz w:val="14"/>
                  <w:szCs w:val="14"/>
                  <w:color w:val="0000EE"/>
                </w:rPr>
                <w:t>Certain relationships and related party transactions</w:t>
              </w:r>
            </w:hyperlink>
          </w:p>
        </w:tc>
        <w:tc>
          <w:tcPr>
            <w:tcW w:w="232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86">
              <w:r>
                <w:rPr>
                  <w:rFonts w:ascii="Arial" w:cs="Arial" w:eastAsia="Arial" w:hAnsi="Arial"/>
                  <w:sz w:val="14"/>
                  <w:szCs w:val="14"/>
                  <w:color w:val="0000EE"/>
                </w:rPr>
                <w:t>172</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480" w:type="dxa"/>
            <w:vAlign w:val="bottom"/>
            <w:tcBorders>
              <w:right w:val="single" w:sz="8" w:color="CCEEFF"/>
            </w:tcBorders>
            <w:gridSpan w:val="7"/>
            <w:shd w:val="clear" w:color="auto" w:fill="CCEEFF"/>
          </w:tcPr>
          <w:p>
            <w:pPr>
              <w:spacing w:after="0"/>
              <w:rPr>
                <w:rFonts w:ascii="Arial" w:cs="Arial" w:eastAsia="Arial" w:hAnsi="Arial"/>
                <w:sz w:val="14"/>
                <w:szCs w:val="14"/>
                <w:color w:val="0000EE"/>
              </w:rPr>
            </w:pPr>
            <w:hyperlink w:anchor="page189">
              <w:r>
                <w:rPr>
                  <w:rFonts w:ascii="Arial" w:cs="Arial" w:eastAsia="Arial" w:hAnsi="Arial"/>
                  <w:sz w:val="14"/>
                  <w:szCs w:val="14"/>
                  <w:color w:val="0000EE"/>
                </w:rPr>
                <w:t>Principal stockholders</w:t>
              </w:r>
            </w:hyperlink>
          </w:p>
        </w:tc>
        <w:tc>
          <w:tcPr>
            <w:tcW w:w="1960" w:type="dxa"/>
            <w:vAlign w:val="bottom"/>
            <w:tcBorders>
              <w:right w:val="single" w:sz="8" w:color="CCEEFF"/>
            </w:tcBorders>
            <w:gridSpan w:val="6"/>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89">
              <w:r>
                <w:rPr>
                  <w:rFonts w:ascii="Arial" w:cs="Arial" w:eastAsia="Arial" w:hAnsi="Arial"/>
                  <w:sz w:val="14"/>
                  <w:szCs w:val="14"/>
                  <w:color w:val="0000EE"/>
                </w:rPr>
                <w:t>175</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820" w:type="dxa"/>
            <w:vAlign w:val="bottom"/>
            <w:gridSpan w:val="9"/>
          </w:tcPr>
          <w:p>
            <w:pPr>
              <w:spacing w:after="0"/>
              <w:rPr>
                <w:rFonts w:ascii="Arial" w:cs="Arial" w:eastAsia="Arial" w:hAnsi="Arial"/>
                <w:sz w:val="14"/>
                <w:szCs w:val="14"/>
                <w:color w:val="0000EE"/>
              </w:rPr>
            </w:pPr>
            <w:hyperlink w:anchor="page191">
              <w:r>
                <w:rPr>
                  <w:rFonts w:ascii="Arial" w:cs="Arial" w:eastAsia="Arial" w:hAnsi="Arial"/>
                  <w:sz w:val="14"/>
                  <w:szCs w:val="14"/>
                  <w:color w:val="0000EE"/>
                </w:rPr>
                <w:t>Description of capital stock</w:t>
              </w:r>
            </w:hyperlink>
          </w:p>
        </w:tc>
        <w:tc>
          <w:tcPr>
            <w:tcW w:w="3940" w:type="dxa"/>
            <w:vAlign w:val="bottom"/>
            <w:gridSpan w:val="6"/>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91">
              <w:r>
                <w:rPr>
                  <w:rFonts w:ascii="Arial" w:cs="Arial" w:eastAsia="Arial" w:hAnsi="Arial"/>
                  <w:sz w:val="14"/>
                  <w:szCs w:val="14"/>
                  <w:color w:val="0000EE"/>
                </w:rPr>
                <w:t>177</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980" w:type="dxa"/>
            <w:vAlign w:val="bottom"/>
            <w:gridSpan w:val="10"/>
            <w:shd w:val="clear" w:color="auto" w:fill="CCEEFF"/>
          </w:tcPr>
          <w:p>
            <w:pPr>
              <w:spacing w:after="0"/>
              <w:rPr>
                <w:rFonts w:ascii="Arial" w:cs="Arial" w:eastAsia="Arial" w:hAnsi="Arial"/>
                <w:sz w:val="14"/>
                <w:szCs w:val="14"/>
                <w:color w:val="0000EE"/>
              </w:rPr>
            </w:pPr>
            <w:hyperlink w:anchor="page196">
              <w:r>
                <w:rPr>
                  <w:rFonts w:ascii="Arial" w:cs="Arial" w:eastAsia="Arial" w:hAnsi="Arial"/>
                  <w:sz w:val="14"/>
                  <w:szCs w:val="14"/>
                  <w:color w:val="0000EE"/>
                </w:rPr>
                <w:t>Shares eligible for future sale</w:t>
              </w:r>
            </w:hyperlink>
          </w:p>
        </w:tc>
        <w:tc>
          <w:tcPr>
            <w:tcW w:w="3780" w:type="dxa"/>
            <w:vAlign w:val="bottom"/>
            <w:gridSpan w:val="5"/>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6">
              <w:r>
                <w:rPr>
                  <w:rFonts w:ascii="Arial" w:cs="Arial" w:eastAsia="Arial" w:hAnsi="Arial"/>
                  <w:sz w:val="14"/>
                  <w:szCs w:val="14"/>
                  <w:color w:val="0000EE"/>
                </w:rPr>
                <w:t>182</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4580" w:type="dxa"/>
            <w:vAlign w:val="bottom"/>
            <w:gridSpan w:val="14"/>
          </w:tcPr>
          <w:p>
            <w:pPr>
              <w:spacing w:after="0"/>
              <w:rPr>
                <w:rFonts w:ascii="Arial" w:cs="Arial" w:eastAsia="Arial" w:hAnsi="Arial"/>
                <w:sz w:val="14"/>
                <w:szCs w:val="14"/>
                <w:color w:val="0000EE"/>
              </w:rPr>
            </w:pPr>
            <w:hyperlink w:anchor="page199">
              <w:r>
                <w:rPr>
                  <w:rFonts w:ascii="Arial" w:cs="Arial" w:eastAsia="Arial" w:hAnsi="Arial"/>
                  <w:sz w:val="14"/>
                  <w:szCs w:val="14"/>
                  <w:color w:val="0000EE"/>
                </w:rPr>
                <w:t>Material U.S. federal income tax consequences to Non-U.S. Holders</w:t>
              </w:r>
            </w:hyperlink>
          </w:p>
        </w:tc>
        <w:tc>
          <w:tcPr>
            <w:tcW w:w="1180" w:type="dxa"/>
            <w:vAlign w:val="bottom"/>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99">
              <w:r>
                <w:rPr>
                  <w:rFonts w:ascii="Arial" w:cs="Arial" w:eastAsia="Arial" w:hAnsi="Arial"/>
                  <w:sz w:val="14"/>
                  <w:szCs w:val="14"/>
                  <w:color w:val="0000EE"/>
                </w:rPr>
                <w:t>185</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880" w:type="dxa"/>
            <w:vAlign w:val="bottom"/>
            <w:tcBorders>
              <w:right w:val="single" w:sz="8" w:color="CCEEFF"/>
            </w:tcBorders>
            <w:gridSpan w:val="4"/>
            <w:shd w:val="clear" w:color="auto" w:fill="CCEEFF"/>
          </w:tcPr>
          <w:p>
            <w:pPr>
              <w:spacing w:after="0"/>
              <w:rPr>
                <w:rFonts w:ascii="Arial" w:cs="Arial" w:eastAsia="Arial" w:hAnsi="Arial"/>
                <w:sz w:val="14"/>
                <w:szCs w:val="14"/>
                <w:color w:val="0000EE"/>
              </w:rPr>
            </w:pPr>
            <w:hyperlink w:anchor="page203">
              <w:r>
                <w:rPr>
                  <w:rFonts w:ascii="Arial" w:cs="Arial" w:eastAsia="Arial" w:hAnsi="Arial"/>
                  <w:sz w:val="14"/>
                  <w:szCs w:val="14"/>
                  <w:color w:val="0000EE"/>
                </w:rPr>
                <w:t>Underwriting</w:t>
              </w:r>
            </w:hyperlink>
          </w:p>
        </w:tc>
        <w:tc>
          <w:tcPr>
            <w:tcW w:w="3700" w:type="dxa"/>
            <w:vAlign w:val="bottom"/>
            <w:tcBorders>
              <w:left w:val="single" w:sz="8" w:color="CCEEFF"/>
            </w:tcBorders>
            <w:gridSpan w:val="10"/>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03">
              <w:r>
                <w:rPr>
                  <w:rFonts w:ascii="Arial" w:cs="Arial" w:eastAsia="Arial" w:hAnsi="Arial"/>
                  <w:sz w:val="14"/>
                  <w:szCs w:val="14"/>
                  <w:color w:val="0000EE"/>
                </w:rPr>
                <w:t>189</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880" w:type="dxa"/>
            <w:vAlign w:val="bottom"/>
            <w:gridSpan w:val="4"/>
          </w:tcPr>
          <w:p>
            <w:pPr>
              <w:spacing w:after="0"/>
              <w:rPr>
                <w:rFonts w:ascii="Arial" w:cs="Arial" w:eastAsia="Arial" w:hAnsi="Arial"/>
                <w:sz w:val="14"/>
                <w:szCs w:val="14"/>
                <w:color w:val="0000EE"/>
                <w:w w:val="98"/>
              </w:rPr>
            </w:pPr>
            <w:hyperlink w:anchor="page214">
              <w:r>
                <w:rPr>
                  <w:rFonts w:ascii="Arial" w:cs="Arial" w:eastAsia="Arial" w:hAnsi="Arial"/>
                  <w:sz w:val="14"/>
                  <w:szCs w:val="14"/>
                  <w:color w:val="0000EE"/>
                  <w:w w:val="98"/>
                </w:rPr>
                <w:t>Legal matters</w:t>
              </w:r>
            </w:hyperlink>
          </w:p>
        </w:tc>
        <w:tc>
          <w:tcPr>
            <w:tcW w:w="4880" w:type="dxa"/>
            <w:vAlign w:val="bottom"/>
            <w:gridSpan w:val="11"/>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4">
              <w:r>
                <w:rPr>
                  <w:rFonts w:ascii="Arial" w:cs="Arial" w:eastAsia="Arial" w:hAnsi="Arial"/>
                  <w:sz w:val="14"/>
                  <w:szCs w:val="14"/>
                  <w:color w:val="0000EE"/>
                </w:rPr>
                <w:t>200</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520" w:type="dxa"/>
            <w:vAlign w:val="bottom"/>
            <w:shd w:val="clear" w:color="auto" w:fill="CCEEFF"/>
          </w:tcPr>
          <w:p>
            <w:pPr>
              <w:spacing w:after="0"/>
              <w:rPr>
                <w:rFonts w:ascii="Arial" w:cs="Arial" w:eastAsia="Arial" w:hAnsi="Arial"/>
                <w:sz w:val="14"/>
                <w:szCs w:val="14"/>
                <w:color w:val="0000EE"/>
              </w:rPr>
            </w:pPr>
            <w:hyperlink w:anchor="page215">
              <w:r>
                <w:rPr>
                  <w:rFonts w:ascii="Arial" w:cs="Arial" w:eastAsia="Arial" w:hAnsi="Arial"/>
                  <w:sz w:val="14"/>
                  <w:szCs w:val="14"/>
                  <w:color w:val="0000EE"/>
                </w:rPr>
                <w:t>Experts</w:t>
              </w:r>
            </w:hyperlink>
          </w:p>
        </w:tc>
        <w:tc>
          <w:tcPr>
            <w:tcW w:w="360" w:type="dxa"/>
            <w:vAlign w:val="bottom"/>
            <w:tcBorders>
              <w:right w:val="single" w:sz="8" w:color="CCEEFF"/>
            </w:tcBorders>
            <w:gridSpan w:val="3"/>
            <w:shd w:val="clear" w:color="auto" w:fill="CCEEFF"/>
          </w:tcPr>
          <w:p>
            <w:pPr>
              <w:spacing w:after="0"/>
              <w:rPr>
                <w:sz w:val="16"/>
                <w:szCs w:val="16"/>
                <w:color w:val="auto"/>
              </w:rPr>
            </w:pPr>
          </w:p>
        </w:tc>
        <w:tc>
          <w:tcPr>
            <w:tcW w:w="4880" w:type="dxa"/>
            <w:vAlign w:val="bottom"/>
            <w:tcBorders>
              <w:left w:val="single" w:sz="8" w:color="CCEEFF"/>
            </w:tcBorders>
            <w:gridSpan w:val="11"/>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15">
              <w:r>
                <w:rPr>
                  <w:rFonts w:ascii="Arial" w:cs="Arial" w:eastAsia="Arial" w:hAnsi="Arial"/>
                  <w:sz w:val="14"/>
                  <w:szCs w:val="14"/>
                  <w:color w:val="0000EE"/>
                </w:rPr>
                <w:t>201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2800" w:type="dxa"/>
            <w:vAlign w:val="bottom"/>
            <w:gridSpan w:val="12"/>
          </w:tcPr>
          <w:p>
            <w:pPr>
              <w:spacing w:after="0"/>
              <w:rPr>
                <w:rFonts w:ascii="Arial" w:cs="Arial" w:eastAsia="Arial" w:hAnsi="Arial"/>
                <w:sz w:val="14"/>
                <w:szCs w:val="14"/>
                <w:color w:val="0000EE"/>
              </w:rPr>
            </w:pPr>
            <w:hyperlink w:anchor="page216">
              <w:r>
                <w:rPr>
                  <w:rFonts w:ascii="Arial" w:cs="Arial" w:eastAsia="Arial" w:hAnsi="Arial"/>
                  <w:sz w:val="14"/>
                  <w:szCs w:val="14"/>
                  <w:color w:val="0000EE"/>
                </w:rPr>
                <w:t>Where you can find additional information</w:t>
              </w:r>
            </w:hyperlink>
          </w:p>
        </w:tc>
        <w:tc>
          <w:tcPr>
            <w:tcW w:w="2960" w:type="dxa"/>
            <w:vAlign w:val="bottom"/>
            <w:gridSpan w:val="3"/>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6">
              <w:r>
                <w:rPr>
                  <w:rFonts w:ascii="Arial" w:cs="Arial" w:eastAsia="Arial" w:hAnsi="Arial"/>
                  <w:sz w:val="14"/>
                  <w:szCs w:val="14"/>
                  <w:color w:val="0000EE"/>
                </w:rPr>
                <w:t>202</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5760" w:type="dxa"/>
            <w:vAlign w:val="bottom"/>
            <w:gridSpan w:val="15"/>
            <w:shd w:val="clear" w:color="auto" w:fill="CCEEFF"/>
          </w:tcPr>
          <w:p>
            <w:pPr>
              <w:spacing w:after="0"/>
              <w:rPr>
                <w:rFonts w:ascii="Arial" w:cs="Arial" w:eastAsia="Arial" w:hAnsi="Arial"/>
                <w:sz w:val="14"/>
                <w:szCs w:val="14"/>
                <w:color w:val="0000EE"/>
              </w:rPr>
            </w:pPr>
            <w:hyperlink w:anchor="page217">
              <w:r>
                <w:rPr>
                  <w:rFonts w:ascii="Arial" w:cs="Arial" w:eastAsia="Arial" w:hAnsi="Arial"/>
                  <w:sz w:val="14"/>
                  <w:szCs w:val="14"/>
                  <w:color w:val="0000EE"/>
                </w:rPr>
                <w:t>Index to consolidated financial statements</w:t>
              </w:r>
            </w:hyperlink>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left w:val="single" w:sz="8" w:color="CCEEFF"/>
            </w:tcBorders>
            <w:gridSpan w:val="2"/>
            <w:shd w:val="clear" w:color="auto" w:fill="CCEEFF"/>
          </w:tcPr>
          <w:p>
            <w:pPr>
              <w:jc w:val="right"/>
              <w:spacing w:after="0"/>
              <w:rPr>
                <w:rFonts w:ascii="Arial" w:cs="Arial" w:eastAsia="Arial" w:hAnsi="Arial"/>
                <w:sz w:val="13"/>
                <w:szCs w:val="13"/>
                <w:color w:val="0000EE"/>
                <w:w w:val="71"/>
              </w:rPr>
            </w:pPr>
            <w:hyperlink w:anchor="page217">
              <w:r>
                <w:rPr>
                  <w:rFonts w:ascii="Arial" w:cs="Arial" w:eastAsia="Arial" w:hAnsi="Arial"/>
                  <w:sz w:val="13"/>
                  <w:szCs w:val="13"/>
                  <w:color w:val="0000EE"/>
                  <w:w w:val="71"/>
                </w:rPr>
                <w:t>F-1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07"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70"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Neither we nor the underwriters have authorized anyone to provide you with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and results of operations may have changed since that date.</w:t>
      </w:r>
    </w:p>
    <w:p>
      <w:pPr>
        <w:spacing w:after="0" w:line="109"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454025</wp:posOffset>
            </wp:positionV>
            <wp:extent cx="545846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 w:name="page4"/>
    <w:bookmarkEnd w:id="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994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04360" cy="699452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Prospectus summary</w:t>
      </w:r>
    </w:p>
    <w:p>
      <w:pPr>
        <w:spacing w:after="0" w:line="119" w:lineRule="exact"/>
        <w:rPr>
          <w:sz w:val="20"/>
          <w:szCs w:val="20"/>
          <w:color w:val="auto"/>
        </w:rPr>
      </w:pPr>
    </w:p>
    <w:p>
      <w:pPr>
        <w:ind w:left="1240" w:right="1219"/>
        <w:spacing w:after="0" w:line="260" w:lineRule="auto"/>
        <w:rPr>
          <w:sz w:val="20"/>
          <w:szCs w:val="20"/>
          <w:color w:val="auto"/>
        </w:rPr>
      </w:pPr>
      <w:r>
        <w:rPr>
          <w:rFonts w:ascii="Arial" w:cs="Arial" w:eastAsia="Arial" w:hAnsi="Arial"/>
          <w:sz w:val="14"/>
          <w:szCs w:val="14"/>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As used in this prospectus, unless the context otherwise requires, references to “we,” “us,” “our,” “the company,” “Century,” and similar references refer to: (i) on or prior to June 2019, to our predecessor, Century Therapeutics, Inc., which we refer to as “Prior Century,” (ii) from June 2019 to the completion of the 2021 Reorganization (as defined herein), to Century Therapeutics, LLC, and (iii) upon completion of the 2021 Reorganization, to Century Therapeutics, Inc., the registrant on the cover page of the registration statement of which this prospectus forms a part.</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44" w:lineRule="exact"/>
        <w:rPr>
          <w:sz w:val="20"/>
          <w:szCs w:val="20"/>
          <w:color w:val="auto"/>
        </w:rPr>
      </w:pPr>
    </w:p>
    <w:p>
      <w:pPr>
        <w:ind w:left="1240" w:right="1239"/>
        <w:spacing w:after="0" w:line="267"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is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key elements of our approach include:</w:t>
      </w:r>
    </w:p>
    <w:p>
      <w:pPr>
        <w:spacing w:after="0" w:line="123" w:lineRule="exact"/>
        <w:rPr>
          <w:sz w:val="20"/>
          <w:szCs w:val="20"/>
          <w:color w:val="auto"/>
        </w:rPr>
      </w:pPr>
    </w:p>
    <w:p>
      <w:pPr>
        <w:ind w:left="1240" w:right="1359"/>
        <w:spacing w:after="0" w:line="295" w:lineRule="auto"/>
        <w:rPr>
          <w:sz w:val="20"/>
          <w:szCs w:val="20"/>
          <w:color w:val="auto"/>
        </w:rPr>
      </w:pPr>
      <w:r>
        <w:rPr>
          <w:rFonts w:ascii="Arial" w:cs="Arial" w:eastAsia="Arial" w:hAnsi="Arial"/>
          <w:sz w:val="14"/>
          <w:szCs w:val="14"/>
          <w:b w:val="1"/>
          <w:bCs w:val="1"/>
          <w:color w:val="auto"/>
        </w:rPr>
        <w:t xml:space="preserve">Our efficient precision gene editing technology: </w:t>
      </w:r>
      <w:r>
        <w:rPr>
          <w:rFonts w:ascii="Arial" w:cs="Arial" w:eastAsia="Arial" w:hAnsi="Arial"/>
          <w:sz w:val="14"/>
          <w:szCs w:val="14"/>
          <w:color w:val="auto"/>
        </w:rPr>
        <w:t>We have developed highly efficient gene</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processes to generate our product candidates. Our first product candidate will have six CRISPR-mediated homologous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 w:name="page5"/>
    <w:bookmarkEnd w:id="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56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04360" cy="70561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recombination and repair edits, and we plan to incorporate additional edits in our future product candidates. We are currently using the CRISPR-MAD7 nuclease to enable precise cutting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65" w:lineRule="exact"/>
        <w:rPr>
          <w:sz w:val="20"/>
          <w:szCs w:val="20"/>
          <w:color w:val="auto"/>
        </w:rPr>
      </w:pPr>
    </w:p>
    <w:p>
      <w:pPr>
        <w:ind w:left="1240" w:right="1319"/>
        <w:spacing w:after="0" w:line="248" w:lineRule="auto"/>
        <w:rPr>
          <w:sz w:val="20"/>
          <w:szCs w:val="20"/>
          <w:color w:val="auto"/>
        </w:rPr>
      </w:pPr>
      <w:r>
        <w:rPr>
          <w:rFonts w:ascii="Arial" w:cs="Arial" w:eastAsia="Arial" w:hAnsi="Arial"/>
          <w:sz w:val="14"/>
          <w:szCs w:val="14"/>
          <w:b w:val="1"/>
          <w:bCs w:val="1"/>
          <w:color w:val="auto"/>
        </w:rPr>
        <w:t>Our proprietary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w:t>
      </w:r>
      <w:r>
        <w:rPr>
          <w:rFonts w:ascii="Arial" w:cs="Arial" w:eastAsia="Arial" w:hAnsi="Arial"/>
          <w:sz w:val="14"/>
          <w:szCs w:val="14"/>
          <w:color w:val="auto"/>
        </w:rPr>
        <w:t>: We are leveraging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99" w:lineRule="exact"/>
        <w:rPr>
          <w:sz w:val="20"/>
          <w:szCs w:val="20"/>
          <w:color w:val="auto"/>
        </w:rPr>
      </w:pPr>
    </w:p>
    <w:p>
      <w:pPr>
        <w:ind w:left="1240" w:right="1239"/>
        <w:spacing w:after="0" w:line="262" w:lineRule="auto"/>
        <w:rPr>
          <w:sz w:val="20"/>
          <w:szCs w:val="20"/>
          <w:color w:val="auto"/>
        </w:rPr>
      </w:pPr>
      <w:r>
        <w:rPr>
          <w:rFonts w:ascii="Arial" w:cs="Arial" w:eastAsia="Arial" w:hAnsi="Arial"/>
          <w:sz w:val="14"/>
          <w:szCs w:val="14"/>
          <w:b w:val="1"/>
          <w:bCs w:val="1"/>
          <w:color w:val="auto"/>
        </w:rPr>
        <w:t>CAR and protein engineering</w:t>
      </w:r>
      <w:r>
        <w:rPr>
          <w:rFonts w:ascii="Arial" w:cs="Arial" w:eastAsia="Arial" w:hAnsi="Arial"/>
          <w:sz w:val="14"/>
          <w:szCs w:val="14"/>
          <w:color w:val="auto"/>
        </w:rPr>
        <w:t>: CAR design is a critical component of innovative cell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91" w:lineRule="exact"/>
        <w:rPr>
          <w:sz w:val="20"/>
          <w:szCs w:val="20"/>
          <w:color w:val="auto"/>
        </w:rPr>
      </w:pPr>
    </w:p>
    <w:p>
      <w:pPr>
        <w:ind w:left="1240" w:right="1239"/>
        <w:spacing w:after="0" w:line="263" w:lineRule="auto"/>
        <w:rPr>
          <w:sz w:val="20"/>
          <w:szCs w:val="20"/>
          <w:color w:val="auto"/>
        </w:rPr>
      </w:pPr>
      <w:r>
        <w:rPr>
          <w:rFonts w:ascii="Arial" w:cs="Arial" w:eastAsia="Arial" w:hAnsi="Arial"/>
          <w:sz w:val="14"/>
          <w:szCs w:val="14"/>
          <w:b w:val="1"/>
          <w:bCs w:val="1"/>
          <w:color w:val="auto"/>
        </w:rPr>
        <w:t>Common engineered iPSC progenitor accelerates new product candidate generation</w:t>
      </w:r>
      <w:r>
        <w:rPr>
          <w:rFonts w:ascii="Arial" w:cs="Arial" w:eastAsia="Arial" w:hAnsi="Arial"/>
          <w:sz w:val="14"/>
          <w:szCs w:val="14"/>
          <w:color w:val="auto"/>
        </w:rPr>
        <w:t>: With</w:t>
      </w:r>
      <w:r>
        <w:rPr>
          <w:rFonts w:ascii="Arial" w:cs="Arial" w:eastAsia="Arial" w:hAnsi="Arial"/>
          <w:sz w:val="14"/>
          <w:szCs w:val="14"/>
          <w:b w:val="1"/>
          <w:bCs w:val="1"/>
          <w:color w:val="auto"/>
        </w:rPr>
        <w:t xml:space="preserve"> </w:t>
      </w:r>
      <w:r>
        <w:rPr>
          <w:rFonts w:ascii="Arial" w:cs="Arial" w:eastAsia="Arial" w:hAnsi="Arial"/>
          <w:sz w:val="14"/>
          <w:szCs w:val="14"/>
          <w:color w:val="auto"/>
        </w:rPr>
        <w:t>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233" w:lineRule="exact"/>
        <w:rPr>
          <w:sz w:val="20"/>
          <w:szCs w:val="20"/>
          <w:color w:val="auto"/>
        </w:rPr>
      </w:pPr>
    </w:p>
    <w:p>
      <w:pPr>
        <w:ind w:left="1620" w:right="1239" w:hanging="123"/>
        <w:spacing w:after="0" w:line="282"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Significant acceleration of new product candidate generation</w:t>
      </w:r>
      <w:r>
        <w:rPr>
          <w:rFonts w:ascii="Arial" w:cs="Arial" w:eastAsia="Arial" w:hAnsi="Arial"/>
          <w:sz w:val="14"/>
          <w:szCs w:val="14"/>
          <w:color w:val="auto"/>
        </w:rPr>
        <w:t>. Multiple product candidates</w:t>
      </w:r>
      <w:r>
        <w:rPr>
          <w:rFonts w:ascii="Arial" w:cs="Arial" w:eastAsia="Arial" w:hAnsi="Arial"/>
          <w:sz w:val="14"/>
          <w:szCs w:val="14"/>
          <w:i w:val="1"/>
          <w:iCs w:val="1"/>
          <w:color w:val="auto"/>
        </w:rPr>
        <w:t xml:space="preserve"> </w:t>
      </w:r>
      <w:r>
        <w:rPr>
          <w:rFonts w:ascii="Arial" w:cs="Arial" w:eastAsia="Arial" w:hAnsi="Arial"/>
          <w:sz w:val="14"/>
          <w:szCs w:val="14"/>
          <w:color w:val="auto"/>
        </w:rPr>
        <w:t>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57" w:lineRule="exact"/>
        <w:rPr>
          <w:rFonts w:ascii="Arial" w:cs="Arial" w:eastAsia="Arial" w:hAnsi="Arial"/>
          <w:sz w:val="14"/>
          <w:szCs w:val="14"/>
          <w:color w:val="auto"/>
        </w:rPr>
      </w:pPr>
    </w:p>
    <w:p>
      <w:pPr>
        <w:ind w:left="1620" w:right="1439" w:hanging="123"/>
        <w:spacing w:after="0" w:line="292"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Robust manufacturing processes for multiple product candidates</w:t>
      </w:r>
      <w:r>
        <w:rPr>
          <w:rFonts w:ascii="Arial" w:cs="Arial" w:eastAsia="Arial" w:hAnsi="Arial"/>
          <w:sz w:val="14"/>
          <w:szCs w:val="14"/>
          <w:color w:val="auto"/>
        </w:rPr>
        <w:t>. Since the starting iPSC</w:t>
      </w:r>
      <w:r>
        <w:rPr>
          <w:rFonts w:ascii="Arial" w:cs="Arial" w:eastAsia="Arial" w:hAnsi="Arial"/>
          <w:sz w:val="14"/>
          <w:szCs w:val="14"/>
          <w:i w:val="1"/>
          <w:iCs w:val="1"/>
          <w:color w:val="auto"/>
        </w:rPr>
        <w:t xml:space="preserve"> </w:t>
      </w:r>
      <w:r>
        <w:rPr>
          <w:rFonts w:ascii="Arial" w:cs="Arial" w:eastAsia="Arial" w:hAnsi="Arial"/>
          <w:sz w:val="14"/>
          <w:szCs w:val="14"/>
          <w:color w:val="auto"/>
        </w:rPr>
        <w:t>line is the same for multiple product candidates, our manufacturing processes are predictable and robust.</w:t>
      </w:r>
    </w:p>
    <w:p>
      <w:pPr>
        <w:spacing w:after="0" w:line="48" w:lineRule="exact"/>
        <w:rPr>
          <w:rFonts w:ascii="Arial" w:cs="Arial" w:eastAsia="Arial" w:hAnsi="Arial"/>
          <w:sz w:val="14"/>
          <w:szCs w:val="14"/>
          <w:color w:val="auto"/>
        </w:rPr>
      </w:pPr>
    </w:p>
    <w:p>
      <w:pPr>
        <w:ind w:left="1620" w:right="1279" w:hanging="123"/>
        <w:spacing w:after="0" w:line="282"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Predictability of product candidate functionality, safety, and persistence</w:t>
      </w:r>
      <w:r>
        <w:rPr>
          <w:rFonts w:ascii="Arial" w:cs="Arial" w:eastAsia="Arial" w:hAnsi="Arial"/>
          <w:sz w:val="14"/>
          <w:szCs w:val="14"/>
          <w:color w:val="auto"/>
        </w:rPr>
        <w:t>. Because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93" w:lineRule="exact"/>
        <w:rPr>
          <w:sz w:val="20"/>
          <w:szCs w:val="20"/>
          <w:color w:val="auto"/>
        </w:rPr>
      </w:pPr>
    </w:p>
    <w:p>
      <w:pPr>
        <w:ind w:left="1240" w:right="1219"/>
        <w:spacing w:after="0" w:line="259"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 w:name="page6"/>
    <w:bookmarkEnd w:id="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980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04360" cy="69805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solid tumor targets using our iNK and iT cell therapy platforms. We believe that the therapeutics we discover and develop, if approved, will have a significant impact on the quality of life of patients suffering from devastating solid tumor and hematological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98"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Advantages of our proprietary allogeneic cell platform technology</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Key advantages of our proprietary allogeneic cell platform technology include:</w:t>
      </w:r>
    </w:p>
    <w:p>
      <w:pPr>
        <w:spacing w:after="0" w:line="77" w:lineRule="exact"/>
        <w:rPr>
          <w:sz w:val="20"/>
          <w:szCs w:val="20"/>
          <w:color w:val="auto"/>
        </w:rPr>
      </w:pPr>
    </w:p>
    <w:p>
      <w:pPr>
        <w:ind w:left="1620" w:right="1259" w:hanging="123"/>
        <w:spacing w:after="0" w:line="265" w:lineRule="auto"/>
        <w:tabs>
          <w:tab w:leader="none" w:pos="16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Greatly improved therapeutic application: </w:t>
      </w: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technology will allow our cell product candidates to escape recognition and destruction by the host immune system. We believe the reduction in allogeneic reactivity enabled by our use of this technology will allow repeat dosing of our CAR-modified cell therapies to improve therapeutic efficacy.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regimes.</w:t>
      </w:r>
    </w:p>
    <w:p>
      <w:pPr>
        <w:spacing w:after="0" w:line="251" w:lineRule="exact"/>
        <w:rPr>
          <w:rFonts w:ascii="Arial" w:cs="Arial" w:eastAsia="Arial" w:hAnsi="Arial"/>
          <w:sz w:val="14"/>
          <w:szCs w:val="14"/>
          <w:color w:val="auto"/>
        </w:rPr>
      </w:pPr>
    </w:p>
    <w:p>
      <w:pPr>
        <w:ind w:left="1620" w:right="1319" w:hanging="123"/>
        <w:spacing w:after="0" w:line="282" w:lineRule="auto"/>
        <w:tabs>
          <w:tab w:leader="none" w:pos="16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Manufacturing, product quality, and COGS advantages: </w:t>
      </w:r>
      <w:r>
        <w:rPr>
          <w:rFonts w:ascii="Arial" w:cs="Arial" w:eastAsia="Arial" w:hAnsi="Arial"/>
          <w:sz w:val="14"/>
          <w:szCs w:val="14"/>
          <w:color w:val="auto"/>
        </w:rPr>
        <w:t>We believe our use of iPSCs,</w:t>
      </w:r>
      <w:r>
        <w:rPr>
          <w:rFonts w:ascii="Arial" w:cs="Arial" w:eastAsia="Arial" w:hAnsi="Arial"/>
          <w:sz w:val="14"/>
          <w:szCs w:val="14"/>
          <w:b w:val="1"/>
          <w:bCs w:val="1"/>
          <w:color w:val="auto"/>
        </w:rPr>
        <w:t xml:space="preserve"> </w:t>
      </w:r>
      <w:r>
        <w:rPr>
          <w:rFonts w:ascii="Arial" w:cs="Arial" w:eastAsia="Arial" w:hAnsi="Arial"/>
          <w:sz w:val="14"/>
          <w:szCs w:val="14"/>
          <w:color w:val="auto"/>
        </w:rPr>
        <w:t>which have the potential to propagate indefinitely, will allow us to develop a streamlined manufacturing process with scalability advantages while producing consistent, high quality, off-the-shelf products at reduced manufacturing costs. Given the indefinite propagation potential of iPSC-derived allogeneic cells, we believe that a single master cell bank can be used for the lifetime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 w:name="page7"/>
    <w:bookmarkEnd w:id="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14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04360" cy="7014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pipeline</w:t>
      </w:r>
    </w:p>
    <w:p>
      <w:pPr>
        <w:spacing w:after="0" w:line="133" w:lineRule="exact"/>
        <w:rPr>
          <w:sz w:val="20"/>
          <w:szCs w:val="20"/>
          <w:color w:val="auto"/>
        </w:rPr>
      </w:pPr>
    </w:p>
    <w:p>
      <w:pPr>
        <w:ind w:left="1240" w:right="1279"/>
        <w:spacing w:after="0" w:line="248"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intended to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 development programs consist of the product candidates illustrated in the pipeline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00" w:right="1319" w:hanging="262"/>
        <w:spacing w:after="0" w:line="246" w:lineRule="auto"/>
        <w:tabs>
          <w:tab w:leader="none" w:pos="150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"Business—Licensing, partnership and collaboration—Bayer HealthCare LLC—Option Agreement" for more information.</w:t>
      </w:r>
    </w:p>
    <w:p>
      <w:pPr>
        <w:spacing w:after="0" w:line="100" w:lineRule="exact"/>
        <w:rPr>
          <w:sz w:val="20"/>
          <w:szCs w:val="20"/>
          <w:color w:val="auto"/>
        </w:rPr>
      </w:pPr>
    </w:p>
    <w:p>
      <w:pPr>
        <w:ind w:left="1240" w:right="1239"/>
        <w:spacing w:after="0" w:line="258" w:lineRule="auto"/>
        <w:rPr>
          <w:sz w:val="20"/>
          <w:szCs w:val="20"/>
          <w:color w:val="auto"/>
        </w:rPr>
      </w:pPr>
      <w:r>
        <w:rPr>
          <w:rFonts w:ascii="Arial" w:cs="Arial" w:eastAsia="Arial" w:hAnsi="Arial"/>
          <w:sz w:val="14"/>
          <w:szCs w:val="14"/>
          <w:b w:val="1"/>
          <w:bCs w:val="1"/>
          <w:color w:val="auto"/>
        </w:rPr>
        <w:t xml:space="preserve">CNTY-101: Our CAR-iNK candidate targeting CD19 for relapsed, refractory B-cell lymphoma. </w:t>
      </w:r>
      <w:r>
        <w:rPr>
          <w:rFonts w:ascii="Arial" w:cs="Arial" w:eastAsia="Arial" w:hAnsi="Arial"/>
          <w:sz w:val="14"/>
          <w:szCs w:val="14"/>
          <w:color w:val="auto"/>
        </w:rPr>
        <w:t>Our lead product candidate, CNTY-101, is an allogeneic, iPSC-derived CAR-iNK cell</w:t>
      </w:r>
      <w:r>
        <w:rPr>
          <w:rFonts w:ascii="Arial" w:cs="Arial" w:eastAsia="Arial" w:hAnsi="Arial"/>
          <w:sz w:val="14"/>
          <w:szCs w:val="14"/>
          <w:b w:val="1"/>
          <w:bCs w:val="1"/>
          <w:color w:val="auto"/>
        </w:rPr>
        <w:t xml:space="preserve"> </w:t>
      </w:r>
      <w:r>
        <w:rPr>
          <w:rFonts w:ascii="Arial" w:cs="Arial" w:eastAsia="Arial" w:hAnsi="Arial"/>
          <w:sz w:val="14"/>
          <w:szCs w:val="14"/>
          <w:color w:val="auto"/>
        </w:rPr>
        <w:t>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289" w:lineRule="exact"/>
        <w:rPr>
          <w:sz w:val="20"/>
          <w:szCs w:val="20"/>
          <w:color w:val="auto"/>
        </w:rPr>
      </w:pPr>
    </w:p>
    <w:p>
      <w:pPr>
        <w:ind w:left="1240" w:right="1259"/>
        <w:spacing w:after="0" w:line="280" w:lineRule="auto"/>
        <w:rPr>
          <w:sz w:val="20"/>
          <w:szCs w:val="20"/>
          <w:color w:val="auto"/>
        </w:rPr>
      </w:pPr>
      <w:r>
        <w:rPr>
          <w:rFonts w:ascii="Arial" w:cs="Arial" w:eastAsia="Arial" w:hAnsi="Arial"/>
          <w:sz w:val="14"/>
          <w:szCs w:val="14"/>
          <w:b w:val="1"/>
          <w:bCs w:val="1"/>
          <w:color w:val="auto"/>
        </w:rPr>
        <w:t xml:space="preserve">CNTY-103: Our CAR-iNK candidate targeting CD133 + EGFR for recurrent glioblastoma. </w:t>
      </w:r>
      <w:r>
        <w:rPr>
          <w:rFonts w:ascii="Arial" w:cs="Arial" w:eastAsia="Arial" w:hAnsi="Arial"/>
          <w:sz w:val="14"/>
          <w:szCs w:val="14"/>
          <w:color w:val="auto"/>
        </w:rPr>
        <w:t>We</w:t>
      </w:r>
      <w:r>
        <w:rPr>
          <w:rFonts w:ascii="Arial" w:cs="Arial" w:eastAsia="Arial" w:hAnsi="Arial"/>
          <w:sz w:val="14"/>
          <w:szCs w:val="14"/>
          <w:b w:val="1"/>
          <w:bCs w:val="1"/>
          <w:color w:val="auto"/>
        </w:rPr>
        <w:t xml:space="preserve"> </w:t>
      </w:r>
      <w:r>
        <w:rPr>
          <w:rFonts w:ascii="Arial" w:cs="Arial" w:eastAsia="Arial" w:hAnsi="Arial"/>
          <w:sz w:val="14"/>
          <w:szCs w:val="14"/>
          <w:color w:val="auto"/>
        </w:rPr>
        <w:t>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88" w:lineRule="exact"/>
        <w:rPr>
          <w:sz w:val="20"/>
          <w:szCs w:val="20"/>
          <w:color w:val="auto"/>
        </w:rPr>
      </w:pPr>
    </w:p>
    <w:p>
      <w:pPr>
        <w:ind w:left="1240" w:right="1279"/>
        <w:spacing w:after="0" w:line="282" w:lineRule="auto"/>
        <w:rPr>
          <w:sz w:val="20"/>
          <w:szCs w:val="20"/>
          <w:color w:val="auto"/>
        </w:rPr>
      </w:pPr>
      <w:r>
        <w:rPr>
          <w:rFonts w:ascii="Arial" w:cs="Arial" w:eastAsia="Arial" w:hAnsi="Arial"/>
          <w:sz w:val="14"/>
          <w:szCs w:val="14"/>
          <w:b w:val="1"/>
          <w:bCs w:val="1"/>
          <w:color w:val="auto"/>
        </w:rPr>
        <w:t xml:space="preserve">CNTY-102: Our CAR-iT or CAR-iNK candidate targeting CD19 + CD79b for relapsed, refractory B-cell lymphoma and other B-cell malignancies. </w:t>
      </w:r>
      <w:r>
        <w:rPr>
          <w:rFonts w:ascii="Arial" w:cs="Arial" w:eastAsia="Arial" w:hAnsi="Arial"/>
          <w:sz w:val="14"/>
          <w:szCs w:val="14"/>
          <w:color w:val="auto"/>
        </w:rPr>
        <w:t>CNTY-102 will simultaneously</w:t>
      </w:r>
      <w:r>
        <w:rPr>
          <w:rFonts w:ascii="Arial" w:cs="Arial" w:eastAsia="Arial" w:hAnsi="Arial"/>
          <w:sz w:val="14"/>
          <w:szCs w:val="14"/>
          <w:b w:val="1"/>
          <w:bCs w:val="1"/>
          <w:color w:val="auto"/>
        </w:rPr>
        <w:t xml:space="preserve"> </w:t>
      </w:r>
      <w:r>
        <w:rPr>
          <w:rFonts w:ascii="Arial" w:cs="Arial" w:eastAsia="Arial" w:hAnsi="Arial"/>
          <w:sz w:val="14"/>
          <w:szCs w:val="14"/>
          <w:color w:val="auto"/>
        </w:rPr>
        <w:t>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73" w:lineRule="exact"/>
        <w:rPr>
          <w:sz w:val="20"/>
          <w:szCs w:val="20"/>
          <w:color w:val="auto"/>
        </w:rPr>
      </w:pPr>
    </w:p>
    <w:p>
      <w:pPr>
        <w:ind w:left="1240" w:right="1259"/>
        <w:spacing w:after="0" w:line="282" w:lineRule="auto"/>
        <w:rPr>
          <w:sz w:val="20"/>
          <w:szCs w:val="20"/>
          <w:color w:val="auto"/>
        </w:rPr>
      </w:pPr>
      <w:r>
        <w:rPr>
          <w:rFonts w:ascii="Arial" w:cs="Arial" w:eastAsia="Arial" w:hAnsi="Arial"/>
          <w:sz w:val="14"/>
          <w:szCs w:val="14"/>
          <w:b w:val="1"/>
          <w:bCs w:val="1"/>
          <w:color w:val="auto"/>
        </w:rPr>
        <w:t xml:space="preserve">CNTY-104: Our CAR-iT or CAR-iNK multi-specific candidate for acute myeloid leukemia. </w:t>
      </w: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 w:name="page8"/>
    <w:bookmarkEnd w:id="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837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04360" cy="68370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240" w:right="1279"/>
        <w:spacing w:after="0" w:line="266" w:lineRule="auto"/>
        <w:rPr>
          <w:sz w:val="20"/>
          <w:szCs w:val="20"/>
          <w:color w:val="auto"/>
        </w:rPr>
      </w:pPr>
      <w:r>
        <w:rPr>
          <w:rFonts w:ascii="Arial" w:cs="Arial" w:eastAsia="Arial" w:hAnsi="Arial"/>
          <w:sz w:val="14"/>
          <w:szCs w:val="14"/>
          <w:b w:val="1"/>
          <w:bCs w:val="1"/>
          <w:color w:val="auto"/>
        </w:rPr>
        <w:t xml:space="preserve">Discovery platform. </w:t>
      </w:r>
      <w:r>
        <w:rPr>
          <w:rFonts w:ascii="Arial" w:cs="Arial" w:eastAsia="Arial" w:hAnsi="Arial"/>
          <w:sz w:val="14"/>
          <w:szCs w:val="14"/>
          <w:color w:val="auto"/>
        </w:rPr>
        <w:t>In addition to our named programs, we are actively engaged in a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strategy</w:t>
      </w:r>
    </w:p>
    <w:p>
      <w:pPr>
        <w:spacing w:after="0" w:line="122"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41" w:lineRule="exact"/>
        <w:rPr>
          <w:sz w:val="20"/>
          <w:szCs w:val="20"/>
          <w:color w:val="auto"/>
        </w:rPr>
      </w:pPr>
    </w:p>
    <w:p>
      <w:pPr>
        <w:ind w:left="1360" w:right="1259" w:hanging="122"/>
        <w:spacing w:after="0" w:line="313"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Build a leading cell therapy company leveraging our comprehensive iPSC-derived allogeneic cell therapy platforms designed to overcome the limitations of existing cancer therapies.</w:t>
      </w:r>
    </w:p>
    <w:p>
      <w:pPr>
        <w:spacing w:after="0" w:line="216" w:lineRule="exact"/>
        <w:rPr>
          <w:rFonts w:ascii="Arial" w:cs="Arial" w:eastAsia="Arial" w:hAnsi="Arial"/>
          <w:sz w:val="14"/>
          <w:szCs w:val="14"/>
          <w:color w:val="auto"/>
        </w:rPr>
      </w:pPr>
    </w:p>
    <w:p>
      <w:pPr>
        <w:ind w:left="1360" w:right="1819" w:hanging="122"/>
        <w:spacing w:after="0" w:line="316"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Maximize the potential to treat a broad range of cancers by exploiting the distinct biologies of both NK and T cells.</w:t>
      </w:r>
    </w:p>
    <w:p>
      <w:pPr>
        <w:spacing w:after="0" w:line="3" w:lineRule="exact"/>
        <w:rPr>
          <w:rFonts w:ascii="Arial" w:cs="Arial" w:eastAsia="Arial" w:hAnsi="Arial"/>
          <w:sz w:val="14"/>
          <w:szCs w:val="14"/>
          <w:color w:val="auto"/>
        </w:rPr>
      </w:pPr>
    </w:p>
    <w:p>
      <w:pPr>
        <w:ind w:left="1360" w:right="1699" w:hanging="122"/>
        <w:spacing w:after="0" w:line="252"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 across our product platform to avoid host rejection and enable repeat dosing.</w:t>
      </w:r>
    </w:p>
    <w:p>
      <w:pPr>
        <w:spacing w:after="0" w:line="67" w:lineRule="exact"/>
        <w:rPr>
          <w:rFonts w:ascii="Arial" w:cs="Arial" w:eastAsia="Arial" w:hAnsi="Arial"/>
          <w:sz w:val="14"/>
          <w:szCs w:val="14"/>
          <w:color w:val="auto"/>
        </w:rPr>
      </w:pPr>
    </w:p>
    <w:p>
      <w:pPr>
        <w:ind w:left="1360" w:right="1919" w:hanging="122"/>
        <w:spacing w:after="0" w:line="316"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Exploit serial gene editing of iPSCs to create product candidates with enhanced functionalities and fit for purpose product characteristics.</w:t>
      </w:r>
    </w:p>
    <w:p>
      <w:pPr>
        <w:spacing w:after="0" w:line="29" w:lineRule="exact"/>
        <w:rPr>
          <w:rFonts w:ascii="Arial" w:cs="Arial" w:eastAsia="Arial" w:hAnsi="Arial"/>
          <w:sz w:val="14"/>
          <w:szCs w:val="14"/>
          <w:color w:val="auto"/>
        </w:rPr>
      </w:pPr>
    </w:p>
    <w:p>
      <w:pPr>
        <w:ind w:left="1360" w:right="2219" w:hanging="122"/>
        <w:spacing w:after="0" w:line="316"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own future manufacturing infrastructure, product and process understanding, and scale-up technologies to minimize manufacturing risk.</w:t>
      </w:r>
    </w:p>
    <w:p>
      <w:pPr>
        <w:spacing w:after="0" w:line="9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team</w:t>
      </w:r>
    </w:p>
    <w:p>
      <w:pPr>
        <w:spacing w:after="0" w:line="122" w:lineRule="exact"/>
        <w:rPr>
          <w:sz w:val="20"/>
          <w:szCs w:val="20"/>
          <w:color w:val="auto"/>
        </w:rPr>
      </w:pPr>
    </w:p>
    <w:p>
      <w:pPr>
        <w:ind w:left="1240" w:right="1239"/>
        <w:spacing w:after="0" w:line="258"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286"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06" w:lineRule="exact"/>
        <w:rPr>
          <w:sz w:val="20"/>
          <w:szCs w:val="20"/>
          <w:color w:val="auto"/>
        </w:rPr>
      </w:pPr>
    </w:p>
    <w:p>
      <w:pPr>
        <w:ind w:left="1240" w:right="1419"/>
        <w:spacing w:after="0" w:line="261"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 w:name="page9"/>
    <w:bookmarkEnd w:id="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21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04360" cy="702183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144" w:lineRule="exact"/>
        <w:rPr>
          <w:sz w:val="20"/>
          <w:szCs w:val="20"/>
          <w:color w:val="auto"/>
        </w:rPr>
      </w:pPr>
    </w:p>
    <w:p>
      <w:pPr>
        <w:ind w:left="1240" w:right="1239"/>
        <w:spacing w:after="0" w:line="283" w:lineRule="auto"/>
        <w:rPr>
          <w:sz w:val="20"/>
          <w:szCs w:val="20"/>
          <w:color w:val="auto"/>
        </w:rPr>
      </w:pPr>
      <w:r>
        <w:rPr>
          <w:rFonts w:ascii="Arial" w:cs="Arial" w:eastAsia="Arial" w:hAnsi="Arial"/>
          <w:sz w:val="14"/>
          <w:szCs w:val="14"/>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51" w:lineRule="exact"/>
        <w:rPr>
          <w:sz w:val="20"/>
          <w:szCs w:val="20"/>
          <w:color w:val="auto"/>
        </w:rPr>
      </w:pPr>
    </w:p>
    <w:p>
      <w:pPr>
        <w:ind w:left="1360" w:right="149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a limited operating history, have incurred significant losses since our inception, and anticipate that we will continue to incur significant losses in the foreseeable future;</w:t>
      </w:r>
    </w:p>
    <w:p>
      <w:pPr>
        <w:spacing w:after="0" w:line="74" w:lineRule="exact"/>
        <w:rPr>
          <w:rFonts w:ascii="Arial" w:cs="Arial" w:eastAsia="Arial" w:hAnsi="Arial"/>
          <w:sz w:val="14"/>
          <w:szCs w:val="14"/>
          <w:color w:val="auto"/>
        </w:rPr>
      </w:pPr>
    </w:p>
    <w:p>
      <w:pPr>
        <w:ind w:left="1360" w:right="1259" w:hanging="122"/>
        <w:spacing w:after="0" w:line="283"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250" w:lineRule="exact"/>
        <w:rPr>
          <w:rFonts w:ascii="Arial" w:cs="Arial" w:eastAsia="Arial" w:hAnsi="Arial"/>
          <w:sz w:val="14"/>
          <w:szCs w:val="14"/>
          <w:color w:val="auto"/>
        </w:rPr>
      </w:pPr>
    </w:p>
    <w:p>
      <w:pPr>
        <w:ind w:left="1360" w:right="149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will need to raise substantial additional financing to fund our operations and continue the development of our product candidates;</w:t>
      </w:r>
    </w:p>
    <w:p>
      <w:pPr>
        <w:spacing w:after="0" w:line="64" w:lineRule="exact"/>
        <w:rPr>
          <w:rFonts w:ascii="Arial" w:cs="Arial" w:eastAsia="Arial" w:hAnsi="Arial"/>
          <w:sz w:val="14"/>
          <w:szCs w:val="14"/>
          <w:color w:val="auto"/>
        </w:rPr>
      </w:pPr>
    </w:p>
    <w:p>
      <w:pPr>
        <w:ind w:left="1360" w:right="1299" w:hanging="122"/>
        <w:spacing w:after="0" w:line="281"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highly dependent on our strategic relationships and collaborations and any termination or loss of significant rights under such arrangements with our strategic partners could seriously harm our business;</w:t>
      </w:r>
    </w:p>
    <w:p>
      <w:pPr>
        <w:spacing w:after="0" w:line="71" w:lineRule="exact"/>
        <w:rPr>
          <w:rFonts w:ascii="Arial" w:cs="Arial" w:eastAsia="Arial" w:hAnsi="Arial"/>
          <w:sz w:val="14"/>
          <w:szCs w:val="14"/>
          <w:color w:val="auto"/>
        </w:rPr>
      </w:pPr>
    </w:p>
    <w:p>
      <w:pPr>
        <w:ind w:left="1360" w:right="1499" w:hanging="122"/>
        <w:spacing w:after="0" w:line="295"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COVID-19 pandemic may materially and adversely affect our business and our financial results and could cause a disruption to our supply chain and the development of our product candidates;</w:t>
      </w:r>
    </w:p>
    <w:p>
      <w:pPr>
        <w:spacing w:after="0" w:line="251" w:lineRule="exact"/>
        <w:rPr>
          <w:rFonts w:ascii="Arial" w:cs="Arial" w:eastAsia="Arial" w:hAnsi="Arial"/>
          <w:sz w:val="14"/>
          <w:szCs w:val="14"/>
          <w:color w:val="auto"/>
        </w:rPr>
      </w:pPr>
    </w:p>
    <w:p>
      <w:pPr>
        <w:ind w:left="1360" w:right="1219" w:hanging="122"/>
        <w:spacing w:after="0" w:line="281"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utilizing CAR-iNK and CAR-iT cells represents a novel approach to immuno-oncology treatment of cancer, and we must overcome significant challenges in order to develop, commercialize, and manufacture our product candidates;</w:t>
      </w:r>
    </w:p>
    <w:p>
      <w:pPr>
        <w:spacing w:after="0" w:line="71" w:lineRule="exact"/>
        <w:rPr>
          <w:rFonts w:ascii="Arial" w:cs="Arial" w:eastAsia="Arial" w:hAnsi="Arial"/>
          <w:sz w:val="14"/>
          <w:szCs w:val="14"/>
          <w:color w:val="auto"/>
        </w:rPr>
      </w:pPr>
    </w:p>
    <w:p>
      <w:pPr>
        <w:ind w:left="1360" w:right="147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manufacture and distribution of our iPSC-derived cell product candidates is complex and subject to a multitude of risks;</w:t>
      </w:r>
    </w:p>
    <w:p>
      <w:pPr>
        <w:spacing w:after="0" w:line="64" w:lineRule="exact"/>
        <w:rPr>
          <w:rFonts w:ascii="Arial" w:cs="Arial" w:eastAsia="Arial" w:hAnsi="Arial"/>
          <w:sz w:val="14"/>
          <w:szCs w:val="14"/>
          <w:color w:val="auto"/>
        </w:rPr>
      </w:pPr>
    </w:p>
    <w:p>
      <w:pPr>
        <w:ind w:left="1360" w:right="1239" w:hanging="122"/>
        <w:spacing w:after="0" w:line="281"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we are unable to successfully commercialize our lead product candidate CNTY-101 or any of our other product candidates for which we receive regulatory approval, or experience significant delays in doing so, our business will be materially harmed; and</w:t>
      </w:r>
    </w:p>
    <w:p>
      <w:pPr>
        <w:spacing w:after="0" w:line="71" w:lineRule="exact"/>
        <w:rPr>
          <w:rFonts w:ascii="Arial" w:cs="Arial" w:eastAsia="Arial" w:hAnsi="Arial"/>
          <w:sz w:val="14"/>
          <w:szCs w:val="14"/>
          <w:color w:val="auto"/>
        </w:rPr>
      </w:pPr>
    </w:p>
    <w:p>
      <w:pPr>
        <w:ind w:left="1360" w:right="163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may face difficulties in obtaining, protecting, maintaining, and enforcing our intellectual property rights, including intellectual property rights that are licensed to us.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Recent developments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Series C Preferred Stock Financing</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On February 25, 2021, we sold 24,721,999 shares of our Series C preferred stock, par value</w:t>
      </w:r>
    </w:p>
    <w:p>
      <w:pPr>
        <w:spacing w:after="0" w:line="22" w:lineRule="exact"/>
        <w:rPr>
          <w:sz w:val="20"/>
          <w:szCs w:val="20"/>
          <w:color w:val="auto"/>
        </w:rPr>
      </w:pPr>
    </w:p>
    <w:p>
      <w:pPr>
        <w:ind w:left="1240" w:right="1219"/>
        <w:spacing w:after="0" w:line="276" w:lineRule="auto"/>
        <w:rPr>
          <w:sz w:val="20"/>
          <w:szCs w:val="20"/>
          <w:color w:val="auto"/>
        </w:rPr>
      </w:pPr>
      <w:r>
        <w:rPr>
          <w:rFonts w:ascii="Arial" w:cs="Arial" w:eastAsia="Arial" w:hAnsi="Arial"/>
          <w:sz w:val="14"/>
          <w:szCs w:val="14"/>
          <w:color w:val="auto"/>
        </w:rPr>
        <w:t>$0.0001 per share, or the Series C preferred stock, to certain institutional investors at a price of approximately $6.472 per share, for gross proceeds of approximately $160 million, which we refer to herein as the Series C Financing. The shares of Series C preferred stock were sold pursuant to an exemption from registration under the Securities Act. Upon the closing of this offering, all outstanding shares of our preferred stock, including our Series C preferred stock, will be automatically converted into an aggregate of 85,865,789 shares of common stock.</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corporate information</w:t>
      </w:r>
    </w:p>
    <w:p>
      <w:pPr>
        <w:spacing w:after="0" w:line="144"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We were formed in 2018 as Century Therapeutics, Inc., a Delaware corporation, or Prior Century. In connection with an investment in our Company by Bayer HealthCare LLC, or Bayer, in 2019, Prior Century contributed substantially all of its operating assets and cash to a newly formed entity, Century Therapeutics, LLC, or the LLC Entity, in exchange for units of the LLC Entity. We refer to this transaction as the 2019 Reorganization. From June 2019 to February 2021, our business was operated through the LLC Entity. On February 25, 2021, the LLC Entity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 w:name="page10"/>
    <w:bookmarkEnd w:id="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904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04360" cy="709041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40" w:right="1419"/>
        <w:spacing w:after="0" w:line="265" w:lineRule="auto"/>
        <w:rPr>
          <w:sz w:val="20"/>
          <w:szCs w:val="20"/>
          <w:color w:val="auto"/>
        </w:rPr>
      </w:pPr>
      <w:r>
        <w:rPr>
          <w:rFonts w:ascii="Arial" w:cs="Arial" w:eastAsia="Arial" w:hAnsi="Arial"/>
          <w:sz w:val="14"/>
          <w:szCs w:val="14"/>
          <w:color w:val="auto"/>
        </w:rPr>
        <w:t>connection with this merger, the holders of equity interests in Prior Century received equivalent equity interests in Century Therapeutics, Inc. We refer to these transactions on February 25, 2021 as the 2021 Reorganization.</w:t>
      </w:r>
    </w:p>
    <w:p>
      <w:pPr>
        <w:spacing w:after="0" w:line="93" w:lineRule="exact"/>
        <w:rPr>
          <w:sz w:val="20"/>
          <w:szCs w:val="20"/>
          <w:color w:val="auto"/>
        </w:rPr>
      </w:pPr>
    </w:p>
    <w:p>
      <w:pPr>
        <w:ind w:left="1240" w:right="1519"/>
        <w:spacing w:after="0" w:line="260" w:lineRule="auto"/>
        <w:rPr>
          <w:sz w:val="20"/>
          <w:szCs w:val="20"/>
          <w:color w:val="auto"/>
        </w:rPr>
      </w:pPr>
      <w:r>
        <w:rPr>
          <w:rFonts w:ascii="Arial" w:cs="Arial" w:eastAsia="Arial" w:hAnsi="Arial"/>
          <w:sz w:val="14"/>
          <w:szCs w:val="14"/>
          <w:color w:val="auto"/>
        </w:rPr>
        <w:t>Our principal executive offices are located at 3675 Market Street, Philadelphia, Pennsylvania 19104, and our telephone number is (267) 817-5790. Our corporate website is www.centurytx.com.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 and do not intend it to be an active link to our website.</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33"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86" w:lineRule="exact"/>
        <w:rPr>
          <w:sz w:val="20"/>
          <w:szCs w:val="20"/>
          <w:color w:val="auto"/>
        </w:rPr>
      </w:pPr>
    </w:p>
    <w:p>
      <w:pPr>
        <w:ind w:left="1360" w:right="1299" w:hanging="122"/>
        <w:spacing w:after="0" w:line="281"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a correspondingly reduced “Management’s discussion and analysis of financial condition and results of operations” disclosure in this prospectus;</w:t>
      </w:r>
    </w:p>
    <w:p>
      <w:pPr>
        <w:spacing w:after="0" w:line="71" w:lineRule="exact"/>
        <w:rPr>
          <w:rFonts w:ascii="Arial" w:cs="Arial" w:eastAsia="Arial" w:hAnsi="Arial"/>
          <w:sz w:val="14"/>
          <w:szCs w:val="14"/>
          <w:color w:val="auto"/>
        </w:rPr>
      </w:pPr>
    </w:p>
    <w:p>
      <w:pPr>
        <w:ind w:left="1360" w:right="1939" w:hanging="122"/>
        <w:spacing w:after="0" w:line="290"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64" w:lineRule="exact"/>
        <w:rPr>
          <w:rFonts w:ascii="Arial" w:cs="Arial" w:eastAsia="Arial" w:hAnsi="Arial"/>
          <w:sz w:val="14"/>
          <w:szCs w:val="14"/>
          <w:color w:val="auto"/>
        </w:rPr>
      </w:pPr>
    </w:p>
    <w:p>
      <w:pPr>
        <w:ind w:left="1360" w:right="1479" w:hanging="122"/>
        <w:spacing w:after="0" w:line="281"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1" w:lineRule="exact"/>
        <w:rPr>
          <w:rFonts w:ascii="Arial" w:cs="Arial" w:eastAsia="Arial" w:hAnsi="Arial"/>
          <w:sz w:val="14"/>
          <w:szCs w:val="14"/>
          <w:color w:val="auto"/>
        </w:rPr>
      </w:pPr>
    </w:p>
    <w:p>
      <w:pPr>
        <w:ind w:left="1360" w:hanging="122"/>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8" w:lineRule="exact"/>
        <w:rPr>
          <w:rFonts w:ascii="Arial" w:cs="Arial" w:eastAsia="Arial" w:hAnsi="Arial"/>
          <w:sz w:val="14"/>
          <w:szCs w:val="14"/>
          <w:color w:val="auto"/>
        </w:rPr>
      </w:pPr>
    </w:p>
    <w:p>
      <w:pPr>
        <w:ind w:left="1360" w:right="1539" w:hanging="122"/>
        <w:spacing w:after="0" w:line="290"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4" w:lineRule="exact"/>
        <w:rPr>
          <w:rFonts w:ascii="Arial" w:cs="Arial" w:eastAsia="Arial" w:hAnsi="Arial"/>
          <w:sz w:val="14"/>
          <w:szCs w:val="14"/>
          <w:color w:val="auto"/>
        </w:rPr>
      </w:pPr>
    </w:p>
    <w:p>
      <w:pPr>
        <w:ind w:left="1360" w:hanging="122"/>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3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6" w:lineRule="exact"/>
        <w:rPr>
          <w:sz w:val="20"/>
          <w:szCs w:val="20"/>
          <w:color w:val="auto"/>
        </w:rPr>
      </w:pPr>
    </w:p>
    <w:p>
      <w:pPr>
        <w:ind w:left="1240" w:right="1219"/>
        <w:spacing w:after="0" w:line="278"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w:t>
      </w:r>
    </w:p>
    <w:p>
      <w:pPr>
        <w:spacing w:after="0" w:line="106"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We will remain an emerging growth company until the earliest of (1) the last day of the fiscal year following the fifth anniversary of the closing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00"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40" w:right="1659"/>
        <w:spacing w:after="0" w:line="281" w:lineRule="auto"/>
        <w:rPr>
          <w:sz w:val="20"/>
          <w:szCs w:val="20"/>
          <w:color w:val="auto"/>
        </w:rPr>
      </w:pPr>
      <w:r>
        <w:rPr>
          <w:rFonts w:ascii="Arial" w:cs="Arial" w:eastAsia="Arial" w:hAnsi="Arial"/>
          <w:sz w:val="14"/>
          <w:szCs w:val="14"/>
          <w:color w:val="auto"/>
        </w:rPr>
        <w:t>$250.0 million or (ii) our annual revenue is less than $100.0 million during the most recently completed fiscal year and the market value of our stock held by non-affiliates is less than $700.0 million.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 w:name="page11"/>
    <w:bookmarkEnd w:id="1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37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04360" cy="63779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 w:name="page12"/>
    <w:bookmarkEnd w:id="11"/>
    <w:p>
      <w:pPr>
        <w:ind w:left="220"/>
        <w:spacing w:after="0"/>
        <w:rPr>
          <w:rFonts w:ascii="Arial" w:cs="Arial" w:eastAsia="Arial" w:hAnsi="Arial"/>
          <w:sz w:val="10"/>
          <w:szCs w:val="10"/>
          <w:color w:val="003366"/>
        </w:rPr>
      </w:pPr>
      <w:hyperlink w:anchor="page2">
        <w:r>
          <w:rPr>
            <w:rFonts w:ascii="Arial" w:cs="Arial" w:eastAsia="Arial" w:hAnsi="Arial"/>
            <w:sz w:val="10"/>
            <w:szCs w:val="10"/>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250190</wp:posOffset>
            </wp:positionV>
            <wp:extent cx="4404360" cy="6713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04360" cy="671322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The offering</w:t>
      </w:r>
    </w:p>
    <w:p>
      <w:pPr>
        <w:spacing w:after="0" w:line="8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Common stock offered by us</w:t>
      </w:r>
    </w:p>
    <w:p>
      <w:pPr>
        <w:spacing w:after="0" w:line="109" w:lineRule="exact"/>
        <w:rPr>
          <w:sz w:val="20"/>
          <w:szCs w:val="20"/>
          <w:color w:val="auto"/>
        </w:rPr>
      </w:pPr>
    </w:p>
    <w:p>
      <w:pPr>
        <w:ind w:left="1240"/>
        <w:spacing w:after="0" w:line="300" w:lineRule="auto"/>
        <w:rPr>
          <w:sz w:val="20"/>
          <w:szCs w:val="20"/>
          <w:color w:val="auto"/>
        </w:rPr>
      </w:pPr>
      <w:r>
        <w:rPr>
          <w:rFonts w:ascii="Arial" w:cs="Arial" w:eastAsia="Arial" w:hAnsi="Arial"/>
          <w:sz w:val="14"/>
          <w:szCs w:val="14"/>
          <w:b w:val="1"/>
          <w:bCs w:val="1"/>
          <w:color w:val="auto"/>
        </w:rPr>
        <w:t>Underwriters’ option to purchase additional shares</w:t>
      </w:r>
    </w:p>
    <w:p>
      <w:pPr>
        <w:spacing w:after="0" w:line="40" w:lineRule="exact"/>
        <w:rPr>
          <w:sz w:val="20"/>
          <w:szCs w:val="20"/>
          <w:color w:val="auto"/>
        </w:rPr>
      </w:pPr>
    </w:p>
    <w:p>
      <w:pPr>
        <w:ind w:left="1240"/>
        <w:spacing w:after="0" w:line="300" w:lineRule="auto"/>
        <w:rPr>
          <w:sz w:val="20"/>
          <w:szCs w:val="20"/>
          <w:color w:val="auto"/>
        </w:rPr>
      </w:pPr>
      <w:r>
        <w:rPr>
          <w:rFonts w:ascii="Arial" w:cs="Arial" w:eastAsia="Arial" w:hAnsi="Arial"/>
          <w:sz w:val="14"/>
          <w:szCs w:val="14"/>
          <w:b w:val="1"/>
          <w:bCs w:val="1"/>
          <w:color w:val="auto"/>
        </w:rPr>
        <w:t>Common stock to be outstanding after this offering</w:t>
      </w:r>
    </w:p>
    <w:p>
      <w:pPr>
        <w:spacing w:after="0" w:line="200" w:lineRule="exact"/>
        <w:rPr>
          <w:sz w:val="20"/>
          <w:szCs w:val="20"/>
          <w:color w:val="auto"/>
        </w:rPr>
      </w:pP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40" w:right="100"/>
        <w:spacing w:after="0" w:line="300" w:lineRule="auto"/>
        <w:rPr>
          <w:sz w:val="20"/>
          <w:szCs w:val="20"/>
          <w:color w:val="auto"/>
        </w:rPr>
      </w:pPr>
      <w:r>
        <w:rPr>
          <w:rFonts w:ascii="Arial" w:cs="Arial" w:eastAsia="Arial" w:hAnsi="Arial"/>
          <w:sz w:val="14"/>
          <w:szCs w:val="14"/>
          <w:b w:val="1"/>
          <w:bCs w:val="1"/>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7"/>
        <w:spacing w:after="0"/>
        <w:rPr>
          <w:sz w:val="20"/>
          <w:szCs w:val="20"/>
          <w:color w:val="auto"/>
        </w:rPr>
      </w:pPr>
      <w:r>
        <w:rPr>
          <w:rFonts w:ascii="Arial" w:cs="Arial" w:eastAsia="Arial" w:hAnsi="Arial"/>
          <w:sz w:val="14"/>
          <w:szCs w:val="14"/>
          <w:color w:val="auto"/>
        </w:rPr>
        <w:t>shares.</w:t>
      </w:r>
    </w:p>
    <w:p>
      <w:pPr>
        <w:spacing w:after="0" w:line="281" w:lineRule="exact"/>
        <w:rPr>
          <w:sz w:val="20"/>
          <w:szCs w:val="20"/>
          <w:color w:val="auto"/>
        </w:rPr>
      </w:pPr>
    </w:p>
    <w:p>
      <w:pPr>
        <w:ind w:left="507"/>
        <w:spacing w:after="0"/>
        <w:rPr>
          <w:sz w:val="20"/>
          <w:szCs w:val="20"/>
          <w:color w:val="auto"/>
        </w:rPr>
      </w:pPr>
      <w:r>
        <w:rPr>
          <w:rFonts w:ascii="Arial" w:cs="Arial" w:eastAsia="Arial" w:hAnsi="Arial"/>
          <w:sz w:val="14"/>
          <w:szCs w:val="14"/>
          <w:color w:val="auto"/>
        </w:rPr>
        <w:t>shares.</w:t>
      </w:r>
    </w:p>
    <w:p>
      <w:pPr>
        <w:spacing w:after="0" w:line="281" w:lineRule="exact"/>
        <w:rPr>
          <w:sz w:val="20"/>
          <w:szCs w:val="20"/>
          <w:color w:val="auto"/>
        </w:rPr>
      </w:pPr>
    </w:p>
    <w:p>
      <w:pPr>
        <w:ind w:left="507"/>
        <w:spacing w:after="0"/>
        <w:tabs>
          <w:tab w:leader="none" w:pos="2006" w:val="left"/>
        </w:tabs>
        <w:rPr>
          <w:sz w:val="20"/>
          <w:szCs w:val="20"/>
          <w:color w:val="auto"/>
        </w:rPr>
      </w:pPr>
      <w:r>
        <w:rPr>
          <w:rFonts w:ascii="Arial" w:cs="Arial" w:eastAsia="Arial" w:hAnsi="Arial"/>
          <w:sz w:val="14"/>
          <w:szCs w:val="14"/>
          <w:color w:val="auto"/>
        </w:rPr>
        <w:t>shares (or</w:t>
      </w:r>
      <w:r>
        <w:rPr>
          <w:sz w:val="20"/>
          <w:szCs w:val="20"/>
          <w:color w:val="auto"/>
        </w:rPr>
        <w:tab/>
      </w:r>
      <w:r>
        <w:rPr>
          <w:rFonts w:ascii="Arial" w:cs="Arial" w:eastAsia="Arial" w:hAnsi="Arial"/>
          <w:sz w:val="14"/>
          <w:szCs w:val="14"/>
          <w:color w:val="auto"/>
        </w:rPr>
        <w:t>shares if the</w:t>
      </w:r>
    </w:p>
    <w:p>
      <w:pPr>
        <w:spacing w:after="0" w:line="22" w:lineRule="exact"/>
        <w:rPr>
          <w:sz w:val="20"/>
          <w:szCs w:val="20"/>
          <w:color w:val="auto"/>
        </w:rPr>
      </w:pPr>
    </w:p>
    <w:p>
      <w:pPr>
        <w:ind w:left="7" w:right="1379"/>
        <w:spacing w:after="0" w:line="290" w:lineRule="auto"/>
        <w:rPr>
          <w:sz w:val="20"/>
          <w:szCs w:val="20"/>
          <w:color w:val="auto"/>
        </w:rPr>
      </w:pPr>
      <w:r>
        <w:rPr>
          <w:rFonts w:ascii="Arial" w:cs="Arial" w:eastAsia="Arial" w:hAnsi="Arial"/>
          <w:sz w:val="14"/>
          <w:szCs w:val="14"/>
          <w:color w:val="auto"/>
        </w:rPr>
        <w:t>underwriters exercise in full their option to purchase additional shares).</w:t>
      </w:r>
    </w:p>
    <w:p>
      <w:pPr>
        <w:spacing w:after="0" w:line="64" w:lineRule="exact"/>
        <w:rPr>
          <w:sz w:val="20"/>
          <w:szCs w:val="20"/>
          <w:color w:val="auto"/>
        </w:rPr>
      </w:pPr>
    </w:p>
    <w:p>
      <w:pPr>
        <w:ind w:left="7"/>
        <w:spacing w:after="0"/>
        <w:rPr>
          <w:sz w:val="20"/>
          <w:szCs w:val="20"/>
          <w:color w:val="auto"/>
        </w:rPr>
      </w:pPr>
      <w:r>
        <w:rPr>
          <w:rFonts w:ascii="Arial" w:cs="Arial" w:eastAsia="Arial" w:hAnsi="Arial"/>
          <w:sz w:val="14"/>
          <w:szCs w:val="14"/>
          <w:color w:val="auto"/>
        </w:rPr>
        <w:t>We estimate that the net proceeds from this offering</w:t>
      </w:r>
    </w:p>
    <w:p>
      <w:pPr>
        <w:spacing w:after="0" w:line="22" w:lineRule="exact"/>
        <w:rPr>
          <w:sz w:val="20"/>
          <w:szCs w:val="20"/>
          <w:color w:val="auto"/>
        </w:rPr>
      </w:pPr>
    </w:p>
    <w:p>
      <w:pPr>
        <w:ind w:left="7"/>
        <w:spacing w:after="0"/>
        <w:tabs>
          <w:tab w:leader="none" w:pos="2026" w:val="left"/>
        </w:tabs>
        <w:rPr>
          <w:sz w:val="20"/>
          <w:szCs w:val="20"/>
          <w:color w:val="auto"/>
        </w:rPr>
      </w:pPr>
      <w:r>
        <w:rPr>
          <w:rFonts w:ascii="Arial" w:cs="Arial" w:eastAsia="Arial" w:hAnsi="Arial"/>
          <w:sz w:val="14"/>
          <w:szCs w:val="14"/>
          <w:color w:val="auto"/>
        </w:rPr>
        <w:t>will be approximately $</w:t>
      </w:r>
      <w:r>
        <w:rPr>
          <w:sz w:val="20"/>
          <w:szCs w:val="20"/>
          <w:color w:val="auto"/>
        </w:rPr>
        <w:tab/>
      </w:r>
      <w:r>
        <w:rPr>
          <w:rFonts w:ascii="Arial" w:cs="Arial" w:eastAsia="Arial" w:hAnsi="Arial"/>
          <w:sz w:val="14"/>
          <w:szCs w:val="14"/>
          <w:color w:val="auto"/>
        </w:rPr>
        <w:t>million (or</w:t>
      </w:r>
    </w:p>
    <w:p>
      <w:pPr>
        <w:spacing w:after="0" w:line="22" w:lineRule="exact"/>
        <w:rPr>
          <w:sz w:val="20"/>
          <w:szCs w:val="20"/>
          <w:color w:val="auto"/>
        </w:rPr>
      </w:pPr>
    </w:p>
    <w:p>
      <w:pPr>
        <w:ind w:left="7" w:right="1599"/>
        <w:spacing w:after="0" w:line="273" w:lineRule="auto"/>
        <w:rPr>
          <w:sz w:val="20"/>
          <w:szCs w:val="20"/>
          <w:color w:val="auto"/>
        </w:rPr>
      </w:pPr>
      <w:r>
        <w:rPr>
          <w:rFonts w:ascii="Arial" w:cs="Arial" w:eastAsia="Arial" w:hAnsi="Arial"/>
          <w:sz w:val="14"/>
          <w:szCs w:val="14"/>
          <w:color w:val="auto"/>
        </w:rPr>
        <w:t>approximately $ million if the underwriters exercise in full their option to purchase up to</w:t>
      </w:r>
    </w:p>
    <w:p>
      <w:pPr>
        <w:spacing w:after="0" w:line="1" w:lineRule="exact"/>
        <w:rPr>
          <w:sz w:val="20"/>
          <w:szCs w:val="20"/>
          <w:color w:val="auto"/>
        </w:rPr>
      </w:pPr>
    </w:p>
    <w:p>
      <w:pPr>
        <w:ind w:left="7" w:right="1399" w:firstLine="923"/>
        <w:spacing w:after="0" w:line="273" w:lineRule="auto"/>
        <w:rPr>
          <w:sz w:val="20"/>
          <w:szCs w:val="20"/>
          <w:color w:val="auto"/>
        </w:rPr>
      </w:pPr>
      <w:r>
        <w:rPr>
          <w:rFonts w:ascii="Arial" w:cs="Arial" w:eastAsia="Arial" w:hAnsi="Arial"/>
          <w:sz w:val="14"/>
          <w:szCs w:val="14"/>
          <w:color w:val="auto"/>
        </w:rPr>
        <w:t>additional shares of common stock), based on the assumed initial public offering price of</w:t>
      </w:r>
    </w:p>
    <w:p>
      <w:pPr>
        <w:spacing w:after="0" w:line="1" w:lineRule="exact"/>
        <w:rPr>
          <w:sz w:val="20"/>
          <w:szCs w:val="20"/>
          <w:color w:val="auto"/>
        </w:rPr>
      </w:pPr>
    </w:p>
    <w:p>
      <w:pPr>
        <w:ind w:left="7" w:right="1239" w:hanging="7"/>
        <w:spacing w:after="0" w:line="278" w:lineRule="auto"/>
        <w:tabs>
          <w:tab w:leader="none" w:pos="592"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 share, the midpoint of the price range set forth on the cover page of this prospectus, after deducting underwriting discounts and commissions and estimated offering expenses payable by us.</w:t>
      </w:r>
    </w:p>
    <w:p>
      <w:pPr>
        <w:spacing w:after="0" w:line="106" w:lineRule="exact"/>
        <w:rPr>
          <w:sz w:val="20"/>
          <w:szCs w:val="20"/>
          <w:color w:val="auto"/>
        </w:rPr>
      </w:pPr>
    </w:p>
    <w:p>
      <w:pPr>
        <w:ind w:left="7" w:right="1279"/>
        <w:spacing w:after="0" w:line="291" w:lineRule="auto"/>
        <w:rPr>
          <w:sz w:val="20"/>
          <w:szCs w:val="20"/>
          <w:color w:val="auto"/>
        </w:rPr>
      </w:pPr>
      <w:r>
        <w:rPr>
          <w:rFonts w:ascii="Arial" w:cs="Arial" w:eastAsia="Arial" w:hAnsi="Arial"/>
          <w:sz w:val="14"/>
          <w:szCs w:val="14"/>
          <w:color w:val="auto"/>
        </w:rPr>
        <w:t>We intend to use the net proceeds from this offering to fund research and development of our product candidates and development programs, including our pre-clinical and clinical development of CNTY-101, CNTY-103, CNTY-102, and CNTY-104, to continue developing manufacturing capabilities for our product candidates, and for working capital and other general corporate purposes, including costs and expenses associated with being a public company.</w:t>
      </w:r>
    </w:p>
    <w:p>
      <w:pPr>
        <w:spacing w:after="0" w:line="110" w:lineRule="exact"/>
        <w:rPr>
          <w:sz w:val="20"/>
          <w:szCs w:val="20"/>
          <w:color w:val="auto"/>
        </w:rPr>
      </w:pPr>
    </w:p>
    <w:p>
      <w:pPr>
        <w:ind w:left="7" w:right="1279"/>
        <w:spacing w:after="0" w:line="306" w:lineRule="auto"/>
        <w:rPr>
          <w:sz w:val="20"/>
          <w:szCs w:val="20"/>
          <w:color w:val="auto"/>
        </w:rPr>
      </w:pPr>
      <w:r>
        <w:rPr>
          <w:rFonts w:ascii="Arial" w:cs="Arial" w:eastAsia="Arial" w:hAnsi="Arial"/>
          <w:sz w:val="14"/>
          <w:szCs w:val="14"/>
          <w:color w:val="auto"/>
        </w:rPr>
        <w:t>See the section titled “Use of proceeds” for additional information.</w:t>
      </w:r>
    </w:p>
    <w:p>
      <w:pPr>
        <w:spacing w:after="0" w:line="64" w:lineRule="exact"/>
        <w:rPr>
          <w:sz w:val="20"/>
          <w:szCs w:val="20"/>
          <w:color w:val="auto"/>
        </w:rPr>
      </w:pPr>
    </w:p>
    <w:p>
      <w:pPr>
        <w:ind w:left="7" w:right="1319"/>
        <w:spacing w:after="0" w:line="280" w:lineRule="auto"/>
        <w:rPr>
          <w:sz w:val="20"/>
          <w:szCs w:val="20"/>
          <w:color w:val="auto"/>
        </w:rPr>
      </w:pPr>
      <w:r>
        <w:rPr>
          <w:rFonts w:ascii="Arial" w:cs="Arial" w:eastAsia="Arial" w:hAnsi="Arial"/>
          <w:sz w:val="14"/>
          <w:szCs w:val="14"/>
          <w:color w:val="auto"/>
        </w:rPr>
        <w:t>You should read the section titled “Risk factors” for a discussion of factors to consider carefully, together with all the other information included in this prospectus, before deciding to invest in our common stock.</w:t>
      </w:r>
    </w:p>
    <w:p>
      <w:pPr>
        <w:spacing w:after="0" w:line="200" w:lineRule="exact"/>
        <w:rPr>
          <w:sz w:val="20"/>
          <w:szCs w:val="20"/>
          <w:color w:val="auto"/>
        </w:rPr>
      </w:pPr>
    </w:p>
    <w:p>
      <w:pPr>
        <w:spacing w:after="0" w:line="225" w:lineRule="exact"/>
        <w:rPr>
          <w:sz w:val="20"/>
          <w:szCs w:val="20"/>
          <w:color w:val="auto"/>
        </w:rPr>
      </w:pPr>
    </w:p>
    <w:p>
      <w:pPr>
        <w:ind w:left="7"/>
        <w:spacing w:after="0"/>
        <w:rPr>
          <w:sz w:val="20"/>
          <w:szCs w:val="20"/>
          <w:color w:val="auto"/>
        </w:rPr>
      </w:pPr>
      <w:r>
        <w:rPr>
          <w:rFonts w:ascii="Arial" w:cs="Arial" w:eastAsia="Arial" w:hAnsi="Arial"/>
          <w:sz w:val="14"/>
          <w:szCs w:val="14"/>
          <w:color w:val="auto"/>
        </w:rPr>
        <w:t>“IPSC”</w:t>
      </w:r>
    </w:p>
    <w:p>
      <w:pPr>
        <w:spacing w:after="0" w:line="130" w:lineRule="exact"/>
        <w:rPr>
          <w:sz w:val="20"/>
          <w:szCs w:val="20"/>
          <w:color w:val="auto"/>
        </w:rPr>
      </w:pPr>
    </w:p>
    <w:p>
      <w:pPr>
        <w:sectPr>
          <w:pgSz w:w="11900" w:h="16838" w:orient="portrait"/>
          <w:cols w:equalWidth="0" w:num="2">
            <w:col w:w="3620" w:space="553"/>
            <w:col w:w="4846"/>
          </w:cols>
          <w:pgMar w:left="1440" w:top="134" w:right="1440" w:bottom="1440" w:gutter="0" w:footer="0" w:header="0"/>
          <w:type w:val="continuous"/>
        </w:sectPr>
      </w:pPr>
    </w:p>
    <w:p>
      <w:pPr>
        <w:ind w:left="1240" w:right="1259"/>
        <w:spacing w:after="0" w:line="277" w:lineRule="auto"/>
        <w:rPr>
          <w:sz w:val="20"/>
          <w:szCs w:val="20"/>
          <w:color w:val="auto"/>
        </w:rPr>
      </w:pPr>
      <w:r>
        <w:rPr>
          <w:rFonts w:ascii="Arial" w:cs="Arial" w:eastAsia="Arial" w:hAnsi="Arial"/>
          <w:sz w:val="14"/>
          <w:szCs w:val="14"/>
          <w:color w:val="auto"/>
        </w:rPr>
        <w:t>The number of shares of our common stock to be outstanding after this offering is based on 110,247,171 shares of common stock outstanding as of March 31, 2021, (which includes 4,648,745 shares outstanding that are subject to forfeiture or our right to repurchase as of such date) assuming the conversion of all outstanding shares of our convertible preferred stock into an aggregate of 85,865,789 shares of common stock upon the closing of this offering, and excludes:</w:t>
      </w:r>
    </w:p>
    <w:p>
      <w:pPr>
        <w:spacing w:after="0" w:line="74" w:lineRule="exact"/>
        <w:rPr>
          <w:sz w:val="20"/>
          <w:szCs w:val="20"/>
          <w:color w:val="auto"/>
        </w:rPr>
      </w:pPr>
    </w:p>
    <w:p>
      <w:pPr>
        <w:ind w:left="1360" w:right="1279" w:hanging="122"/>
        <w:spacing w:after="0" w:line="290" w:lineRule="auto"/>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8,603,052 shares of our common stock issuable upon the exercise of stock options as of March 31, 2021, at a weighted-average exercise price of $0.73 per share;</w:t>
      </w:r>
    </w:p>
    <w:p>
      <w:pPr>
        <w:spacing w:after="0" w:line="64" w:lineRule="exact"/>
        <w:rPr>
          <w:rFonts w:ascii="Arial" w:cs="Arial" w:eastAsia="Arial" w:hAnsi="Arial"/>
          <w:sz w:val="14"/>
          <w:szCs w:val="14"/>
          <w:color w:val="auto"/>
        </w:rPr>
      </w:pPr>
    </w:p>
    <w:p>
      <w:pPr>
        <w:ind w:left="1360" w:right="1799" w:hanging="122"/>
        <w:spacing w:after="0" w:line="290" w:lineRule="auto"/>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40,540 shares of our common stock issuable upon the exercise of warrants to purchase common stock, at a weighted-average exercise price of $5.55 per share;</w:t>
      </w:r>
    </w:p>
    <w:p>
      <w:pPr>
        <w:spacing w:after="0" w:line="64" w:lineRule="exact"/>
        <w:rPr>
          <w:rFonts w:ascii="Arial" w:cs="Arial" w:eastAsia="Arial" w:hAnsi="Arial"/>
          <w:sz w:val="14"/>
          <w:szCs w:val="14"/>
          <w:color w:val="auto"/>
        </w:rPr>
      </w:pPr>
    </w:p>
    <w:p>
      <w:pPr>
        <w:jc w:val="both"/>
        <w:ind w:left="1360" w:right="1419" w:hanging="122"/>
        <w:spacing w:after="0" w:line="290" w:lineRule="auto"/>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6,169,655 shares of our common stock reserved for issuance pursuant to future awards as of March 31, 2021 under our 2018 Stock Option and Grant Plan, as amended, or the 2018 Plan;</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2" w:name="page13"/>
    <w:bookmarkEnd w:id="1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36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04360" cy="63639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1360" w:right="1239" w:hanging="122"/>
        <w:spacing w:after="0" w:line="278" w:lineRule="auto"/>
        <w:tabs>
          <w:tab w:leader="none" w:pos="18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4" w:lineRule="exact"/>
        <w:rPr>
          <w:rFonts w:ascii="Arial" w:cs="Arial" w:eastAsia="Arial" w:hAnsi="Arial"/>
          <w:sz w:val="14"/>
          <w:szCs w:val="14"/>
          <w:color w:val="auto"/>
        </w:rPr>
      </w:pPr>
    </w:p>
    <w:p>
      <w:pPr>
        <w:ind w:left="1360" w:right="1279" w:hanging="122"/>
        <w:spacing w:after="0" w:line="278" w:lineRule="auto"/>
        <w:tabs>
          <w:tab w:leader="none" w:pos="18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Employee Stock Purchase Plan, or the ESPP, which will become effective upon the effectiveness of the Registration Statement of which this prospectus forms a part, as well as any future increases in the number of shares of common stock reserved for issuance under the ESPP.</w:t>
      </w:r>
    </w:p>
    <w:p>
      <w:pPr>
        <w:spacing w:after="0" w:line="96" w:lineRule="exact"/>
        <w:rPr>
          <w:sz w:val="20"/>
          <w:szCs w:val="20"/>
          <w:color w:val="auto"/>
        </w:rPr>
      </w:pPr>
    </w:p>
    <w:p>
      <w:pPr>
        <w:ind w:left="1240" w:right="1359"/>
        <w:spacing w:after="0" w:line="290" w:lineRule="auto"/>
        <w:rPr>
          <w:sz w:val="20"/>
          <w:szCs w:val="20"/>
          <w:color w:val="auto"/>
        </w:rPr>
      </w:pPr>
      <w:r>
        <w:rPr>
          <w:rFonts w:ascii="Arial" w:cs="Arial" w:eastAsia="Arial" w:hAnsi="Arial"/>
          <w:sz w:val="14"/>
          <w:szCs w:val="14"/>
          <w:color w:val="auto"/>
        </w:rPr>
        <w:t>Unless otherwise indicated, all information contained in this prospectus, including the number of shares of common stock that will be outstanding after this offering, assumes or gives effect to:</w:t>
      </w:r>
    </w:p>
    <w:p>
      <w:pPr>
        <w:spacing w:after="0" w:line="64" w:lineRule="exact"/>
        <w:rPr>
          <w:sz w:val="20"/>
          <w:szCs w:val="20"/>
          <w:color w:val="auto"/>
        </w:rPr>
      </w:pPr>
    </w:p>
    <w:p>
      <w:pPr>
        <w:ind w:left="1360" w:hanging="122"/>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exercise of the outstanding options or warrants described above;</w:t>
      </w:r>
    </w:p>
    <w:p>
      <w:pPr>
        <w:spacing w:after="0" w:line="108" w:lineRule="exact"/>
        <w:rPr>
          <w:rFonts w:ascii="Arial" w:cs="Arial" w:eastAsia="Arial" w:hAnsi="Arial"/>
          <w:sz w:val="14"/>
          <w:szCs w:val="14"/>
          <w:color w:val="auto"/>
        </w:rPr>
      </w:pPr>
    </w:p>
    <w:p>
      <w:pPr>
        <w:ind w:left="1360" w:right="1559" w:hanging="122"/>
        <w:spacing w:after="0" w:line="290" w:lineRule="auto"/>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filing and effectiveness of our second amended and restated certificate of incorporation immediately prior to the closing of this offering;</w:t>
      </w:r>
    </w:p>
    <w:p>
      <w:pPr>
        <w:sectPr>
          <w:pgSz w:w="11900" w:h="16838" w:orient="portrait"/>
          <w:cols w:equalWidth="0" w:num="1">
            <w:col w:w="9019"/>
          </w:cols>
          <w:pgMar w:left="1440" w:top="133" w:right="1440" w:bottom="1440" w:gutter="0" w:footer="0" w:header="0"/>
        </w:sectPr>
      </w:pPr>
    </w:p>
    <w:p>
      <w:pPr>
        <w:spacing w:after="0" w:line="64" w:lineRule="exact"/>
        <w:rPr>
          <w:sz w:val="20"/>
          <w:szCs w:val="20"/>
          <w:color w:val="auto"/>
        </w:rPr>
      </w:pPr>
    </w:p>
    <w:p>
      <w:pPr>
        <w:ind w:left="1240"/>
        <w:spacing w:after="0"/>
        <w:tabs>
          <w:tab w:leader="none" w:pos="2300" w:val="left"/>
        </w:tabs>
        <w:rPr>
          <w:sz w:val="20"/>
          <w:szCs w:val="20"/>
          <w:color w:val="auto"/>
        </w:rPr>
      </w:pPr>
      <w:r>
        <w:rPr>
          <w:rFonts w:ascii="Arial" w:cs="Arial" w:eastAsia="Arial" w:hAnsi="Arial"/>
          <w:sz w:val="14"/>
          <w:szCs w:val="14"/>
          <w:color w:val="auto"/>
        </w:rPr>
        <w:t>• a</w:t>
      </w:r>
      <w:r>
        <w:rPr>
          <w:sz w:val="20"/>
          <w:szCs w:val="20"/>
          <w:color w:val="auto"/>
        </w:rPr>
        <w:tab/>
      </w:r>
      <w:r>
        <w:rPr>
          <w:rFonts w:ascii="Arial" w:cs="Arial" w:eastAsia="Arial" w:hAnsi="Arial"/>
          <w:sz w:val="14"/>
          <w:szCs w:val="14"/>
          <w:color w:val="auto"/>
        </w:rPr>
        <w:t>for</w:t>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closing of this offering;</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reverse stock split of our common stock to be effected prior to the</w:t>
      </w:r>
    </w:p>
    <w:p>
      <w:pPr>
        <w:spacing w:after="0" w:line="292" w:lineRule="exact"/>
        <w:rPr>
          <w:sz w:val="20"/>
          <w:szCs w:val="20"/>
          <w:color w:val="auto"/>
        </w:rPr>
      </w:pPr>
    </w:p>
    <w:p>
      <w:pPr>
        <w:sectPr>
          <w:pgSz w:w="11900" w:h="16838" w:orient="portrait"/>
          <w:cols w:equalWidth="0" w:num="2">
            <w:col w:w="2860" w:space="520"/>
            <w:col w:w="5639"/>
          </w:cols>
          <w:pgMar w:left="1440" w:top="133" w:right="1440" w:bottom="1440" w:gutter="0" w:footer="0" w:header="0"/>
          <w:type w:val="continuous"/>
        </w:sectPr>
      </w:pPr>
    </w:p>
    <w:p>
      <w:pPr>
        <w:ind w:left="1360" w:right="1279" w:hanging="122"/>
        <w:spacing w:after="0" w:line="290" w:lineRule="auto"/>
        <w:tabs>
          <w:tab w:leader="none" w:pos="1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automatic conversion of all our preferred stock outstanding into an aggregate of 85,865,789 shares of our common stock upon the closing of this offering; and</w:t>
      </w:r>
    </w:p>
    <w:p>
      <w:pPr>
        <w:sectPr>
          <w:pgSz w:w="11900" w:h="16838" w:orient="portrait"/>
          <w:cols w:equalWidth="0" w:num="1">
            <w:col w:w="9019"/>
          </w:cols>
          <w:pgMar w:left="1440" w:top="133" w:right="1440" w:bottom="1440" w:gutter="0" w:footer="0" w:header="0"/>
          <w:type w:val="continuous"/>
        </w:sectPr>
      </w:pPr>
    </w:p>
    <w:p>
      <w:pPr>
        <w:spacing w:after="0" w:line="64" w:lineRule="exact"/>
        <w:rPr>
          <w:sz w:val="20"/>
          <w:szCs w:val="20"/>
          <w:color w:val="auto"/>
        </w:rPr>
      </w:pPr>
    </w:p>
    <w:p>
      <w:pPr>
        <w:ind w:left="1360" w:right="260" w:hanging="114"/>
        <w:spacing w:after="0" w:line="290" w:lineRule="auto"/>
        <w:rPr>
          <w:sz w:val="20"/>
          <w:szCs w:val="20"/>
          <w:color w:val="auto"/>
        </w:rPr>
      </w:pPr>
      <w:r>
        <w:rPr>
          <w:rFonts w:ascii="Arial" w:cs="Arial" w:eastAsia="Arial" w:hAnsi="Arial"/>
          <w:sz w:val="14"/>
          <w:szCs w:val="14"/>
          <w:color w:val="auto"/>
        </w:rPr>
        <w:t>• no exercise by the underwriters of their option to purchase up to of our common stock.</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w:t>
      </w:r>
    </w:p>
    <w:p>
      <w:pPr>
        <w:spacing w:after="0" w:line="428" w:lineRule="exact"/>
        <w:rPr>
          <w:sz w:val="20"/>
          <w:szCs w:val="20"/>
          <w:color w:val="auto"/>
        </w:rPr>
      </w:pPr>
    </w:p>
    <w:p>
      <w:pPr>
        <w:sectPr>
          <w:pgSz w:w="11900" w:h="16838" w:orient="portrait"/>
          <w:cols w:equalWidth="0" w:num="2">
            <w:col w:w="5900" w:space="720"/>
            <w:col w:w="2399"/>
          </w:cols>
          <w:pgMar w:left="1440" w:top="1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13" w:name="page14"/>
    <w:bookmarkEnd w:id="1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42460" cy="636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42460" cy="636397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Summary consolidated financial data</w:t>
      </w:r>
    </w:p>
    <w:p>
      <w:pPr>
        <w:spacing w:after="0" w:line="144"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40" w:right="1239"/>
        <w:spacing w:after="0" w:line="275"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366" w:lineRule="exact"/>
        <w:rPr>
          <w:sz w:val="20"/>
          <w:szCs w:val="20"/>
          <w:color w:val="auto"/>
        </w:rPr>
      </w:pPr>
    </w:p>
    <w:tbl>
      <w:tblPr>
        <w:tblLayout w:type="fixed"/>
        <w:tblInd w:w="12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Successor Predecessor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rPr>
              <w:t>period from</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June 21, 2019</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January 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March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(Inception) to</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2019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40" w:type="dxa"/>
            <w:vAlign w:val="bottom"/>
            <w:gridSpan w:val="4"/>
          </w:tcPr>
          <w:p>
            <w:pPr>
              <w:jc w:val="right"/>
              <w:ind w:right="21"/>
              <w:spacing w:after="0" w:line="101" w:lineRule="exact"/>
              <w:rPr>
                <w:sz w:val="20"/>
                <w:szCs w:val="20"/>
                <w:color w:val="auto"/>
              </w:rPr>
            </w:pPr>
            <w:r>
              <w:rPr>
                <w:rFonts w:ascii="Arial" w:cs="Arial" w:eastAsia="Arial" w:hAnsi="Arial"/>
                <w:sz w:val="11"/>
                <w:szCs w:val="11"/>
                <w:b w:val="1"/>
                <w:bCs w:val="1"/>
                <w:color w:val="auto"/>
              </w:rPr>
              <w:t>December 31, December 31,</w:t>
            </w: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11"/>
                <w:szCs w:val="11"/>
                <w:b w:val="1"/>
                <w:bCs w:val="1"/>
                <w:color w:val="auto"/>
              </w:rPr>
              <w:t>June 20,</w:t>
            </w:r>
          </w:p>
        </w:tc>
        <w:tc>
          <w:tcPr>
            <w:tcW w:w="0" w:type="dxa"/>
            <w:vAlign w:val="bottom"/>
          </w:tcPr>
          <w:p>
            <w:pPr>
              <w:spacing w:after="0"/>
              <w:rPr>
                <w:sz w:val="1"/>
                <w:szCs w:val="1"/>
                <w:color w:val="auto"/>
              </w:rPr>
            </w:pPr>
          </w:p>
        </w:tc>
      </w:tr>
      <w:tr>
        <w:trPr>
          <w:trHeight w:val="191"/>
        </w:trPr>
        <w:tc>
          <w:tcPr>
            <w:tcW w:w="288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200" w:type="dxa"/>
            <w:vAlign w:val="bottom"/>
          </w:tcPr>
          <w:p>
            <w:pPr>
              <w:spacing w:after="0"/>
              <w:rPr>
                <w:sz w:val="16"/>
                <w:szCs w:val="16"/>
                <w:color w:val="auto"/>
              </w:rPr>
            </w:pPr>
          </w:p>
        </w:tc>
        <w:tc>
          <w:tcPr>
            <w:tcW w:w="840" w:type="dxa"/>
            <w:vAlign w:val="bottom"/>
          </w:tcPr>
          <w:p>
            <w:pPr>
              <w:jc w:val="right"/>
              <w:ind w:right="261"/>
              <w:spacing w:after="0"/>
              <w:rPr>
                <w:sz w:val="20"/>
                <w:szCs w:val="20"/>
                <w:color w:val="auto"/>
              </w:rPr>
            </w:pPr>
            <w:r>
              <w:rPr>
                <w:rFonts w:ascii="Arial" w:cs="Arial" w:eastAsia="Arial" w:hAnsi="Arial"/>
                <w:sz w:val="12"/>
                <w:szCs w:val="12"/>
                <w:b w:val="1"/>
                <w:bCs w:val="1"/>
                <w:color w:val="auto"/>
              </w:rPr>
              <w:t>2021</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6"/>
                <w:szCs w:val="16"/>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Consolidated Statements of Operations Data:</w:t>
            </w: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8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2"/>
                <w:szCs w:val="12"/>
                <w:color w:val="auto"/>
              </w:rPr>
              <w:t>15,374 $</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7,943</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39,681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10,107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60" w:type="dxa"/>
            <w:vAlign w:val="bottom"/>
          </w:tcPr>
          <w:p>
            <w:pPr>
              <w:ind w:left="100"/>
              <w:spacing w:after="0"/>
              <w:rPr>
                <w:sz w:val="20"/>
                <w:szCs w:val="20"/>
                <w:color w:val="auto"/>
              </w:rPr>
            </w:pPr>
            <w:r>
              <w:rPr>
                <w:rFonts w:ascii="Arial" w:cs="Arial" w:eastAsia="Arial" w:hAnsi="Arial"/>
                <w:sz w:val="12"/>
                <w:szCs w:val="12"/>
                <w:color w:val="auto"/>
              </w:rPr>
              <w:t>General and administrative</w:t>
            </w:r>
          </w:p>
        </w:tc>
        <w:tc>
          <w:tcPr>
            <w:tcW w:w="200" w:type="dxa"/>
            <w:vAlign w:val="bottom"/>
          </w:tcPr>
          <w:p>
            <w:pPr>
              <w:spacing w:after="0"/>
              <w:rPr>
                <w:sz w:val="13"/>
                <w:szCs w:val="13"/>
                <w:color w:val="auto"/>
              </w:rPr>
            </w:pPr>
          </w:p>
        </w:tc>
        <w:tc>
          <w:tcPr>
            <w:tcW w:w="840" w:type="dxa"/>
            <w:vAlign w:val="bottom"/>
          </w:tcPr>
          <w:p>
            <w:pPr>
              <w:jc w:val="right"/>
              <w:ind w:right="241"/>
              <w:spacing w:after="0"/>
              <w:rPr>
                <w:sz w:val="20"/>
                <w:szCs w:val="20"/>
                <w:color w:val="auto"/>
              </w:rPr>
            </w:pPr>
            <w:r>
              <w:rPr>
                <w:rFonts w:ascii="Arial" w:cs="Arial" w:eastAsia="Arial" w:hAnsi="Arial"/>
                <w:sz w:val="12"/>
                <w:szCs w:val="12"/>
                <w:color w:val="auto"/>
              </w:rPr>
              <w:t>2,688</w:t>
            </w:r>
          </w:p>
        </w:tc>
        <w:tc>
          <w:tcPr>
            <w:tcW w:w="380" w:type="dxa"/>
            <w:vAlign w:val="bottom"/>
          </w:tcPr>
          <w:p>
            <w:pPr>
              <w:jc w:val="right"/>
              <w:spacing w:after="0"/>
              <w:rPr>
                <w:sz w:val="20"/>
                <w:szCs w:val="20"/>
                <w:color w:val="auto"/>
              </w:rPr>
            </w:pPr>
            <w:r>
              <w:rPr>
                <w:rFonts w:ascii="Arial" w:cs="Arial" w:eastAsia="Arial" w:hAnsi="Arial"/>
                <w:sz w:val="12"/>
                <w:szCs w:val="12"/>
                <w:color w:val="auto"/>
              </w:rPr>
              <w:t>2,050</w:t>
            </w:r>
          </w:p>
        </w:tc>
        <w:tc>
          <w:tcPr>
            <w:tcW w:w="26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9,495</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3,622</w:t>
            </w:r>
          </w:p>
        </w:tc>
        <w:tc>
          <w:tcPr>
            <w:tcW w:w="10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2,145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8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Write off of in-process research and development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41"/>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4,722</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225,946</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asset</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60" w:type="dxa"/>
            <w:vAlign w:val="bottom"/>
          </w:tcPr>
          <w:p>
            <w:pPr>
              <w:ind w:left="220"/>
              <w:spacing w:after="0"/>
              <w:rPr>
                <w:sz w:val="20"/>
                <w:szCs w:val="20"/>
                <w:color w:val="auto"/>
              </w:rPr>
            </w:pPr>
            <w:r>
              <w:rPr>
                <w:rFonts w:ascii="Arial" w:cs="Arial" w:eastAsia="Arial" w:hAnsi="Arial"/>
                <w:sz w:val="12"/>
                <w:szCs w:val="12"/>
                <w:color w:val="auto"/>
              </w:rPr>
              <w:t>Total operating expenses</w:t>
            </w:r>
          </w:p>
        </w:tc>
        <w:tc>
          <w:tcPr>
            <w:tcW w:w="200" w:type="dxa"/>
            <w:vAlign w:val="bottom"/>
          </w:tcPr>
          <w:p>
            <w:pPr>
              <w:spacing w:after="0"/>
              <w:rPr>
                <w:sz w:val="11"/>
                <w:szCs w:val="11"/>
                <w:color w:val="auto"/>
              </w:rPr>
            </w:pPr>
          </w:p>
        </w:tc>
        <w:tc>
          <w:tcPr>
            <w:tcW w:w="840" w:type="dxa"/>
            <w:vAlign w:val="bottom"/>
          </w:tcPr>
          <w:p>
            <w:pPr>
              <w:jc w:val="right"/>
              <w:ind w:right="241"/>
              <w:spacing w:after="0"/>
              <w:rPr>
                <w:sz w:val="20"/>
                <w:szCs w:val="20"/>
                <w:color w:val="auto"/>
              </w:rPr>
            </w:pPr>
            <w:r>
              <w:rPr>
                <w:rFonts w:ascii="Arial" w:cs="Arial" w:eastAsia="Arial" w:hAnsi="Arial"/>
                <w:sz w:val="12"/>
                <w:szCs w:val="12"/>
                <w:color w:val="auto"/>
              </w:rPr>
              <w:t>18,062</w:t>
            </w:r>
          </w:p>
        </w:tc>
        <w:tc>
          <w:tcPr>
            <w:tcW w:w="380" w:type="dxa"/>
            <w:vAlign w:val="bottom"/>
          </w:tcPr>
          <w:p>
            <w:pPr>
              <w:jc w:val="right"/>
              <w:spacing w:after="0"/>
              <w:rPr>
                <w:sz w:val="20"/>
                <w:szCs w:val="20"/>
                <w:color w:val="auto"/>
              </w:rPr>
            </w:pPr>
            <w:r>
              <w:rPr>
                <w:rFonts w:ascii="Arial" w:cs="Arial" w:eastAsia="Arial" w:hAnsi="Arial"/>
                <w:sz w:val="12"/>
                <w:szCs w:val="12"/>
                <w:color w:val="auto"/>
              </w:rPr>
              <w:t>9,993</w:t>
            </w:r>
          </w:p>
        </w:tc>
        <w:tc>
          <w:tcPr>
            <w:tcW w:w="26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53,898</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239,675</w:t>
            </w:r>
          </w:p>
        </w:tc>
        <w:tc>
          <w:tcPr>
            <w:tcW w:w="10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6,304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2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rPr>
              <w:t>(18,062)</w:t>
            </w:r>
          </w:p>
        </w:tc>
        <w:tc>
          <w:tcPr>
            <w:tcW w:w="64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2"/>
                <w:szCs w:val="12"/>
                <w:color w:val="auto"/>
              </w:rPr>
              <w:t>(9,993)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(53,898)</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(239,675)</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2"/>
                <w:szCs w:val="12"/>
                <w:color w:val="auto"/>
              </w:rPr>
            </w:pPr>
          </w:p>
        </w:tc>
        <w:tc>
          <w:tcPr>
            <w:tcW w:w="840" w:type="dxa"/>
            <w:vAlign w:val="bottom"/>
          </w:tcPr>
          <w:p>
            <w:pPr>
              <w:jc w:val="right"/>
              <w:ind w:right="201"/>
              <w:spacing w:after="0"/>
              <w:rPr>
                <w:sz w:val="20"/>
                <w:szCs w:val="20"/>
                <w:color w:val="auto"/>
              </w:rPr>
            </w:pPr>
            <w:r>
              <w:rPr>
                <w:rFonts w:ascii="Arial" w:cs="Arial" w:eastAsia="Arial" w:hAnsi="Arial"/>
                <w:sz w:val="12"/>
                <w:szCs w:val="12"/>
                <w:color w:val="auto"/>
              </w:rPr>
              <w:t>(314)</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28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704</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61"/>
              <w:spacing w:after="0"/>
              <w:rPr>
                <w:sz w:val="20"/>
                <w:szCs w:val="20"/>
                <w:color w:val="auto"/>
              </w:rPr>
            </w:pPr>
            <w:r>
              <w:rPr>
                <w:rFonts w:ascii="Arial" w:cs="Arial" w:eastAsia="Arial" w:hAnsi="Arial"/>
                <w:sz w:val="12"/>
                <w:szCs w:val="12"/>
                <w:color w:val="auto"/>
              </w:rPr>
              <w:t>(18,348)$</w:t>
            </w:r>
          </w:p>
        </w:tc>
        <w:tc>
          <w:tcPr>
            <w:tcW w:w="640" w:type="dxa"/>
            <w:vAlign w:val="bottom"/>
            <w:gridSpan w:val="2"/>
          </w:tcPr>
          <w:p>
            <w:pPr>
              <w:jc w:val="right"/>
              <w:ind w:right="104"/>
              <w:spacing w:after="0"/>
              <w:rPr>
                <w:sz w:val="20"/>
                <w:szCs w:val="20"/>
                <w:color w:val="auto"/>
              </w:rPr>
            </w:pPr>
            <w:r>
              <w:rPr>
                <w:rFonts w:ascii="Arial" w:cs="Arial" w:eastAsia="Arial" w:hAnsi="Arial"/>
                <w:sz w:val="12"/>
                <w:szCs w:val="12"/>
                <w:color w:val="auto"/>
              </w:rPr>
              <w:t>(9,673)$</w:t>
            </w:r>
          </w:p>
        </w:tc>
        <w:tc>
          <w:tcPr>
            <w:tcW w:w="660" w:type="dxa"/>
            <w:vAlign w:val="bottom"/>
          </w:tcPr>
          <w:p>
            <w:pPr>
              <w:jc w:val="right"/>
              <w:spacing w:after="0"/>
              <w:rPr>
                <w:sz w:val="20"/>
                <w:szCs w:val="20"/>
                <w:color w:val="auto"/>
              </w:rPr>
            </w:pPr>
            <w:r>
              <w:rPr>
                <w:rFonts w:ascii="Arial" w:cs="Arial" w:eastAsia="Arial" w:hAnsi="Arial"/>
                <w:sz w:val="12"/>
                <w:szCs w:val="12"/>
                <w:color w:val="auto"/>
              </w:rPr>
              <w:t>(53,575)</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(238,767)$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Borders>
              <w:bottom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Net loss per common share</w:t>
            </w:r>
          </w:p>
        </w:tc>
        <w:tc>
          <w:tcPr>
            <w:tcW w:w="2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righ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Pr>
          <w:p>
            <w:pPr>
              <w:ind w:left="100"/>
              <w:spacing w:after="0" w:line="162" w:lineRule="exact"/>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61"/>
              <w:spacing w:after="0"/>
              <w:rPr>
                <w:sz w:val="20"/>
                <w:szCs w:val="20"/>
                <w:color w:val="auto"/>
              </w:rPr>
            </w:pPr>
            <w:r>
              <w:rPr>
                <w:rFonts w:ascii="Arial" w:cs="Arial" w:eastAsia="Arial" w:hAnsi="Arial"/>
                <w:sz w:val="12"/>
                <w:szCs w:val="12"/>
                <w:color w:val="auto"/>
              </w:rPr>
              <w:t>(0.95)$</w:t>
            </w:r>
          </w:p>
        </w:tc>
        <w:tc>
          <w:tcPr>
            <w:tcW w:w="640" w:type="dxa"/>
            <w:vAlign w:val="bottom"/>
            <w:gridSpan w:val="2"/>
          </w:tcPr>
          <w:p>
            <w:pPr>
              <w:jc w:val="right"/>
              <w:ind w:right="104"/>
              <w:spacing w:after="0"/>
              <w:rPr>
                <w:sz w:val="20"/>
                <w:szCs w:val="20"/>
                <w:color w:val="auto"/>
              </w:rPr>
            </w:pPr>
            <w:r>
              <w:rPr>
                <w:rFonts w:ascii="Arial" w:cs="Arial" w:eastAsia="Arial" w:hAnsi="Arial"/>
                <w:sz w:val="12"/>
                <w:szCs w:val="12"/>
                <w:color w:val="auto"/>
              </w:rPr>
              <w:t>(0.51)$</w:t>
            </w:r>
          </w:p>
        </w:tc>
        <w:tc>
          <w:tcPr>
            <w:tcW w:w="660" w:type="dxa"/>
            <w:vAlign w:val="bottom"/>
          </w:tcPr>
          <w:p>
            <w:pPr>
              <w:jc w:val="right"/>
              <w:spacing w:after="0"/>
              <w:rPr>
                <w:sz w:val="20"/>
                <w:szCs w:val="20"/>
                <w:color w:val="auto"/>
              </w:rPr>
            </w:pPr>
            <w:r>
              <w:rPr>
                <w:rFonts w:ascii="Arial" w:cs="Arial" w:eastAsia="Arial" w:hAnsi="Arial"/>
                <w:sz w:val="12"/>
                <w:szCs w:val="12"/>
                <w:color w:val="auto"/>
              </w:rPr>
              <w:t>(2.85)</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(12.68)$</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10"/>
        </w:trPr>
        <w:tc>
          <w:tcPr>
            <w:tcW w:w="2880" w:type="dxa"/>
            <w:vAlign w:val="bottom"/>
            <w:gridSpan w:val="2"/>
          </w:tcPr>
          <w:p>
            <w:pPr>
              <w:spacing w:after="0" w:line="110" w:lineRule="exact"/>
              <w:rPr>
                <w:sz w:val="20"/>
                <w:szCs w:val="20"/>
                <w:color w:val="auto"/>
              </w:rPr>
            </w:pPr>
            <w:r>
              <w:rPr>
                <w:rFonts w:ascii="Arial" w:cs="Arial" w:eastAsia="Arial" w:hAnsi="Arial"/>
                <w:sz w:val="12"/>
                <w:szCs w:val="12"/>
                <w:color w:val="auto"/>
              </w:rPr>
              <w:t>Weighted average common shares outstanding</w:t>
            </w: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9019"/>
          </w:cols>
          <w:pgMar w:left="1440" w:top="133" w:right="1440" w:bottom="1440" w:gutter="0" w:footer="0" w:header="0"/>
        </w:sectPr>
      </w:pPr>
    </w:p>
    <w:p>
      <w:pPr>
        <w:ind w:left="1360"/>
        <w:spacing w:after="0"/>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p>
      <w:pPr>
        <w:spacing w:after="0" w:line="13" w:lineRule="exact"/>
        <w:rPr>
          <w:sz w:val="20"/>
          <w:szCs w:val="20"/>
          <w:color w:val="auto"/>
        </w:rPr>
      </w:pPr>
    </w:p>
    <w:p>
      <w:pPr>
        <w:ind w:left="1360" w:hanging="117"/>
        <w:spacing w:after="0" w:line="225" w:lineRule="auto"/>
        <w:rPr>
          <w:sz w:val="20"/>
          <w:szCs w:val="20"/>
          <w:color w:val="auto"/>
        </w:rPr>
      </w:pPr>
      <w:r>
        <w:rPr>
          <w:rFonts w:ascii="Arial" w:cs="Arial" w:eastAsia="Arial" w:hAnsi="Arial"/>
          <w:sz w:val="12"/>
          <w:szCs w:val="12"/>
          <w:color w:val="auto"/>
        </w:rPr>
        <w:t>Pro forma net loss per share attributable to common stockholders – basic and diluted (unaudited)</w:t>
      </w:r>
      <w:r>
        <w:rPr>
          <w:rFonts w:ascii="Arial" w:cs="Arial" w:eastAsia="Arial" w:hAnsi="Arial"/>
          <w:sz w:val="17"/>
          <w:szCs w:val="17"/>
          <w:color w:val="auto"/>
          <w:vertAlign w:val="superscript"/>
        </w:rPr>
        <w:t>(2)</w:t>
      </w:r>
    </w:p>
    <w:p>
      <w:pPr>
        <w:ind w:left="1360" w:right="200" w:hanging="117"/>
        <w:spacing w:after="0" w:line="243" w:lineRule="auto"/>
        <w:rPr>
          <w:sz w:val="20"/>
          <w:szCs w:val="20"/>
          <w:color w:val="auto"/>
        </w:rPr>
      </w:pPr>
      <w:r>
        <w:rPr>
          <w:rFonts w:ascii="Arial" w:cs="Arial" w:eastAsia="Arial" w:hAnsi="Arial"/>
          <w:sz w:val="12"/>
          <w:szCs w:val="12"/>
          <w:color w:val="auto"/>
        </w:rPr>
        <w:t>Pro forma weighted-average number of common shares – basic and diluted (unaudited)</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19,278,887</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18,825,136</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18,825,136</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18,825,136</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w w:val="96"/>
              </w:rPr>
              <w:t>15,029,240</w:t>
            </w:r>
          </w:p>
        </w:tc>
        <w:tc>
          <w:tcPr>
            <w:tcW w:w="60" w:type="dxa"/>
            <w:vAlign w:val="bottom"/>
            <w:tcBorders>
              <w:bottom w:val="single" w:sz="8" w:color="auto"/>
            </w:tcBorders>
          </w:tcPr>
          <w:p>
            <w:pPr>
              <w:spacing w:after="0"/>
              <w:rPr>
                <w:sz w:val="14"/>
                <w:szCs w:val="1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44"/>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(0.17)</w:t>
            </w:r>
          </w:p>
        </w:tc>
        <w:tc>
          <w:tcPr>
            <w:tcW w:w="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(0.51)</w:t>
            </w: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
        </w:trPr>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5"/>
              </w:rPr>
              <w:t>105,144,676</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104,690,925</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38" w:lineRule="exact"/>
        <w:rPr>
          <w:sz w:val="20"/>
          <w:szCs w:val="20"/>
          <w:color w:val="auto"/>
        </w:rPr>
      </w:pPr>
    </w:p>
    <w:p>
      <w:pPr>
        <w:sectPr>
          <w:pgSz w:w="11900" w:h="16838" w:orient="portrait"/>
          <w:cols w:equalWidth="0" w:num="2">
            <w:col w:w="4100" w:space="20"/>
            <w:col w:w="4899"/>
          </w:cols>
          <w:pgMar w:left="1440" w:top="133" w:right="1440" w:bottom="1440" w:gutter="0" w:footer="0" w:header="0"/>
          <w:type w:val="continuous"/>
        </w:sectPr>
      </w:pPr>
    </w:p>
    <w:p>
      <w:pPr>
        <w:ind w:left="1240" w:right="1239" w:hanging="2"/>
        <w:spacing w:after="0" w:line="232" w:lineRule="auto"/>
        <w:tabs>
          <w:tab w:leader="none" w:pos="1413" w:val="left"/>
        </w:tabs>
        <w:numPr>
          <w:ilvl w:val="0"/>
          <w:numId w:val="14"/>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54" w:lineRule="exact"/>
        <w:rPr>
          <w:rFonts w:ascii="Arial" w:cs="Arial" w:eastAsia="Arial" w:hAnsi="Arial"/>
          <w:sz w:val="11"/>
          <w:szCs w:val="11"/>
          <w:color w:val="auto"/>
        </w:rPr>
      </w:pPr>
    </w:p>
    <w:p>
      <w:pPr>
        <w:ind w:left="1240" w:right="1239" w:hanging="2"/>
        <w:spacing w:after="0" w:line="232" w:lineRule="auto"/>
        <w:tabs>
          <w:tab w:leader="none" w:pos="1413" w:val="left"/>
        </w:tabs>
        <w:numPr>
          <w:ilvl w:val="0"/>
          <w:numId w:val="14"/>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14" w:name="page15"/>
    <w:bookmarkEnd w:id="1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36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04360" cy="636397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4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  79,483</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172,387</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286,055</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339,389</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40" w:type="dxa"/>
            <w:vAlign w:val="bottom"/>
          </w:tcPr>
          <w:p>
            <w:pPr>
              <w:jc w:val="right"/>
              <w:spacing w:after="0"/>
              <w:rPr>
                <w:sz w:val="20"/>
                <w:szCs w:val="20"/>
                <w:color w:val="auto"/>
              </w:rPr>
            </w:pPr>
            <w:r>
              <w:rPr>
                <w:rFonts w:ascii="Arial" w:cs="Arial" w:eastAsia="Arial" w:hAnsi="Arial"/>
                <w:sz w:val="14"/>
                <w:szCs w:val="14"/>
                <w:color w:val="auto"/>
              </w:rPr>
              <w:t>(310,690)</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3"/>
        </w:trPr>
        <w:tc>
          <w:tcPr>
            <w:tcW w:w="33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240" w:right="1339" w:hanging="2"/>
        <w:spacing w:after="0" w:line="251" w:lineRule="auto"/>
        <w:tabs>
          <w:tab w:leader="none" w:pos="1413"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 w:name="page16"/>
    <w:bookmarkEnd w:id="1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Risk factors</w:t>
      </w:r>
    </w:p>
    <w:p>
      <w:pPr>
        <w:spacing w:after="0" w:line="119"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and results of operations.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financial position and capital requirements</w:t>
      </w:r>
    </w:p>
    <w:p>
      <w:pPr>
        <w:spacing w:after="0" w:line="128" w:lineRule="exact"/>
        <w:rPr>
          <w:sz w:val="20"/>
          <w:szCs w:val="20"/>
          <w:color w:val="auto"/>
        </w:rPr>
      </w:pPr>
    </w:p>
    <w:p>
      <w:pPr>
        <w:ind w:left="1220" w:right="1459"/>
        <w:spacing w:after="0" w:line="313" w:lineRule="auto"/>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8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 mid 2022. 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270" w:lineRule="exact"/>
        <w:rPr>
          <w:sz w:val="20"/>
          <w:szCs w:val="20"/>
          <w:color w:val="auto"/>
        </w:rPr>
      </w:pPr>
    </w:p>
    <w:p>
      <w:pPr>
        <w:ind w:left="1220" w:right="1639"/>
        <w:spacing w:after="0" w:line="313" w:lineRule="auto"/>
        <w:rPr>
          <w:sz w:val="20"/>
          <w:szCs w:val="20"/>
          <w:color w:val="auto"/>
        </w:rPr>
      </w:pPr>
      <w:r>
        <w:rPr>
          <w:rFonts w:ascii="Arial" w:cs="Arial" w:eastAsia="Arial" w:hAnsi="Arial"/>
          <w:sz w:val="14"/>
          <w:szCs w:val="14"/>
          <w:b w:val="1"/>
          <w:bCs w:val="1"/>
          <w:i w:val="1"/>
          <w:iCs w:val="1"/>
          <w:color w:val="auto"/>
        </w:rPr>
        <w:t>We have incurred significant operating losses since our inception and expect to incur significant losses for the foreseeable future.</w:t>
      </w:r>
    </w:p>
    <w:p>
      <w:pPr>
        <w:spacing w:after="0" w:line="82"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We have incurred significant operating losses since our inception. If our product candidates are not successfully developed and approved, we may never generate any revenue. Our net losses were $6.0 million, $238.8 million, $53.6 million, and $18.3 million for the period from January 1, 2019 through June 20, 2019 (our predecessor, Century Therapeutics, Inc., or Prior Century), the period from June 21, 2019 through December 31, 2019 (our successor after the completion of the 2019 Reorganization (as defined herein), or the Successor), the year ended December 31, 2020 (Successor) and the quarter ended March 31, 2021 (Successor), respectively. We had an accumulated deficit of $310.7 million as of March 31, 2021. Our net loss for the period from June 21, 2019 through December 31, 2019 (Successor) and our members’ deficit as of December 31, 2020 (Successor) included a charge to expense of $225.9 million related to in-process research and development assets, or IPR&amp;D, acquired from Prior Century. Substantially all of our losses have resulted from expenses incurred in connection with our research and development programs, the acquisition of IPR&amp;D from Prior Century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 w:name="page17"/>
    <w:bookmarkEnd w:id="1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We expect that it will be several years, if ever, before we have a commercialized product. We anticipate that our expenses will increase substantially if, and as, we:</w:t>
      </w:r>
    </w:p>
    <w:p>
      <w:pPr>
        <w:spacing w:after="0" w:line="64" w:lineRule="exact"/>
        <w:rPr>
          <w:sz w:val="20"/>
          <w:szCs w:val="20"/>
          <w:color w:val="auto"/>
        </w:rPr>
      </w:pPr>
    </w:p>
    <w:p>
      <w:pPr>
        <w:ind w:left="1340" w:right="1279" w:hanging="116"/>
        <w:spacing w:after="0" w:line="290" w:lineRule="auto"/>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 to advance our induced pluripotent stem cells, or iPSC-derived allogeneic, cell therapy platforms;</w:t>
      </w:r>
    </w:p>
    <w:p>
      <w:pPr>
        <w:spacing w:after="0" w:line="64" w:lineRule="exact"/>
        <w:rPr>
          <w:rFonts w:ascii="Arial" w:cs="Arial" w:eastAsia="Arial" w:hAnsi="Arial"/>
          <w:sz w:val="14"/>
          <w:szCs w:val="14"/>
          <w:color w:val="auto"/>
        </w:rPr>
      </w:pPr>
    </w:p>
    <w:p>
      <w:pPr>
        <w:ind w:left="1340" w:right="1619" w:hanging="116"/>
        <w:spacing w:after="0" w:line="290" w:lineRule="auto"/>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 preclinical development of, and initiate clinical development of CNTY-101 and our other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 and validate our own clinical-scale current good manufacturing practices, or cGMP, facilities;</w:t>
      </w:r>
    </w:p>
    <w:p>
      <w:pPr>
        <w:spacing w:after="0" w:line="53"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97" w:lineRule="exact"/>
        <w:rPr>
          <w:rFonts w:ascii="Arial" w:cs="Arial" w:eastAsia="Arial" w:hAnsi="Arial"/>
          <w:sz w:val="14"/>
          <w:szCs w:val="14"/>
          <w:color w:val="auto"/>
        </w:rPr>
      </w:pPr>
    </w:p>
    <w:p>
      <w:pPr>
        <w:ind w:left="1340" w:right="1479" w:hanging="116"/>
        <w:spacing w:after="0" w:line="278" w:lineRule="auto"/>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41" w:lineRule="exact"/>
        <w:rPr>
          <w:sz w:val="20"/>
          <w:szCs w:val="20"/>
          <w:color w:val="auto"/>
        </w:rPr>
      </w:pPr>
    </w:p>
    <w:p>
      <w:pPr>
        <w:ind w:left="1220" w:right="1239"/>
        <w:spacing w:after="0" w:line="290" w:lineRule="auto"/>
        <w:rPr>
          <w:sz w:val="20"/>
          <w:szCs w:val="20"/>
          <w:color w:val="auto"/>
        </w:rPr>
      </w:pPr>
      <w:r>
        <w:rPr>
          <w:rFonts w:ascii="Arial" w:cs="Arial" w:eastAsia="Arial" w:hAnsi="Arial"/>
          <w:sz w:val="14"/>
          <w:szCs w:val="14"/>
          <w:color w:val="auto"/>
        </w:rPr>
        <w:t>We may never succeed in any or all of these activities and, even if we do, we may never generate revenue.</w:t>
      </w:r>
    </w:p>
    <w:p>
      <w:pPr>
        <w:spacing w:after="0" w:line="70" w:lineRule="exact"/>
        <w:rPr>
          <w:sz w:val="20"/>
          <w:szCs w:val="20"/>
          <w:color w:val="auto"/>
        </w:rPr>
      </w:pPr>
    </w:p>
    <w:p>
      <w:pPr>
        <w:ind w:left="1220" w:right="1399"/>
        <w:spacing w:after="0" w:line="313" w:lineRule="auto"/>
        <w:rPr>
          <w:sz w:val="20"/>
          <w:szCs w:val="20"/>
          <w:color w:val="auto"/>
        </w:rPr>
      </w:pPr>
      <w:r>
        <w:rPr>
          <w:rFonts w:ascii="Arial" w:cs="Arial" w:eastAsia="Arial" w:hAnsi="Arial"/>
          <w:sz w:val="14"/>
          <w:szCs w:val="14"/>
          <w:b w:val="1"/>
          <w:bCs w:val="1"/>
          <w:i w:val="1"/>
          <w:iCs w:val="1"/>
          <w:color w:val="auto"/>
        </w:rPr>
        <w:t>We have never generated revenue from product sales and may never achieve or maintain profitability.</w:t>
      </w:r>
    </w:p>
    <w:p>
      <w:pPr>
        <w:spacing w:after="0" w:line="71"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07" w:lineRule="exact"/>
        <w:rPr>
          <w:sz w:val="20"/>
          <w:szCs w:val="20"/>
          <w:color w:val="auto"/>
        </w:rPr>
      </w:pPr>
    </w:p>
    <w:p>
      <w:pPr>
        <w:jc w:val="both"/>
        <w:ind w:left="1220" w:right="1559"/>
        <w:spacing w:after="0" w:line="262" w:lineRule="auto"/>
        <w:rPr>
          <w:sz w:val="20"/>
          <w:szCs w:val="20"/>
          <w:color w:val="auto"/>
        </w:rPr>
      </w:pPr>
      <w:r>
        <w:rPr>
          <w:rFonts w:ascii="Arial" w:cs="Arial" w:eastAsia="Arial" w:hAnsi="Arial"/>
          <w:sz w:val="14"/>
          <w:szCs w:val="14"/>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79"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95"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We intend to use the proceeds from this offering to, among other uses, fund research and development of our product candidates and development programs, including our preclinical and clinical development of CNTY-101, CNTY-103, CNTY-102, and CNTY-104. Our research and development expenses increased from $14.3 million for the year ended December 31, 2019 to $39.7 million for the year ended December 31, 2020 and from $7.9 million for the quarter ended March 31, 2020 to $15.4 million for the quarter ended March 31, 2021. As of March 31, 2021,</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 w:name="page18"/>
    <w:bookmarkEnd w:id="1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we had cash, and cash equivalents of $79.5 million and marketable securities of $166.6 million. Based on our current business plans, we believe that the net proceeds from this offering, together with our existing cash and cash equivalents, will be sufficient for us to fund our operating</w:t>
      </w:r>
    </w:p>
    <w:p>
      <w:pPr>
        <w:spacing w:after="0" w:line="1" w:lineRule="exact"/>
        <w:rPr>
          <w:sz w:val="20"/>
          <w:szCs w:val="20"/>
          <w:color w:val="auto"/>
        </w:rPr>
      </w:pPr>
    </w:p>
    <w:p>
      <w:pPr>
        <w:ind w:left="1220"/>
        <w:spacing w:after="0"/>
        <w:tabs>
          <w:tab w:leader="none" w:pos="6140" w:val="left"/>
        </w:tabs>
        <w:rPr>
          <w:sz w:val="20"/>
          <w:szCs w:val="20"/>
          <w:color w:val="auto"/>
        </w:rPr>
      </w:pPr>
      <w:r>
        <w:rPr>
          <w:rFonts w:ascii="Arial" w:cs="Arial" w:eastAsia="Arial" w:hAnsi="Arial"/>
          <w:sz w:val="14"/>
          <w:szCs w:val="14"/>
          <w:color w:val="auto"/>
        </w:rPr>
        <w:t>expenses and capital expenditures requirements for the next</w:t>
      </w:r>
      <w:r>
        <w:rPr>
          <w:sz w:val="20"/>
          <w:szCs w:val="20"/>
          <w:color w:val="auto"/>
        </w:rPr>
        <w:tab/>
      </w:r>
      <w:r>
        <w:rPr>
          <w:rFonts w:ascii="Arial" w:cs="Arial" w:eastAsia="Arial" w:hAnsi="Arial"/>
          <w:sz w:val="14"/>
          <w:szCs w:val="14"/>
          <w:color w:val="auto"/>
        </w:rPr>
        <w:t>months after this filing.</w:t>
      </w:r>
    </w:p>
    <w:p>
      <w:pPr>
        <w:spacing w:after="0" w:line="130"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74" w:lineRule="exact"/>
        <w:rPr>
          <w:sz w:val="20"/>
          <w:szCs w:val="20"/>
          <w:color w:val="auto"/>
        </w:rPr>
      </w:pPr>
    </w:p>
    <w:p>
      <w:pPr>
        <w:jc w:val="both"/>
        <w:ind w:left="1220" w:right="1259"/>
        <w:spacing w:after="0" w:line="293"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95"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285"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If we raise additional funds through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 Because of the numerous risks and uncertainties associated with product development, we are unable to predict the timing or amount of increased expenses or when or if we will be able to achieve or maintain profitability.</w:t>
      </w:r>
    </w:p>
    <w:p>
      <w:pPr>
        <w:spacing w:after="0" w:line="91" w:lineRule="exact"/>
        <w:rPr>
          <w:sz w:val="20"/>
          <w:szCs w:val="20"/>
          <w:color w:val="auto"/>
        </w:rPr>
      </w:pPr>
    </w:p>
    <w:p>
      <w:pPr>
        <w:ind w:left="1220" w:right="1439"/>
        <w:spacing w:after="0" w:line="313" w:lineRule="auto"/>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82"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The net operating losses of Prior Century carried over to us as a result of the merger of Prior Century with and into us on February 25, 2021 in the amount of approximately $5.0 million of federal net operating loss carryforwards, and approximately $9.5 million of state and local net operating loss carryforwards. 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believe that Prior Century or we may have experienced an ownership change in the past, which may affect our ability to utilize our net operating loss carryforwards. In addition, we may experience ownership changes in the future as a result of this offering or subsequent shifts in our stock</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 w:name="page19"/>
    <w:bookmarkEnd w:id="1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519"/>
        <w:spacing w:after="0" w:line="290" w:lineRule="auto"/>
        <w:rPr>
          <w:sz w:val="20"/>
          <w:szCs w:val="20"/>
          <w:color w:val="auto"/>
        </w:rPr>
      </w:pPr>
      <w:r>
        <w:rPr>
          <w:rFonts w:ascii="Arial" w:cs="Arial" w:eastAsia="Arial" w:hAnsi="Arial"/>
          <w:sz w:val="14"/>
          <w:szCs w:val="14"/>
          <w:color w:val="auto"/>
        </w:rPr>
        <w:t>ownership, some of which are outside our control. Similar limitations will apply to our ability to carry forward any unused tax credits to offset future taxable income.</w:t>
      </w:r>
    </w:p>
    <w:p>
      <w:pPr>
        <w:spacing w:after="0" w:line="70" w:lineRule="exact"/>
        <w:rPr>
          <w:sz w:val="20"/>
          <w:szCs w:val="20"/>
          <w:color w:val="auto"/>
        </w:rPr>
      </w:pPr>
    </w:p>
    <w:p>
      <w:pPr>
        <w:ind w:left="1220" w:right="1579"/>
        <w:spacing w:after="0" w:line="293" w:lineRule="auto"/>
        <w:rPr>
          <w:sz w:val="20"/>
          <w:szCs w:val="20"/>
          <w:color w:val="auto"/>
        </w:rPr>
      </w:pPr>
      <w:r>
        <w:rPr>
          <w:rFonts w:ascii="Arial" w:cs="Arial" w:eastAsia="Arial" w:hAnsi="Arial"/>
          <w:sz w:val="14"/>
          <w:szCs w:val="14"/>
          <w:b w:val="1"/>
          <w:bCs w:val="1"/>
          <w:i w:val="1"/>
          <w:iCs w:val="1"/>
          <w:color w:val="auto"/>
        </w:rPr>
        <w:t>Our Option Agreement with Bayer HealthCare LLC may require us to sell certain of our product candidates, which may limit the value we could generate from our product candidates.</w:t>
      </w:r>
    </w:p>
    <w:p>
      <w:pPr>
        <w:spacing w:after="0" w:line="95"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 may exercise its ROFR for up to four of the first ten Research Products for which an IND is submitted, subject to certain limitations.</w:t>
      </w:r>
    </w:p>
    <w:p>
      <w:pPr>
        <w:spacing w:after="0" w:line="292"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For a more complete description of the Option Agreement, please see the section titled “Business —Licensing Partnerships and Collaborations—Bayer HealthCare LLC” in this prospectus.</w:t>
      </w:r>
    </w:p>
    <w:p>
      <w:pPr>
        <w:spacing w:after="0" w:line="8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93" w:lineRule="exact"/>
        <w:rPr>
          <w:sz w:val="20"/>
          <w:szCs w:val="20"/>
          <w:color w:val="auto"/>
        </w:rPr>
      </w:pPr>
    </w:p>
    <w:p>
      <w:pPr>
        <w:ind w:left="1220" w:right="1239"/>
        <w:spacing w:after="0" w:line="313" w:lineRule="auto"/>
        <w:rPr>
          <w:sz w:val="20"/>
          <w:szCs w:val="20"/>
          <w:color w:val="auto"/>
        </w:rPr>
      </w:pPr>
      <w:r>
        <w:rPr>
          <w:rFonts w:ascii="Arial" w:cs="Arial" w:eastAsia="Arial" w:hAnsi="Arial"/>
          <w:sz w:val="14"/>
          <w:szCs w:val="14"/>
          <w:b w:val="1"/>
          <w:bCs w:val="1"/>
          <w:i w:val="1"/>
          <w:iCs w:val="1"/>
          <w:color w:val="auto"/>
        </w:rPr>
        <w:t>Unstable market and economic conditions may have serious adverse consequences on our business, financial condition, and stock price.</w:t>
      </w:r>
    </w:p>
    <w:p>
      <w:pPr>
        <w:spacing w:after="0" w:line="82"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Global financial markets have experienced, as a result of the COVID-19 pandemic, and have in the past experienced, extreme volatility and disruptions,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8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companies, including very recently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 w:name="page20"/>
    <w:bookmarkEnd w:id="1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7" w:lineRule="exact"/>
        <w:rPr>
          <w:sz w:val="20"/>
          <w:szCs w:val="20"/>
          <w:color w:val="auto"/>
        </w:rPr>
      </w:pPr>
    </w:p>
    <w:p>
      <w:pPr>
        <w:ind w:left="1220" w:right="1279"/>
        <w:spacing w:after="0" w:line="293" w:lineRule="auto"/>
        <w:rPr>
          <w:sz w:val="20"/>
          <w:szCs w:val="20"/>
          <w:color w:val="auto"/>
        </w:rPr>
      </w:pPr>
      <w:r>
        <w:rPr>
          <w:rFonts w:ascii="Arial" w:cs="Arial" w:eastAsia="Arial" w:hAnsi="Arial"/>
          <w:sz w:val="14"/>
          <w:szCs w:val="14"/>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95"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We are very early in our development efforts and all of our product candidates are still in preclinical development. We expect to file an IND for our lead product candidate CNTY-101, in mid 2022 and we expect to file an IND for CNTY-103 in the first half of 2023.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288" w:lineRule="exact"/>
        <w:rPr>
          <w:sz w:val="20"/>
          <w:szCs w:val="20"/>
          <w:color w:val="auto"/>
        </w:rPr>
      </w:pPr>
    </w:p>
    <w:p>
      <w:pPr>
        <w:ind w:left="1220" w:right="1459"/>
        <w:spacing w:after="0" w:line="276" w:lineRule="auto"/>
        <w:rPr>
          <w:sz w:val="20"/>
          <w:szCs w:val="20"/>
          <w:color w:val="auto"/>
        </w:rPr>
      </w:pPr>
      <w:r>
        <w:rPr>
          <w:rFonts w:ascii="Arial" w:cs="Arial" w:eastAsia="Arial" w:hAnsi="Arial"/>
          <w:sz w:val="14"/>
          <w:szCs w:val="14"/>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FDA, or certain other foreign regulatory agencies before we may commercialize our product candidates.</w:t>
      </w:r>
    </w:p>
    <w:p>
      <w:pPr>
        <w:spacing w:after="0" w:line="98"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The clinical and commercial success of our product candidates will depend on several factors, including the following:</w:t>
      </w:r>
    </w:p>
    <w:p>
      <w:pPr>
        <w:spacing w:after="0" w:line="64" w:lineRule="exact"/>
        <w:rPr>
          <w:sz w:val="20"/>
          <w:szCs w:val="20"/>
          <w:color w:val="auto"/>
        </w:rPr>
      </w:pPr>
    </w:p>
    <w:p>
      <w:pPr>
        <w:ind w:left="1340" w:right="155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timely and successful completion of preclinical studies, including toxicology studies, biodistribution studies, and minimally efficacious dose studies in animals, where applicable;</w:t>
      </w:r>
    </w:p>
    <w:p>
      <w:pPr>
        <w:spacing w:after="0" w:line="74"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INDs or comparable foreign applications that allow commencement of our planned clinical trials or future clinical trials for our product candidates;</w:t>
      </w:r>
    </w:p>
    <w:p>
      <w:pPr>
        <w:spacing w:after="0" w:line="64" w:lineRule="exact"/>
        <w:rPr>
          <w:rFonts w:ascii="Arial" w:cs="Arial" w:eastAsia="Arial" w:hAnsi="Arial"/>
          <w:sz w:val="14"/>
          <w:szCs w:val="14"/>
          <w:color w:val="auto"/>
        </w:rPr>
      </w:pPr>
    </w:p>
    <w:p>
      <w:pPr>
        <w:ind w:left="1340" w:right="137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successful enrollment and completion of clinical trials, including under the FDA’s current Good Clinical Practices, or cGCPs, and current Good Laboratory Practices, or GLPs;</w:t>
      </w:r>
    </w:p>
    <w:p>
      <w:pPr>
        <w:spacing w:after="0" w:line="64" w:lineRule="exact"/>
        <w:rPr>
          <w:rFonts w:ascii="Arial" w:cs="Arial" w:eastAsia="Arial" w:hAnsi="Arial"/>
          <w:sz w:val="14"/>
          <w:szCs w:val="14"/>
          <w:color w:val="auto"/>
        </w:rPr>
      </w:pPr>
    </w:p>
    <w:p>
      <w:pPr>
        <w:ind w:left="1340" w:right="1479" w:hanging="116"/>
        <w:spacing w:after="0" w:line="295"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positive results from our future clinical programs that support a finding of safety and effectiveness and an acceptable risk-benefit profile of our product candidates in the intended populations;</w:t>
      </w:r>
    </w:p>
    <w:p>
      <w:pPr>
        <w:spacing w:after="0" w:line="240" w:lineRule="exact"/>
        <w:rPr>
          <w:rFonts w:ascii="Arial" w:cs="Arial" w:eastAsia="Arial" w:hAnsi="Arial"/>
          <w:sz w:val="14"/>
          <w:szCs w:val="14"/>
          <w:color w:val="auto"/>
        </w:rPr>
      </w:pPr>
    </w:p>
    <w:p>
      <w:pPr>
        <w:ind w:left="1340" w:hanging="116"/>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receipt of marketing approvals from applicable regulatory authorities;</w:t>
      </w:r>
    </w:p>
    <w:p>
      <w:pPr>
        <w:spacing w:after="0" w:line="108" w:lineRule="exact"/>
        <w:rPr>
          <w:rFonts w:ascii="Arial" w:cs="Arial" w:eastAsia="Arial" w:hAnsi="Arial"/>
          <w:sz w:val="14"/>
          <w:szCs w:val="14"/>
          <w:color w:val="auto"/>
        </w:rPr>
      </w:pPr>
    </w:p>
    <w:p>
      <w:pPr>
        <w:ind w:left="1340" w:right="123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establishment of arrangements with CMOs for clinical supply and, where applicable, commercial manufacturing capabilities;</w:t>
      </w:r>
    </w:p>
    <w:p>
      <w:pPr>
        <w:spacing w:after="0" w:line="64" w:lineRule="exact"/>
        <w:rPr>
          <w:rFonts w:ascii="Arial" w:cs="Arial" w:eastAsia="Arial" w:hAnsi="Arial"/>
          <w:sz w:val="14"/>
          <w:szCs w:val="14"/>
          <w:color w:val="auto"/>
        </w:rPr>
      </w:pPr>
    </w:p>
    <w:p>
      <w:pPr>
        <w:ind w:left="1340" w:right="181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establishment and maintenance of patent and trade secret protection, and/or regulatory exclusivity for our product candidates;</w:t>
      </w:r>
    </w:p>
    <w:p>
      <w:pPr>
        <w:spacing w:after="0" w:line="64"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commercial launch of our product candidates, if approved, whether alone or in collaboration with others;</w:t>
      </w:r>
    </w:p>
    <w:p>
      <w:pPr>
        <w:spacing w:after="0" w:line="64" w:lineRule="exact"/>
        <w:rPr>
          <w:rFonts w:ascii="Arial" w:cs="Arial" w:eastAsia="Arial" w:hAnsi="Arial"/>
          <w:sz w:val="14"/>
          <w:szCs w:val="14"/>
          <w:color w:val="auto"/>
        </w:rPr>
      </w:pPr>
    </w:p>
    <w:p>
      <w:pPr>
        <w:ind w:left="1340" w:right="1699" w:hanging="116"/>
        <w:spacing w:after="0" w:line="281"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acceptance of the benefits and use of our product candidates, including method of administration, if and when approved, by patients, the medical community, and third-party payors;</w:t>
      </w:r>
    </w:p>
    <w:p>
      <w:pPr>
        <w:spacing w:after="0" w:line="81" w:lineRule="exact"/>
        <w:rPr>
          <w:rFonts w:ascii="Arial" w:cs="Arial" w:eastAsia="Arial" w:hAnsi="Arial"/>
          <w:sz w:val="14"/>
          <w:szCs w:val="14"/>
          <w:color w:val="auto"/>
        </w:rPr>
      </w:pPr>
    </w:p>
    <w:p>
      <w:pPr>
        <w:ind w:left="1340" w:hanging="116"/>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competition with other therapies;</w:t>
      </w:r>
    </w:p>
    <w:p>
      <w:pPr>
        <w:spacing w:after="0" w:line="108" w:lineRule="exact"/>
        <w:rPr>
          <w:rFonts w:ascii="Arial" w:cs="Arial" w:eastAsia="Arial" w:hAnsi="Arial"/>
          <w:sz w:val="14"/>
          <w:szCs w:val="14"/>
          <w:color w:val="auto"/>
        </w:rPr>
      </w:pPr>
    </w:p>
    <w:p>
      <w:pPr>
        <w:ind w:left="1340" w:right="1659" w:hanging="116"/>
        <w:spacing w:after="0" w:line="281"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establishment and maintenance of healthcare coverage and adequate reimbursement and patients’ willingness to pay out-of-pocket in the absence of such coverage and adequate reimbursement;</w:t>
      </w:r>
    </w:p>
    <w:p>
      <w:pPr>
        <w:spacing w:after="0" w:line="71"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establishment of a physician training system and network for administration of our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enforcement and defense of intellectual property rights and claims; and</w:t>
      </w:r>
    </w:p>
    <w:p>
      <w:pPr>
        <w:spacing w:after="0" w:line="108"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maintenance of a continued acceptable safety, tolerability, and efficacy profile of our product candidates following approval.</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 w:name="page21"/>
    <w:bookmarkEnd w:id="2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61" w:lineRule="auto"/>
        <w:rPr>
          <w:sz w:val="20"/>
          <w:szCs w:val="20"/>
          <w:color w:val="auto"/>
        </w:rPr>
      </w:pPr>
      <w:r>
        <w:rPr>
          <w:rFonts w:ascii="Arial" w:cs="Arial" w:eastAsia="Arial" w:hAnsi="Arial"/>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80" w:lineRule="exact"/>
        <w:rPr>
          <w:sz w:val="20"/>
          <w:szCs w:val="20"/>
          <w:color w:val="auto"/>
        </w:rPr>
      </w:pPr>
    </w:p>
    <w:p>
      <w:pPr>
        <w:ind w:left="1220" w:right="1279"/>
        <w:spacing w:after="0" w:line="297" w:lineRule="auto"/>
        <w:rPr>
          <w:sz w:val="20"/>
          <w:szCs w:val="20"/>
          <w:color w:val="auto"/>
        </w:rPr>
      </w:pPr>
      <w:r>
        <w:rPr>
          <w:rFonts w:ascii="Arial" w:cs="Arial" w:eastAsia="Arial" w:hAnsi="Arial"/>
          <w:sz w:val="14"/>
          <w:szCs w:val="14"/>
          <w:b w:val="1"/>
          <w:bCs w:val="1"/>
          <w:i w:val="1"/>
          <w:iCs w:val="1"/>
          <w:color w:val="auto"/>
        </w:rPr>
        <w:t>Our business is highly dependent on the success of our lead product candidate, CNTY-101 and our other product candidates.</w:t>
      </w:r>
    </w:p>
    <w:p>
      <w:pPr>
        <w:spacing w:after="0" w:line="92"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We cannot guarantee that an IND application will be cleared by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114" w:lineRule="exact"/>
        <w:rPr>
          <w:sz w:val="20"/>
          <w:szCs w:val="20"/>
          <w:color w:val="auto"/>
        </w:rPr>
      </w:pPr>
    </w:p>
    <w:p>
      <w:pPr>
        <w:ind w:left="1220" w:right="1259"/>
        <w:spacing w:after="0" w:line="280" w:lineRule="auto"/>
        <w:rPr>
          <w:sz w:val="20"/>
          <w:szCs w:val="20"/>
          <w:color w:val="auto"/>
        </w:rPr>
      </w:pPr>
      <w:r>
        <w:rPr>
          <w:rFonts w:ascii="Arial" w:cs="Arial" w:eastAsia="Arial" w:hAnsi="Arial"/>
          <w:sz w:val="14"/>
          <w:szCs w:val="14"/>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274"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272" w:lineRule="exact"/>
        <w:rPr>
          <w:sz w:val="20"/>
          <w:szCs w:val="20"/>
          <w:color w:val="auto"/>
        </w:rPr>
      </w:pPr>
    </w:p>
    <w:p>
      <w:pPr>
        <w:ind w:left="1220" w:right="1739"/>
        <w:spacing w:after="0" w:line="313" w:lineRule="auto"/>
        <w:rPr>
          <w:sz w:val="20"/>
          <w:szCs w:val="20"/>
          <w:color w:val="auto"/>
        </w:rPr>
      </w:pPr>
      <w:r>
        <w:rPr>
          <w:rFonts w:ascii="Arial" w:cs="Arial" w:eastAsia="Arial" w:hAnsi="Arial"/>
          <w:sz w:val="14"/>
          <w:szCs w:val="14"/>
          <w:b w:val="1"/>
          <w:bCs w:val="1"/>
          <w:i w:val="1"/>
          <w:iCs w:val="1"/>
          <w:color w:val="auto"/>
        </w:rPr>
        <w:t>Our business depends upon the success of our iPSC-derived allogeneic cell therapy platforms.</w:t>
      </w:r>
    </w:p>
    <w:p>
      <w:pPr>
        <w:spacing w:after="0" w:line="8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286"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 w:name="page22"/>
    <w:bookmarkEnd w:id="2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79" w:lineRule="exact"/>
        <w:rPr>
          <w:sz w:val="20"/>
          <w:szCs w:val="20"/>
          <w:color w:val="auto"/>
        </w:rPr>
      </w:pPr>
    </w:p>
    <w:p>
      <w:pPr>
        <w:jc w:val="both"/>
        <w:ind w:left="1220" w:right="1579"/>
        <w:spacing w:after="0" w:line="277" w:lineRule="auto"/>
        <w:rPr>
          <w:sz w:val="20"/>
          <w:szCs w:val="20"/>
          <w:color w:val="auto"/>
        </w:rPr>
      </w:pPr>
      <w:r>
        <w:rPr>
          <w:rFonts w:ascii="Arial" w:cs="Arial" w:eastAsia="Arial" w:hAnsi="Arial"/>
          <w:sz w:val="14"/>
          <w:szCs w:val="14"/>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9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have concentrated our research and development efforts on developing CAR-iNK and CAR-iT cell therapies. To date, the FDA has only approved 19 cell-based therapies for commercialization.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259" w:lineRule="exact"/>
        <w:rPr>
          <w:sz w:val="20"/>
          <w:szCs w:val="20"/>
          <w:color w:val="auto"/>
        </w:rPr>
      </w:pPr>
    </w:p>
    <w:p>
      <w:pPr>
        <w:ind w:left="1340" w:right="123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developing a manufacturing process to produce our cells on a large scale and in a cost-effective manner;</w:t>
      </w:r>
    </w:p>
    <w:p>
      <w:pPr>
        <w:spacing w:after="0" w:line="53"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educating medical personnel regarding the potential side-effect profile of our cells and, as the clinical program progresses, on any observed side effects with the therapy;</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unanticipated technical limitations of our CRISPR-MAD7 gene editing technology; and</w:t>
      </w:r>
    </w:p>
    <w:p>
      <w:pPr>
        <w:spacing w:after="0" w:line="97"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establishing sales and marketing capabilities, as well as developing a distribution network to support the commercialization of any approved products.</w:t>
      </w:r>
    </w:p>
    <w:p>
      <w:pPr>
        <w:spacing w:after="0" w:line="86" w:lineRule="exact"/>
        <w:rPr>
          <w:sz w:val="20"/>
          <w:szCs w:val="20"/>
          <w:color w:val="auto"/>
        </w:rPr>
      </w:pPr>
    </w:p>
    <w:p>
      <w:pPr>
        <w:ind w:left="1220" w:right="1499"/>
        <w:spacing w:after="0" w:line="274" w:lineRule="auto"/>
        <w:rPr>
          <w:sz w:val="20"/>
          <w:szCs w:val="20"/>
          <w:color w:val="auto"/>
        </w:rPr>
      </w:pPr>
      <w:r>
        <w:rPr>
          <w:rFonts w:ascii="Arial" w:cs="Arial" w:eastAsia="Arial" w:hAnsi="Arial"/>
          <w:sz w:val="14"/>
          <w:szCs w:val="14"/>
          <w:color w:val="auto"/>
        </w:rPr>
        <w:t>We must be able to overcome these challenges in order for us to develop, commercialize, and manufacture our product candidates utilizing CAR-iNK and CAR-iT cells.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have not yet demonstrated long-term stability of cryopreserved CAR-iNK cells.</w:t>
      </w:r>
    </w:p>
    <w:p>
      <w:pPr>
        <w:spacing w:after="0" w:line="13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309" w:lineRule="exact"/>
        <w:rPr>
          <w:sz w:val="20"/>
          <w:szCs w:val="20"/>
          <w:color w:val="auto"/>
        </w:rPr>
      </w:pPr>
    </w:p>
    <w:p>
      <w:pPr>
        <w:ind w:left="1220" w:right="1279"/>
        <w:spacing w:after="0" w:line="245" w:lineRule="auto"/>
        <w:rPr>
          <w:sz w:val="20"/>
          <w:szCs w:val="20"/>
          <w:color w:val="auto"/>
        </w:rPr>
      </w:pPr>
      <w:r>
        <w:rPr>
          <w:rFonts w:ascii="Arial" w:cs="Arial" w:eastAsia="Arial" w:hAnsi="Arial"/>
          <w:sz w:val="14"/>
          <w:szCs w:val="14"/>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95"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 w:name="page23"/>
    <w:bookmarkEnd w:id="2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color w:val="auto"/>
        </w:rPr>
        <w:t>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93"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06"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310"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b w:val="1"/>
          <w:bCs w:val="1"/>
          <w:i w:val="1"/>
          <w:iCs w:val="1"/>
          <w:color w:val="auto"/>
        </w:rPr>
        <w:t>Our product candidates for which we intend to seek approval as biologic products may face competition sooner than anticipated.</w:t>
      </w:r>
    </w:p>
    <w:p>
      <w:pPr>
        <w:spacing w:after="0" w:line="81"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57"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1" w:lineRule="exact"/>
        <w:rPr>
          <w:sz w:val="20"/>
          <w:szCs w:val="20"/>
          <w:color w:val="auto"/>
        </w:rPr>
      </w:pPr>
    </w:p>
    <w:p>
      <w:pPr>
        <w:ind w:left="1220" w:right="1659"/>
        <w:spacing w:after="0" w:line="261" w:lineRule="auto"/>
        <w:rPr>
          <w:sz w:val="20"/>
          <w:szCs w:val="20"/>
          <w:color w:val="auto"/>
        </w:rPr>
      </w:pPr>
      <w:r>
        <w:rPr>
          <w:rFonts w:ascii="Arial" w:cs="Arial" w:eastAsia="Arial" w:hAnsi="Arial"/>
          <w:sz w:val="14"/>
          <w:szCs w:val="14"/>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96" w:lineRule="exact"/>
        <w:rPr>
          <w:sz w:val="20"/>
          <w:szCs w:val="20"/>
          <w:color w:val="auto"/>
        </w:rPr>
      </w:pPr>
    </w:p>
    <w:p>
      <w:pPr>
        <w:jc w:val="both"/>
        <w:ind w:left="1220" w:right="1479"/>
        <w:spacing w:after="0" w:line="265" w:lineRule="auto"/>
        <w:rPr>
          <w:sz w:val="20"/>
          <w:szCs w:val="20"/>
          <w:color w:val="auto"/>
        </w:rPr>
      </w:pPr>
      <w:r>
        <w:rPr>
          <w:rFonts w:ascii="Arial" w:cs="Arial" w:eastAsia="Arial" w:hAnsi="Arial"/>
          <w:sz w:val="14"/>
          <w:szCs w:val="14"/>
          <w:color w:val="auto"/>
        </w:rPr>
        <w:t>The increased likelihood of biosimilar competition has increased the risk of loss of innovators’ market exclusivity. Due to this risk, and uncertainties regarding patent protection, if our clinical candidates are approved for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 w:name="page24"/>
    <w:bookmarkEnd w:id="2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35" w:lineRule="exact"/>
        <w:rPr>
          <w:sz w:val="20"/>
          <w:szCs w:val="20"/>
          <w:color w:val="auto"/>
        </w:rPr>
      </w:pPr>
    </w:p>
    <w:p>
      <w:pPr>
        <w:ind w:left="1220" w:right="1399"/>
        <w:spacing w:after="0" w:line="239" w:lineRule="auto"/>
        <w:rPr>
          <w:sz w:val="20"/>
          <w:szCs w:val="20"/>
          <w:color w:val="auto"/>
        </w:rPr>
      </w:pPr>
      <w:r>
        <w:rPr>
          <w:rFonts w:ascii="Arial" w:cs="Arial" w:eastAsia="Arial" w:hAnsi="Arial"/>
          <w:sz w:val="14"/>
          <w:szCs w:val="14"/>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98"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0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280"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will ultimately be successful or support clinical development of our current or any of our future product candidates.</w:t>
      </w:r>
    </w:p>
    <w:p>
      <w:pPr>
        <w:spacing w:after="0" w:line="98"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85" w:lineRule="exact"/>
        <w:rPr>
          <w:sz w:val="20"/>
          <w:szCs w:val="20"/>
          <w:color w:val="auto"/>
        </w:rPr>
      </w:pPr>
    </w:p>
    <w:p>
      <w:pPr>
        <w:ind w:left="1340" w:right="1679" w:hanging="116"/>
        <w:spacing w:after="0" w:line="281"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the FDA, or ethics committees may not authorize us or our investigators to commence a clinical trial or conduct a clinical trial at a prospective trial site;</w:t>
      </w:r>
    </w:p>
    <w:p>
      <w:pPr>
        <w:spacing w:after="0" w:line="60"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71" w:lineRule="exact"/>
        <w:rPr>
          <w:rFonts w:ascii="Arial" w:cs="Arial" w:eastAsia="Arial" w:hAnsi="Arial"/>
          <w:sz w:val="14"/>
          <w:szCs w:val="14"/>
          <w:color w:val="auto"/>
        </w:rPr>
      </w:pPr>
    </w:p>
    <w:p>
      <w:pPr>
        <w:ind w:left="1340" w:hanging="116"/>
        <w:spacing w:after="0"/>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clinical trial sites deviating from trial protocol or dropping out of a trial;</w:t>
      </w:r>
    </w:p>
    <w:p>
      <w:pPr>
        <w:spacing w:after="0" w:line="108" w:lineRule="exact"/>
        <w:rPr>
          <w:rFonts w:ascii="Arial" w:cs="Arial" w:eastAsia="Arial" w:hAnsi="Arial"/>
          <w:sz w:val="14"/>
          <w:szCs w:val="14"/>
          <w:color w:val="auto"/>
        </w:rPr>
      </w:pPr>
    </w:p>
    <w:p>
      <w:pPr>
        <w:ind w:left="1340" w:right="1339" w:hanging="116"/>
        <w:spacing w:after="0" w:line="283"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250" w:lineRule="exact"/>
        <w:rPr>
          <w:rFonts w:ascii="Arial" w:cs="Arial" w:eastAsia="Arial" w:hAnsi="Arial"/>
          <w:sz w:val="14"/>
          <w:szCs w:val="14"/>
          <w:color w:val="auto"/>
        </w:rPr>
      </w:pPr>
    </w:p>
    <w:p>
      <w:pPr>
        <w:ind w:left="1340" w:right="1359" w:hanging="116"/>
        <w:spacing w:after="0" w:line="278"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 w:name="page25"/>
    <w:bookmarkEnd w:id="2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59" w:hanging="116"/>
        <w:spacing w:after="0" w:line="283"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50" w:lineRule="exact"/>
        <w:rPr>
          <w:rFonts w:ascii="Arial" w:cs="Arial" w:eastAsia="Arial" w:hAnsi="Arial"/>
          <w:sz w:val="14"/>
          <w:szCs w:val="14"/>
          <w:color w:val="auto"/>
        </w:rPr>
      </w:pPr>
    </w:p>
    <w:p>
      <w:pPr>
        <w:ind w:left="1340" w:right="1479" w:hanging="116"/>
        <w:spacing w:after="0" w:line="278"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clinical trials of any of our product candidates may be greater than we anticipate;</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quality of our product candidates or other materials necessary to conduct clinical trials of our product candidates may be inadequate to initiate or complete a given clinical trial;</w:t>
      </w:r>
    </w:p>
    <w:p>
      <w:pPr>
        <w:spacing w:after="0" w:line="64" w:lineRule="exact"/>
        <w:rPr>
          <w:rFonts w:ascii="Arial" w:cs="Arial" w:eastAsia="Arial" w:hAnsi="Arial"/>
          <w:sz w:val="14"/>
          <w:szCs w:val="14"/>
          <w:color w:val="auto"/>
        </w:rPr>
      </w:pPr>
    </w:p>
    <w:p>
      <w:pPr>
        <w:ind w:left="1340" w:right="1579" w:hanging="116"/>
        <w:spacing w:after="0" w:line="265"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inability to manufacture sufficient quantities of our product candidates for use in clinical trials;</w:t>
      </w:r>
    </w:p>
    <w:p>
      <w:pPr>
        <w:spacing w:after="0" w:line="275"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reports from clinical testing of other therapies may raise safety or efficacy concerns about our product candidates;</w:t>
      </w:r>
    </w:p>
    <w:p>
      <w:pPr>
        <w:spacing w:after="0" w:line="64" w:lineRule="exact"/>
        <w:rPr>
          <w:rFonts w:ascii="Arial" w:cs="Arial" w:eastAsia="Arial" w:hAnsi="Arial"/>
          <w:sz w:val="14"/>
          <w:szCs w:val="14"/>
          <w:color w:val="auto"/>
        </w:rPr>
      </w:pPr>
    </w:p>
    <w:p>
      <w:pPr>
        <w:jc w:val="both"/>
        <w:ind w:left="1340" w:right="1299" w:hanging="116"/>
        <w:spacing w:after="0" w:line="281"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81" w:lineRule="exact"/>
        <w:rPr>
          <w:rFonts w:ascii="Arial" w:cs="Arial" w:eastAsia="Arial" w:hAnsi="Arial"/>
          <w:sz w:val="14"/>
          <w:szCs w:val="14"/>
          <w:color w:val="auto"/>
        </w:rPr>
      </w:pPr>
    </w:p>
    <w:p>
      <w:pPr>
        <w:ind w:left="1340" w:right="1259" w:hanging="116"/>
        <w:spacing w:after="0" w:line="295"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FDA or applicable foreign regulatory agencies may require us to submit additional data such as long-term toxicology studies, or impose other requirements before permitting us to initiate a clinical trial.</w:t>
      </w:r>
    </w:p>
    <w:p>
      <w:pPr>
        <w:spacing w:after="0" w:line="262"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that may be approved for the indications being investigated by us.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114"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86"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 w:name="page26"/>
    <w:bookmarkEnd w:id="2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34" w:lineRule="exact"/>
        <w:rPr>
          <w:sz w:val="20"/>
          <w:szCs w:val="20"/>
          <w:color w:val="auto"/>
        </w:rPr>
      </w:pPr>
    </w:p>
    <w:p>
      <w:pPr>
        <w:ind w:left="1220" w:right="1319"/>
        <w:spacing w:after="0"/>
        <w:rPr>
          <w:sz w:val="20"/>
          <w:szCs w:val="20"/>
          <w:color w:val="auto"/>
        </w:rPr>
      </w:pPr>
      <w:r>
        <w:rPr>
          <w:rFonts w:ascii="Arial" w:cs="Arial" w:eastAsia="Arial" w:hAnsi="Arial"/>
          <w:sz w:val="14"/>
          <w:szCs w:val="14"/>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23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306" w:lineRule="exact"/>
        <w:rPr>
          <w:sz w:val="20"/>
          <w:szCs w:val="20"/>
          <w:color w:val="auto"/>
        </w:rPr>
      </w:pPr>
    </w:p>
    <w:p>
      <w:pPr>
        <w:ind w:left="1220" w:right="1539"/>
        <w:spacing w:after="0" w:line="239"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87"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286"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0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306"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b w:val="1"/>
          <w:bCs w:val="1"/>
          <w:i w:val="1"/>
          <w:iCs w:val="1"/>
          <w:color w:val="auto"/>
        </w:rPr>
        <w:t>We may not be able to file our INDs to commence clinical trials on the timelines we expect, and even if we are able to, the FDA may not permit us to proceed.</w:t>
      </w:r>
    </w:p>
    <w:p>
      <w:pPr>
        <w:spacing w:after="0" w:line="70"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We expect our pipeline to yield multiple INDs, including INDs for our CNTY-101, CNTY-103, and CNTY-102 product candidates from our iPSC-derived allogeneic cell therapy platforms. We cannot be sure that submission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 w:name="page27"/>
    <w:bookmarkEnd w:id="2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of an IND will result in the FDA allowing testing and clinical trials to begin, or that, once begun, issues will not arise that suspend or terminate such clinical trials. The manufacturing of our product candidates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306" w:lineRule="exact"/>
        <w:rPr>
          <w:sz w:val="20"/>
          <w:szCs w:val="20"/>
          <w:color w:val="auto"/>
        </w:rPr>
      </w:pPr>
    </w:p>
    <w:p>
      <w:pPr>
        <w:ind w:left="1220" w:right="1259"/>
        <w:spacing w:after="0" w:line="233" w:lineRule="auto"/>
        <w:rPr>
          <w:sz w:val="20"/>
          <w:szCs w:val="20"/>
          <w:color w:val="auto"/>
        </w:rPr>
      </w:pPr>
      <w:r>
        <w:rPr>
          <w:rFonts w:ascii="Arial" w:cs="Arial" w:eastAsia="Arial" w:hAnsi="Arial"/>
          <w:sz w:val="14"/>
          <w:szCs w:val="14"/>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98"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306" w:lineRule="exact"/>
        <w:rPr>
          <w:sz w:val="20"/>
          <w:szCs w:val="20"/>
          <w:color w:val="auto"/>
        </w:rPr>
      </w:pPr>
    </w:p>
    <w:p>
      <w:pPr>
        <w:ind w:left="1220" w:right="1519"/>
        <w:spacing w:after="0" w:line="245" w:lineRule="auto"/>
        <w:rPr>
          <w:sz w:val="20"/>
          <w:szCs w:val="20"/>
          <w:color w:val="auto"/>
        </w:rPr>
      </w:pPr>
      <w:r>
        <w:rPr>
          <w:rFonts w:ascii="Arial" w:cs="Arial" w:eastAsia="Arial" w:hAnsi="Arial"/>
          <w:sz w:val="14"/>
          <w:szCs w:val="14"/>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w:t>
      </w:r>
    </w:p>
    <w:p>
      <w:pPr>
        <w:spacing w:after="0" w:line="306" w:lineRule="exact"/>
        <w:rPr>
          <w:sz w:val="20"/>
          <w:szCs w:val="20"/>
          <w:color w:val="auto"/>
        </w:rPr>
      </w:pPr>
    </w:p>
    <w:p>
      <w:pPr>
        <w:jc w:val="both"/>
        <w:ind w:left="1220" w:right="1639"/>
        <w:spacing w:after="0" w:line="245" w:lineRule="auto"/>
        <w:rPr>
          <w:sz w:val="20"/>
          <w:szCs w:val="20"/>
          <w:color w:val="auto"/>
        </w:rPr>
      </w:pPr>
      <w:r>
        <w:rPr>
          <w:rFonts w:ascii="Arial" w:cs="Arial" w:eastAsia="Arial" w:hAnsi="Arial"/>
          <w:sz w:val="14"/>
          <w:szCs w:val="14"/>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0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 w:name="page28"/>
    <w:bookmarkEnd w:id="2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80" w:lineRule="exact"/>
        <w:rPr>
          <w:sz w:val="20"/>
          <w:szCs w:val="20"/>
          <w:color w:val="auto"/>
        </w:rPr>
      </w:pPr>
    </w:p>
    <w:p>
      <w:pPr>
        <w:ind w:left="1220" w:right="1279"/>
        <w:spacing w:after="0" w:line="270" w:lineRule="auto"/>
        <w:rPr>
          <w:sz w:val="20"/>
          <w:szCs w:val="20"/>
          <w:color w:val="auto"/>
        </w:rPr>
      </w:pPr>
      <w:r>
        <w:rPr>
          <w:rFonts w:ascii="Arial" w:cs="Arial" w:eastAsia="Arial" w:hAnsi="Arial"/>
          <w:sz w:val="14"/>
          <w:szCs w:val="14"/>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01"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06"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272" w:lineRule="exact"/>
        <w:rPr>
          <w:sz w:val="20"/>
          <w:szCs w:val="20"/>
          <w:color w:val="auto"/>
        </w:rPr>
      </w:pPr>
    </w:p>
    <w:p>
      <w:pPr>
        <w:ind w:left="1220" w:right="1299"/>
        <w:spacing w:after="0" w:line="258" w:lineRule="auto"/>
        <w:rPr>
          <w:sz w:val="20"/>
          <w:szCs w:val="20"/>
          <w:color w:val="auto"/>
        </w:rPr>
      </w:pPr>
      <w:r>
        <w:rPr>
          <w:rFonts w:ascii="Arial" w:cs="Arial" w:eastAsia="Arial" w:hAnsi="Arial"/>
          <w:sz w:val="14"/>
          <w:szCs w:val="14"/>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285"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254" w:lineRule="exact"/>
        <w:rPr>
          <w:sz w:val="20"/>
          <w:szCs w:val="20"/>
          <w:color w:val="auto"/>
        </w:rPr>
      </w:pPr>
    </w:p>
    <w:p>
      <w:pPr>
        <w:ind w:left="1340" w:right="1539" w:hanging="116"/>
        <w:spacing w:after="0" w:line="290"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authorities may request that we recall or withdraw the product from the market or may limit the approval of the product through labeling or other means;</w:t>
      </w:r>
    </w:p>
    <w:p>
      <w:pPr>
        <w:spacing w:after="0" w:line="53"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a “black box” warning or a contraindication or a precaution;</w:t>
      </w:r>
    </w:p>
    <w:p>
      <w:pPr>
        <w:spacing w:after="0" w:line="64" w:lineRule="exact"/>
        <w:rPr>
          <w:rFonts w:ascii="Arial" w:cs="Arial" w:eastAsia="Arial" w:hAnsi="Arial"/>
          <w:sz w:val="14"/>
          <w:szCs w:val="14"/>
          <w:color w:val="auto"/>
        </w:rPr>
      </w:pPr>
    </w:p>
    <w:p>
      <w:pPr>
        <w:ind w:left="1340" w:right="1679" w:hanging="116"/>
        <w:spacing w:after="0" w:line="290"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distributed or administered, conduct additional clinical trials, or change the labeling of the product;</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decide to recall or remove the product from the marketplace;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8" w:name="page29"/>
    <w:bookmarkEnd w:id="2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539" w:hanging="116"/>
        <w:spacing w:after="0" w:line="290" w:lineRule="auto"/>
        <w:tabs>
          <w:tab w:leader="none" w:pos="1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could be sued and/or held liable for injury caused to individuals exposed to or taking our product candidates;</w:t>
      </w:r>
    </w:p>
    <w:p>
      <w:pPr>
        <w:spacing w:after="0" w:line="31" w:lineRule="exact"/>
        <w:rPr>
          <w:rFonts w:ascii="Arial" w:cs="Arial" w:eastAsia="Arial" w:hAnsi="Arial"/>
          <w:sz w:val="14"/>
          <w:szCs w:val="14"/>
          <w:color w:val="auto"/>
        </w:rPr>
      </w:pPr>
    </w:p>
    <w:p>
      <w:pPr>
        <w:ind w:left="1340" w:hanging="116"/>
        <w:spacing w:after="0"/>
        <w:tabs>
          <w:tab w:leader="none" w:pos="1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damage to the public perception of the safety of CNTY-101 or our other product candidates; and</w:t>
      </w:r>
    </w:p>
    <w:p>
      <w:pPr>
        <w:spacing w:after="0" w:line="76" w:lineRule="exact"/>
        <w:rPr>
          <w:rFonts w:ascii="Arial" w:cs="Arial" w:eastAsia="Arial" w:hAnsi="Arial"/>
          <w:sz w:val="14"/>
          <w:szCs w:val="14"/>
          <w:color w:val="auto"/>
        </w:rPr>
      </w:pPr>
    </w:p>
    <w:p>
      <w:pPr>
        <w:ind w:left="1340" w:hanging="116"/>
        <w:spacing w:after="0"/>
        <w:tabs>
          <w:tab w:leader="none" w:pos="1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20"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34" w:lineRule="exact"/>
        <w:rPr>
          <w:sz w:val="20"/>
          <w:szCs w:val="20"/>
          <w:color w:val="auto"/>
        </w:rPr>
      </w:pPr>
    </w:p>
    <w:p>
      <w:pPr>
        <w:ind w:left="1220" w:right="1299"/>
        <w:spacing w:after="0" w:line="239" w:lineRule="auto"/>
        <w:rPr>
          <w:sz w:val="20"/>
          <w:szCs w:val="20"/>
          <w:color w:val="auto"/>
        </w:rPr>
      </w:pPr>
      <w:r>
        <w:rPr>
          <w:rFonts w:ascii="Arial" w:cs="Arial" w:eastAsia="Arial" w:hAnsi="Arial"/>
          <w:sz w:val="14"/>
          <w:szCs w:val="14"/>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98"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313" w:lineRule="exact"/>
        <w:rPr>
          <w:sz w:val="20"/>
          <w:szCs w:val="20"/>
          <w:color w:val="auto"/>
        </w:rPr>
      </w:pPr>
    </w:p>
    <w:p>
      <w:pPr>
        <w:ind w:left="1220" w:right="1819"/>
        <w:spacing w:after="0" w:line="265" w:lineRule="auto"/>
        <w:rPr>
          <w:sz w:val="20"/>
          <w:szCs w:val="20"/>
          <w:color w:val="auto"/>
        </w:rPr>
      </w:pPr>
      <w:r>
        <w:rPr>
          <w:rFonts w:ascii="Arial" w:cs="Arial" w:eastAsia="Arial" w:hAnsi="Arial"/>
          <w:sz w:val="14"/>
          <w:szCs w:val="14"/>
          <w:b w:val="1"/>
          <w:bCs w:val="1"/>
          <w:i w:val="1"/>
          <w:iCs w:val="1"/>
          <w:color w:val="auto"/>
        </w:rPr>
        <w:t>Our research and development activities could be affected or delayed as a result of possible restrictions on animal testing.</w:t>
      </w:r>
    </w:p>
    <w:p>
      <w:pPr>
        <w:spacing w:after="0" w:line="70"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308"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b w:val="1"/>
          <w:bCs w:val="1"/>
          <w:i w:val="1"/>
          <w:iCs w:val="1"/>
          <w:color w:val="auto"/>
        </w:rPr>
        <w:t>If we do not achieve our projected development goals in the time frames we announce and expect, the commercialization of our products may be delayed.</w:t>
      </w:r>
    </w:p>
    <w:p>
      <w:pPr>
        <w:spacing w:after="0" w:line="70"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309" w:lineRule="exact"/>
        <w:rPr>
          <w:sz w:val="20"/>
          <w:szCs w:val="20"/>
          <w:color w:val="auto"/>
        </w:rPr>
      </w:pPr>
    </w:p>
    <w:p>
      <w:pPr>
        <w:ind w:left="1220" w:right="1239"/>
        <w:spacing w:after="0" w:line="236" w:lineRule="auto"/>
        <w:rPr>
          <w:sz w:val="20"/>
          <w:szCs w:val="20"/>
          <w:color w:val="auto"/>
        </w:rPr>
      </w:pPr>
      <w:r>
        <w:rPr>
          <w:rFonts w:ascii="Arial" w:cs="Arial" w:eastAsia="Arial" w:hAnsi="Arial"/>
          <w:sz w:val="14"/>
          <w:szCs w:val="14"/>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88"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9" w:name="page30"/>
    <w:bookmarkEnd w:id="2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59"/>
        <w:spacing w:after="0" w:line="274" w:lineRule="auto"/>
        <w:rPr>
          <w:sz w:val="20"/>
          <w:szCs w:val="20"/>
          <w:color w:val="auto"/>
        </w:rPr>
      </w:pPr>
      <w:r>
        <w:rPr>
          <w:rFonts w:ascii="Arial" w:cs="Arial" w:eastAsia="Arial" w:hAnsi="Arial"/>
          <w:sz w:val="14"/>
          <w:szCs w:val="14"/>
          <w:color w:val="auto"/>
        </w:rPr>
        <w:t>regulatory agencies, or unanticipated events during our preclinical studies or clinical trials may force us to terminate or adjust our development program.</w:t>
      </w:r>
    </w:p>
    <w:p>
      <w:pPr>
        <w:spacing w:after="0" w:line="8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28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306" w:lineRule="exact"/>
        <w:rPr>
          <w:sz w:val="20"/>
          <w:szCs w:val="20"/>
          <w:color w:val="auto"/>
        </w:rPr>
      </w:pPr>
    </w:p>
    <w:p>
      <w:pPr>
        <w:ind w:left="1220" w:right="1279"/>
        <w:spacing w:after="0" w:line="236" w:lineRule="auto"/>
        <w:rPr>
          <w:sz w:val="20"/>
          <w:szCs w:val="20"/>
          <w:color w:val="auto"/>
        </w:rPr>
      </w:pPr>
      <w:r>
        <w:rPr>
          <w:rFonts w:ascii="Arial" w:cs="Arial" w:eastAsia="Arial" w:hAnsi="Arial"/>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09" w:lineRule="exact"/>
        <w:rPr>
          <w:sz w:val="20"/>
          <w:szCs w:val="20"/>
          <w:color w:val="auto"/>
        </w:rPr>
      </w:pPr>
    </w:p>
    <w:p>
      <w:pPr>
        <w:ind w:left="1220" w:right="1359"/>
        <w:spacing w:after="0" w:line="258" w:lineRule="auto"/>
        <w:rPr>
          <w:sz w:val="20"/>
          <w:szCs w:val="20"/>
          <w:color w:val="auto"/>
        </w:rPr>
      </w:pPr>
      <w:r>
        <w:rPr>
          <w:rFonts w:ascii="Arial" w:cs="Arial" w:eastAsia="Arial" w:hAnsi="Arial"/>
          <w:sz w:val="14"/>
          <w:szCs w:val="14"/>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27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0" w:name="page31"/>
    <w:bookmarkEnd w:id="3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20" w:right="1279"/>
        <w:spacing w:after="0" w:line="245"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95"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COVID-19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284"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and future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285"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95"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279"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1" w:name="page32"/>
    <w:bookmarkEnd w:id="3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future clinical trials in accordance with regulatory requirements or our stated protocols, if these parties are adversely impacted by the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275"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306" w:lineRule="exact"/>
        <w:rPr>
          <w:sz w:val="20"/>
          <w:szCs w:val="20"/>
          <w:color w:val="auto"/>
        </w:rPr>
      </w:pPr>
    </w:p>
    <w:p>
      <w:pPr>
        <w:ind w:left="1220" w:right="1599"/>
        <w:spacing w:after="0" w:line="245" w:lineRule="auto"/>
        <w:rPr>
          <w:sz w:val="20"/>
          <w:szCs w:val="20"/>
          <w:color w:val="auto"/>
        </w:rPr>
      </w:pPr>
      <w:r>
        <w:rPr>
          <w:rFonts w:ascii="Arial" w:cs="Arial" w:eastAsia="Arial" w:hAnsi="Arial"/>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307" w:lineRule="exact"/>
        <w:rPr>
          <w:sz w:val="20"/>
          <w:szCs w:val="20"/>
          <w:color w:val="auto"/>
        </w:rPr>
      </w:pPr>
    </w:p>
    <w:p>
      <w:pPr>
        <w:jc w:val="both"/>
        <w:ind w:left="1220" w:right="1319"/>
        <w:spacing w:after="0" w:line="245" w:lineRule="auto"/>
        <w:rPr>
          <w:sz w:val="20"/>
          <w:szCs w:val="20"/>
          <w:color w:val="auto"/>
        </w:rPr>
      </w:pPr>
      <w:r>
        <w:rPr>
          <w:rFonts w:ascii="Arial" w:cs="Arial" w:eastAsia="Arial" w:hAnsi="Arial"/>
          <w:sz w:val="14"/>
          <w:szCs w:val="14"/>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16"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Our business strategy includes leveraging our strategic partnership with FCDI, and may include additional future partnerships for manufacturing, product development, product commercialization,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279"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2" w:name="page33"/>
    <w:bookmarkEnd w:id="3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68"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85" w:lineRule="exact"/>
        <w:rPr>
          <w:sz w:val="20"/>
          <w:szCs w:val="20"/>
          <w:color w:val="auto"/>
        </w:rPr>
      </w:pPr>
    </w:p>
    <w:p>
      <w:pPr>
        <w:ind w:left="1340" w:hanging="116"/>
        <w:spacing w:after="0"/>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expenditure of substantial operational, financial and management resources;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dilutive issuances of our securities;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substantial actual or contingent liabilities; and</w:t>
      </w:r>
    </w:p>
    <w:p>
      <w:pPr>
        <w:spacing w:after="0" w:line="108" w:lineRule="exact"/>
        <w:rPr>
          <w:rFonts w:ascii="Arial" w:cs="Arial" w:eastAsia="Arial" w:hAnsi="Arial"/>
          <w:sz w:val="14"/>
          <w:szCs w:val="14"/>
          <w:color w:val="auto"/>
        </w:rPr>
      </w:pPr>
    </w:p>
    <w:p>
      <w:pPr>
        <w:ind w:left="1340" w:right="1639" w:hanging="116"/>
        <w:spacing w:after="0" w:line="290" w:lineRule="auto"/>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termination or expiration of the arrangement, which would delay the development and may increase the cost of developing our product candidates.</w:t>
      </w:r>
    </w:p>
    <w:p>
      <w:pPr>
        <w:spacing w:after="0" w:line="9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277"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prospectus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manufacturing</w:t>
      </w:r>
    </w:p>
    <w:p>
      <w:pPr>
        <w:spacing w:after="0" w:line="160" w:lineRule="exact"/>
        <w:rPr>
          <w:sz w:val="20"/>
          <w:szCs w:val="20"/>
          <w:color w:val="auto"/>
        </w:rPr>
      </w:pPr>
    </w:p>
    <w:p>
      <w:pPr>
        <w:jc w:val="both"/>
        <w:ind w:left="1220" w:right="1319"/>
        <w:spacing w:after="0" w:line="245" w:lineRule="auto"/>
        <w:rPr>
          <w:sz w:val="20"/>
          <w:szCs w:val="20"/>
          <w:color w:val="auto"/>
        </w:rPr>
      </w:pPr>
      <w:r>
        <w:rPr>
          <w:rFonts w:ascii="Arial" w:cs="Arial" w:eastAsia="Arial" w:hAnsi="Arial"/>
          <w:sz w:val="14"/>
          <w:szCs w:val="14"/>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16"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92"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3" w:name="page34"/>
    <w:bookmarkEnd w:id="3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9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307" w:lineRule="exact"/>
        <w:rPr>
          <w:sz w:val="20"/>
          <w:szCs w:val="20"/>
          <w:color w:val="auto"/>
        </w:rPr>
      </w:pPr>
    </w:p>
    <w:p>
      <w:pPr>
        <w:ind w:left="1220" w:right="1339"/>
        <w:spacing w:after="0" w:line="234" w:lineRule="auto"/>
        <w:rPr>
          <w:sz w:val="20"/>
          <w:szCs w:val="20"/>
          <w:color w:val="auto"/>
        </w:rPr>
      </w:pPr>
      <w:r>
        <w:rPr>
          <w:rFonts w:ascii="Arial" w:cs="Arial" w:eastAsia="Arial" w:hAnsi="Arial"/>
          <w:sz w:val="14"/>
          <w:szCs w:val="14"/>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78"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COVID-19 pandemic, the business and operations of our suppliers may be disrupted or delayed, and we in turn may experience disruptions or delays in our supply chain. An inability to continue to source product from any of these suppliers, which could be due to the impacts of the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54"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10" w:lineRule="exact"/>
        <w:rPr>
          <w:sz w:val="20"/>
          <w:szCs w:val="20"/>
          <w:color w:val="auto"/>
        </w:rPr>
      </w:pPr>
    </w:p>
    <w:p>
      <w:pPr>
        <w:ind w:left="1220" w:right="1459"/>
        <w:spacing w:after="0" w:line="245" w:lineRule="auto"/>
        <w:rPr>
          <w:sz w:val="20"/>
          <w:szCs w:val="20"/>
          <w:color w:val="auto"/>
        </w:rPr>
      </w:pPr>
      <w:r>
        <w:rPr>
          <w:rFonts w:ascii="Arial" w:cs="Arial" w:eastAsia="Arial" w:hAnsi="Arial"/>
          <w:sz w:val="14"/>
          <w:szCs w:val="14"/>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73"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color w:val="auto"/>
        </w:rPr>
        <w:t>We currently do not operate manufacturing facilities and rely on FCDI for the manufacture of our product candidates and CMOs for the manufacture of related raw materials for clinical and preclinical development. If we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4" w:name="page35"/>
    <w:bookmarkEnd w:id="3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would be delayed and our business, financial condition, results of operations, and prospects may be materially harmed. See “Business--Licensing, partnerships and collaboration— Fujifilm Cellular Dynamics, Inc.—Manufacturing and Supply Agreement” and “Business— Licensing, partnerships and collaboration—Fujifilm Cellular Dynamics, Inc.—Master Collaboration Agreement” for a description of our Manufacturing Agreement and Master Collaboration Agreement with FCDI. We are investing in the construction of our own 53,000 square foot cell therapy manufacturing facility in Branchburg, New Jersey, but there can be no assurance our manufacturing facility will become operational on schedule or at all.</w:t>
      </w:r>
    </w:p>
    <w:p>
      <w:pPr>
        <w:spacing w:after="0" w:line="275"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200" w:lineRule="exact"/>
        <w:rPr>
          <w:sz w:val="20"/>
          <w:szCs w:val="20"/>
          <w:color w:val="auto"/>
        </w:rPr>
      </w:pPr>
    </w:p>
    <w:p>
      <w:pPr>
        <w:spacing w:after="0" w:line="257"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Our or a CMO’s failure to execute on our manufacturing requirements, to do so on commercially reasonable terms and comply with cGMP could adversely affect our business in a number of ways, including:</w:t>
      </w:r>
    </w:p>
    <w:p>
      <w:pPr>
        <w:spacing w:after="0" w:line="71" w:lineRule="exact"/>
        <w:rPr>
          <w:sz w:val="20"/>
          <w:szCs w:val="20"/>
          <w:color w:val="auto"/>
        </w:rPr>
      </w:pPr>
    </w:p>
    <w:p>
      <w:pPr>
        <w:ind w:left="1340" w:right="1579" w:hanging="116"/>
        <w:spacing w:after="0" w:line="290" w:lineRule="auto"/>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 inability to initiate or continue clinical trials of CNTY-101 or our other product candidates under development;</w:t>
      </w:r>
    </w:p>
    <w:p>
      <w:pPr>
        <w:spacing w:after="0" w:line="64"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delay in submitting regulatory applications, or receiving marketing approvals, for our product candidates;</w:t>
      </w:r>
    </w:p>
    <w:p>
      <w:pPr>
        <w:spacing w:after="0" w:line="53" w:lineRule="exact"/>
        <w:rPr>
          <w:rFonts w:ascii="Arial" w:cs="Arial" w:eastAsia="Arial" w:hAnsi="Arial"/>
          <w:sz w:val="14"/>
          <w:szCs w:val="14"/>
          <w:color w:val="auto"/>
        </w:rPr>
      </w:pPr>
    </w:p>
    <w:p>
      <w:pPr>
        <w:ind w:left="1340" w:right="1779" w:hanging="116"/>
        <w:spacing w:after="0" w:line="290" w:lineRule="auto"/>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subjecting third-party manufacturing facilities or our manufacturing facilities to additional inspections by regulatory authorities;</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requirements to cease development or to recall batches of our product candidates; and</w:t>
      </w:r>
    </w:p>
    <w:p>
      <w:pPr>
        <w:spacing w:after="0" w:line="108" w:lineRule="exact"/>
        <w:rPr>
          <w:rFonts w:ascii="Arial" w:cs="Arial" w:eastAsia="Arial" w:hAnsi="Arial"/>
          <w:sz w:val="14"/>
          <w:szCs w:val="14"/>
          <w:color w:val="auto"/>
        </w:rPr>
      </w:pPr>
    </w:p>
    <w:p>
      <w:pPr>
        <w:ind w:left="1340" w:right="1779" w:hanging="116"/>
        <w:spacing w:after="0" w:line="281" w:lineRule="auto"/>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the event of approval to market and commercialize CNTY-101 or our other product candidates, an inability to meet commercial demands for CNTY-101 or our other product candidates.</w:t>
      </w:r>
    </w:p>
    <w:p>
      <w:pPr>
        <w:spacing w:after="0" w:line="82" w:lineRule="exact"/>
        <w:rPr>
          <w:sz w:val="20"/>
          <w:szCs w:val="20"/>
          <w:color w:val="auto"/>
        </w:rPr>
      </w:pPr>
    </w:p>
    <w:p>
      <w:pPr>
        <w:ind w:left="1220" w:right="1379"/>
        <w:spacing w:after="0" w:line="262" w:lineRule="auto"/>
        <w:rPr>
          <w:sz w:val="20"/>
          <w:szCs w:val="20"/>
          <w:color w:val="auto"/>
        </w:rPr>
      </w:pPr>
      <w:r>
        <w:rPr>
          <w:rFonts w:ascii="Arial" w:cs="Arial" w:eastAsia="Arial" w:hAnsi="Arial"/>
          <w:sz w:val="14"/>
          <w:szCs w:val="14"/>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106"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30" w:lineRule="exact"/>
        <w:rPr>
          <w:sz w:val="20"/>
          <w:szCs w:val="20"/>
          <w:color w:val="auto"/>
        </w:rPr>
      </w:pPr>
    </w:p>
    <w:p>
      <w:pPr>
        <w:jc w:val="both"/>
        <w:ind w:left="1220" w:right="1739"/>
        <w:spacing w:after="0" w:line="245" w:lineRule="auto"/>
        <w:rPr>
          <w:sz w:val="20"/>
          <w:szCs w:val="20"/>
          <w:color w:val="auto"/>
        </w:rPr>
      </w:pPr>
      <w:r>
        <w:rPr>
          <w:rFonts w:ascii="Arial" w:cs="Arial" w:eastAsia="Arial" w:hAnsi="Arial"/>
          <w:sz w:val="14"/>
          <w:szCs w:val="14"/>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06" w:lineRule="exact"/>
        <w:rPr>
          <w:sz w:val="20"/>
          <w:szCs w:val="20"/>
          <w:color w:val="auto"/>
        </w:rPr>
      </w:pPr>
    </w:p>
    <w:p>
      <w:pPr>
        <w:ind w:left="1220" w:right="1479"/>
        <w:spacing w:after="0" w:line="265" w:lineRule="auto"/>
        <w:rPr>
          <w:sz w:val="20"/>
          <w:szCs w:val="20"/>
          <w:color w:val="auto"/>
        </w:rPr>
      </w:pPr>
      <w:r>
        <w:rPr>
          <w:rFonts w:ascii="Arial" w:cs="Arial" w:eastAsia="Arial" w:hAnsi="Arial"/>
          <w:sz w:val="14"/>
          <w:szCs w:val="14"/>
          <w:color w:val="auto"/>
        </w:rPr>
        <w:t>We believe that internal cGMP manufacturing is important to facilitate clinical product supply, lower the risk of manufacturing disruptions, and enable more cost-effective manufacturing. We believe our Branchburg, New Jersey</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5" w:name="page36"/>
    <w:bookmarkEnd w:id="3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pacing w:after="0" w:line="268"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29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We also may encounter problems with the following:</w:t>
      </w:r>
    </w:p>
    <w:p>
      <w:pPr>
        <w:spacing w:after="0" w:line="98" w:lineRule="exact"/>
        <w:rPr>
          <w:sz w:val="20"/>
          <w:szCs w:val="20"/>
          <w:color w:val="auto"/>
        </w:rPr>
      </w:pPr>
    </w:p>
    <w:p>
      <w:pPr>
        <w:ind w:left="1340" w:right="1679" w:hanging="116"/>
        <w:spacing w:after="0" w:line="290" w:lineRule="auto"/>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complying with regulations regarding donor traceability, manufacturing, release of product candidates and other requirements from regulatory authorities outside the United States;</w:t>
      </w:r>
    </w:p>
    <w:p>
      <w:pPr>
        <w:spacing w:after="0" w:line="64" w:lineRule="exact"/>
        <w:rPr>
          <w:rFonts w:ascii="Arial" w:cs="Arial" w:eastAsia="Arial" w:hAnsi="Arial"/>
          <w:sz w:val="14"/>
          <w:szCs w:val="14"/>
          <w:color w:val="auto"/>
        </w:rPr>
      </w:pPr>
    </w:p>
    <w:p>
      <w:pPr>
        <w:ind w:left="1340" w:right="1779" w:hanging="116"/>
        <w:spacing w:after="0" w:line="290" w:lineRule="auto"/>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achieving adequate or clinical-grade materials that meet regulatory agency standards or specifications with consistent and acceptable production yield and costs;</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bacterial, fungal, or viral contamination in our manufacturing facility; and</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shortages of qualified personnel, raw materials, or key contractors.</w:t>
      </w:r>
    </w:p>
    <w:p>
      <w:pPr>
        <w:spacing w:after="0" w:line="130"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35"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b w:val="1"/>
          <w:bCs w:val="1"/>
          <w:i w:val="1"/>
          <w:iCs w:val="1"/>
          <w:color w:val="auto"/>
        </w:rPr>
        <w:t>We are dependent on third parties to store our CAR-iNK and CAR-iT cells and master and working cell banks of the engineered iPSC cells.</w:t>
      </w:r>
    </w:p>
    <w:p>
      <w:pPr>
        <w:spacing w:after="0" w:line="81"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The CAR-iNK and CAR-iT cells and the master and working cell banks of the engineered iPSC cells are stored in freezers at third-party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60" w:lineRule="exact"/>
        <w:rPr>
          <w:sz w:val="20"/>
          <w:szCs w:val="20"/>
          <w:color w:val="auto"/>
        </w:rPr>
      </w:pPr>
    </w:p>
    <w:p>
      <w:pPr>
        <w:ind w:left="1220" w:right="1479"/>
        <w:spacing w:after="0" w:line="245" w:lineRule="auto"/>
        <w:rPr>
          <w:sz w:val="20"/>
          <w:szCs w:val="20"/>
          <w:color w:val="auto"/>
        </w:rPr>
      </w:pPr>
      <w:r>
        <w:rPr>
          <w:rFonts w:ascii="Arial" w:cs="Arial" w:eastAsia="Arial" w:hAnsi="Arial"/>
          <w:sz w:val="14"/>
          <w:szCs w:val="14"/>
          <w:b w:val="1"/>
          <w:bCs w:val="1"/>
          <w:i w:val="1"/>
          <w:iCs w:val="1"/>
          <w:color w:val="auto"/>
        </w:rPr>
        <w:t>If we are unable to successfully commercialize CNTY- 101 or any of our other product candidates for which we receive regulatory approval, or experience significant delays in doing so, our business will be materially harmed.</w:t>
      </w:r>
    </w:p>
    <w:p>
      <w:pPr>
        <w:spacing w:after="0" w:line="106" w:lineRule="exact"/>
        <w:rPr>
          <w:sz w:val="20"/>
          <w:szCs w:val="20"/>
          <w:color w:val="auto"/>
        </w:rPr>
      </w:pPr>
    </w:p>
    <w:p>
      <w:pPr>
        <w:jc w:val="both"/>
        <w:ind w:left="1220" w:right="1559"/>
        <w:spacing w:after="0" w:line="265" w:lineRule="auto"/>
        <w:rPr>
          <w:sz w:val="20"/>
          <w:szCs w:val="20"/>
          <w:color w:val="auto"/>
        </w:rPr>
      </w:pPr>
      <w:r>
        <w:rPr>
          <w:rFonts w:ascii="Arial" w:cs="Arial" w:eastAsia="Arial" w:hAnsi="Arial"/>
          <w:sz w:val="14"/>
          <w:szCs w:val="14"/>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6" w:name="page37"/>
    <w:bookmarkEnd w:id="3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79" w:hanging="116"/>
        <w:spacing w:after="0" w:line="265"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whether alone or in collaboration with others;</w:t>
      </w:r>
    </w:p>
    <w:p>
      <w:pPr>
        <w:spacing w:after="0" w:line="275"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receiving an approved label with claims that are necessary or desirable for successful marketing, and that does not contain safety or other limitations that would impede our ability to market our product candidates;</w:t>
      </w:r>
    </w:p>
    <w:p>
      <w:pPr>
        <w:spacing w:after="0" w:line="60"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creating market demand for our product candidates through marketing, sales, and promotion activities;</w:t>
      </w:r>
    </w:p>
    <w:p>
      <w:pPr>
        <w:spacing w:after="0" w:line="64"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hiring, training, and deploying a sales force or contracting with third parties to commercialize our product candidates;</w:t>
      </w:r>
    </w:p>
    <w:p>
      <w:pPr>
        <w:spacing w:after="0" w:line="64" w:lineRule="exact"/>
        <w:rPr>
          <w:rFonts w:ascii="Arial" w:cs="Arial" w:eastAsia="Arial" w:hAnsi="Arial"/>
          <w:sz w:val="14"/>
          <w:szCs w:val="14"/>
          <w:color w:val="auto"/>
        </w:rPr>
      </w:pPr>
    </w:p>
    <w:p>
      <w:pPr>
        <w:ind w:left="1340" w:right="1719" w:hanging="116"/>
        <w:spacing w:after="0" w:line="281"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manufacturing, either on our own or through third parties, product candidates in sufficient quantities and at acceptable quality and cost to meet commercial demand at launch and thereafter;</w:t>
      </w:r>
    </w:p>
    <w:p>
      <w:pPr>
        <w:spacing w:after="0" w:line="71" w:lineRule="exact"/>
        <w:rPr>
          <w:rFonts w:ascii="Arial" w:cs="Arial" w:eastAsia="Arial" w:hAnsi="Arial"/>
          <w:sz w:val="14"/>
          <w:szCs w:val="14"/>
          <w:color w:val="auto"/>
        </w:rPr>
      </w:pPr>
    </w:p>
    <w:p>
      <w:pPr>
        <w:ind w:left="1340" w:right="139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establishing and maintaining agreements with wholesalers, distributors, and group purchasing organizations on commercially reasonable terms;</w:t>
      </w:r>
    </w:p>
    <w:p>
      <w:pPr>
        <w:spacing w:after="0" w:line="64" w:lineRule="exact"/>
        <w:rPr>
          <w:rFonts w:ascii="Arial" w:cs="Arial" w:eastAsia="Arial" w:hAnsi="Arial"/>
          <w:sz w:val="14"/>
          <w:szCs w:val="14"/>
          <w:color w:val="auto"/>
        </w:rPr>
      </w:pPr>
    </w:p>
    <w:p>
      <w:pPr>
        <w:ind w:left="1340" w:right="163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creating partnerships with, or offering licenses to, third parties to promote and sell product candidates in foreign markets where we receive marketing approval;</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obtaining, maintaining, protecting, and enforcing patent and trade secret protection and regulatory exclusivity for our product candidates;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achieving market acceptance of our product candidates by patients, the medical community, and third-party payors;</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achieving appropriate reimbursement for our product candidates;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maintaining an acceptable tolerability profile of our product candidates following launch.</w:t>
      </w:r>
    </w:p>
    <w:p>
      <w:pPr>
        <w:spacing w:after="0" w:line="130"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To the extent we are not able to do any of the foregoing, our business, financial condition, results of operations, and prospects will be materially harmed.</w:t>
      </w:r>
    </w:p>
    <w:p>
      <w:pPr>
        <w:spacing w:after="0" w:line="124" w:lineRule="exact"/>
        <w:rPr>
          <w:sz w:val="20"/>
          <w:szCs w:val="20"/>
          <w:color w:val="auto"/>
        </w:rPr>
      </w:pPr>
    </w:p>
    <w:p>
      <w:pPr>
        <w:ind w:left="1220" w:right="1399"/>
        <w:spacing w:after="0" w:line="245" w:lineRule="auto"/>
        <w:rPr>
          <w:sz w:val="20"/>
          <w:szCs w:val="20"/>
          <w:color w:val="auto"/>
        </w:rPr>
      </w:pPr>
      <w:r>
        <w:rPr>
          <w:rFonts w:ascii="Arial" w:cs="Arial" w:eastAsia="Arial" w:hAnsi="Arial"/>
          <w:sz w:val="14"/>
          <w:szCs w:val="14"/>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06"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297"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7" w:name="page38"/>
    <w:bookmarkEnd w:id="3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95"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312"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b w:val="1"/>
          <w:bCs w:val="1"/>
          <w:i w:val="1"/>
          <w:iCs w:val="1"/>
          <w:color w:val="auto"/>
        </w:rPr>
        <w:t>We expect to face uncertainty regarding the pricing of our existing product candidates and any other product candidates that we may develop.</w:t>
      </w:r>
    </w:p>
    <w:p>
      <w:pPr>
        <w:spacing w:after="0" w:line="92"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81"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10" w:lineRule="exact"/>
        <w:rPr>
          <w:sz w:val="20"/>
          <w:szCs w:val="20"/>
          <w:color w:val="auto"/>
        </w:rPr>
      </w:pPr>
    </w:p>
    <w:p>
      <w:pPr>
        <w:ind w:left="1220" w:right="1559"/>
        <w:spacing w:after="0" w:line="245"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95" w:lineRule="exact"/>
        <w:rPr>
          <w:sz w:val="20"/>
          <w:szCs w:val="20"/>
          <w:color w:val="auto"/>
        </w:rPr>
      </w:pPr>
    </w:p>
    <w:p>
      <w:pPr>
        <w:ind w:left="1220" w:right="1299"/>
        <w:spacing w:after="0" w:line="258" w:lineRule="auto"/>
        <w:rPr>
          <w:sz w:val="20"/>
          <w:szCs w:val="20"/>
          <w:color w:val="auto"/>
        </w:rPr>
      </w:pPr>
      <w:r>
        <w:rPr>
          <w:rFonts w:ascii="Arial" w:cs="Arial" w:eastAsia="Arial" w:hAnsi="Arial"/>
          <w:sz w:val="14"/>
          <w:szCs w:val="14"/>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8" w:name="page39"/>
    <w:bookmarkEnd w:id="3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for reimbursement of cellular immunotherapies, and it is difficult to predict what the regulatory authority or private payor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Even if coverage is provided, the approved reimbursement amount may not be sufficient to allow us to establish or maintain pricing to generate income.</w:t>
      </w:r>
    </w:p>
    <w:p>
      <w:pPr>
        <w:spacing w:after="0" w:line="9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307"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b w:val="1"/>
          <w:bCs w:val="1"/>
          <w:i w:val="1"/>
          <w:iCs w:val="1"/>
          <w:color w:val="auto"/>
        </w:rPr>
        <w:t>Even if we obtain regulatory and marketing approval for a product candidate, our product candidates will remain subject to regulatory oversight.</w:t>
      </w:r>
    </w:p>
    <w:p>
      <w:pPr>
        <w:spacing w:after="0" w:line="92"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200" w:lineRule="exact"/>
        <w:rPr>
          <w:sz w:val="20"/>
          <w:szCs w:val="20"/>
          <w:color w:val="auto"/>
        </w:rPr>
      </w:pPr>
    </w:p>
    <w:p>
      <w:pPr>
        <w:spacing w:after="0" w:line="25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83" w:lineRule="exact"/>
        <w:rPr>
          <w:sz w:val="20"/>
          <w:szCs w:val="20"/>
          <w:color w:val="auto"/>
        </w:rPr>
      </w:pPr>
    </w:p>
    <w:p>
      <w:pPr>
        <w:ind w:left="1220" w:right="1359"/>
        <w:spacing w:after="0" w:line="290" w:lineRule="auto"/>
        <w:rPr>
          <w:sz w:val="20"/>
          <w:szCs w:val="20"/>
          <w:color w:val="auto"/>
        </w:rPr>
      </w:pPr>
      <w:r>
        <w:rPr>
          <w:rFonts w:ascii="Arial" w:cs="Arial" w:eastAsia="Arial" w:hAnsi="Arial"/>
          <w:sz w:val="14"/>
          <w:szCs w:val="14"/>
          <w:color w:val="auto"/>
        </w:rPr>
        <w:t>If we or our contractors fail to comply with applicable regulatory requirements following approval of CNTY-101 or our other product candidates, a regulatory authority may:</w:t>
      </w:r>
    </w:p>
    <w:p>
      <w:pPr>
        <w:spacing w:after="0" w:line="64" w:lineRule="exact"/>
        <w:rPr>
          <w:sz w:val="20"/>
          <w:szCs w:val="20"/>
          <w:color w:val="auto"/>
        </w:rPr>
      </w:pPr>
    </w:p>
    <w:p>
      <w:pPr>
        <w:ind w:left="1340" w:hanging="116"/>
        <w:spacing w:after="0"/>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issue a warning letter asserting that we are in violation of the law;</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request voluntary product recalls;</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seek an injunction or impose administrative, civil, or criminal penalties or monetary fines;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9" w:name="page40"/>
    <w:bookmarkEnd w:id="3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suspend or withdraw regulatory approval;</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suspend any ongoing clinical trials;</w:t>
      </w:r>
    </w:p>
    <w:p>
      <w:pPr>
        <w:spacing w:after="0" w:line="22" w:lineRule="exact"/>
        <w:rPr>
          <w:rFonts w:ascii="Arial" w:cs="Arial" w:eastAsia="Arial" w:hAnsi="Arial"/>
          <w:sz w:val="14"/>
          <w:szCs w:val="14"/>
          <w:color w:val="auto"/>
        </w:rPr>
      </w:pPr>
    </w:p>
    <w:p>
      <w:pPr>
        <w:ind w:left="1340" w:right="1959" w:hanging="116"/>
        <w:spacing w:after="0" w:line="273" w:lineRule="auto"/>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refuse to approve a pending BLA or comparable foreign marketing application (or any supplements thereto);</w:t>
      </w: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restrict the marketing or manufacturing of the product;</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seize or detain the product or otherwise require the withdrawal of the product from the market;</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refuse to permit the import or export of product candidates; or</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refuse to allow us to enter into supply contracts, including government contracts.</w:t>
      </w:r>
    </w:p>
    <w:p>
      <w:pPr>
        <w:spacing w:after="0" w:line="141" w:lineRule="exact"/>
        <w:rPr>
          <w:sz w:val="20"/>
          <w:szCs w:val="20"/>
          <w:color w:val="auto"/>
        </w:rPr>
      </w:pPr>
    </w:p>
    <w:p>
      <w:pPr>
        <w:ind w:left="1220" w:right="1339"/>
        <w:spacing w:after="0" w:line="280"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301"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we may not achieve broad market acceptance.</w:t>
      </w:r>
    </w:p>
    <w:p>
      <w:pPr>
        <w:spacing w:after="0" w:line="103"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254" w:lineRule="exact"/>
        <w:rPr>
          <w:sz w:val="20"/>
          <w:szCs w:val="20"/>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 associated with our product candidates;</w:t>
      </w:r>
    </w:p>
    <w:p>
      <w:pPr>
        <w:spacing w:after="0" w:line="108"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limitations or warnings contained in the labeling approved for our product candidates by the FDA or comparable foreign regulatory authority, such as a “black box” warning;</w:t>
      </w:r>
    </w:p>
    <w:p>
      <w:pPr>
        <w:spacing w:after="0" w:line="64"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availability of alternative treatments, including any competitive therapies in development that could be approved or commercially launched prior to approval of our product candidates;</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64" w:lineRule="exact"/>
        <w:rPr>
          <w:rFonts w:ascii="Arial" w:cs="Arial" w:eastAsia="Arial" w:hAnsi="Arial"/>
          <w:sz w:val="14"/>
          <w:szCs w:val="14"/>
          <w:color w:val="auto"/>
        </w:rPr>
      </w:pPr>
    </w:p>
    <w:p>
      <w:pPr>
        <w:ind w:left="1340" w:right="1959" w:hanging="116"/>
        <w:spacing w:after="0" w:line="290" w:lineRule="auto"/>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 and timing of market introduction of competitive products;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pricing;</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payor acceptance;</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any future changes to the United States healthcare system;</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effectiveness of our sales and marketing strategies; and</w:t>
      </w:r>
    </w:p>
    <w:p>
      <w:pPr>
        <w:spacing w:after="0" w:line="108" w:lineRule="exact"/>
        <w:rPr>
          <w:rFonts w:ascii="Arial" w:cs="Arial" w:eastAsia="Arial" w:hAnsi="Arial"/>
          <w:sz w:val="14"/>
          <w:szCs w:val="14"/>
          <w:color w:val="auto"/>
        </w:rPr>
      </w:pPr>
    </w:p>
    <w:p>
      <w:pPr>
        <w:ind w:left="1340" w:right="1379" w:hanging="116"/>
        <w:spacing w:after="0" w:line="283" w:lineRule="auto"/>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272"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25" w:lineRule="exact"/>
        <w:rPr>
          <w:sz w:val="20"/>
          <w:szCs w:val="20"/>
          <w:color w:val="auto"/>
        </w:rPr>
      </w:pPr>
    </w:p>
    <w:p>
      <w:pPr>
        <w:ind w:left="1220" w:right="1279"/>
        <w:spacing w:after="0" w:line="245"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1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In order to market any product outside of the United States, we must establish and comply with the numerous and varying safety, efficacy, and other regulatory requirements of other jurisdictions, including potential additional</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0" w:name="page41"/>
    <w:bookmarkEnd w:id="4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313" w:lineRule="exact"/>
        <w:rPr>
          <w:sz w:val="20"/>
          <w:szCs w:val="20"/>
          <w:color w:val="auto"/>
        </w:rPr>
      </w:pPr>
    </w:p>
    <w:p>
      <w:pPr>
        <w:ind w:left="1220" w:right="1379"/>
        <w:spacing w:after="0" w:line="245" w:lineRule="auto"/>
        <w:rPr>
          <w:sz w:val="20"/>
          <w:szCs w:val="20"/>
          <w:color w:val="auto"/>
        </w:rPr>
      </w:pPr>
      <w:r>
        <w:rPr>
          <w:rFonts w:ascii="Arial" w:cs="Arial" w:eastAsia="Arial" w:hAnsi="Arial"/>
          <w:sz w:val="14"/>
          <w:szCs w:val="14"/>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06"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297"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10"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98"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In the event we are unable to develop a marketing and sales infrastructure, we may not be able to commercialize CNTY-101 or our other product candidates in the United States or elsewhere, which could limit our ability to generate product revenues and materially harm our business, financial condition, results of operations, and prospects.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1" w:name="page42"/>
    <w:bookmarkEnd w:id="4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719"/>
        <w:spacing w:after="0" w:line="265" w:lineRule="auto"/>
        <w:rPr>
          <w:sz w:val="20"/>
          <w:szCs w:val="20"/>
          <w:color w:val="auto"/>
        </w:rPr>
      </w:pPr>
      <w:r>
        <w:rPr>
          <w:rFonts w:ascii="Arial" w:cs="Arial" w:eastAsia="Arial" w:hAnsi="Arial"/>
          <w:sz w:val="14"/>
          <w:szCs w:val="14"/>
          <w:b w:val="1"/>
          <w:bCs w:val="1"/>
          <w:i w:val="1"/>
          <w:iCs w:val="1"/>
          <w:color w:val="auto"/>
        </w:rPr>
        <w:t>If the market opportunities for our products are smaller than we believe they are, our revenue may be adversely affected, and our business may suffer.</w:t>
      </w:r>
    </w:p>
    <w:p>
      <w:pPr>
        <w:spacing w:after="0" w:line="92"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 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297"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313" w:lineRule="exact"/>
        <w:rPr>
          <w:sz w:val="20"/>
          <w:szCs w:val="20"/>
          <w:color w:val="auto"/>
        </w:rPr>
      </w:pPr>
    </w:p>
    <w:p>
      <w:pPr>
        <w:ind w:left="1220" w:right="1259"/>
        <w:spacing w:after="0" w:line="245"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left="1220" w:right="1239"/>
        <w:spacing w:after="0" w:line="281"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71" w:lineRule="exact"/>
        <w:rPr>
          <w:sz w:val="20"/>
          <w:szCs w:val="20"/>
          <w:color w:val="auto"/>
        </w:rPr>
      </w:pPr>
    </w:p>
    <w:p>
      <w:pPr>
        <w:jc w:val="both"/>
        <w:ind w:left="1340" w:right="1359" w:hanging="116"/>
        <w:spacing w:after="0" w:line="281"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development, regulatory approval, and commercialization activities relating to CNTY-101 and our other product candidates, which may change from time to time;</w:t>
      </w:r>
    </w:p>
    <w:p>
      <w:pPr>
        <w:spacing w:after="0" w:line="71"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coverage and reimbursement policies with respect to CNTY-101 and our other product candidates, if approved, and potential future drugs or biologics that compete with our products;</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cost of manufacturing CNTY-101 and our other product candidates, which may vary depending on the quantity of production and the terms of our agreements with CMOs;</w:t>
      </w:r>
    </w:p>
    <w:p>
      <w:pPr>
        <w:spacing w:after="0" w:line="64"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timing and amount of the milestone or other payments we must make to the licensors and other third parties from whom we have in-licensed or acquired our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level of demand for any approved products, which may vary significantly;</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and</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2" w:name="page43"/>
    <w:bookmarkEnd w:id="4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39" w:hanging="116"/>
        <w:spacing w:after="0" w:line="290" w:lineRule="auto"/>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other change in the competitive landscape of our industry, including consolidation among our competitors or partners.</w:t>
      </w:r>
    </w:p>
    <w:p>
      <w:pPr>
        <w:spacing w:after="0" w:line="86" w:lineRule="exact"/>
        <w:rPr>
          <w:sz w:val="20"/>
          <w:szCs w:val="20"/>
          <w:color w:val="auto"/>
        </w:rPr>
      </w:pPr>
    </w:p>
    <w:p>
      <w:pPr>
        <w:ind w:left="1220" w:right="1239"/>
        <w:spacing w:after="0" w:line="295"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4" w:lineRule="exact"/>
        <w:rPr>
          <w:sz w:val="20"/>
          <w:szCs w:val="20"/>
          <w:color w:val="auto"/>
        </w:rPr>
      </w:pPr>
    </w:p>
    <w:p>
      <w:pPr>
        <w:ind w:left="1220" w:right="1279"/>
        <w:spacing w:after="0" w:line="293" w:lineRule="auto"/>
        <w:rPr>
          <w:sz w:val="20"/>
          <w:szCs w:val="20"/>
          <w:color w:val="auto"/>
        </w:rPr>
      </w:pPr>
      <w:r>
        <w:rPr>
          <w:rFonts w:ascii="Arial" w:cs="Arial" w:eastAsia="Arial" w:hAnsi="Arial"/>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16" w:lineRule="exact"/>
        <w:rPr>
          <w:sz w:val="20"/>
          <w:szCs w:val="20"/>
          <w:color w:val="auto"/>
        </w:rPr>
      </w:pPr>
    </w:p>
    <w:p>
      <w:pPr>
        <w:ind w:left="1220" w:right="1239"/>
        <w:spacing w:after="0" w:line="281" w:lineRule="auto"/>
        <w:rPr>
          <w:sz w:val="20"/>
          <w:szCs w:val="20"/>
          <w:color w:val="auto"/>
        </w:rPr>
      </w:pPr>
      <w:r>
        <w:rPr>
          <w:rFonts w:ascii="Arial" w:cs="Arial" w:eastAsia="Arial" w:hAnsi="Arial"/>
          <w:sz w:val="17"/>
          <w:szCs w:val="17"/>
          <w:b w:val="1"/>
          <w:bCs w:val="1"/>
          <w:color w:val="auto"/>
        </w:rPr>
        <w:t>Risks related to employee matters, managing growth and other risks related to our business</w:t>
      </w:r>
    </w:p>
    <w:p>
      <w:pPr>
        <w:spacing w:after="0" w:line="114" w:lineRule="exact"/>
        <w:rPr>
          <w:sz w:val="20"/>
          <w:szCs w:val="20"/>
          <w:color w:val="auto"/>
        </w:rPr>
      </w:pPr>
    </w:p>
    <w:p>
      <w:pPr>
        <w:ind w:left="1220" w:right="1619"/>
        <w:spacing w:after="0" w:line="261" w:lineRule="auto"/>
        <w:rPr>
          <w:sz w:val="20"/>
          <w:szCs w:val="20"/>
          <w:color w:val="auto"/>
        </w:rPr>
      </w:pPr>
      <w:r>
        <w:rPr>
          <w:rFonts w:ascii="Arial" w:cs="Arial" w:eastAsia="Arial" w:hAnsi="Arial"/>
          <w:sz w:val="14"/>
          <w:szCs w:val="14"/>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06" w:lineRule="exact"/>
        <w:rPr>
          <w:sz w:val="20"/>
          <w:szCs w:val="20"/>
          <w:color w:val="auto"/>
        </w:rPr>
      </w:pPr>
    </w:p>
    <w:p>
      <w:pPr>
        <w:ind w:left="1220" w:right="1399"/>
        <w:spacing w:after="0" w:line="291"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100"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298"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3" w:name="page44"/>
    <w:bookmarkEnd w:id="4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919"/>
        <w:spacing w:after="0" w:line="265" w:lineRule="auto"/>
        <w:rPr>
          <w:sz w:val="20"/>
          <w:szCs w:val="20"/>
          <w:color w:val="auto"/>
        </w:rPr>
      </w:pPr>
      <w:r>
        <w:rPr>
          <w:rFonts w:ascii="Arial" w:cs="Arial" w:eastAsia="Arial" w:hAnsi="Arial"/>
          <w:sz w:val="14"/>
          <w:szCs w:val="14"/>
          <w:b w:val="1"/>
          <w:bCs w:val="1"/>
          <w:i w:val="1"/>
          <w:iCs w:val="1"/>
          <w:color w:val="auto"/>
        </w:rPr>
        <w:t>We will need to increase the size and capabilities of our organization, and we may experience difficulties in managing our growth.</w:t>
      </w:r>
    </w:p>
    <w:p>
      <w:pPr>
        <w:spacing w:after="0" w:line="81"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As of April 30, 2021, we had 107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85" w:lineRule="exact"/>
        <w:rPr>
          <w:sz w:val="20"/>
          <w:szCs w:val="20"/>
          <w:color w:val="auto"/>
        </w:rPr>
      </w:pPr>
    </w:p>
    <w:p>
      <w:pPr>
        <w:ind w:left="1340" w:hanging="116"/>
        <w:spacing w:after="0"/>
        <w:tabs>
          <w:tab w:leader="none" w:pos="1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identifying, recruiting, integrating, maintaining, and motivating additional employees;</w:t>
      </w:r>
    </w:p>
    <w:p>
      <w:pPr>
        <w:spacing w:after="0" w:line="108" w:lineRule="exact"/>
        <w:rPr>
          <w:rFonts w:ascii="Arial" w:cs="Arial" w:eastAsia="Arial" w:hAnsi="Arial"/>
          <w:sz w:val="14"/>
          <w:szCs w:val="14"/>
          <w:color w:val="auto"/>
        </w:rPr>
      </w:pPr>
    </w:p>
    <w:p>
      <w:pPr>
        <w:ind w:left="1340" w:right="1479" w:hanging="116"/>
        <w:spacing w:after="0" w:line="281" w:lineRule="auto"/>
        <w:tabs>
          <w:tab w:leader="none" w:pos="1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71" w:lineRule="exact"/>
        <w:rPr>
          <w:rFonts w:ascii="Arial" w:cs="Arial" w:eastAsia="Arial" w:hAnsi="Arial"/>
          <w:sz w:val="14"/>
          <w:szCs w:val="14"/>
          <w:color w:val="auto"/>
        </w:rPr>
      </w:pPr>
    </w:p>
    <w:p>
      <w:pPr>
        <w:ind w:left="1340" w:right="1879" w:hanging="116"/>
        <w:spacing w:after="0" w:line="290" w:lineRule="auto"/>
        <w:tabs>
          <w:tab w:leader="none" w:pos="1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improving our operational, financial, and management controls, reporting systems, and procedures.</w:t>
      </w:r>
    </w:p>
    <w:p>
      <w:pPr>
        <w:spacing w:after="0" w:line="86" w:lineRule="exact"/>
        <w:rPr>
          <w:sz w:val="20"/>
          <w:szCs w:val="20"/>
          <w:color w:val="auto"/>
        </w:rPr>
      </w:pPr>
    </w:p>
    <w:p>
      <w:pPr>
        <w:ind w:left="1220" w:right="1599"/>
        <w:spacing w:after="0" w:line="260" w:lineRule="auto"/>
        <w:rPr>
          <w:sz w:val="20"/>
          <w:szCs w:val="20"/>
          <w:color w:val="auto"/>
        </w:rPr>
      </w:pPr>
      <w:r>
        <w:rPr>
          <w:rFonts w:ascii="Arial" w:cs="Arial" w:eastAsia="Arial" w:hAnsi="Arial"/>
          <w:sz w:val="14"/>
          <w:szCs w:val="14"/>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97"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306" w:lineRule="exact"/>
        <w:rPr>
          <w:sz w:val="20"/>
          <w:szCs w:val="20"/>
          <w:color w:val="auto"/>
        </w:rPr>
      </w:pPr>
    </w:p>
    <w:p>
      <w:pPr>
        <w:jc w:val="both"/>
        <w:ind w:left="1220" w:right="1519"/>
        <w:spacing w:after="0" w:line="245" w:lineRule="auto"/>
        <w:rPr>
          <w:sz w:val="20"/>
          <w:szCs w:val="20"/>
          <w:color w:val="auto"/>
        </w:rPr>
      </w:pPr>
      <w:r>
        <w:rPr>
          <w:rFonts w:ascii="Arial" w:cs="Arial" w:eastAsia="Arial" w:hAnsi="Arial"/>
          <w:sz w:val="14"/>
          <w:szCs w:val="14"/>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0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Public health crises, such as pandemics or similar outbreaks, could adversely impact our business. A novel virus, severe acute respiratory syndrome coronavirus 2, or SARS-CpV-2 or coronavirus, which causes COVID-19 has spread to most countries across the world, including all 50 states within the United States and Canadian Provinces, including Philadelphia, Pennsylvania, Washington, and Hamilton, Ontario where our operations are located, and Madison, Wisconsin, where the manufacturing site for our product candidates is located. The coronavirus pandemic is evolving and has led to the implementation of various responses, including government-imposed quarantines, travel restrictions, and other public health safety measures. The extent to which the coronavirus impacts our operations or those of our consultants and collaborators, including FCDI, will depend on future developments, which are highly uncertain and cannot be predicted with confidence, including the duration of the outbreak, new information that will emerge concerning the severity of the coronavirus, new strains or mutations of the coronavirus, and the actions to contain the coronavirus or treat its impact, among others. In response to the spread of COVID-19, we have closed our executive offices with our administrative employees continuing their work outside of our offices and limited the number of staff in any given research and development laboratory and have taken other precautionary measures as well, including the periodic testing of our employees. We have experienced modest delays in our discovery and development activities as a result of the COVID-19 pandemic, primarily due to temporary and partial shutdowns at certain of our CROs and academic institutions that have since resumed operations, and due to the Pennsylvania, Washington, and Ontario stay-at-home orders.</w:t>
      </w:r>
    </w:p>
    <w:p>
      <w:pPr>
        <w:spacing w:after="0" w:line="29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Potential disruptions to our preclinical development efforts include, but are not limited to:</w:t>
      </w:r>
    </w:p>
    <w:p>
      <w:pPr>
        <w:spacing w:after="0" w:line="109" w:lineRule="exact"/>
        <w:rPr>
          <w:sz w:val="20"/>
          <w:szCs w:val="20"/>
          <w:color w:val="auto"/>
        </w:rPr>
      </w:pPr>
    </w:p>
    <w:p>
      <w:pPr>
        <w:ind w:left="1340" w:right="1319" w:hanging="116"/>
        <w:spacing w:after="0" w:line="281" w:lineRule="auto"/>
        <w:tabs>
          <w:tab w:leader="none" w:pos="1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71"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limitations on employee or other resources that would otherwise be focused on the conduct of our preclinical work, including because of sickness of employees or their families, the desire of employees to avoid travel or</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4" w:name="page45"/>
    <w:bookmarkEnd w:id="4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739"/>
        <w:spacing w:after="0" w:line="290" w:lineRule="auto"/>
        <w:rPr>
          <w:sz w:val="20"/>
          <w:szCs w:val="20"/>
          <w:color w:val="auto"/>
        </w:rPr>
      </w:pPr>
      <w:r>
        <w:rPr>
          <w:rFonts w:ascii="Arial" w:cs="Arial" w:eastAsia="Arial" w:hAnsi="Arial"/>
          <w:sz w:val="14"/>
          <w:szCs w:val="14"/>
          <w:color w:val="auto"/>
        </w:rPr>
        <w:t>contact with large groups of people, an increased reliance on working from home, school closures, or mass transit disruptions; and</w:t>
      </w:r>
    </w:p>
    <w:p>
      <w:pPr>
        <w:spacing w:after="0" w:line="75" w:lineRule="exact"/>
        <w:rPr>
          <w:sz w:val="20"/>
          <w:szCs w:val="20"/>
          <w:color w:val="auto"/>
        </w:rPr>
      </w:pPr>
    </w:p>
    <w:p>
      <w:pPr>
        <w:ind w:left="1340" w:right="1799" w:hanging="116"/>
        <w:spacing w:after="0" w:line="290" w:lineRule="auto"/>
        <w:tabs>
          <w:tab w:leader="none" w:pos="1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delays in necessary interactions with regulators, ethics committees, and other important agencies and contractors.</w:t>
      </w:r>
    </w:p>
    <w:p>
      <w:pPr>
        <w:spacing w:after="0" w:line="9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 enrolling patients in clinical trials, interruption of, or delays in receiving, supplies of our product candidates, regulatory delays, changes in regulations as part of a response to the COVID-19 pandemic, and additional delays, difficulties, or interruptions as a result of current or future shutdowns.</w:t>
      </w:r>
    </w:p>
    <w:p>
      <w:pPr>
        <w:spacing w:after="0" w:line="277" w:lineRule="exact"/>
        <w:rPr>
          <w:sz w:val="20"/>
          <w:szCs w:val="20"/>
          <w:color w:val="auto"/>
        </w:rPr>
      </w:pPr>
    </w:p>
    <w:p>
      <w:pPr>
        <w:ind w:left="1220" w:right="1339"/>
        <w:spacing w:after="0" w:line="275" w:lineRule="auto"/>
        <w:rPr>
          <w:sz w:val="20"/>
          <w:szCs w:val="20"/>
          <w:color w:val="auto"/>
        </w:rPr>
      </w:pPr>
      <w:r>
        <w:rPr>
          <w:rFonts w:ascii="Arial" w:cs="Arial" w:eastAsia="Arial" w:hAnsi="Arial"/>
          <w:sz w:val="14"/>
          <w:szCs w:val="14"/>
          <w:color w:val="auto"/>
        </w:rPr>
        <w:t>The COVID-19 global pandemic continues to rapidly evolve. Although many countries, including certain countries in Europe and the United States, have re-opened, rises in new cases have caused certain countries to re-initiate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the availability of vaccines, and actions to contain the outbreak or treat its impact.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308"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b w:val="1"/>
          <w:bCs w:val="1"/>
          <w:i w:val="1"/>
          <w:iCs w:val="1"/>
          <w:color w:val="auto"/>
        </w:rPr>
        <w:t>We have incurred indebtedness, and we may incur additional indebtedness, which could adversely affect our business.</w:t>
      </w:r>
    </w:p>
    <w:p>
      <w:pPr>
        <w:spacing w:after="0" w:line="103"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As of April 30, 2021, we had an outstanding balance of $10.0 million under our Loan and Security Agreement with Hercules Capital, Inc., or the Loan Agreement. Our indebtedness could have important consequences to our stockholders. For example, it:</w:t>
      </w:r>
    </w:p>
    <w:p>
      <w:pPr>
        <w:spacing w:after="0" w:line="71" w:lineRule="exact"/>
        <w:rPr>
          <w:sz w:val="20"/>
          <w:szCs w:val="20"/>
          <w:color w:val="auto"/>
        </w:rPr>
      </w:pPr>
    </w:p>
    <w:p>
      <w:pPr>
        <w:ind w:left="1340" w:hanging="116"/>
        <w:spacing w:after="0"/>
        <w:tabs>
          <w:tab w:leader="none" w:pos="1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increases our vulnerability to adverse general economic and industry conditions;</w:t>
      </w:r>
    </w:p>
    <w:p>
      <w:pPr>
        <w:spacing w:after="0" w:line="130"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81"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limits our ability to obtain additional financing or refinancing in the future for working capital, clinical trials, research and development, or other purposes.</w:t>
      </w:r>
    </w:p>
    <w:p>
      <w:pPr>
        <w:spacing w:after="0" w:line="9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306" w:lineRule="exact"/>
        <w:rPr>
          <w:sz w:val="20"/>
          <w:szCs w:val="20"/>
          <w:color w:val="auto"/>
        </w:rPr>
      </w:pPr>
    </w:p>
    <w:p>
      <w:pPr>
        <w:ind w:left="1220" w:right="1619"/>
        <w:spacing w:after="0" w:line="245" w:lineRule="auto"/>
        <w:rPr>
          <w:sz w:val="20"/>
          <w:szCs w:val="20"/>
          <w:color w:val="auto"/>
        </w:rPr>
      </w:pPr>
      <w:r>
        <w:rPr>
          <w:rFonts w:ascii="Arial" w:cs="Arial" w:eastAsia="Arial" w:hAnsi="Arial"/>
          <w:sz w:val="14"/>
          <w:szCs w:val="14"/>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0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5" w:name="page46"/>
    <w:bookmarkEnd w:id="4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279" w:hanging="116"/>
        <w:spacing w:after="0" w:line="275"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48" w:lineRule="exact"/>
        <w:rPr>
          <w:rFonts w:ascii="Arial" w:cs="Arial" w:eastAsia="Arial" w:hAnsi="Arial"/>
          <w:sz w:val="14"/>
          <w:szCs w:val="14"/>
          <w:color w:val="auto"/>
        </w:rPr>
      </w:pPr>
    </w:p>
    <w:p>
      <w:pPr>
        <w:ind w:left="1340" w:right="1259" w:hanging="116"/>
        <w:spacing w:after="0" w:line="277"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255" w:lineRule="exact"/>
        <w:rPr>
          <w:rFonts w:ascii="Arial" w:cs="Arial" w:eastAsia="Arial" w:hAnsi="Arial"/>
          <w:sz w:val="14"/>
          <w:szCs w:val="14"/>
          <w:color w:val="auto"/>
        </w:rPr>
      </w:pPr>
    </w:p>
    <w:p>
      <w:pPr>
        <w:ind w:left="1340" w:right="1359" w:hanging="116"/>
        <w:spacing w:after="0" w:line="276"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57" w:lineRule="exact"/>
        <w:rPr>
          <w:rFonts w:ascii="Arial" w:cs="Arial" w:eastAsia="Arial" w:hAnsi="Arial"/>
          <w:sz w:val="14"/>
          <w:szCs w:val="14"/>
          <w:color w:val="auto"/>
        </w:rPr>
      </w:pPr>
    </w:p>
    <w:p>
      <w:pPr>
        <w:ind w:left="1340" w:right="1279" w:hanging="116"/>
        <w:spacing w:after="0" w:line="276"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257" w:lineRule="exact"/>
        <w:rPr>
          <w:rFonts w:ascii="Arial" w:cs="Arial" w:eastAsia="Arial" w:hAnsi="Arial"/>
          <w:sz w:val="14"/>
          <w:szCs w:val="14"/>
          <w:color w:val="auto"/>
        </w:rPr>
      </w:pPr>
    </w:p>
    <w:p>
      <w:pPr>
        <w:ind w:left="1340" w:right="1419" w:hanging="116"/>
        <w:spacing w:after="0" w:line="276"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74" w:lineRule="exact"/>
        <w:rPr>
          <w:rFonts w:ascii="Arial" w:cs="Arial" w:eastAsia="Arial" w:hAnsi="Arial"/>
          <w:sz w:val="14"/>
          <w:szCs w:val="14"/>
          <w:color w:val="auto"/>
        </w:rPr>
      </w:pPr>
    </w:p>
    <w:p>
      <w:pPr>
        <w:jc w:val="both"/>
        <w:ind w:left="1340" w:right="1259" w:hanging="116"/>
        <w:spacing w:after="0" w:line="281"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60" w:lineRule="exact"/>
        <w:rPr>
          <w:rFonts w:ascii="Arial" w:cs="Arial" w:eastAsia="Arial" w:hAnsi="Arial"/>
          <w:sz w:val="14"/>
          <w:szCs w:val="14"/>
          <w:color w:val="auto"/>
        </w:rPr>
      </w:pPr>
    </w:p>
    <w:p>
      <w:pPr>
        <w:ind w:left="1340" w:right="1359" w:hanging="116"/>
        <w:spacing w:after="0" w:line="275"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6" w:name="page47"/>
    <w:bookmarkEnd w:id="4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40" w:right="1399"/>
        <w:spacing w:after="0" w:line="260" w:lineRule="auto"/>
        <w:rPr>
          <w:sz w:val="20"/>
          <w:szCs w:val="20"/>
          <w:color w:val="auto"/>
        </w:rPr>
      </w:pPr>
      <w:r>
        <w:rPr>
          <w:rFonts w:ascii="Arial" w:cs="Arial" w:eastAsia="Arial" w:hAnsi="Arial"/>
          <w:sz w:val="14"/>
          <w:szCs w:val="14"/>
          <w:color w:val="auto"/>
        </w:rPr>
        <w:t>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08"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200" w:lineRule="exact"/>
        <w:rPr>
          <w:sz w:val="20"/>
          <w:szCs w:val="20"/>
          <w:color w:val="auto"/>
        </w:rPr>
      </w:pPr>
    </w:p>
    <w:p>
      <w:pPr>
        <w:spacing w:after="0" w:line="295" w:lineRule="exact"/>
        <w:rPr>
          <w:sz w:val="20"/>
          <w:szCs w:val="20"/>
          <w:color w:val="auto"/>
        </w:rPr>
      </w:pPr>
    </w:p>
    <w:p>
      <w:pPr>
        <w:ind w:left="1220" w:right="1759"/>
        <w:spacing w:after="0" w:line="245" w:lineRule="auto"/>
        <w:rPr>
          <w:sz w:val="20"/>
          <w:szCs w:val="20"/>
          <w:color w:val="auto"/>
        </w:rPr>
      </w:pPr>
      <w:r>
        <w:rPr>
          <w:rFonts w:ascii="Arial" w:cs="Arial" w:eastAsia="Arial" w:hAnsi="Arial"/>
          <w:sz w:val="14"/>
          <w:szCs w:val="14"/>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1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291"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The Trump administration issued executive orders which sought to reduce burdens associated with the ACA and modified how it was implemented.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7" w:name="page48"/>
    <w:bookmarkEnd w:id="4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19"/>
        <w:spacing w:after="0" w:line="265" w:lineRule="auto"/>
        <w:rPr>
          <w:sz w:val="20"/>
          <w:szCs w:val="20"/>
          <w:color w:val="auto"/>
        </w:rPr>
      </w:pPr>
      <w:r>
        <w:rPr>
          <w:rFonts w:ascii="Arial" w:cs="Arial" w:eastAsia="Arial" w:hAnsi="Arial"/>
          <w:sz w:val="14"/>
          <w:szCs w:val="14"/>
          <w:color w:val="auto"/>
        </w:rPr>
        <w:t>and remanded the case to the Texas District Court to reconsider its earlier invalidation of the entire ACA. An appeal was taken to the U.S. Supreme Court which heard oral arguments in the case on November 10, 2020. A ruling is expected in 2021.</w:t>
      </w:r>
    </w:p>
    <w:p>
      <w:pPr>
        <w:spacing w:after="0" w:line="9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Further changes to and under the ACA remain possible, although the new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build on the ACA. It is unknown what form any such changes or any law proposed to replace the ACA would take, and how or whether it may affect our business in the 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108"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The Budget Control Act of 2011 has resulted in reductions in spending on certain government programs, including aggregate reductions to Medicare payments to healthcare providers of up to 2.0% per fiscal year. These reductions have been extended until 2030 unless additional Congressional action is taken.</w:t>
      </w:r>
    </w:p>
    <w:p>
      <w:pPr>
        <w:spacing w:after="0" w:line="276" w:lineRule="exact"/>
        <w:rPr>
          <w:sz w:val="20"/>
          <w:szCs w:val="20"/>
          <w:color w:val="auto"/>
        </w:rPr>
      </w:pPr>
    </w:p>
    <w:p>
      <w:pPr>
        <w:ind w:left="1220" w:right="1419"/>
        <w:spacing w:after="0" w:line="262" w:lineRule="auto"/>
        <w:rPr>
          <w:sz w:val="20"/>
          <w:szCs w:val="20"/>
          <w:color w:val="auto"/>
        </w:rPr>
      </w:pPr>
      <w:r>
        <w:rPr>
          <w:rFonts w:ascii="Arial" w:cs="Arial" w:eastAsia="Arial" w:hAnsi="Arial"/>
          <w:sz w:val="14"/>
          <w:szCs w:val="14"/>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95"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33" w:lineRule="exact"/>
        <w:rPr>
          <w:sz w:val="20"/>
          <w:szCs w:val="20"/>
          <w:color w:val="auto"/>
        </w:rPr>
      </w:pPr>
    </w:p>
    <w:p>
      <w:pPr>
        <w:ind w:left="1220" w:right="1619"/>
        <w:spacing w:after="0" w:line="265" w:lineRule="auto"/>
        <w:rPr>
          <w:sz w:val="20"/>
          <w:szCs w:val="20"/>
          <w:color w:val="auto"/>
        </w:rPr>
      </w:pPr>
      <w:r>
        <w:rPr>
          <w:rFonts w:ascii="Arial" w:cs="Arial" w:eastAsia="Arial" w:hAnsi="Arial"/>
          <w:sz w:val="14"/>
          <w:szCs w:val="14"/>
          <w:b w:val="1"/>
          <w:bCs w:val="1"/>
          <w:i w:val="1"/>
          <w:iCs w:val="1"/>
          <w:color w:val="auto"/>
        </w:rPr>
        <w:t>If we fail to maintain proper and effective internal controls over financial reporting our ability to produce accurate and timely financial statements could be impaired.</w:t>
      </w:r>
    </w:p>
    <w:p>
      <w:pPr>
        <w:spacing w:after="0" w:line="92"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286"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95"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We believe that any internal controls and procedures, no matter how well-conceived and operated, can provide only reasonable, not absolute, assurance that the objectives of the control system are met. We may discover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8" w:name="page49"/>
    <w:bookmarkEnd w:id="4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68"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33" w:lineRule="exact"/>
        <w:rPr>
          <w:sz w:val="20"/>
          <w:szCs w:val="20"/>
          <w:color w:val="auto"/>
        </w:rPr>
      </w:pPr>
    </w:p>
    <w:p>
      <w:pPr>
        <w:ind w:left="1220" w:right="1319"/>
        <w:spacing w:after="0" w:line="245" w:lineRule="auto"/>
        <w:rPr>
          <w:sz w:val="20"/>
          <w:szCs w:val="20"/>
          <w:color w:val="auto"/>
        </w:rPr>
      </w:pPr>
      <w:r>
        <w:rPr>
          <w:rFonts w:ascii="Arial" w:cs="Arial" w:eastAsia="Arial" w:hAnsi="Arial"/>
          <w:sz w:val="14"/>
          <w:szCs w:val="14"/>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0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279" w:lineRule="exact"/>
        <w:rPr>
          <w:sz w:val="20"/>
          <w:szCs w:val="20"/>
          <w:color w:val="auto"/>
        </w:rPr>
      </w:pPr>
    </w:p>
    <w:p>
      <w:pPr>
        <w:ind w:left="1220" w:right="1499"/>
        <w:spacing w:after="0" w:line="260"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35"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products.</w:t>
      </w:r>
    </w:p>
    <w:p>
      <w:pPr>
        <w:spacing w:after="0" w:line="81"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279"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85" w:lineRule="exact"/>
        <w:rPr>
          <w:sz w:val="20"/>
          <w:szCs w:val="20"/>
          <w:color w:val="auto"/>
        </w:rPr>
      </w:pPr>
    </w:p>
    <w:p>
      <w:pPr>
        <w:ind w:left="1340" w:hanging="116"/>
        <w:spacing w:after="0"/>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decreased demand for our products;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withdrawal of clinical trial participants and inability to continue clinical trials;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9" w:name="page50"/>
    <w:bookmarkEnd w:id="4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diversion of management’s time and our resources;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significant negative financial impact;</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exhaustion of any available insurance and our capital resources;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inability to commercialize CNTY-101 or our other product candidates; and</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decline in our stock price.</w:t>
      </w:r>
    </w:p>
    <w:p>
      <w:pPr>
        <w:spacing w:after="0" w:line="130"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306" w:lineRule="exact"/>
        <w:rPr>
          <w:sz w:val="20"/>
          <w:szCs w:val="20"/>
          <w:color w:val="auto"/>
        </w:rPr>
      </w:pPr>
    </w:p>
    <w:p>
      <w:pPr>
        <w:ind w:left="1220" w:right="1299"/>
        <w:spacing w:after="0" w:line="239" w:lineRule="auto"/>
        <w:rPr>
          <w:sz w:val="20"/>
          <w:szCs w:val="20"/>
          <w:color w:val="auto"/>
        </w:rPr>
      </w:pPr>
      <w:r>
        <w:rPr>
          <w:rFonts w:ascii="Arial" w:cs="Arial" w:eastAsia="Arial" w:hAnsi="Arial"/>
          <w:sz w:val="14"/>
          <w:szCs w:val="14"/>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19"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0" w:name="page51"/>
    <w:bookmarkEnd w:id="5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75"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37" w:lineRule="exact"/>
        <w:rPr>
          <w:sz w:val="20"/>
          <w:szCs w:val="20"/>
          <w:color w:val="auto"/>
        </w:rPr>
      </w:pPr>
    </w:p>
    <w:p>
      <w:pPr>
        <w:ind w:left="1220" w:right="1399"/>
        <w:spacing w:after="0"/>
        <w:rPr>
          <w:sz w:val="20"/>
          <w:szCs w:val="20"/>
          <w:color w:val="auto"/>
        </w:rPr>
      </w:pPr>
      <w:r>
        <w:rPr>
          <w:rFonts w:ascii="Arial" w:cs="Arial" w:eastAsia="Arial" w:hAnsi="Arial"/>
          <w:sz w:val="14"/>
          <w:szCs w:val="14"/>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257"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govern the collection, use, disclosure, storage, transfer,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data breach is costly.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28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Foreign data protection laws, including the GDPR, may also apply to health-related and other personal information obtained outside of the United States. The GDPR went into effect in the EU in May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1" w:name="page52"/>
    <w:bookmarkEnd w:id="5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74" w:lineRule="auto"/>
        <w:rPr>
          <w:sz w:val="20"/>
          <w:szCs w:val="20"/>
          <w:color w:val="auto"/>
        </w:rPr>
      </w:pPr>
      <w:r>
        <w:rPr>
          <w:rFonts w:ascii="Arial" w:cs="Arial" w:eastAsia="Arial" w:hAnsi="Arial"/>
          <w:sz w:val="14"/>
          <w:szCs w:val="14"/>
          <w:color w:val="auto"/>
        </w:rPr>
        <w:t>European Union and United States agreed to a transfer framework for data transferred from the European Union to the United States called the Privacy Shield, but the Privacy Shield was invalidated in July 2020 by the Court of Justice of the European Union. Further, the vote in the United Kingdom in favor of exiting the European Union, referred to as Brexit, has created uncertainty with regard to data protection regulation in the United Kingdom. The United Kingdom has transposed the GDPR into domestic law with a United Kingdom version of the GDPR that took effect in January 2021, which could expose us to two parallel regimes, each of which potentially authorizes similar fines and other potentially divergent enforcement actions for violations. In addition, it is still unclear whether transfer of data from the European Economic Area to the United Kingdom will remain lawful under the GDPR. On December 24, 2020, the United Kingdom and European Union entered into a Trade and Cooperation Agreement. The Trade and Cooperation Agreement provides for a transitional period during which the United Kingdom will be treated like an European Union member state in relation to processing and transfers of personal data until June 30, 2021. This may be extended. After such period, the United Kingdom will be a “third country” under the GDPR unless the European Commission adopts an adequacy decision in respect of transfers of personal data to the United Kingdom.</w:t>
      </w:r>
    </w:p>
    <w:p>
      <w:pPr>
        <w:spacing w:after="0" w:line="28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306" w:lineRule="exact"/>
        <w:rPr>
          <w:sz w:val="20"/>
          <w:szCs w:val="20"/>
          <w:color w:val="auto"/>
        </w:rPr>
      </w:pPr>
    </w:p>
    <w:p>
      <w:pPr>
        <w:ind w:left="1220" w:right="1619"/>
        <w:spacing w:after="0" w:line="245" w:lineRule="auto"/>
        <w:rPr>
          <w:sz w:val="20"/>
          <w:szCs w:val="20"/>
          <w:color w:val="auto"/>
        </w:rPr>
      </w:pPr>
      <w:r>
        <w:rPr>
          <w:rFonts w:ascii="Arial" w:cs="Arial" w:eastAsia="Arial" w:hAnsi="Arial"/>
          <w:sz w:val="14"/>
          <w:szCs w:val="14"/>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16"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2" w:name="page53"/>
    <w:bookmarkEnd w:id="5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99"/>
        <w:spacing w:after="0" w:line="265" w:lineRule="auto"/>
        <w:rPr>
          <w:sz w:val="20"/>
          <w:szCs w:val="20"/>
          <w:color w:val="auto"/>
        </w:rPr>
      </w:pPr>
      <w:r>
        <w:rPr>
          <w:rFonts w:ascii="Arial" w:cs="Arial" w:eastAsia="Arial" w:hAnsi="Arial"/>
          <w:sz w:val="14"/>
          <w:szCs w:val="14"/>
          <w:color w:val="auto"/>
        </w:rPr>
        <w:t>agreement, or similar agreement to resolve allegations of noncompliance with these laws, and curtailment of our operations, any of which could adversely affect our ability to operate our business and our results of operations.</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6" w:lineRule="exact"/>
        <w:rPr>
          <w:sz w:val="20"/>
          <w:szCs w:val="20"/>
          <w:color w:val="auto"/>
        </w:rPr>
      </w:pPr>
    </w:p>
    <w:p>
      <w:pPr>
        <w:ind w:left="1220" w:right="1259"/>
        <w:spacing w:after="0" w:line="297" w:lineRule="auto"/>
        <w:rPr>
          <w:sz w:val="20"/>
          <w:szCs w:val="20"/>
          <w:color w:val="auto"/>
        </w:rPr>
      </w:pPr>
      <w:r>
        <w:rPr>
          <w:rFonts w:ascii="Arial" w:cs="Arial" w:eastAsia="Arial" w:hAnsi="Arial"/>
          <w:sz w:val="14"/>
          <w:szCs w:val="14"/>
          <w:b w:val="1"/>
          <w:bCs w:val="1"/>
          <w:i w:val="1"/>
          <w:iCs w:val="1"/>
          <w:color w:val="auto"/>
        </w:rPr>
        <w:t>We do not currently own any issued patents or non-provisional patent applications relating to our product candidates</w:t>
      </w:r>
      <w:r>
        <w:rPr>
          <w:rFonts w:ascii="Arial" w:cs="Arial" w:eastAsia="Arial" w:hAnsi="Arial"/>
          <w:sz w:val="14"/>
          <w:szCs w:val="14"/>
          <w:color w:val="auto"/>
        </w:rPr>
        <w:t>.</w:t>
      </w:r>
    </w:p>
    <w:p>
      <w:pPr>
        <w:spacing w:after="0" w:line="82"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Given the early stage of development of our product candidates, our patent portfolio is similarly at a very early stage. In particular, we do not own any issued patents or non-provisional patent applications, and we have not filed any patent applications related to our product candidates other than CNTY-101.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in the United States related to CNTY-101 and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310" w:lineRule="exact"/>
        <w:rPr>
          <w:sz w:val="20"/>
          <w:szCs w:val="20"/>
          <w:color w:val="auto"/>
        </w:rPr>
      </w:pPr>
    </w:p>
    <w:p>
      <w:pPr>
        <w:ind w:left="1220" w:right="1279"/>
        <w:spacing w:after="0" w:line="239" w:lineRule="auto"/>
        <w:rPr>
          <w:sz w:val="20"/>
          <w:szCs w:val="20"/>
          <w:color w:val="auto"/>
        </w:rPr>
      </w:pPr>
      <w:r>
        <w:rPr>
          <w:rFonts w:ascii="Arial" w:cs="Arial" w:eastAsia="Arial" w:hAnsi="Arial"/>
          <w:sz w:val="14"/>
          <w:szCs w:val="14"/>
          <w:b w:val="1"/>
          <w:bCs w:val="1"/>
          <w:i w:val="1"/>
          <w:iCs w:val="1"/>
          <w:color w:val="auto"/>
        </w:rPr>
        <w:t>If any of our license agreements with FCDI or our other licensors, including iCELL Inc. and the Governing Council of the University of Toronto and McMaster University, are terminated, we could lose our rights to key components enabling our iPSC-derived allogeneic cell therapy platforms.</w:t>
      </w:r>
    </w:p>
    <w:p>
      <w:pPr>
        <w:spacing w:after="0" w:line="119"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279"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have also entered into an exclusive sublicense, or the iCELL Sublicense, with iCELL Inc., or iCELL, for certain patents related to an immune function reconstruction method using multipotent stem cells and the method for producing antigen specific T-cells, and acquired a license agreement from Empirica Therapeutics, or the Empirica License, pursuant to which we receive an exclusive license from the Governing Council of the University of Toronto and the McMaster University under certain patents and antibody sequences and related intellectual property rights and know-how to, among other things, reproduce, manufacture and commercialize certain CD-133 related antibody and antibody sequence-derived technology.</w:t>
      </w:r>
    </w:p>
    <w:p>
      <w:pPr>
        <w:spacing w:after="0" w:line="110"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The FCDI Licenses and certain of our other license agreements, including the iCELL Sublicense and Empirica License, impose, and future license agreements may impose, various diligence, milestone payment, royalty, and other obligations on us. If we fail to comply with our obligations under the FCDI Licenses, our other license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3" w:name="page54"/>
    <w:bookmarkEnd w:id="5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379"/>
        <w:spacing w:after="0" w:line="265" w:lineRule="auto"/>
        <w:rPr>
          <w:sz w:val="20"/>
          <w:szCs w:val="20"/>
          <w:color w:val="auto"/>
        </w:rPr>
      </w:pPr>
      <w:r>
        <w:rPr>
          <w:rFonts w:ascii="Arial" w:cs="Arial" w:eastAsia="Arial" w:hAnsi="Arial"/>
          <w:sz w:val="14"/>
          <w:szCs w:val="14"/>
          <w:color w:val="auto"/>
        </w:rPr>
        <w:t>agreements, or any future license agreements with any party, or we are subject to a bankruptcy, the licensor may have the right to terminate the license, in which event we would not be able to develop products covered by such license.</w:t>
      </w:r>
    </w:p>
    <w:p>
      <w:pPr>
        <w:spacing w:after="0" w:line="93"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285"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For a more complete description of the FCDI Licenses and our other licenses, please see the section titled “Business—Licensing, Partnerships and Collaborations” in this prospectus.</w:t>
      </w:r>
    </w:p>
    <w:p>
      <w:pPr>
        <w:spacing w:after="0" w:line="124"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b w:val="1"/>
          <w:bCs w:val="1"/>
          <w:i w:val="1"/>
          <w:iCs w:val="1"/>
          <w:color w:val="auto"/>
        </w:rPr>
        <w:t>We may not be successful in obtaining or maintaining necessary intellectual property rights in the future for the development of CNTY-101 and our other product candidates.</w:t>
      </w:r>
    </w:p>
    <w:p>
      <w:pPr>
        <w:spacing w:after="0" w:line="92"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52" w:lineRule="exact"/>
        <w:rPr>
          <w:sz w:val="20"/>
          <w:szCs w:val="20"/>
          <w:color w:val="auto"/>
        </w:rPr>
      </w:pPr>
    </w:p>
    <w:p>
      <w:pPr>
        <w:ind w:left="1340" w:right="1279" w:hanging="116"/>
        <w:spacing w:after="0" w:line="278" w:lineRule="auto"/>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74" w:lineRule="exact"/>
        <w:rPr>
          <w:rFonts w:ascii="Arial" w:cs="Arial" w:eastAsia="Arial" w:hAnsi="Arial"/>
          <w:sz w:val="14"/>
          <w:szCs w:val="14"/>
          <w:color w:val="auto"/>
        </w:rPr>
      </w:pPr>
    </w:p>
    <w:p>
      <w:pPr>
        <w:ind w:left="1340" w:right="1619" w:hanging="116"/>
        <w:spacing w:after="0" w:line="295" w:lineRule="auto"/>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misappropriate, or otherwise violate intellectual property of the licensor that is not subject to the licensing agreement;</w:t>
      </w:r>
    </w:p>
    <w:p>
      <w:pPr>
        <w:spacing w:after="0" w:line="240"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right to sublicense patents and other intellectual property rights to third parties;</w:t>
      </w:r>
    </w:p>
    <w:p>
      <w:pPr>
        <w:spacing w:after="0" w:line="97" w:lineRule="exact"/>
        <w:rPr>
          <w:rFonts w:ascii="Arial" w:cs="Arial" w:eastAsia="Arial" w:hAnsi="Arial"/>
          <w:sz w:val="14"/>
          <w:szCs w:val="14"/>
          <w:color w:val="auto"/>
        </w:rPr>
      </w:pPr>
    </w:p>
    <w:p>
      <w:pPr>
        <w:ind w:left="1340" w:right="1399" w:hanging="116"/>
        <w:spacing w:after="0" w:line="281" w:lineRule="auto"/>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71"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right to transfer or assign the license; and</w:t>
      </w:r>
    </w:p>
    <w:p>
      <w:pPr>
        <w:spacing w:after="0" w:line="108" w:lineRule="exact"/>
        <w:rPr>
          <w:rFonts w:ascii="Arial" w:cs="Arial" w:eastAsia="Arial" w:hAnsi="Arial"/>
          <w:sz w:val="14"/>
          <w:szCs w:val="14"/>
          <w:color w:val="auto"/>
        </w:rPr>
      </w:pPr>
    </w:p>
    <w:p>
      <w:pPr>
        <w:ind w:left="1340" w:right="1459" w:hanging="116"/>
        <w:spacing w:after="0" w:line="290" w:lineRule="auto"/>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ownership of inventions, know-how, and other intellectual property resulting from the joint creation or use of intellectual property by our licensors and us and our partners.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4" w:name="page55"/>
    <w:bookmarkEnd w:id="5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39"/>
        <w:spacing w:after="0" w:line="262"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95"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17"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288" w:lineRule="exact"/>
        <w:rPr>
          <w:sz w:val="20"/>
          <w:szCs w:val="20"/>
          <w:color w:val="auto"/>
        </w:rPr>
      </w:pPr>
    </w:p>
    <w:p>
      <w:pPr>
        <w:ind w:left="1220" w:right="1339"/>
        <w:spacing w:after="0" w:line="290" w:lineRule="auto"/>
        <w:rPr>
          <w:sz w:val="20"/>
          <w:szCs w:val="20"/>
          <w:color w:val="auto"/>
        </w:rPr>
      </w:pPr>
      <w:r>
        <w:rPr>
          <w:rFonts w:ascii="Arial" w:cs="Arial" w:eastAsia="Arial" w:hAnsi="Arial"/>
          <w:sz w:val="14"/>
          <w:szCs w:val="14"/>
          <w:color w:val="auto"/>
        </w:rPr>
        <w:t>For a more complete description of the FCDI Licenses, please see the section titled “Business— License Agreements” in this prospectus.</w:t>
      </w:r>
    </w:p>
    <w:p>
      <w:pPr>
        <w:spacing w:after="0" w:line="113" w:lineRule="exact"/>
        <w:rPr>
          <w:sz w:val="20"/>
          <w:szCs w:val="20"/>
          <w:color w:val="auto"/>
        </w:rPr>
      </w:pPr>
    </w:p>
    <w:p>
      <w:pPr>
        <w:ind w:left="1220" w:right="2019"/>
        <w:spacing w:after="0" w:line="265" w:lineRule="auto"/>
        <w:rPr>
          <w:sz w:val="20"/>
          <w:szCs w:val="20"/>
          <w:color w:val="auto"/>
        </w:rPr>
      </w:pPr>
      <w:r>
        <w:rPr>
          <w:rFonts w:ascii="Arial" w:cs="Arial" w:eastAsia="Arial" w:hAnsi="Arial"/>
          <w:sz w:val="14"/>
          <w:szCs w:val="14"/>
          <w:b w:val="1"/>
          <w:bCs w:val="1"/>
          <w:i w:val="1"/>
          <w:iCs w:val="1"/>
          <w:color w:val="auto"/>
        </w:rPr>
        <w:t>Our success depends on our ability to obtain, maintain, protect, and enforce our intellectual property and our proprietary technologies.</w:t>
      </w:r>
    </w:p>
    <w:p>
      <w:pPr>
        <w:spacing w:after="0" w:line="9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provisional patent applications with respect to CNTY-101 and other aspects of our product technology, our patent portfolio is in an earlier stage of prosecution, and we have not filed any patent applications related to our product candidates other than CNTY-101.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06" w:lineRule="exact"/>
        <w:rPr>
          <w:sz w:val="20"/>
          <w:szCs w:val="20"/>
          <w:color w:val="auto"/>
        </w:rPr>
      </w:pPr>
    </w:p>
    <w:p>
      <w:pPr>
        <w:ind w:left="1220" w:right="1519"/>
        <w:spacing w:after="0" w:line="281" w:lineRule="auto"/>
        <w:rPr>
          <w:sz w:val="20"/>
          <w:szCs w:val="20"/>
          <w:color w:val="auto"/>
        </w:rPr>
      </w:pPr>
      <w:r>
        <w:rPr>
          <w:rFonts w:ascii="Arial" w:cs="Arial" w:eastAsia="Arial" w:hAnsi="Arial"/>
          <w:sz w:val="14"/>
          <w:szCs w:val="14"/>
          <w:color w:val="auto"/>
        </w:rPr>
        <w:t>We cannot be certain that the claims in our pending patent applications will be considered patentable by the United States Patent and Trademark Office, or USPTO, courts in the United States or by the patent offices and courts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5" w:name="page56"/>
    <w:bookmarkEnd w:id="5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95"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85" w:lineRule="exact"/>
        <w:rPr>
          <w:sz w:val="20"/>
          <w:szCs w:val="20"/>
          <w:color w:val="auto"/>
        </w:rPr>
      </w:pPr>
    </w:p>
    <w:p>
      <w:pPr>
        <w:jc w:val="both"/>
        <w:ind w:left="1340" w:right="1679" w:hanging="116"/>
        <w:spacing w:after="0" w:line="278"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patent applications may not result in any patents being issued;</w:t>
      </w:r>
    </w:p>
    <w:p>
      <w:pPr>
        <w:spacing w:after="0" w:line="108" w:lineRule="exact"/>
        <w:rPr>
          <w:rFonts w:ascii="Arial" w:cs="Arial" w:eastAsia="Arial" w:hAnsi="Arial"/>
          <w:sz w:val="14"/>
          <w:szCs w:val="14"/>
          <w:color w:val="auto"/>
        </w:rPr>
      </w:pPr>
    </w:p>
    <w:p>
      <w:pPr>
        <w:ind w:left="1340" w:right="1939" w:hanging="116"/>
        <w:spacing w:after="0" w:line="290"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patents may be challenged, invalidated, modified, revoked, circumvented, found to be unenforceable, or otherwise may not provide any competitive advantage;</w:t>
      </w:r>
    </w:p>
    <w:p>
      <w:pPr>
        <w:spacing w:after="0" w:line="64" w:lineRule="exact"/>
        <w:rPr>
          <w:rFonts w:ascii="Arial" w:cs="Arial" w:eastAsia="Arial" w:hAnsi="Arial"/>
          <w:sz w:val="14"/>
          <w:szCs w:val="14"/>
          <w:color w:val="auto"/>
        </w:rPr>
      </w:pPr>
    </w:p>
    <w:p>
      <w:pPr>
        <w:ind w:left="1340" w:right="1399" w:hanging="116"/>
        <w:spacing w:after="0" w:line="278"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74" w:lineRule="exact"/>
        <w:rPr>
          <w:rFonts w:ascii="Arial" w:cs="Arial" w:eastAsia="Arial" w:hAnsi="Arial"/>
          <w:sz w:val="14"/>
          <w:szCs w:val="14"/>
          <w:color w:val="auto"/>
        </w:rPr>
      </w:pPr>
    </w:p>
    <w:p>
      <w:pPr>
        <w:ind w:left="1340" w:right="1399" w:hanging="116"/>
        <w:spacing w:after="0" w:line="278"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3" w:lineRule="exact"/>
        <w:rPr>
          <w:rFonts w:ascii="Arial" w:cs="Arial" w:eastAsia="Arial" w:hAnsi="Arial"/>
          <w:sz w:val="14"/>
          <w:szCs w:val="14"/>
          <w:color w:val="auto"/>
        </w:rPr>
      </w:pPr>
    </w:p>
    <w:p>
      <w:pPr>
        <w:ind w:left="1340" w:right="1419" w:hanging="116"/>
        <w:spacing w:after="0" w:line="281"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93"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84"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w:t>
      </w:r>
    </w:p>
    <w:p>
      <w:pPr>
        <w:spacing w:after="0" w:line="2"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6" w:name="page57"/>
    <w:bookmarkEnd w:id="5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239"/>
        <w:spacing w:after="0" w:line="245" w:lineRule="auto"/>
        <w:rPr>
          <w:sz w:val="20"/>
          <w:szCs w:val="20"/>
          <w:color w:val="auto"/>
        </w:rPr>
      </w:pPr>
      <w:r>
        <w:rPr>
          <w:rFonts w:ascii="Arial" w:cs="Arial" w:eastAsia="Arial" w:hAnsi="Arial"/>
          <w:sz w:val="14"/>
          <w:szCs w:val="14"/>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95"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08"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279"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98"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b w:val="1"/>
          <w:bCs w:val="1"/>
          <w:i w:val="1"/>
          <w:iCs w:val="1"/>
          <w:color w:val="auto"/>
        </w:rPr>
        <w:t>The patent protection and patent prosecution for some of our product candidates may be dependent on third parties.</w:t>
      </w:r>
    </w:p>
    <w:p>
      <w:pPr>
        <w:spacing w:after="0" w:line="81"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7" w:name="page58"/>
    <w:bookmarkEnd w:id="5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98"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200" w:lineRule="exact"/>
        <w:rPr>
          <w:sz w:val="20"/>
          <w:szCs w:val="20"/>
          <w:color w:val="auto"/>
        </w:rPr>
      </w:pPr>
    </w:p>
    <w:p>
      <w:pPr>
        <w:spacing w:after="0" w:line="279"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06"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79"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8" w:name="page59"/>
    <w:bookmarkEnd w:id="5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839"/>
        <w:spacing w:after="0" w:line="274" w:lineRule="auto"/>
        <w:rPr>
          <w:sz w:val="20"/>
          <w:szCs w:val="20"/>
          <w:color w:val="auto"/>
        </w:rPr>
      </w:pPr>
      <w:r>
        <w:rPr>
          <w:rFonts w:ascii="Arial" w:cs="Arial" w:eastAsia="Arial" w:hAnsi="Arial"/>
          <w:sz w:val="14"/>
          <w:szCs w:val="14"/>
          <w:color w:val="auto"/>
        </w:rPr>
        <w:t>by the government of such rights could harm our competitive position, business, financial condition, results of operations, and prospects.</w:t>
      </w:r>
    </w:p>
    <w:p>
      <w:pPr>
        <w:spacing w:after="0" w:line="86"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308" w:lineRule="exact"/>
        <w:rPr>
          <w:sz w:val="20"/>
          <w:szCs w:val="20"/>
          <w:color w:val="auto"/>
        </w:rPr>
      </w:pPr>
    </w:p>
    <w:p>
      <w:pPr>
        <w:ind w:left="1220" w:right="1979"/>
        <w:spacing w:after="0" w:line="265" w:lineRule="auto"/>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92"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2" w:lineRule="exact"/>
        <w:rPr>
          <w:sz w:val="20"/>
          <w:szCs w:val="20"/>
          <w:color w:val="auto"/>
        </w:rPr>
      </w:pPr>
    </w:p>
    <w:p>
      <w:pPr>
        <w:ind w:left="1340" w:right="1579" w:hanging="116"/>
        <w:spacing w:after="0" w:line="290"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others may be able to develop products that are similar to CNTY-101 and our other product candidates but that are not covered by the claims of the patents that we own or license;</w:t>
      </w:r>
    </w:p>
    <w:p>
      <w:pPr>
        <w:spacing w:after="0" w:line="53" w:lineRule="exact"/>
        <w:rPr>
          <w:rFonts w:ascii="Arial" w:cs="Arial" w:eastAsia="Arial" w:hAnsi="Arial"/>
          <w:sz w:val="14"/>
          <w:szCs w:val="14"/>
          <w:color w:val="auto"/>
        </w:rPr>
      </w:pPr>
    </w:p>
    <w:p>
      <w:pPr>
        <w:ind w:left="1340" w:right="1759" w:hanging="116"/>
        <w:spacing w:after="0" w:line="290"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make the inventions covered by the issued patents or patent application that we own or license;</w:t>
      </w:r>
    </w:p>
    <w:p>
      <w:pPr>
        <w:spacing w:after="0" w:line="64" w:lineRule="exact"/>
        <w:rPr>
          <w:rFonts w:ascii="Arial" w:cs="Arial" w:eastAsia="Arial" w:hAnsi="Arial"/>
          <w:sz w:val="14"/>
          <w:szCs w:val="14"/>
          <w:color w:val="auto"/>
        </w:rPr>
      </w:pPr>
    </w:p>
    <w:p>
      <w:pPr>
        <w:ind w:left="1340" w:right="1599" w:hanging="116"/>
        <w:spacing w:after="0" w:line="290"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file patent applications covering certain of our inventions;</w:t>
      </w:r>
    </w:p>
    <w:p>
      <w:pPr>
        <w:spacing w:after="0" w:line="64" w:lineRule="exact"/>
        <w:rPr>
          <w:rFonts w:ascii="Arial" w:cs="Arial" w:eastAsia="Arial" w:hAnsi="Arial"/>
          <w:sz w:val="14"/>
          <w:szCs w:val="14"/>
          <w:color w:val="auto"/>
        </w:rPr>
      </w:pPr>
    </w:p>
    <w:p>
      <w:pPr>
        <w:ind w:left="1340" w:right="1299" w:hanging="116"/>
        <w:spacing w:after="0" w:line="295"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240" w:lineRule="exact"/>
        <w:rPr>
          <w:rFonts w:ascii="Arial" w:cs="Arial" w:eastAsia="Arial" w:hAnsi="Arial"/>
          <w:sz w:val="14"/>
          <w:szCs w:val="14"/>
          <w:color w:val="auto"/>
        </w:rPr>
      </w:pPr>
    </w:p>
    <w:p>
      <w:pPr>
        <w:ind w:left="1340" w:hanging="116"/>
        <w:spacing w:after="0"/>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108"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issued patents that we own or license may be held invalid or unenforceable, as a result of legal challenges by our competitors;</w:t>
      </w:r>
    </w:p>
    <w:p>
      <w:pPr>
        <w:spacing w:after="0" w:line="64" w:lineRule="exact"/>
        <w:rPr>
          <w:rFonts w:ascii="Arial" w:cs="Arial" w:eastAsia="Arial" w:hAnsi="Arial"/>
          <w:sz w:val="14"/>
          <w:szCs w:val="14"/>
          <w:color w:val="auto"/>
        </w:rPr>
      </w:pPr>
    </w:p>
    <w:p>
      <w:pPr>
        <w:ind w:left="1340" w:right="1459" w:hanging="116"/>
        <w:spacing w:after="0" w:line="281"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0" w:lineRule="exact"/>
        <w:rPr>
          <w:rFonts w:ascii="Arial" w:cs="Arial" w:eastAsia="Arial" w:hAnsi="Arial"/>
          <w:sz w:val="14"/>
          <w:szCs w:val="14"/>
          <w:color w:val="auto"/>
        </w:rPr>
      </w:pPr>
    </w:p>
    <w:p>
      <w:pPr>
        <w:ind w:left="1340" w:hanging="116"/>
        <w:spacing w:after="0"/>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41"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Should any of these events occur, it could significantly harm our business, results of operations, and prospects.</w:t>
      </w:r>
    </w:p>
    <w:p>
      <w:pPr>
        <w:spacing w:after="0" w:line="113" w:lineRule="exact"/>
        <w:rPr>
          <w:sz w:val="20"/>
          <w:szCs w:val="20"/>
          <w:color w:val="auto"/>
        </w:rPr>
      </w:pPr>
    </w:p>
    <w:p>
      <w:pPr>
        <w:ind w:left="1220" w:right="1259"/>
        <w:spacing w:after="0" w:line="236" w:lineRule="auto"/>
        <w:rPr>
          <w:sz w:val="20"/>
          <w:szCs w:val="20"/>
          <w:color w:val="auto"/>
        </w:rPr>
      </w:pPr>
      <w:r>
        <w:rPr>
          <w:rFonts w:ascii="Arial" w:cs="Arial" w:eastAsia="Arial" w:hAnsi="Arial"/>
          <w:sz w:val="14"/>
          <w:szCs w:val="14"/>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09"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9" w:name="page60"/>
    <w:bookmarkEnd w:id="5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81" w:lineRule="auto"/>
        <w:rPr>
          <w:sz w:val="20"/>
          <w:szCs w:val="20"/>
          <w:color w:val="auto"/>
        </w:rPr>
      </w:pPr>
      <w:r>
        <w:rPr>
          <w:rFonts w:ascii="Arial" w:cs="Arial" w:eastAsia="Arial" w:hAnsi="Arial"/>
          <w:sz w:val="14"/>
          <w:szCs w:val="14"/>
          <w:color w:val="auto"/>
        </w:rPr>
        <w:t>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93"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265" w:lineRule="exact"/>
        <w:rPr>
          <w:sz w:val="20"/>
          <w:szCs w:val="20"/>
          <w:color w:val="auto"/>
        </w:rPr>
      </w:pPr>
    </w:p>
    <w:p>
      <w:pPr>
        <w:ind w:left="1340" w:hanging="116"/>
        <w:spacing w:after="0"/>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result in costly litigation that may cause negative publicity;</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divert the time and attention of our technical personnel and management;</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cause development delays;</w:t>
      </w:r>
    </w:p>
    <w:p>
      <w:pPr>
        <w:spacing w:after="0" w:line="108" w:lineRule="exact"/>
        <w:rPr>
          <w:rFonts w:ascii="Arial" w:cs="Arial" w:eastAsia="Arial" w:hAnsi="Arial"/>
          <w:sz w:val="14"/>
          <w:szCs w:val="14"/>
          <w:color w:val="auto"/>
        </w:rPr>
      </w:pPr>
    </w:p>
    <w:p>
      <w:pPr>
        <w:ind w:left="1340" w:right="1299" w:hanging="116"/>
        <w:spacing w:after="0" w:line="290"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prevent us from commercializing CNTY-101 and our other product candidates until the asserted patent expires or is held finally invalid or not infringed in a court of law;</w:t>
      </w:r>
    </w:p>
    <w:p>
      <w:pPr>
        <w:spacing w:after="0" w:line="64" w:lineRule="exact"/>
        <w:rPr>
          <w:rFonts w:ascii="Arial" w:cs="Arial" w:eastAsia="Arial" w:hAnsi="Arial"/>
          <w:sz w:val="14"/>
          <w:szCs w:val="14"/>
          <w:color w:val="auto"/>
        </w:rPr>
      </w:pPr>
    </w:p>
    <w:p>
      <w:pPr>
        <w:ind w:left="1340" w:right="1399" w:hanging="116"/>
        <w:spacing w:after="0" w:line="265"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require us to develop non-infringing technology, which may not be possible on a cost-effective basis;</w:t>
      </w:r>
    </w:p>
    <w:p>
      <w:pPr>
        <w:spacing w:after="0" w:line="275" w:lineRule="exact"/>
        <w:rPr>
          <w:rFonts w:ascii="Arial" w:cs="Arial" w:eastAsia="Arial" w:hAnsi="Arial"/>
          <w:sz w:val="14"/>
          <w:szCs w:val="14"/>
          <w:color w:val="auto"/>
        </w:rPr>
      </w:pPr>
    </w:p>
    <w:p>
      <w:pPr>
        <w:ind w:left="1340" w:hanging="116"/>
        <w:spacing w:after="0"/>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subject us to significant liability to third parties; or</w:t>
      </w:r>
    </w:p>
    <w:p>
      <w:pPr>
        <w:spacing w:after="0" w:line="108" w:lineRule="exact"/>
        <w:rPr>
          <w:rFonts w:ascii="Arial" w:cs="Arial" w:eastAsia="Arial" w:hAnsi="Arial"/>
          <w:sz w:val="14"/>
          <w:szCs w:val="14"/>
          <w:color w:val="auto"/>
        </w:rPr>
      </w:pPr>
    </w:p>
    <w:p>
      <w:pPr>
        <w:ind w:left="1340" w:right="1299" w:hanging="116"/>
        <w:spacing w:after="0" w:line="281"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93"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296" w:lineRule="exact"/>
        <w:rPr>
          <w:sz w:val="20"/>
          <w:szCs w:val="20"/>
          <w:color w:val="auto"/>
        </w:rPr>
      </w:pPr>
    </w:p>
    <w:p>
      <w:pPr>
        <w:ind w:left="1220" w:right="1419"/>
        <w:spacing w:after="0" w:line="276" w:lineRule="auto"/>
        <w:rPr>
          <w:sz w:val="20"/>
          <w:szCs w:val="20"/>
          <w:color w:val="auto"/>
        </w:rPr>
      </w:pPr>
      <w:r>
        <w:rPr>
          <w:rFonts w:ascii="Arial" w:cs="Arial" w:eastAsia="Arial" w:hAnsi="Arial"/>
          <w:sz w:val="14"/>
          <w:szCs w:val="14"/>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0" w:name="page61"/>
    <w:bookmarkEnd w:id="6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90" w:lineRule="auto"/>
        <w:rPr>
          <w:sz w:val="20"/>
          <w:szCs w:val="20"/>
          <w:color w:val="auto"/>
        </w:rPr>
      </w:pPr>
      <w:r>
        <w:rPr>
          <w:rFonts w:ascii="Arial" w:cs="Arial" w:eastAsia="Arial" w:hAnsi="Arial"/>
          <w:sz w:val="14"/>
          <w:szCs w:val="14"/>
          <w:color w:val="auto"/>
        </w:rPr>
        <w:t>to raise additional funds or otherwise have a material adverse effect on our business, results of operations, financial condition and prospects.</w:t>
      </w:r>
    </w:p>
    <w:p>
      <w:pPr>
        <w:spacing w:after="0" w:line="8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23" w:lineRule="exact"/>
        <w:rPr>
          <w:sz w:val="20"/>
          <w:szCs w:val="20"/>
          <w:color w:val="auto"/>
        </w:rPr>
      </w:pPr>
    </w:p>
    <w:p>
      <w:pPr>
        <w:ind w:left="1220" w:right="1259"/>
        <w:spacing w:after="0" w:line="245" w:lineRule="auto"/>
        <w:rPr>
          <w:sz w:val="20"/>
          <w:szCs w:val="20"/>
          <w:color w:val="auto"/>
        </w:rPr>
      </w:pPr>
      <w:r>
        <w:rPr>
          <w:rFonts w:ascii="Arial" w:cs="Arial" w:eastAsia="Arial" w:hAnsi="Arial"/>
          <w:sz w:val="14"/>
          <w:szCs w:val="14"/>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16"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200" w:lineRule="exact"/>
        <w:rPr>
          <w:sz w:val="20"/>
          <w:szCs w:val="20"/>
          <w:color w:val="auto"/>
        </w:rPr>
      </w:pPr>
    </w:p>
    <w:p>
      <w:pPr>
        <w:spacing w:after="0" w:line="292" w:lineRule="exact"/>
        <w:rPr>
          <w:sz w:val="20"/>
          <w:szCs w:val="20"/>
          <w:color w:val="auto"/>
        </w:rPr>
      </w:pPr>
    </w:p>
    <w:p>
      <w:pPr>
        <w:jc w:val="both"/>
        <w:ind w:left="1220" w:right="1639"/>
        <w:spacing w:after="0" w:line="245" w:lineRule="auto"/>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1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1" w:name="page62"/>
    <w:bookmarkEnd w:id="6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or non-enablement. Grounds for an unenforceability assertion could include an allegation that someone connected with prosecution of the patent withheld relevant information from the USPTO or made a misleading statement during prosecution.</w:t>
      </w:r>
    </w:p>
    <w:p>
      <w:pPr>
        <w:spacing w:after="0" w:line="9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08"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In addition, we may in the future choose to challenge the patentability of claims in a third-party’s patent by requesting that the USPTO review the patent claims in re-examination, post-grant review, inter partes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09"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97"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0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3" w:lineRule="exact"/>
        <w:rPr>
          <w:sz w:val="20"/>
          <w:szCs w:val="20"/>
          <w:color w:val="auto"/>
        </w:rPr>
      </w:pPr>
    </w:p>
    <w:p>
      <w:pPr>
        <w:ind w:left="1220" w:right="1419"/>
        <w:spacing w:after="0" w:line="245" w:lineRule="auto"/>
        <w:rPr>
          <w:sz w:val="20"/>
          <w:szCs w:val="20"/>
          <w:color w:val="auto"/>
        </w:rPr>
      </w:pPr>
      <w:r>
        <w:rPr>
          <w:rFonts w:ascii="Arial" w:cs="Arial" w:eastAsia="Arial" w:hAnsi="Arial"/>
          <w:sz w:val="14"/>
          <w:szCs w:val="14"/>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06"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71"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For example, the U.S. Supreme Court has ruled on several patent cases in recent years, either narrowing the scope of patent protection available in certain circumstances or weakening the rights of patent owners in certain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2" w:name="page63"/>
    <w:bookmarkEnd w:id="6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35"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81"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28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10"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b w:val="1"/>
          <w:bCs w:val="1"/>
          <w:i w:val="1"/>
          <w:iCs w:val="1"/>
          <w:color w:val="auto"/>
        </w:rPr>
        <w:t>Patent terms may be inadequate to protect our competitive position on CNTY-101 and our other product candidates for an adequate amount of time.</w:t>
      </w:r>
    </w:p>
    <w:p>
      <w:pPr>
        <w:spacing w:after="0" w:line="92"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309"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b w:val="1"/>
          <w:bCs w:val="1"/>
          <w:i w:val="1"/>
          <w:iCs w:val="1"/>
          <w:color w:val="auto"/>
        </w:rPr>
        <w:t>If we do not obtain patent term extension for CNTY-101 and our other product candidates, our business may be materially harmed.</w:t>
      </w:r>
    </w:p>
    <w:p>
      <w:pPr>
        <w:spacing w:after="0" w:line="81"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3" w:name="page64"/>
    <w:bookmarkEnd w:id="6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3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rights throughout the world.</w:t>
      </w:r>
    </w:p>
    <w:p>
      <w:pPr>
        <w:spacing w:after="0" w:line="136" w:lineRule="exact"/>
        <w:rPr>
          <w:sz w:val="20"/>
          <w:szCs w:val="20"/>
          <w:color w:val="auto"/>
        </w:rPr>
      </w:pPr>
    </w:p>
    <w:p>
      <w:pPr>
        <w:ind w:left="1220" w:right="1259"/>
        <w:spacing w:after="0" w:line="291" w:lineRule="auto"/>
        <w:rPr>
          <w:sz w:val="20"/>
          <w:szCs w:val="20"/>
          <w:color w:val="auto"/>
        </w:rPr>
      </w:pPr>
      <w:r>
        <w:rPr>
          <w:rFonts w:ascii="Arial" w:cs="Arial" w:eastAsia="Arial" w:hAnsi="Arial"/>
          <w:sz w:val="14"/>
          <w:szCs w:val="14"/>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301" w:lineRule="exact"/>
        <w:rPr>
          <w:sz w:val="20"/>
          <w:szCs w:val="20"/>
          <w:color w:val="auto"/>
        </w:rPr>
      </w:pPr>
    </w:p>
    <w:p>
      <w:pPr>
        <w:ind w:left="1220" w:right="1279"/>
        <w:spacing w:after="0" w:line="291"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7" w:lineRule="exact"/>
        <w:rPr>
          <w:sz w:val="20"/>
          <w:szCs w:val="20"/>
          <w:color w:val="auto"/>
        </w:rPr>
      </w:pPr>
    </w:p>
    <w:p>
      <w:pPr>
        <w:ind w:left="1220" w:right="1259"/>
        <w:spacing w:after="0" w:line="293" w:lineRule="auto"/>
        <w:rPr>
          <w:sz w:val="20"/>
          <w:szCs w:val="20"/>
          <w:color w:val="auto"/>
        </w:rPr>
      </w:pPr>
      <w:r>
        <w:rPr>
          <w:rFonts w:ascii="Arial" w:cs="Arial" w:eastAsia="Arial" w:hAnsi="Arial"/>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4" w:name="page65"/>
    <w:bookmarkEnd w:id="6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519"/>
        <w:spacing w:after="0" w:line="23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312" w:lineRule="exact"/>
        <w:rPr>
          <w:sz w:val="20"/>
          <w:szCs w:val="20"/>
          <w:color w:val="auto"/>
        </w:rPr>
      </w:pPr>
    </w:p>
    <w:p>
      <w:pPr>
        <w:ind w:left="1220" w:right="1739"/>
        <w:spacing w:after="0" w:line="265" w:lineRule="auto"/>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60"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79"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268"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06" w:lineRule="exact"/>
        <w:rPr>
          <w:sz w:val="20"/>
          <w:szCs w:val="20"/>
          <w:color w:val="auto"/>
        </w:rPr>
      </w:pPr>
    </w:p>
    <w:p>
      <w:pPr>
        <w:ind w:left="1220" w:right="1299"/>
        <w:spacing w:after="0" w:line="245" w:lineRule="auto"/>
        <w:rPr>
          <w:sz w:val="20"/>
          <w:szCs w:val="20"/>
          <w:color w:val="auto"/>
        </w:rPr>
      </w:pPr>
      <w:r>
        <w:rPr>
          <w:rFonts w:ascii="Arial" w:cs="Arial" w:eastAsia="Arial" w:hAnsi="Arial"/>
          <w:sz w:val="14"/>
          <w:szCs w:val="14"/>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73"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color w:val="auto"/>
        </w:rPr>
        <w:t>As is common in the biopharmaceutical industry, in addition to our employees, we engage the services of consultants to assist us in the development of CNTY-101 and our other product candidates. Many of these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5" w:name="page66"/>
    <w:bookmarkEnd w:id="6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160" w:lineRule="exact"/>
        <w:rPr>
          <w:sz w:val="20"/>
          <w:szCs w:val="20"/>
          <w:color w:val="auto"/>
        </w:rPr>
      </w:pPr>
    </w:p>
    <w:p>
      <w:pPr>
        <w:ind w:left="1220" w:right="1919"/>
        <w:spacing w:after="0" w:line="265" w:lineRule="auto"/>
        <w:rPr>
          <w:sz w:val="20"/>
          <w:szCs w:val="20"/>
          <w:color w:val="auto"/>
        </w:rPr>
      </w:pPr>
      <w:r>
        <w:rPr>
          <w:rFonts w:ascii="Arial" w:cs="Arial" w:eastAsia="Arial" w:hAnsi="Arial"/>
          <w:sz w:val="14"/>
          <w:szCs w:val="14"/>
          <w:b w:val="1"/>
          <w:bCs w:val="1"/>
          <w:i w:val="1"/>
          <w:iCs w:val="1"/>
          <w:color w:val="auto"/>
        </w:rPr>
        <w:t>An active, liquid, and orderly market for our common stock may not develop or be sustained.</w:t>
      </w:r>
    </w:p>
    <w:p>
      <w:pPr>
        <w:spacing w:after="0" w:line="92"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Prior to this offering, there has been no public market for our common stock. Although we have applied to have our common stock listed on the Nasdaq Global Market, or Nasdaq, an active trading market for our common stock may never develop or be sustained following this offering.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290"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If, after listing,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305" w:lineRule="exact"/>
        <w:rPr>
          <w:sz w:val="20"/>
          <w:szCs w:val="20"/>
          <w:color w:val="auto"/>
        </w:rPr>
      </w:pPr>
    </w:p>
    <w:p>
      <w:pPr>
        <w:ind w:left="1220" w:right="1939"/>
        <w:spacing w:after="0" w:line="265" w:lineRule="auto"/>
        <w:rPr>
          <w:sz w:val="20"/>
          <w:szCs w:val="20"/>
          <w:color w:val="auto"/>
        </w:rPr>
      </w:pPr>
      <w:r>
        <w:rPr>
          <w:rFonts w:ascii="Arial" w:cs="Arial" w:eastAsia="Arial" w:hAnsi="Arial"/>
          <w:sz w:val="14"/>
          <w:szCs w:val="14"/>
          <w:b w:val="1"/>
          <w:bCs w:val="1"/>
          <w:i w:val="1"/>
          <w:iCs w:val="1"/>
          <w:color w:val="auto"/>
        </w:rPr>
        <w:t>The trading price of the shares of our common stock could be highly volatile, and purchasers of our common stock could incur substantial losses.</w:t>
      </w:r>
    </w:p>
    <w:p>
      <w:pPr>
        <w:spacing w:after="0" w:line="10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76" w:lineRule="exact"/>
        <w:rPr>
          <w:sz w:val="20"/>
          <w:szCs w:val="20"/>
          <w:color w:val="auto"/>
        </w:rPr>
      </w:pPr>
    </w:p>
    <w:p>
      <w:pPr>
        <w:jc w:val="both"/>
        <w:ind w:left="1340" w:right="1619" w:hanging="116"/>
        <w:spacing w:after="0" w:line="295"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commencement, enrollment, or results of our current and future preclinical studies and clinical trials, and the results of trials of our competitors or those of other companies in our market sector;</w:t>
      </w:r>
    </w:p>
    <w:p>
      <w:pPr>
        <w:spacing w:after="0" w:line="240"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regulatory approval of our product candidates, or limitations to specific label indications or patient populations for its use, or changes or delays in the regulatory review process;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regulatory developments in the United States and foreign countries;</w:t>
      </w:r>
    </w:p>
    <w:p>
      <w:pPr>
        <w:spacing w:after="0" w:line="108"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especially in light of current reforms to the United States healthcare system;</w:t>
      </w:r>
    </w:p>
    <w:p>
      <w:pPr>
        <w:spacing w:after="0" w:line="64" w:lineRule="exact"/>
        <w:rPr>
          <w:rFonts w:ascii="Arial" w:cs="Arial" w:eastAsia="Arial" w:hAnsi="Arial"/>
          <w:sz w:val="14"/>
          <w:szCs w:val="14"/>
          <w:color w:val="auto"/>
        </w:rPr>
      </w:pPr>
    </w:p>
    <w:p>
      <w:pPr>
        <w:ind w:left="1340" w:right="2039" w:hanging="116"/>
        <w:spacing w:after="0" w:line="290"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success or failure of our efforts to acquire, license, or develop additional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innovations or new products developed by us or our competitors;</w:t>
      </w:r>
    </w:p>
    <w:p>
      <w:pPr>
        <w:spacing w:after="0" w:line="119" w:lineRule="exact"/>
        <w:rPr>
          <w:rFonts w:ascii="Arial" w:cs="Arial" w:eastAsia="Arial" w:hAnsi="Arial"/>
          <w:sz w:val="14"/>
          <w:szCs w:val="14"/>
          <w:color w:val="auto"/>
        </w:rPr>
      </w:pPr>
    </w:p>
    <w:p>
      <w:pPr>
        <w:ind w:left="1340" w:right="1299" w:hanging="116"/>
        <w:spacing w:after="0" w:line="290"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or capital commitments;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manufacturing, supply or distribution delays or shortages;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6" w:name="page67"/>
    <w:bookmarkEnd w:id="6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659" w:hanging="116"/>
        <w:spacing w:after="0" w:line="290"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changes to our relationship with FCDI, any manufacturers, suppliers, licensors, future collaborators, or other strategic partners;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achievement of expected product sales and profitability;</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08" w:lineRule="exact"/>
        <w:rPr>
          <w:rFonts w:ascii="Arial" w:cs="Arial" w:eastAsia="Arial" w:hAnsi="Arial"/>
          <w:sz w:val="14"/>
          <w:szCs w:val="14"/>
          <w:color w:val="auto"/>
        </w:rPr>
      </w:pPr>
    </w:p>
    <w:p>
      <w:pPr>
        <w:ind w:left="1340" w:right="1399" w:hanging="116"/>
        <w:spacing w:after="0" w:line="290"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market conditions in the biopharmaceutical sector and issuance of securities analysts’ reports or recommendations;</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trading volume of our common stock;</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 inability to obtain additional funding;</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sales of our stock by insiders and stockholders;</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general economic, industry, and market conditions, or other events or factors, many of which are beyond our control;</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additions or departures of key personnel;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intellectual property, product liability, or other litigation against us.</w:t>
      </w:r>
    </w:p>
    <w:p>
      <w:pPr>
        <w:spacing w:after="0" w:line="141" w:lineRule="exact"/>
        <w:rPr>
          <w:sz w:val="20"/>
          <w:szCs w:val="20"/>
          <w:color w:val="auto"/>
        </w:rPr>
      </w:pPr>
    </w:p>
    <w:p>
      <w:pPr>
        <w:ind w:left="1220" w:right="1539"/>
        <w:spacing w:after="0" w:line="277" w:lineRule="auto"/>
        <w:rPr>
          <w:sz w:val="20"/>
          <w:szCs w:val="20"/>
          <w:color w:val="auto"/>
        </w:rPr>
      </w:pPr>
      <w:r>
        <w:rPr>
          <w:rFonts w:ascii="Arial" w:cs="Arial" w:eastAsia="Arial" w:hAnsi="Arial"/>
          <w:sz w:val="14"/>
          <w:szCs w:val="14"/>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23" w:lineRule="exact"/>
        <w:rPr>
          <w:sz w:val="20"/>
          <w:szCs w:val="20"/>
          <w:color w:val="auto"/>
        </w:rPr>
      </w:pPr>
    </w:p>
    <w:p>
      <w:pPr>
        <w:ind w:left="1220" w:right="2139"/>
        <w:spacing w:after="0" w:line="265"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you and other stockholders may not agree.</w:t>
      </w:r>
    </w:p>
    <w:p>
      <w:pPr>
        <w:spacing w:after="0" w:line="92"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06" w:lineRule="exact"/>
        <w:rPr>
          <w:sz w:val="20"/>
          <w:szCs w:val="20"/>
          <w:color w:val="auto"/>
        </w:rPr>
      </w:pPr>
    </w:p>
    <w:p>
      <w:pPr>
        <w:ind w:left="1220" w:right="1619"/>
        <w:spacing w:after="0" w:line="265" w:lineRule="auto"/>
        <w:rPr>
          <w:sz w:val="20"/>
          <w:szCs w:val="20"/>
          <w:color w:val="auto"/>
        </w:rPr>
      </w:pPr>
      <w:r>
        <w:rPr>
          <w:rFonts w:ascii="Arial" w:cs="Arial" w:eastAsia="Arial" w:hAnsi="Arial"/>
          <w:sz w:val="14"/>
          <w:szCs w:val="14"/>
          <w:b w:val="1"/>
          <w:bCs w:val="1"/>
          <w:i w:val="1"/>
          <w:iCs w:val="1"/>
          <w:color w:val="auto"/>
        </w:rPr>
        <w:t>You will suffer immediate and substantial dilution in the net tangible book value of the common stock you purchase.</w:t>
      </w:r>
    </w:p>
    <w:p>
      <w:pPr>
        <w:spacing w:after="0" w:line="81"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Investors purchasing shares of our common stock in this offering will pay a price per share that substantially exceeds the pro forma as adjusted net tangible book value per share of our common stock. As a result, investors purchasing common stock in this offering will incur immediate dilution</w:t>
      </w:r>
    </w:p>
    <w:p>
      <w:pPr>
        <w:spacing w:after="0" w:line="1"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14"/>
          <w:szCs w:val="14"/>
          <w:color w:val="auto"/>
        </w:rPr>
        <w:t>of $</w:t>
      </w:r>
      <w:r>
        <w:rPr>
          <w:sz w:val="20"/>
          <w:szCs w:val="20"/>
          <w:color w:val="auto"/>
        </w:rPr>
        <w:tab/>
      </w:r>
      <w:r>
        <w:rPr>
          <w:rFonts w:ascii="Arial" w:cs="Arial" w:eastAsia="Arial" w:hAnsi="Arial"/>
          <w:sz w:val="14"/>
          <w:szCs w:val="14"/>
          <w:color w:val="auto"/>
        </w:rPr>
        <w:t>per share, representing the difference between our assumed initial public offering</w:t>
      </w:r>
    </w:p>
    <w:p>
      <w:pPr>
        <w:spacing w:after="0" w:line="12" w:lineRule="exact"/>
        <w:rPr>
          <w:sz w:val="20"/>
          <w:szCs w:val="20"/>
          <w:color w:val="auto"/>
        </w:rPr>
      </w:pPr>
    </w:p>
    <w:p>
      <w:pPr>
        <w:jc w:val="right"/>
        <w:ind w:right="1239"/>
        <w:spacing w:after="0"/>
        <w:tabs>
          <w:tab w:leader="none" w:pos="5360" w:val="left"/>
        </w:tabs>
        <w:rPr>
          <w:sz w:val="20"/>
          <w:szCs w:val="20"/>
          <w:color w:val="auto"/>
        </w:rPr>
      </w:pPr>
      <w:r>
        <w:rPr>
          <w:rFonts w:ascii="Arial" w:cs="Arial" w:eastAsia="Arial" w:hAnsi="Arial"/>
          <w:sz w:val="14"/>
          <w:szCs w:val="14"/>
          <w:color w:val="auto"/>
        </w:rPr>
        <w:t>price of $</w:t>
      </w:r>
      <w:r>
        <w:rPr>
          <w:sz w:val="20"/>
          <w:szCs w:val="20"/>
          <w:color w:val="auto"/>
        </w:rPr>
        <w:tab/>
      </w:r>
      <w:r>
        <w:rPr>
          <w:rFonts w:ascii="Arial" w:cs="Arial" w:eastAsia="Arial" w:hAnsi="Arial"/>
          <w:sz w:val="14"/>
          <w:szCs w:val="14"/>
          <w:color w:val="auto"/>
        </w:rPr>
        <w:t>per share, which is the midpoint of the price range set forth on the cover page of</w:t>
      </w:r>
    </w:p>
    <w:p>
      <w:pPr>
        <w:spacing w:after="0" w:line="12"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this prospectus, and our pro forma as adjusted net tangible book value per share as of , 2021. To the extent outstanding options to purchase shares of our common stock are exercised, new investors may incur further dilution. For more information on the dilution you may experience as a result of investing in this offering, see the section of this prospectus entitled “Dilution.”</w:t>
      </w:r>
    </w:p>
    <w:p>
      <w:pPr>
        <w:spacing w:after="0" w:line="133" w:lineRule="exact"/>
        <w:rPr>
          <w:sz w:val="20"/>
          <w:szCs w:val="20"/>
          <w:color w:val="auto"/>
        </w:rPr>
      </w:pPr>
    </w:p>
    <w:p>
      <w:pPr>
        <w:ind w:left="1220" w:right="1419"/>
        <w:spacing w:after="0" w:line="245" w:lineRule="auto"/>
        <w:rPr>
          <w:sz w:val="20"/>
          <w:szCs w:val="20"/>
          <w:color w:val="auto"/>
        </w:rPr>
      </w:pPr>
      <w:r>
        <w:rPr>
          <w:rFonts w:ascii="Arial" w:cs="Arial" w:eastAsia="Arial" w:hAnsi="Arial"/>
          <w:sz w:val="14"/>
          <w:szCs w:val="14"/>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0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7" w:name="page68"/>
    <w:bookmarkEnd w:id="6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appreciation of their stock. There is no guarantee that shares of our common stock will appreciate in value or even maintain the price at which stockholders have purchased their shares.</w:t>
      </w:r>
    </w:p>
    <w:p>
      <w:pPr>
        <w:spacing w:after="0" w:line="125" w:lineRule="exact"/>
        <w:rPr>
          <w:sz w:val="20"/>
          <w:szCs w:val="20"/>
          <w:color w:val="auto"/>
        </w:rPr>
      </w:pPr>
    </w:p>
    <w:p>
      <w:pPr>
        <w:ind w:left="1220" w:right="1259"/>
        <w:spacing w:after="0" w:line="265" w:lineRule="auto"/>
        <w:rPr>
          <w:sz w:val="20"/>
          <w:szCs w:val="20"/>
          <w:color w:val="auto"/>
        </w:rPr>
      </w:pPr>
      <w:r>
        <w:rPr>
          <w:rFonts w:ascii="Arial" w:cs="Arial" w:eastAsia="Arial" w:hAnsi="Arial"/>
          <w:sz w:val="14"/>
          <w:szCs w:val="14"/>
          <w:b w:val="1"/>
          <w:bCs w:val="1"/>
          <w:i w:val="1"/>
          <w:iCs w:val="1"/>
          <w:color w:val="auto"/>
        </w:rPr>
        <w:t>Sales of a substantial number of shares of our common stock by our existing stockholders in the public market could cause our stock price to fall.</w:t>
      </w:r>
    </w:p>
    <w:p>
      <w:pPr>
        <w:spacing w:after="0" w:line="81" w:lineRule="exact"/>
        <w:rPr>
          <w:sz w:val="20"/>
          <w:szCs w:val="20"/>
          <w:color w:val="auto"/>
        </w:rPr>
      </w:pPr>
    </w:p>
    <w:p>
      <w:pPr>
        <w:ind w:left="1220" w:right="1679"/>
        <w:spacing w:after="0" w:line="246"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06" w:lineRule="exact"/>
        <w:rPr>
          <w:sz w:val="20"/>
          <w:szCs w:val="20"/>
          <w:color w:val="auto"/>
        </w:rPr>
      </w:pPr>
    </w:p>
    <w:p>
      <w:pPr>
        <w:ind w:left="1220" w:right="1339"/>
        <w:spacing w:after="0" w:line="241" w:lineRule="auto"/>
        <w:rPr>
          <w:sz w:val="20"/>
          <w:szCs w:val="20"/>
          <w:color w:val="auto"/>
        </w:rPr>
      </w:pPr>
      <w:r>
        <w:rPr>
          <w:rFonts w:ascii="Arial" w:cs="Arial" w:eastAsia="Arial" w:hAnsi="Arial"/>
          <w:sz w:val="14"/>
          <w:szCs w:val="14"/>
          <w:color w:val="auto"/>
        </w:rPr>
        <w:t>Based on shares of common stock outstanding as of , 2021, upon the closing of this offering, we will have outstanding a total of shares of common stock after this offering,</w:t>
      </w:r>
    </w:p>
    <w:p>
      <w:pPr>
        <w:ind w:left="1220"/>
        <w:spacing w:after="0"/>
        <w:rPr>
          <w:sz w:val="20"/>
          <w:szCs w:val="20"/>
          <w:color w:val="auto"/>
        </w:rPr>
      </w:pPr>
      <w:r>
        <w:rPr>
          <w:rFonts w:ascii="Arial" w:cs="Arial" w:eastAsia="Arial" w:hAnsi="Arial"/>
          <w:sz w:val="14"/>
          <w:szCs w:val="14"/>
          <w:color w:val="auto"/>
        </w:rPr>
        <w:t>assuming no exercise of the underwriters’ option to purchase additional shares and no exercise</w:t>
      </w:r>
    </w:p>
    <w:p>
      <w:pPr>
        <w:spacing w:after="0" w:line="1" w:lineRule="exact"/>
        <w:rPr>
          <w:sz w:val="20"/>
          <w:szCs w:val="20"/>
          <w:color w:val="auto"/>
        </w:rPr>
      </w:pPr>
    </w:p>
    <w:p>
      <w:pPr>
        <w:ind w:left="1220" w:right="1339"/>
        <w:spacing w:after="0" w:line="246" w:lineRule="auto"/>
        <w:rPr>
          <w:sz w:val="20"/>
          <w:szCs w:val="20"/>
          <w:color w:val="auto"/>
        </w:rPr>
      </w:pPr>
      <w:r>
        <w:rPr>
          <w:rFonts w:ascii="Arial" w:cs="Arial" w:eastAsia="Arial" w:hAnsi="Arial"/>
          <w:sz w:val="14"/>
          <w:szCs w:val="14"/>
          <w:color w:val="auto"/>
        </w:rPr>
        <w:t>of outstanding options. Of these shares, only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06" w:lineRule="exact"/>
        <w:rPr>
          <w:sz w:val="20"/>
          <w:szCs w:val="20"/>
          <w:color w:val="auto"/>
        </w:rPr>
      </w:pPr>
    </w:p>
    <w:p>
      <w:pPr>
        <w:ind w:left="1220" w:right="1319"/>
        <w:spacing w:after="0" w:line="241" w:lineRule="auto"/>
        <w:rPr>
          <w:sz w:val="20"/>
          <w:szCs w:val="20"/>
          <w:color w:val="auto"/>
        </w:rPr>
      </w:pPr>
      <w:r>
        <w:rPr>
          <w:rFonts w:ascii="Arial" w:cs="Arial" w:eastAsia="Arial" w:hAnsi="Arial"/>
          <w:sz w:val="14"/>
          <w:szCs w:val="14"/>
          <w:color w:val="auto"/>
        </w:rPr>
        <w:t>Our directors and executive officers and holders of substantially all of our outstanding securities have entered into lock -up agreements with the underwriters pursuant to which they may not, with limited exceptions, for a period of 180 days from the date of this prospectus, offer, sell or otherwise transfer or dispose of any of our securities, without the prior written consent of J.P. Morgan Securities LLC, BofA Securities, Inc., SVB Leerink LLC, and Piper Sandler &amp; Co. The underwriters may permit our officers, directors, and other stockholders and the holders of our outstanding options who are subject to the lock- up agreements to sell shares prior to the expiration of the lock-up agreements, subject to limitations. See “Underwriting.” Sales of these shares, or perceptions that they will be sold, could cause the trading price of our common stock</w:t>
      </w:r>
    </w:p>
    <w:p>
      <w:pPr>
        <w:spacing w:after="0" w:line="2" w:lineRule="exact"/>
        <w:rPr>
          <w:sz w:val="20"/>
          <w:szCs w:val="20"/>
          <w:color w:val="auto"/>
        </w:rPr>
      </w:pPr>
    </w:p>
    <w:p>
      <w:pPr>
        <w:ind w:left="1220" w:right="1519"/>
        <w:spacing w:after="0" w:line="241" w:lineRule="auto"/>
        <w:rPr>
          <w:sz w:val="20"/>
          <w:szCs w:val="20"/>
          <w:color w:val="auto"/>
        </w:rPr>
      </w:pPr>
      <w:r>
        <w:rPr>
          <w:rFonts w:ascii="Arial" w:cs="Arial" w:eastAsia="Arial" w:hAnsi="Arial"/>
          <w:sz w:val="14"/>
          <w:szCs w:val="14"/>
          <w:color w:val="auto"/>
        </w:rPr>
        <w:t>to decline. After the lock-up agreements expire, up to an additional shares of common stock will be eligible for sale in the public market of which shares are held by directors,</w:t>
      </w:r>
    </w:p>
    <w:p>
      <w:pPr>
        <w:ind w:left="1220" w:right="1499"/>
        <w:spacing w:after="0" w:line="257" w:lineRule="auto"/>
        <w:rPr>
          <w:sz w:val="20"/>
          <w:szCs w:val="20"/>
          <w:color w:val="auto"/>
        </w:rPr>
      </w:pPr>
      <w:r>
        <w:rPr>
          <w:rFonts w:ascii="Arial" w:cs="Arial" w:eastAsia="Arial" w:hAnsi="Arial"/>
          <w:sz w:val="14"/>
          <w:szCs w:val="14"/>
          <w:color w:val="auto"/>
        </w:rPr>
        <w:t>executive officers, and other affiliates and will be subject to volume limitations under Rule 144 under the Securities Act of 1933, as amended, or the Securities Act.</w:t>
      </w:r>
    </w:p>
    <w:p>
      <w:pPr>
        <w:spacing w:after="0" w:line="87" w:lineRule="exact"/>
        <w:rPr>
          <w:sz w:val="20"/>
          <w:szCs w:val="20"/>
          <w:color w:val="auto"/>
        </w:rPr>
      </w:pPr>
    </w:p>
    <w:p>
      <w:pPr>
        <w:ind w:left="1220" w:right="1239"/>
        <w:spacing w:after="0" w:line="244" w:lineRule="auto"/>
        <w:rPr>
          <w:sz w:val="20"/>
          <w:szCs w:val="20"/>
          <w:color w:val="auto"/>
        </w:rPr>
      </w:pPr>
      <w:r>
        <w:rPr>
          <w:rFonts w:ascii="Arial" w:cs="Arial" w:eastAsia="Arial" w:hAnsi="Arial"/>
          <w:sz w:val="14"/>
          <w:szCs w:val="14"/>
          <w:color w:val="auto"/>
        </w:rPr>
        <w:t>In addition, as of , 2021, up to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Rule 144 under the Securities Act, or Rule 144, and Rule 701 under the Securities Act, or Rule 701. If these additional shares of common stock are sold, or if it is perceived that they will be sold, in the public market, the trading price of our common stock could decline.</w:t>
      </w:r>
    </w:p>
    <w:p>
      <w:pPr>
        <w:spacing w:after="0" w:line="270" w:lineRule="exact"/>
        <w:rPr>
          <w:sz w:val="20"/>
          <w:szCs w:val="20"/>
          <w:color w:val="auto"/>
        </w:rPr>
      </w:pPr>
    </w:p>
    <w:p>
      <w:pPr>
        <w:ind w:left="1220" w:right="1479"/>
        <w:spacing w:after="0" w:line="241" w:lineRule="auto"/>
        <w:rPr>
          <w:sz w:val="20"/>
          <w:szCs w:val="20"/>
          <w:color w:val="auto"/>
        </w:rPr>
      </w:pPr>
      <w:r>
        <w:rPr>
          <w:rFonts w:ascii="Arial" w:cs="Arial" w:eastAsia="Arial" w:hAnsi="Arial"/>
          <w:sz w:val="14"/>
          <w:szCs w:val="14"/>
          <w:color w:val="auto"/>
        </w:rPr>
        <w:t>After this offering, the holders of shares of our outstanding common stock, or approximately % of our total outstanding common stock as of , 2021, will be</w:t>
      </w:r>
    </w:p>
    <w:p>
      <w:pPr>
        <w:ind w:left="1220" w:right="1239"/>
        <w:spacing w:after="0" w:line="244" w:lineRule="auto"/>
        <w:rPr>
          <w:sz w:val="20"/>
          <w:szCs w:val="20"/>
          <w:color w:val="auto"/>
        </w:rPr>
      </w:pPr>
      <w:r>
        <w:rPr>
          <w:rFonts w:ascii="Arial" w:cs="Arial" w:eastAsia="Arial" w:hAnsi="Arial"/>
          <w:sz w:val="14"/>
          <w:szCs w:val="14"/>
          <w:color w:val="auto"/>
        </w:rPr>
        <w:t>entitled to rights with respect to the registration of their shares under the Securities Act, subject to vesting and the 180-day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Any sales of securities by these stockholders could have a material adverse effect on the trading price of our common stock.</w:t>
      </w:r>
    </w:p>
    <w:p>
      <w:pPr>
        <w:spacing w:after="0" w:line="135" w:lineRule="exact"/>
        <w:rPr>
          <w:sz w:val="20"/>
          <w:szCs w:val="20"/>
          <w:color w:val="auto"/>
        </w:rPr>
      </w:pPr>
    </w:p>
    <w:p>
      <w:pPr>
        <w:ind w:left="1220" w:right="1239"/>
        <w:spacing w:after="0"/>
        <w:rPr>
          <w:sz w:val="20"/>
          <w:szCs w:val="20"/>
          <w:color w:val="auto"/>
        </w:rPr>
      </w:pPr>
      <w:r>
        <w:rPr>
          <w:rFonts w:ascii="Arial" w:cs="Arial" w:eastAsia="Arial" w:hAnsi="Arial"/>
          <w:sz w:val="14"/>
          <w:szCs w:val="14"/>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267" w:lineRule="exact"/>
        <w:rPr>
          <w:sz w:val="20"/>
          <w:szCs w:val="20"/>
          <w:color w:val="auto"/>
        </w:rPr>
      </w:pPr>
    </w:p>
    <w:p>
      <w:pPr>
        <w:ind w:left="1220" w:right="1399"/>
        <w:spacing w:after="0" w:line="241" w:lineRule="auto"/>
        <w:rPr>
          <w:sz w:val="20"/>
          <w:szCs w:val="20"/>
          <w:color w:val="auto"/>
        </w:rPr>
      </w:pPr>
      <w:r>
        <w:rPr>
          <w:rFonts w:ascii="Arial" w:cs="Arial" w:eastAsia="Arial" w:hAnsi="Arial"/>
          <w:sz w:val="14"/>
          <w:szCs w:val="14"/>
          <w:color w:val="auto"/>
        </w:rPr>
        <w:t>Immediately following the closing of this offering, and disregarding any shares of common stock that they purchase in this offering, the existing holdings of our executive officers, directors, principal stockholders, and their affiliates, including entities affiliated with Bayer, FCDI, and Versant Ventures, or Versant, will represent beneficial ownership, in the aggregate, of</w:t>
      </w:r>
    </w:p>
    <w:p>
      <w:pPr>
        <w:spacing w:after="0" w:line="1" w:lineRule="exact"/>
        <w:rPr>
          <w:sz w:val="20"/>
          <w:szCs w:val="20"/>
          <w:color w:val="auto"/>
        </w:rPr>
      </w:pPr>
    </w:p>
    <w:p>
      <w:pPr>
        <w:ind w:left="1220" w:right="1279"/>
        <w:spacing w:after="0" w:line="243" w:lineRule="auto"/>
        <w:rPr>
          <w:sz w:val="20"/>
          <w:szCs w:val="20"/>
          <w:color w:val="auto"/>
        </w:rPr>
      </w:pPr>
      <w:r>
        <w:rPr>
          <w:rFonts w:ascii="Arial" w:cs="Arial" w:eastAsia="Arial" w:hAnsi="Arial"/>
          <w:sz w:val="14"/>
          <w:szCs w:val="14"/>
          <w:color w:val="auto"/>
        </w:rPr>
        <w:t>approximately % of our outstanding common stock, assuming no exercise of the underwriters’ option to purchase additional shares of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8" w:name="page69"/>
    <w:bookmarkEnd w:id="6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79"/>
        <w:spacing w:after="0" w:line="249" w:lineRule="auto"/>
        <w:rPr>
          <w:sz w:val="20"/>
          <w:szCs w:val="20"/>
          <w:color w:val="auto"/>
        </w:rPr>
      </w:pPr>
      <w:r>
        <w:rPr>
          <w:rFonts w:ascii="Arial" w:cs="Arial" w:eastAsia="Arial" w:hAnsi="Arial"/>
          <w:sz w:val="14"/>
          <w:szCs w:val="14"/>
          <w:color w:val="auto"/>
        </w:rPr>
        <w:t>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60" w:lineRule="exact"/>
        <w:rPr>
          <w:sz w:val="20"/>
          <w:szCs w:val="20"/>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delaying, deferring or preventing a change of control of us;</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impeding a merger, consolidation, takeover or other business combination involving us; or</w:t>
      </w:r>
    </w:p>
    <w:p>
      <w:pPr>
        <w:spacing w:after="0" w:line="11"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discouraging a potential acquirer from making a tender offer or otherwise attempting to obtain control of us.</w:t>
      </w:r>
    </w:p>
    <w:p>
      <w:pPr>
        <w:spacing w:after="0" w:line="86" w:lineRule="exact"/>
        <w:rPr>
          <w:sz w:val="20"/>
          <w:szCs w:val="20"/>
          <w:color w:val="auto"/>
        </w:rPr>
      </w:pPr>
    </w:p>
    <w:p>
      <w:pPr>
        <w:jc w:val="both"/>
        <w:ind w:left="1220" w:right="1439"/>
        <w:spacing w:after="0" w:line="249" w:lineRule="auto"/>
        <w:rPr>
          <w:sz w:val="20"/>
          <w:szCs w:val="20"/>
          <w:color w:val="auto"/>
        </w:rPr>
      </w:pPr>
      <w:r>
        <w:rPr>
          <w:rFonts w:ascii="Arial" w:cs="Arial" w:eastAsia="Arial" w:hAnsi="Arial"/>
          <w:sz w:val="14"/>
          <w:szCs w:val="14"/>
          <w:color w:val="auto"/>
        </w:rPr>
        <w:t>See “Principal stockholders” in this prospectus for more information regarding the ownership of our outstanding common stock by our executive officers, directors, principal stockholders, and their affiliates.</w:t>
      </w:r>
    </w:p>
    <w:p>
      <w:pPr>
        <w:spacing w:after="0" w:line="130" w:lineRule="exact"/>
        <w:rPr>
          <w:sz w:val="20"/>
          <w:szCs w:val="20"/>
          <w:color w:val="auto"/>
        </w:rPr>
      </w:pPr>
    </w:p>
    <w:p>
      <w:pPr>
        <w:jc w:val="both"/>
        <w:ind w:left="1220" w:right="1299"/>
        <w:spacing w:after="0" w:line="245"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6" w:lineRule="exact"/>
        <w:rPr>
          <w:sz w:val="20"/>
          <w:szCs w:val="20"/>
          <w:color w:val="auto"/>
        </w:rPr>
      </w:pPr>
    </w:p>
    <w:p>
      <w:pPr>
        <w:ind w:left="1220" w:right="1299"/>
        <w:spacing w:after="0" w:line="243" w:lineRule="auto"/>
        <w:rPr>
          <w:sz w:val="20"/>
          <w:szCs w:val="20"/>
          <w:color w:val="auto"/>
        </w:rPr>
      </w:pPr>
      <w:r>
        <w:rPr>
          <w:rFonts w:ascii="Arial" w:cs="Arial" w:eastAsia="Arial" w:hAnsi="Arial"/>
          <w:sz w:val="14"/>
          <w:szCs w:val="14"/>
          <w:color w:val="auto"/>
        </w:rPr>
        <w:t>We are an emerging growth company, as defined in the Jumpstart Our Business Startups Act, or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$1.07 billion or we issue more than $1.0 billion of non -convertible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227" w:lineRule="exact"/>
        <w:rPr>
          <w:sz w:val="20"/>
          <w:szCs w:val="20"/>
          <w:color w:val="auto"/>
        </w:rPr>
      </w:pPr>
    </w:p>
    <w:p>
      <w:pPr>
        <w:ind w:left="1340" w:right="1319" w:hanging="116"/>
        <w:spacing w:after="0" w:line="281" w:lineRule="auto"/>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71" w:lineRule="exact"/>
        <w:rPr>
          <w:rFonts w:ascii="Arial" w:cs="Arial" w:eastAsia="Arial" w:hAnsi="Arial"/>
          <w:sz w:val="14"/>
          <w:szCs w:val="14"/>
          <w:color w:val="auto"/>
        </w:rPr>
      </w:pPr>
    </w:p>
    <w:p>
      <w:pPr>
        <w:ind w:left="1340" w:right="1959" w:hanging="116"/>
        <w:spacing w:after="0" w:line="290" w:lineRule="auto"/>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8"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30" w:lineRule="exact"/>
        <w:rPr>
          <w:sz w:val="20"/>
          <w:szCs w:val="20"/>
          <w:color w:val="auto"/>
        </w:rPr>
      </w:pPr>
    </w:p>
    <w:p>
      <w:pPr>
        <w:ind w:left="1220" w:right="1259"/>
        <w:spacing w:after="0" w:line="243"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96" w:lineRule="exact"/>
        <w:rPr>
          <w:sz w:val="20"/>
          <w:szCs w:val="20"/>
          <w:color w:val="auto"/>
        </w:rPr>
      </w:pPr>
    </w:p>
    <w:p>
      <w:pPr>
        <w:ind w:left="1220" w:right="1359"/>
        <w:spacing w:after="0" w:line="241"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9" w:name="page70"/>
    <w:bookmarkEnd w:id="6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619"/>
        <w:spacing w:after="0" w:line="265"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new compliance initiatives.</w:t>
      </w:r>
    </w:p>
    <w:p>
      <w:pPr>
        <w:spacing w:after="0" w:line="81" w:lineRule="exact"/>
        <w:rPr>
          <w:sz w:val="20"/>
          <w:szCs w:val="20"/>
          <w:color w:val="auto"/>
        </w:rPr>
      </w:pPr>
    </w:p>
    <w:p>
      <w:pPr>
        <w:ind w:left="1220" w:right="1259"/>
        <w:spacing w:after="0" w:line="243" w:lineRule="auto"/>
        <w:rPr>
          <w:sz w:val="20"/>
          <w:szCs w:val="20"/>
          <w:color w:val="auto"/>
        </w:rPr>
      </w:pPr>
      <w:r>
        <w:rPr>
          <w:rFonts w:ascii="Arial" w:cs="Arial" w:eastAsia="Arial" w:hAnsi="Arial"/>
          <w:sz w:val="14"/>
          <w:szCs w:val="14"/>
          <w:color w:val="auto"/>
        </w:rPr>
        <w:t>As a public company, and particularly after we are no longer an emerging growth company or smaller reporting company, we will incur significant legal, accounting, and other expenses that we did not incur as a private company.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270" w:lineRule="exact"/>
        <w:rPr>
          <w:sz w:val="20"/>
          <w:szCs w:val="20"/>
          <w:color w:val="auto"/>
        </w:rPr>
      </w:pPr>
    </w:p>
    <w:p>
      <w:pPr>
        <w:ind w:left="1220" w:right="1279"/>
        <w:spacing w:after="0" w:line="242" w:lineRule="auto"/>
        <w:rPr>
          <w:sz w:val="20"/>
          <w:szCs w:val="20"/>
          <w:color w:val="auto"/>
        </w:rPr>
      </w:pPr>
      <w:r>
        <w:rPr>
          <w:rFonts w:ascii="Arial" w:cs="Arial" w:eastAsia="Arial" w:hAnsi="Arial"/>
          <w:sz w:val="14"/>
          <w:szCs w:val="14"/>
          <w:color w:val="auto"/>
        </w:rPr>
        <w:t>Pursuant to Section 404 of the Sarbanes -Oxley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299" w:lineRule="exact"/>
        <w:rPr>
          <w:sz w:val="20"/>
          <w:szCs w:val="20"/>
          <w:color w:val="auto"/>
        </w:rPr>
      </w:pPr>
    </w:p>
    <w:p>
      <w:pPr>
        <w:jc w:val="both"/>
        <w:ind w:left="1220" w:right="1279"/>
        <w:spacing w:after="0" w:line="265"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92" w:lineRule="exact"/>
        <w:rPr>
          <w:sz w:val="20"/>
          <w:szCs w:val="20"/>
          <w:color w:val="auto"/>
        </w:rPr>
      </w:pPr>
    </w:p>
    <w:p>
      <w:pPr>
        <w:ind w:left="1220" w:right="1279"/>
        <w:spacing w:after="0" w:line="243"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298" w:lineRule="exact"/>
        <w:rPr>
          <w:sz w:val="20"/>
          <w:szCs w:val="20"/>
          <w:color w:val="auto"/>
        </w:rPr>
      </w:pPr>
    </w:p>
    <w:p>
      <w:pPr>
        <w:ind w:left="1220" w:right="1379"/>
        <w:spacing w:after="0" w:line="245"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95" w:lineRule="exact"/>
        <w:rPr>
          <w:sz w:val="20"/>
          <w:szCs w:val="20"/>
          <w:color w:val="auto"/>
        </w:rPr>
      </w:pPr>
    </w:p>
    <w:p>
      <w:pPr>
        <w:ind w:left="1220" w:right="1279"/>
        <w:spacing w:after="0" w:line="242" w:lineRule="auto"/>
        <w:rPr>
          <w:sz w:val="20"/>
          <w:szCs w:val="20"/>
          <w:color w:val="auto"/>
        </w:rPr>
      </w:pPr>
      <w:r>
        <w:rPr>
          <w:rFonts w:ascii="Arial" w:cs="Arial" w:eastAsia="Arial" w:hAnsi="Arial"/>
          <w:sz w:val="14"/>
          <w:szCs w:val="14"/>
          <w:color w:val="auto"/>
        </w:rPr>
        <w:t>Provisions in our second amended and restated certificate of incorporation and our amended and restated bylaws to be in effect immediately prior to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243" w:lineRule="exact"/>
        <w:rPr>
          <w:sz w:val="20"/>
          <w:szCs w:val="20"/>
          <w:color w:val="auto"/>
        </w:rPr>
      </w:pPr>
    </w:p>
    <w:p>
      <w:pPr>
        <w:ind w:left="1340" w:right="1279" w:hanging="116"/>
        <w:spacing w:after="0" w:line="278" w:lineRule="auto"/>
        <w:tabs>
          <w:tab w:leader="none" w:pos="1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0" w:name="page71"/>
    <w:bookmarkEnd w:id="7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259" w:hanging="116"/>
        <w:spacing w:after="0" w:line="281"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71"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stockholders may not act by written consent, which forces stockholder action to be taken at an annual or special meeting of our stockholders;</w:t>
      </w:r>
    </w:p>
    <w:p>
      <w:pPr>
        <w:spacing w:after="0" w:line="64" w:lineRule="exact"/>
        <w:rPr>
          <w:rFonts w:ascii="Arial" w:cs="Arial" w:eastAsia="Arial" w:hAnsi="Arial"/>
          <w:sz w:val="14"/>
          <w:szCs w:val="14"/>
          <w:color w:val="auto"/>
        </w:rPr>
      </w:pPr>
    </w:p>
    <w:p>
      <w:pPr>
        <w:jc w:val="both"/>
        <w:ind w:left="1340" w:right="1299" w:hanging="116"/>
        <w:spacing w:after="0" w:line="278"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special meeting of stockholders may be called only by the chair of our board of directors, our chief executive officer (or president, in the absence of a chief executive officer), or a majority of our board of directors, which may delay the ability of our stockholders to force consideration of a proposal or to take action, including the removal of directors;</w:t>
      </w:r>
    </w:p>
    <w:p>
      <w:pPr>
        <w:spacing w:after="0" w:line="7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second amended and restated certificate of incorporation prohibits cumulative voting in the election of directors, which limits the ability of minority stockholders to elect director candidates;</w:t>
      </w:r>
    </w:p>
    <w:p>
      <w:pPr>
        <w:spacing w:after="0" w:line="64"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board of directors may alter certain provisions of our amended and restated bylaws without obtaining stockholder approval;</w:t>
      </w:r>
    </w:p>
    <w:p>
      <w:pPr>
        <w:spacing w:after="0" w:line="64" w:lineRule="exact"/>
        <w:rPr>
          <w:rFonts w:ascii="Arial" w:cs="Arial" w:eastAsia="Arial" w:hAnsi="Arial"/>
          <w:sz w:val="14"/>
          <w:szCs w:val="14"/>
          <w:color w:val="auto"/>
        </w:rPr>
      </w:pPr>
    </w:p>
    <w:p>
      <w:pPr>
        <w:ind w:left="1340" w:right="1339" w:hanging="116"/>
        <w:spacing w:after="0" w:line="278"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our shares entitled to vote at an election of our board of directors is required to adopt, amend, or repeal our amended and restated bylaws or repeal the provisions of our second amended and restated certificate of incorporation regarding the election and removal of directors;</w:t>
      </w:r>
    </w:p>
    <w:p>
      <w:pPr>
        <w:spacing w:after="0" w:line="74" w:lineRule="exact"/>
        <w:rPr>
          <w:rFonts w:ascii="Arial" w:cs="Arial" w:eastAsia="Arial" w:hAnsi="Arial"/>
          <w:sz w:val="14"/>
          <w:szCs w:val="14"/>
          <w:color w:val="auto"/>
        </w:rPr>
      </w:pPr>
    </w:p>
    <w:p>
      <w:pPr>
        <w:ind w:left="1340" w:right="1259" w:hanging="116"/>
        <w:spacing w:after="0" w:line="277"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85" w:lineRule="exact"/>
        <w:rPr>
          <w:rFonts w:ascii="Arial" w:cs="Arial" w:eastAsia="Arial" w:hAnsi="Arial"/>
          <w:sz w:val="14"/>
          <w:szCs w:val="14"/>
          <w:color w:val="auto"/>
        </w:rPr>
      </w:pPr>
    </w:p>
    <w:p>
      <w:pPr>
        <w:ind w:left="1340" w:right="1479" w:hanging="116"/>
        <w:spacing w:after="0" w:line="281"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82" w:lineRule="exact"/>
        <w:rPr>
          <w:sz w:val="20"/>
          <w:szCs w:val="20"/>
          <w:color w:val="auto"/>
        </w:rPr>
      </w:pPr>
    </w:p>
    <w:p>
      <w:pPr>
        <w:ind w:left="1220" w:right="1239"/>
        <w:spacing w:after="0" w:line="244"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9" w:lineRule="exact"/>
        <w:rPr>
          <w:sz w:val="20"/>
          <w:szCs w:val="20"/>
          <w:color w:val="auto"/>
        </w:rPr>
      </w:pPr>
    </w:p>
    <w:p>
      <w:pPr>
        <w:ind w:left="1220" w:right="1259"/>
        <w:spacing w:after="0" w:line="239" w:lineRule="auto"/>
        <w:rPr>
          <w:sz w:val="20"/>
          <w:szCs w:val="20"/>
          <w:color w:val="auto"/>
        </w:rPr>
      </w:pPr>
      <w:r>
        <w:rPr>
          <w:rFonts w:ascii="Arial" w:cs="Arial" w:eastAsia="Arial" w:hAnsi="Arial"/>
          <w:sz w:val="14"/>
          <w:szCs w:val="14"/>
          <w:b w:val="1"/>
          <w:bCs w:val="1"/>
          <w:i w:val="1"/>
          <w:iCs w:val="1"/>
          <w:color w:val="auto"/>
        </w:rPr>
        <w:t>Our second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08" w:lineRule="exact"/>
        <w:rPr>
          <w:sz w:val="20"/>
          <w:szCs w:val="20"/>
          <w:color w:val="auto"/>
        </w:rPr>
      </w:pPr>
    </w:p>
    <w:p>
      <w:pPr>
        <w:ind w:left="1220" w:right="1299"/>
        <w:spacing w:after="0" w:line="242" w:lineRule="auto"/>
        <w:rPr>
          <w:sz w:val="20"/>
          <w:szCs w:val="20"/>
          <w:color w:val="auto"/>
        </w:rPr>
      </w:pPr>
      <w:r>
        <w:rPr>
          <w:rFonts w:ascii="Arial" w:cs="Arial" w:eastAsia="Arial" w:hAnsi="Arial"/>
          <w:sz w:val="14"/>
          <w:szCs w:val="14"/>
          <w:color w:val="auto"/>
        </w:rPr>
        <w:t>Our second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1" w:name="page72"/>
    <w:bookmarkEnd w:id="7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49" w:lineRule="auto"/>
        <w:rPr>
          <w:sz w:val="20"/>
          <w:szCs w:val="20"/>
          <w:color w:val="auto"/>
        </w:rPr>
      </w:pPr>
      <w:r>
        <w:rPr>
          <w:rFonts w:ascii="Arial" w:cs="Arial" w:eastAsia="Arial" w:hAnsi="Arial"/>
          <w:sz w:val="14"/>
          <w:szCs w:val="14"/>
          <w:color w:val="auto"/>
        </w:rPr>
        <w:t>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25" w:lineRule="exact"/>
        <w:rPr>
          <w:sz w:val="20"/>
          <w:szCs w:val="20"/>
          <w:color w:val="auto"/>
        </w:rPr>
      </w:pPr>
    </w:p>
    <w:p>
      <w:pPr>
        <w:ind w:left="1220" w:right="1359"/>
        <w:spacing w:after="0" w:line="245" w:lineRule="auto"/>
        <w:rPr>
          <w:sz w:val="20"/>
          <w:szCs w:val="20"/>
          <w:color w:val="auto"/>
        </w:rPr>
      </w:pPr>
      <w:r>
        <w:rPr>
          <w:rFonts w:ascii="Arial" w:cs="Arial" w:eastAsia="Arial" w:hAnsi="Arial"/>
          <w:sz w:val="14"/>
          <w:szCs w:val="14"/>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2" w:name="page73"/>
    <w:bookmarkEnd w:id="7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Special note regarding forward-looking statements</w:t>
      </w:r>
    </w:p>
    <w:p>
      <w:pPr>
        <w:spacing w:after="0" w:line="133"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This prospectus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260" w:lineRule="exact"/>
        <w:rPr>
          <w:sz w:val="20"/>
          <w:szCs w:val="20"/>
          <w:color w:val="auto"/>
        </w:rPr>
      </w:pPr>
    </w:p>
    <w:p>
      <w:pPr>
        <w:ind w:left="1340" w:right="127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to raise additional capital to fund our operations and continue the development of our current and future product candidates;</w:t>
      </w:r>
    </w:p>
    <w:p>
      <w:pPr>
        <w:spacing w:after="0" w:line="64"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preclinical nature of our business and our ability to successfully advance our current and future product candidates through development activities, preclinical studies, and clinical trials;</w:t>
      </w:r>
    </w:p>
    <w:p>
      <w:pPr>
        <w:spacing w:after="0" w:line="6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to generate revenue from future product sales and our ability to achieve and maintain profitability;</w:t>
      </w:r>
    </w:p>
    <w:p>
      <w:pPr>
        <w:spacing w:after="0" w:line="64"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accuracy of our projections and estimates regarding our expenses, capital requirements, cash utilization, and need for additional financing;</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expected uses of the net proceeds from this offering;</w:t>
      </w:r>
    </w:p>
    <w:p>
      <w:pPr>
        <w:spacing w:after="0" w:line="108" w:lineRule="exact"/>
        <w:rPr>
          <w:rFonts w:ascii="Arial" w:cs="Arial" w:eastAsia="Arial" w:hAnsi="Arial"/>
          <w:sz w:val="14"/>
          <w:szCs w:val="14"/>
          <w:color w:val="auto"/>
        </w:rPr>
      </w:pPr>
    </w:p>
    <w:p>
      <w:pPr>
        <w:ind w:left="1340" w:right="1359" w:hanging="116"/>
        <w:spacing w:after="0" w:line="295"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extent to which the COVID-19 pandemic and measures taken to contain its spread ultimately impact our business, including development activities, preclinical studies, and future clinical trials;</w:t>
      </w:r>
    </w:p>
    <w:p>
      <w:pPr>
        <w:spacing w:after="0" w:line="240"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dependence on the success of our product candidates, in particular CNTY-101, CNTY-103, and CNTY-102;</w:t>
      </w:r>
    </w:p>
    <w:p>
      <w:pPr>
        <w:spacing w:after="0" w:line="64"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novelty of our approach to immuno-oncology treatment of cancer, utilizing CAR-iNK and CAR-iT cells, and the challenges we will face due to the novel nature of such technology;</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success of competing therapies that are or become available;</w:t>
      </w:r>
    </w:p>
    <w:p>
      <w:pPr>
        <w:spacing w:after="0" w:line="108" w:lineRule="exact"/>
        <w:rPr>
          <w:rFonts w:ascii="Arial" w:cs="Arial" w:eastAsia="Arial" w:hAnsi="Arial"/>
          <w:sz w:val="14"/>
          <w:szCs w:val="14"/>
          <w:color w:val="auto"/>
        </w:rPr>
      </w:pPr>
    </w:p>
    <w:p>
      <w:pPr>
        <w:jc w:val="both"/>
        <w:ind w:left="1340" w:right="1479" w:hanging="116"/>
        <w:spacing w:after="0" w:line="281"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reliance on the maintenance of our collaborative relationship with FCDI for access to key differentiation and reprogramming technology for the manufacturing and development of our product candidates;</w:t>
      </w:r>
    </w:p>
    <w:p>
      <w:pPr>
        <w:spacing w:after="0" w:line="71" w:lineRule="exact"/>
        <w:rPr>
          <w:rFonts w:ascii="Arial" w:cs="Arial" w:eastAsia="Arial" w:hAnsi="Arial"/>
          <w:sz w:val="14"/>
          <w:szCs w:val="14"/>
          <w:color w:val="auto"/>
        </w:rPr>
      </w:pPr>
    </w:p>
    <w:p>
      <w:pPr>
        <w:ind w:left="1340" w:right="167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initiation, progress, success, cost, and timing of our development activities, preclinical studies and future clinical trials;</w:t>
      </w:r>
    </w:p>
    <w:p>
      <w:pPr>
        <w:spacing w:after="0" w:line="64"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timing of our future IND applications and the likelihood of, and our ability to obtain and maintain, regulatory clearance of such IND applications for our product candidates;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timing, scope and likelihood of regulatory filings and approvals, including final regulatory approval of our product candidates;</w:t>
      </w:r>
    </w:p>
    <w:p>
      <w:pPr>
        <w:spacing w:after="0" w:line="64" w:lineRule="exact"/>
        <w:rPr>
          <w:rFonts w:ascii="Arial" w:cs="Arial" w:eastAsia="Arial" w:hAnsi="Arial"/>
          <w:sz w:val="14"/>
          <w:szCs w:val="14"/>
          <w:color w:val="auto"/>
        </w:rPr>
      </w:pPr>
    </w:p>
    <w:p>
      <w:pPr>
        <w:ind w:left="1340" w:right="1459" w:hanging="116"/>
        <w:spacing w:after="0" w:line="281"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reliance on FCDI to be the exclusive manufacturer of certain product candidates, and our ability to manufacture our own product candidates in the future, and the timing and costs of such manufacturing activities;</w:t>
      </w:r>
    </w:p>
    <w:p>
      <w:pPr>
        <w:spacing w:after="0" w:line="71" w:lineRule="exact"/>
        <w:rPr>
          <w:rFonts w:ascii="Arial" w:cs="Arial" w:eastAsia="Arial" w:hAnsi="Arial"/>
          <w:sz w:val="14"/>
          <w:szCs w:val="14"/>
          <w:color w:val="auto"/>
        </w:rPr>
      </w:pPr>
    </w:p>
    <w:p>
      <w:pPr>
        <w:ind w:left="1340" w:right="1359" w:hanging="116"/>
        <w:spacing w:after="0" w:line="281"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performance of third parties in connection with the development of our product candidates, including third parties conducting our future clinical trials as well as third-party suppliers and manufacturers;</w:t>
      </w:r>
    </w:p>
    <w:p>
      <w:pPr>
        <w:spacing w:after="0" w:line="71" w:lineRule="exact"/>
        <w:rPr>
          <w:rFonts w:ascii="Arial" w:cs="Arial" w:eastAsia="Arial" w:hAnsi="Arial"/>
          <w:sz w:val="14"/>
          <w:szCs w:val="14"/>
          <w:color w:val="auto"/>
        </w:rPr>
      </w:pPr>
    </w:p>
    <w:p>
      <w:pPr>
        <w:ind w:left="1340" w:right="181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to attract and retain strategic collaborators with development, regulatory, and commercialization expertise;</w:t>
      </w:r>
    </w:p>
    <w:p>
      <w:pPr>
        <w:spacing w:after="0" w:line="6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public opinion and scrutiny of cell-based immuno-oncology therapies for treating cancer and its potential impact on public perception of our company and product candidates;</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develop sales and marketing capabilities, if our product candidates are approved;</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3" w:name="page74"/>
    <w:bookmarkEnd w:id="7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35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size and growth of the potential markets for our product candidates and our ability to serve those markets;</w:t>
      </w:r>
    </w:p>
    <w:p>
      <w:pPr>
        <w:spacing w:after="0" w:line="64" w:lineRule="exact"/>
        <w:rPr>
          <w:rFonts w:ascii="Arial" w:cs="Arial" w:eastAsia="Arial" w:hAnsi="Arial"/>
          <w:sz w:val="14"/>
          <w:szCs w:val="14"/>
          <w:color w:val="auto"/>
        </w:rPr>
      </w:pPr>
    </w:p>
    <w:p>
      <w:pPr>
        <w:ind w:left="1340" w:right="137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regulatory developments and approval pathways in the United States and foreign countries for our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potential scope and value of our intellectual property and proprietary rights;</w:t>
      </w:r>
    </w:p>
    <w:p>
      <w:pPr>
        <w:spacing w:after="0" w:line="108" w:lineRule="exact"/>
        <w:rPr>
          <w:rFonts w:ascii="Arial" w:cs="Arial" w:eastAsia="Arial" w:hAnsi="Arial"/>
          <w:sz w:val="14"/>
          <w:szCs w:val="14"/>
          <w:color w:val="auto"/>
        </w:rPr>
      </w:pPr>
    </w:p>
    <w:p>
      <w:pPr>
        <w:ind w:left="1340" w:right="1279" w:hanging="116"/>
        <w:spacing w:after="0" w:line="278"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7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ability to recruit and retain key members of management and other clinical and scientific personnel;</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 and</w:t>
      </w:r>
    </w:p>
    <w:p>
      <w:pPr>
        <w:spacing w:after="0" w:line="108"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other risks and uncertainties, including those described or incorporated by reference under the caption “Risk factors” in this prospectus.</w:t>
      </w:r>
    </w:p>
    <w:p>
      <w:pPr>
        <w:spacing w:after="0" w:line="86"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and elsewhere in this prospectus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97" w:lineRule="exact"/>
        <w:rPr>
          <w:sz w:val="20"/>
          <w:szCs w:val="20"/>
          <w:color w:val="auto"/>
        </w:rPr>
      </w:pPr>
    </w:p>
    <w:p>
      <w:pPr>
        <w:ind w:left="1220" w:right="1279"/>
        <w:spacing w:after="0" w:line="280"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4" w:name="page75"/>
    <w:bookmarkEnd w:id="7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Market and industry data</w:t>
      </w:r>
    </w:p>
    <w:p>
      <w:pPr>
        <w:spacing w:after="0" w:line="1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This prospectus contains estimates and other statistical data made by independent parties relating to our industry and the markets in which we operate, including estimates and statistical data about our market position, market opportunity, the incidence of certain medical conditions and other industry data. These data, to the extent they contain estimates or projections, involve a number of assumptions and limitations and are inherently imprecise, and you are cautioned not to give undue weight to such estimates or projections. Based on our industry experience, we believe that such data is reliable, the conclusions contained in the publications and reports are reasonable and the third-party information included in this prospectus and in our estimates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5" w:name="page76"/>
    <w:bookmarkEnd w:id="7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Use of proceeds</w:t>
      </w:r>
    </w:p>
    <w:p>
      <w:pPr>
        <w:spacing w:after="0" w:line="133"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5640" w:type="dxa"/>
            <w:vAlign w:val="bottom"/>
            <w:gridSpan w:val="3"/>
          </w:tcPr>
          <w:p>
            <w:pPr>
              <w:spacing w:after="0"/>
              <w:rPr>
                <w:sz w:val="20"/>
                <w:szCs w:val="20"/>
                <w:color w:val="auto"/>
              </w:rPr>
            </w:pPr>
            <w:r>
              <w:rPr>
                <w:rFonts w:ascii="Arial" w:cs="Arial" w:eastAsia="Arial" w:hAnsi="Arial"/>
                <w:sz w:val="14"/>
                <w:szCs w:val="14"/>
                <w:color w:val="auto"/>
              </w:rPr>
              <w:t>We estimate that the net proceeds to us from this offering will be approximately $</w:t>
            </w:r>
          </w:p>
        </w:tc>
        <w:tc>
          <w:tcPr>
            <w:tcW w:w="900" w:type="dxa"/>
            <w:vAlign w:val="bottom"/>
          </w:tcPr>
          <w:p>
            <w:pPr>
              <w:ind w:left="300"/>
              <w:spacing w:after="0"/>
              <w:rPr>
                <w:sz w:val="20"/>
                <w:szCs w:val="20"/>
                <w:color w:val="auto"/>
              </w:rPr>
            </w:pPr>
            <w:r>
              <w:rPr>
                <w:rFonts w:ascii="Arial" w:cs="Arial" w:eastAsia="Arial" w:hAnsi="Arial"/>
                <w:sz w:val="14"/>
                <w:szCs w:val="14"/>
                <w:color w:val="auto"/>
              </w:rPr>
              <w:t>million</w:t>
            </w:r>
          </w:p>
        </w:tc>
      </w:tr>
      <w:tr>
        <w:trPr>
          <w:trHeight w:val="183"/>
        </w:trPr>
        <w:tc>
          <w:tcPr>
            <w:tcW w:w="1720" w:type="dxa"/>
            <w:vAlign w:val="bottom"/>
            <w:gridSpan w:val="2"/>
          </w:tcPr>
          <w:p>
            <w:pPr>
              <w:spacing w:after="0"/>
              <w:rPr>
                <w:sz w:val="20"/>
                <w:szCs w:val="20"/>
                <w:color w:val="auto"/>
              </w:rPr>
            </w:pPr>
            <w:r>
              <w:rPr>
                <w:rFonts w:ascii="Arial" w:cs="Arial" w:eastAsia="Arial" w:hAnsi="Arial"/>
                <w:sz w:val="14"/>
                <w:szCs w:val="14"/>
                <w:color w:val="auto"/>
              </w:rPr>
              <w:t>(or approximately $</w:t>
            </w:r>
          </w:p>
        </w:tc>
        <w:tc>
          <w:tcPr>
            <w:tcW w:w="4820" w:type="dxa"/>
            <w:vAlign w:val="bottom"/>
            <w:gridSpan w:val="2"/>
          </w:tcPr>
          <w:p>
            <w:pPr>
              <w:ind w:left="40"/>
              <w:spacing w:after="0"/>
              <w:rPr>
                <w:sz w:val="20"/>
                <w:szCs w:val="20"/>
                <w:color w:val="auto"/>
              </w:rPr>
            </w:pPr>
            <w:r>
              <w:rPr>
                <w:rFonts w:ascii="Arial" w:cs="Arial" w:eastAsia="Arial" w:hAnsi="Arial"/>
                <w:sz w:val="14"/>
                <w:szCs w:val="14"/>
                <w:color w:val="auto"/>
              </w:rPr>
              <w:t>million if the underwriters exercise in full their option to purchase up</w:t>
            </w: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to</w:t>
            </w:r>
          </w:p>
        </w:tc>
        <w:tc>
          <w:tcPr>
            <w:tcW w:w="5720" w:type="dxa"/>
            <w:vAlign w:val="bottom"/>
            <w:gridSpan w:val="3"/>
          </w:tcPr>
          <w:p>
            <w:pPr>
              <w:ind w:left="200"/>
              <w:spacing w:after="0"/>
              <w:rPr>
                <w:sz w:val="20"/>
                <w:szCs w:val="20"/>
                <w:color w:val="auto"/>
              </w:rPr>
            </w:pPr>
            <w:r>
              <w:rPr>
                <w:rFonts w:ascii="Arial" w:cs="Arial" w:eastAsia="Arial" w:hAnsi="Arial"/>
                <w:sz w:val="14"/>
                <w:szCs w:val="14"/>
                <w:color w:val="auto"/>
              </w:rPr>
              <w:t>additional shares of common stock), based on an assumed initial public offering</w:t>
            </w: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price of $</w:t>
            </w:r>
          </w:p>
        </w:tc>
        <w:tc>
          <w:tcPr>
            <w:tcW w:w="5720" w:type="dxa"/>
            <w:vAlign w:val="bottom"/>
            <w:gridSpan w:val="3"/>
          </w:tcPr>
          <w:p>
            <w:pPr>
              <w:ind w:left="280"/>
              <w:spacing w:after="0"/>
              <w:rPr>
                <w:sz w:val="20"/>
                <w:szCs w:val="20"/>
                <w:color w:val="auto"/>
              </w:rPr>
            </w:pPr>
            <w:r>
              <w:rPr>
                <w:rFonts w:ascii="Arial" w:cs="Arial" w:eastAsia="Arial" w:hAnsi="Arial"/>
                <w:sz w:val="14"/>
                <w:szCs w:val="14"/>
                <w:color w:val="auto"/>
              </w:rPr>
              <w:t>per share, the midpoint of the price range set forth on the cover page of this</w:t>
            </w:r>
          </w:p>
        </w:tc>
      </w:tr>
      <w:tr>
        <w:trPr>
          <w:trHeight w:val="183"/>
        </w:trPr>
        <w:tc>
          <w:tcPr>
            <w:tcW w:w="6540" w:type="dxa"/>
            <w:vAlign w:val="bottom"/>
            <w:gridSpan w:val="4"/>
          </w:tcPr>
          <w:p>
            <w:pPr>
              <w:spacing w:after="0"/>
              <w:rPr>
                <w:sz w:val="20"/>
                <w:szCs w:val="20"/>
                <w:color w:val="auto"/>
              </w:rPr>
            </w:pPr>
            <w:r>
              <w:rPr>
                <w:rFonts w:ascii="Arial" w:cs="Arial" w:eastAsia="Arial" w:hAnsi="Arial"/>
                <w:sz w:val="14"/>
                <w:szCs w:val="14"/>
                <w:color w:val="auto"/>
              </w:rPr>
              <w:t>prospectus, after deducting underwriting discounts and commissions and estimated offering</w:t>
            </w:r>
          </w:p>
        </w:tc>
      </w:tr>
      <w:tr>
        <w:trPr>
          <w:trHeight w:val="183"/>
        </w:trPr>
        <w:tc>
          <w:tcPr>
            <w:tcW w:w="1720" w:type="dxa"/>
            <w:vAlign w:val="bottom"/>
            <w:gridSpan w:val="2"/>
          </w:tcPr>
          <w:p>
            <w:pPr>
              <w:spacing w:after="0"/>
              <w:rPr>
                <w:sz w:val="20"/>
                <w:szCs w:val="20"/>
                <w:color w:val="auto"/>
              </w:rPr>
            </w:pPr>
            <w:r>
              <w:rPr>
                <w:rFonts w:ascii="Arial" w:cs="Arial" w:eastAsia="Arial" w:hAnsi="Arial"/>
                <w:sz w:val="14"/>
                <w:szCs w:val="14"/>
                <w:color w:val="auto"/>
              </w:rPr>
              <w:t>expenses payable by us.</w:t>
            </w:r>
          </w:p>
        </w:tc>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2"/>
        </w:trPr>
        <w:tc>
          <w:tcPr>
            <w:tcW w:w="5640" w:type="dxa"/>
            <w:vAlign w:val="bottom"/>
            <w:gridSpan w:val="3"/>
          </w:tcPr>
          <w:p>
            <w:pPr>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900" w:type="dxa"/>
            <w:vAlign w:val="bottom"/>
          </w:tcPr>
          <w:p>
            <w:pPr>
              <w:ind w:left="220"/>
              <w:spacing w:after="0"/>
              <w:rPr>
                <w:sz w:val="20"/>
                <w:szCs w:val="20"/>
                <w:color w:val="auto"/>
              </w:rPr>
            </w:pPr>
            <w:r>
              <w:rPr>
                <w:rFonts w:ascii="Arial" w:cs="Arial" w:eastAsia="Arial" w:hAnsi="Arial"/>
                <w:sz w:val="14"/>
                <w:szCs w:val="14"/>
                <w:color w:val="auto"/>
              </w:rPr>
              <w:t>per share,</w:t>
            </w:r>
          </w:p>
        </w:tc>
      </w:tr>
    </w:tbl>
    <w:p>
      <w:pPr>
        <w:spacing w:after="0" w:line="1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midpoint of the price range set forth on the cover page of this prospectus, would increase or</w:t>
      </w:r>
    </w:p>
    <w:p>
      <w:pPr>
        <w:spacing w:after="0" w:line="22" w:lineRule="exact"/>
        <w:rPr>
          <w:sz w:val="20"/>
          <w:szCs w:val="20"/>
          <w:color w:val="auto"/>
        </w:rPr>
      </w:pPr>
    </w:p>
    <w:p>
      <w:pPr>
        <w:ind w:left="1220" w:right="1499"/>
        <w:spacing w:after="0" w:line="191" w:lineRule="auto"/>
        <w:rPr>
          <w:sz w:val="20"/>
          <w:szCs w:val="20"/>
          <w:color w:val="auto"/>
        </w:rPr>
      </w:pPr>
      <w:r>
        <w:rPr>
          <w:rFonts w:ascii="Arial" w:cs="Arial" w:eastAsia="Arial" w:hAnsi="Arial"/>
          <w:sz w:val="10"/>
          <w:szCs w:val="10"/>
          <w:color w:val="auto"/>
        </w:rPr>
        <w:t>decrease, as applicable, the net proceeds from this offering by approximately $ million, assuming that the number of shares of common stock offered by us, as set forth on the cover page of this prospectus, remains the same and after deducting the underwriting discounts and commissions and estimated offering expenses payable by us. Similarly, each increase or decrease of 1.0 million shares of common stock offered by us would increase or decrease,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20" w:right="1399"/>
        <w:spacing w:after="0" w:line="273" w:lineRule="auto"/>
        <w:rPr>
          <w:sz w:val="20"/>
          <w:szCs w:val="20"/>
          <w:color w:val="auto"/>
        </w:rPr>
      </w:pPr>
      <w:r>
        <w:rPr>
          <w:rFonts w:ascii="Arial" w:cs="Arial" w:eastAsia="Arial" w:hAnsi="Arial"/>
          <w:sz w:val="14"/>
          <w:szCs w:val="14"/>
          <w:color w:val="auto"/>
        </w:rPr>
        <w:t>applicable, the net proceeds to us by approximately $ million, assuming the assumed initial public offering price of $ per share, the midpoint of the price range set forth on the</w:t>
      </w:r>
    </w:p>
    <w:p>
      <w:pPr>
        <w:spacing w:after="0" w:line="1" w:lineRule="exact"/>
        <w:rPr>
          <w:sz w:val="20"/>
          <w:szCs w:val="20"/>
          <w:color w:val="auto"/>
        </w:rPr>
      </w:pPr>
    </w:p>
    <w:p>
      <w:pPr>
        <w:ind w:left="1220" w:right="1339"/>
        <w:spacing w:after="0" w:line="290" w:lineRule="auto"/>
        <w:rPr>
          <w:sz w:val="20"/>
          <w:szCs w:val="20"/>
          <w:color w:val="auto"/>
        </w:rPr>
      </w:pPr>
      <w:r>
        <w:rPr>
          <w:rFonts w:ascii="Arial" w:cs="Arial" w:eastAsia="Arial" w:hAnsi="Arial"/>
          <w:sz w:val="14"/>
          <w:szCs w:val="14"/>
          <w:color w:val="auto"/>
        </w:rPr>
        <w:t>cover page of this prospectus, remains the same, and after deducting the underwriting discounts and commissions and estimated offering expenses payable by us.</w:t>
      </w:r>
    </w:p>
    <w:p>
      <w:pPr>
        <w:spacing w:after="0" w:line="9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The principal purposes of this offering are to obtain additional capital to support our operations, to create a public market for our common stock and to facilitate our future access to the public equity markets. We currently expect to use the net proceeds from this offering, together with our existing cash and cash equivalents, as follows:</w:t>
      </w:r>
    </w:p>
    <w:p>
      <w:pPr>
        <w:spacing w:after="0" w:line="74" w:lineRule="exact"/>
        <w:rPr>
          <w:sz w:val="20"/>
          <w:szCs w:val="20"/>
          <w:color w:val="auto"/>
        </w:rPr>
      </w:pPr>
    </w:p>
    <w:p>
      <w:pPr>
        <w:ind w:left="1340" w:right="1279" w:hanging="116"/>
        <w:spacing w:after="0" w:line="281"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Approximately $ million to fund pre-clinical activities and clinical preparation activities for CNTY-101 through completion of our IND submission, initiation of our planned Phase 1 clinical trial, and receipt of initial safety and pharmacokinetic, or PK, data;</w:t>
      </w:r>
    </w:p>
    <w:p>
      <w:pPr>
        <w:spacing w:after="0" w:line="71" w:lineRule="exact"/>
        <w:rPr>
          <w:rFonts w:ascii="Arial" w:cs="Arial" w:eastAsia="Arial" w:hAnsi="Arial"/>
          <w:sz w:val="14"/>
          <w:szCs w:val="14"/>
          <w:color w:val="auto"/>
        </w:rPr>
      </w:pPr>
    </w:p>
    <w:p>
      <w:pPr>
        <w:ind w:left="1340" w:right="1499" w:hanging="116"/>
        <w:spacing w:after="0" w:line="295"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Approximately $ million to fund pre-clinical activities for CNTY-103, CNTY-102, and CNTY-104 through completion of our IND submission for each of CNTY-103, CNTY-102, and CNTY-104;</w:t>
      </w:r>
    </w:p>
    <w:p>
      <w:pPr>
        <w:spacing w:after="0" w:line="251"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Approximately $ to continue developing manufacturing capabilities for our product candidates, including the construction of our manufacturing facility in Branchburg, New Jersey;</w:t>
      </w:r>
    </w:p>
    <w:p>
      <w:pPr>
        <w:spacing w:after="0" w:line="64" w:lineRule="exact"/>
        <w:rPr>
          <w:rFonts w:ascii="Arial" w:cs="Arial" w:eastAsia="Arial" w:hAnsi="Arial"/>
          <w:sz w:val="14"/>
          <w:szCs w:val="14"/>
          <w:color w:val="auto"/>
        </w:rPr>
      </w:pPr>
    </w:p>
    <w:p>
      <w:pPr>
        <w:ind w:left="1340" w:right="1739" w:hanging="116"/>
        <w:spacing w:after="0" w:line="290"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Approximately $ to fund our internal research and development capabilities and to advance new product candidates; and</w:t>
      </w:r>
    </w:p>
    <w:p>
      <w:pPr>
        <w:spacing w:after="0" w:line="74" w:lineRule="exact"/>
        <w:rPr>
          <w:rFonts w:ascii="Arial" w:cs="Arial" w:eastAsia="Arial" w:hAnsi="Arial"/>
          <w:sz w:val="14"/>
          <w:szCs w:val="14"/>
          <w:color w:val="auto"/>
        </w:rPr>
      </w:pPr>
    </w:p>
    <w:p>
      <w:pPr>
        <w:ind w:left="1340" w:right="1919" w:hanging="116"/>
        <w:spacing w:after="0" w:line="290"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remainder for working capital and other general corporate purposes, including the additional costs associated with being a public company.</w:t>
      </w:r>
    </w:p>
    <w:p>
      <w:pPr>
        <w:spacing w:after="0" w:line="86" w:lineRule="exact"/>
        <w:rPr>
          <w:sz w:val="20"/>
          <w:szCs w:val="20"/>
          <w:color w:val="auto"/>
        </w:rPr>
      </w:pPr>
    </w:p>
    <w:p>
      <w:pPr>
        <w:ind w:left="1220" w:right="1539"/>
        <w:spacing w:after="0" w:line="281" w:lineRule="auto"/>
        <w:rPr>
          <w:sz w:val="20"/>
          <w:szCs w:val="20"/>
          <w:color w:val="auto"/>
        </w:rPr>
      </w:pPr>
      <w:r>
        <w:rPr>
          <w:rFonts w:ascii="Arial" w:cs="Arial" w:eastAsia="Arial" w:hAnsi="Arial"/>
          <w:sz w:val="14"/>
          <w:szCs w:val="14"/>
          <w:color w:val="auto"/>
        </w:rPr>
        <w:t>We may use a portion of the net proceeds from this offering to in-license, acquire, or invest in complementary businesses, technologies, products or assets. However, we have no current commitments to do so.</w:t>
      </w:r>
    </w:p>
    <w:p>
      <w:pPr>
        <w:spacing w:after="0" w:line="103"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Based on our planned use of the net proceeds, we estimate such funds, together with our existing cash and cash equivalents, will be sufficient for us to fund our operating expenses and capital</w:t>
      </w:r>
    </w:p>
    <w:p>
      <w:pPr>
        <w:spacing w:after="0" w:line="1" w:lineRule="exact"/>
        <w:rPr>
          <w:sz w:val="20"/>
          <w:szCs w:val="20"/>
          <w:color w:val="auto"/>
        </w:rPr>
      </w:pPr>
    </w:p>
    <w:p>
      <w:pPr>
        <w:ind w:left="1220" w:right="1419"/>
        <w:spacing w:after="0" w:line="295" w:lineRule="auto"/>
        <w:rPr>
          <w:sz w:val="20"/>
          <w:szCs w:val="20"/>
          <w:color w:val="auto"/>
        </w:rPr>
      </w:pPr>
      <w:r>
        <w:rPr>
          <w:rFonts w:ascii="Arial" w:cs="Arial" w:eastAsia="Arial" w:hAnsi="Arial"/>
          <w:sz w:val="14"/>
          <w:szCs w:val="14"/>
          <w:color w:val="auto"/>
        </w:rPr>
        <w:t>expenditure requirements into the quarter of 20 . We have based this estimate on assumptions that may prove to be wrong, and we could exhaust our available capital resources sooner than we expect.</w:t>
      </w:r>
    </w:p>
    <w:p>
      <w:pPr>
        <w:spacing w:after="0" w:line="27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closing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6" w:name="page77"/>
    <w:bookmarkEnd w:id="7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81" w:lineRule="auto"/>
        <w:rPr>
          <w:sz w:val="20"/>
          <w:szCs w:val="20"/>
          <w:color w:val="auto"/>
        </w:rPr>
      </w:pPr>
      <w:r>
        <w:rPr>
          <w:rFonts w:ascii="Arial" w:cs="Arial" w:eastAsia="Arial" w:hAnsi="Arial"/>
          <w:sz w:val="14"/>
          <w:szCs w:val="14"/>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9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Pending their use, we plan to invest the net proceeds from this offering in short- and medium-term,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7" w:name="page78"/>
    <w:bookmarkEnd w:id="7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Dividend policy</w:t>
      </w:r>
    </w:p>
    <w:p>
      <w:pPr>
        <w:spacing w:after="0" w:line="133"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have never declared or paid cash dividends on our capital stock and our ability to pay cash dividends is currently restricted by the terms of our Loan and Security Agreement with Hercules Capital, Inc.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8" w:name="page79"/>
    <w:bookmarkEnd w:id="7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Capitalization</w:t>
      </w:r>
    </w:p>
    <w:p>
      <w:pPr>
        <w:spacing w:after="0" w:line="133" w:lineRule="exact"/>
        <w:rPr>
          <w:sz w:val="20"/>
          <w:szCs w:val="20"/>
          <w:color w:val="auto"/>
        </w:rPr>
      </w:pPr>
    </w:p>
    <w:p>
      <w:pPr>
        <w:ind w:left="1220" w:right="1839"/>
        <w:spacing w:after="0" w:line="306" w:lineRule="auto"/>
        <w:rPr>
          <w:sz w:val="20"/>
          <w:szCs w:val="20"/>
          <w:color w:val="auto"/>
        </w:rPr>
      </w:pPr>
      <w:r>
        <w:rPr>
          <w:rFonts w:ascii="Arial" w:cs="Arial" w:eastAsia="Arial" w:hAnsi="Arial"/>
          <w:sz w:val="14"/>
          <w:szCs w:val="14"/>
          <w:color w:val="auto"/>
        </w:rPr>
        <w:t>The following table sets forth our cash, cash equivalents, short term investments and our capitalization as of March 31, 2021:</w:t>
      </w:r>
    </w:p>
    <w:p>
      <w:pPr>
        <w:spacing w:after="0" w:line="86" w:lineRule="exact"/>
        <w:rPr>
          <w:sz w:val="20"/>
          <w:szCs w:val="20"/>
          <w:color w:val="auto"/>
        </w:rPr>
      </w:pPr>
    </w:p>
    <w:p>
      <w:pPr>
        <w:ind w:left="1340" w:hanging="116"/>
        <w:spacing w:after="0"/>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19" w:lineRule="exact"/>
        <w:rPr>
          <w:rFonts w:ascii="Arial" w:cs="Arial" w:eastAsia="Arial" w:hAnsi="Arial"/>
          <w:sz w:val="14"/>
          <w:szCs w:val="14"/>
          <w:color w:val="auto"/>
        </w:rPr>
      </w:pPr>
    </w:p>
    <w:p>
      <w:pPr>
        <w:ind w:left="1340" w:right="1259" w:hanging="116"/>
        <w:spacing w:after="0" w:line="273"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a pro forma basis to give effect to the completion of (i) the filing and effectiveness of our second amended and restated certificate of incorporation immediately prior to the closing of this offering, and (ii) the conversion of all outstanding shares of our convertible preferred stock into</w:t>
      </w:r>
    </w:p>
    <w:p>
      <w:pPr>
        <w:spacing w:after="0" w:line="1" w:lineRule="exact"/>
        <w:rPr>
          <w:sz w:val="20"/>
          <w:szCs w:val="20"/>
          <w:color w:val="auto"/>
        </w:rPr>
      </w:pPr>
    </w:p>
    <w:p>
      <w:pPr>
        <w:ind w:left="1340"/>
        <w:spacing w:after="0"/>
        <w:tabs>
          <w:tab w:leader="none" w:pos="3140" w:val="left"/>
        </w:tabs>
        <w:rPr>
          <w:sz w:val="20"/>
          <w:szCs w:val="20"/>
          <w:color w:val="auto"/>
        </w:rPr>
      </w:pPr>
      <w:r>
        <w:rPr>
          <w:rFonts w:ascii="Arial" w:cs="Arial" w:eastAsia="Arial" w:hAnsi="Arial"/>
          <w:sz w:val="14"/>
          <w:szCs w:val="14"/>
          <w:color w:val="auto"/>
        </w:rPr>
        <w:t>an aggregate of</w:t>
      </w:r>
      <w:r>
        <w:rPr>
          <w:sz w:val="20"/>
          <w:szCs w:val="20"/>
          <w:color w:val="auto"/>
        </w:rPr>
        <w:tab/>
      </w:r>
      <w:r>
        <w:rPr>
          <w:rFonts w:ascii="Arial" w:cs="Arial" w:eastAsia="Arial" w:hAnsi="Arial"/>
          <w:sz w:val="14"/>
          <w:szCs w:val="14"/>
          <w:color w:val="auto"/>
        </w:rPr>
        <w:t>shares of common stock upon the closing of this offering; and</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 on a pro forma as adjusted basis to give effect to the pro forma adjustments described above</w:t>
      </w:r>
    </w:p>
    <w:p>
      <w:pPr>
        <w:spacing w:after="0" w:line="22" w:lineRule="exact"/>
        <w:rPr>
          <w:sz w:val="20"/>
          <w:szCs w:val="20"/>
          <w:color w:val="auto"/>
        </w:rPr>
      </w:pPr>
    </w:p>
    <w:p>
      <w:pPr>
        <w:ind w:left="1340" w:right="1239"/>
        <w:spacing w:after="0" w:line="273" w:lineRule="auto"/>
        <w:rPr>
          <w:sz w:val="20"/>
          <w:szCs w:val="20"/>
          <w:color w:val="auto"/>
        </w:rPr>
      </w:pPr>
      <w:r>
        <w:rPr>
          <w:rFonts w:ascii="Arial" w:cs="Arial" w:eastAsia="Arial" w:hAnsi="Arial"/>
          <w:sz w:val="14"/>
          <w:szCs w:val="14"/>
          <w:color w:val="auto"/>
        </w:rPr>
        <w:t>and to give further effect to the issuance and sale of shares of our common stock in this offering at an assumed initial public offering price of $ per share, the midpoint of the</w:t>
      </w:r>
    </w:p>
    <w:p>
      <w:pPr>
        <w:spacing w:after="0" w:line="1" w:lineRule="exact"/>
        <w:rPr>
          <w:sz w:val="20"/>
          <w:szCs w:val="20"/>
          <w:color w:val="auto"/>
        </w:rPr>
      </w:pPr>
    </w:p>
    <w:p>
      <w:pPr>
        <w:jc w:val="both"/>
        <w:ind w:left="1340" w:right="1719"/>
        <w:spacing w:after="0" w:line="290" w:lineRule="auto"/>
        <w:rPr>
          <w:sz w:val="20"/>
          <w:szCs w:val="20"/>
          <w:color w:val="auto"/>
        </w:rPr>
      </w:pPr>
      <w:r>
        <w:rPr>
          <w:rFonts w:ascii="Arial" w:cs="Arial" w:eastAsia="Arial" w:hAnsi="Arial"/>
          <w:sz w:val="14"/>
          <w:szCs w:val="14"/>
          <w:color w:val="auto"/>
        </w:rPr>
        <w:t>price range set forth on the cover page of this prospectus, and after deducting estimated underwriting discounts and commissions and estimated offering expenses payable by us.</w:t>
      </w:r>
    </w:p>
    <w:p>
      <w:pPr>
        <w:spacing w:after="0" w:line="96" w:lineRule="exact"/>
        <w:rPr>
          <w:sz w:val="20"/>
          <w:szCs w:val="20"/>
          <w:color w:val="auto"/>
        </w:rPr>
      </w:pPr>
    </w:p>
    <w:p>
      <w:pPr>
        <w:ind w:left="1220" w:right="1319"/>
        <w:spacing w:after="0" w:line="292" w:lineRule="auto"/>
        <w:rPr>
          <w:sz w:val="20"/>
          <w:szCs w:val="20"/>
          <w:color w:val="auto"/>
        </w:rPr>
      </w:pPr>
      <w:r>
        <w:rPr>
          <w:rFonts w:ascii="Arial" w:cs="Arial" w:eastAsia="Arial" w:hAnsi="Arial"/>
          <w:sz w:val="14"/>
          <w:szCs w:val="14"/>
          <w:color w:val="auto"/>
        </w:rPr>
        <w:t>The pro forma as adjusted information set forth in the table below is illustrative only and will be adjusted based on the actual initial public offering price and other terms of this offering determined at pricing. You should read this table together with the sections of this prospectus captioned “Selected financial and other data,” “Use of proceeds,” “Management’s discussion and analysis of financial condition and results of operations,” “Description of capital stock” and our financial statements and related notes included elsewhere in this prospectus.</w:t>
      </w:r>
    </w:p>
    <w:p>
      <w:pPr>
        <w:spacing w:after="0" w:line="111"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9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76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3"/>
          </w:tcPr>
          <w:p>
            <w:pPr>
              <w:jc w:val="right"/>
              <w:spacing w:after="0" w:line="216" w:lineRule="exact"/>
              <w:rPr>
                <w:sz w:val="20"/>
                <w:szCs w:val="20"/>
                <w:color w:val="auto"/>
              </w:rPr>
            </w:pPr>
            <w:r>
              <w:rPr>
                <w:rFonts w:ascii="Arial" w:cs="Arial" w:eastAsia="Arial" w:hAnsi="Arial"/>
                <w:sz w:val="13"/>
                <w:szCs w:val="13"/>
                <w:b w:val="1"/>
                <w:bCs w:val="1"/>
                <w:color w:val="auto"/>
              </w:rPr>
              <w:t>ActualPro Forma 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67"/>
        </w:trPr>
        <w:tc>
          <w:tcPr>
            <w:tcW w:w="398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short-term investments</w:t>
            </w:r>
          </w:p>
        </w:tc>
        <w:tc>
          <w:tcPr>
            <w:tcW w:w="7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$ 182,942 $</w:t>
            </w:r>
          </w:p>
        </w:tc>
        <w:tc>
          <w:tcPr>
            <w:tcW w:w="6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182,942</w:t>
            </w:r>
          </w:p>
        </w:tc>
        <w:tc>
          <w:tcPr>
            <w:tcW w:w="640" w:type="dxa"/>
            <w:vAlign w:val="bottom"/>
            <w:tcBorders>
              <w:bottom w:val="single" w:sz="8" w:color="auto"/>
            </w:tcBorders>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Long-term debt</w:t>
            </w:r>
          </w:p>
        </w:tc>
        <w:tc>
          <w:tcPr>
            <w:tcW w:w="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6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jc w:val="right"/>
              <w:ind w:right="69"/>
              <w:spacing w:after="0" w:line="125" w:lineRule="exact"/>
              <w:rPr>
                <w:sz w:val="20"/>
                <w:szCs w:val="20"/>
                <w:color w:val="auto"/>
              </w:rPr>
            </w:pPr>
            <w:r>
              <w:rPr>
                <w:rFonts w:ascii="Arial" w:cs="Arial" w:eastAsia="Arial" w:hAnsi="Arial"/>
                <w:sz w:val="14"/>
                <w:szCs w:val="14"/>
                <w:color w:val="auto"/>
              </w:rPr>
              <w:t>9,711</w:t>
            </w:r>
          </w:p>
        </w:tc>
        <w:tc>
          <w:tcPr>
            <w:tcW w:w="640" w:type="dxa"/>
            <w:vAlign w:val="bottom"/>
          </w:tcPr>
          <w:p>
            <w:pPr>
              <w:jc w:val="right"/>
              <w:ind w:right="28"/>
              <w:spacing w:after="0" w:line="125" w:lineRule="exact"/>
              <w:rPr>
                <w:sz w:val="20"/>
                <w:szCs w:val="20"/>
                <w:color w:val="auto"/>
              </w:rPr>
            </w:pPr>
            <w:r>
              <w:rPr>
                <w:rFonts w:ascii="Arial" w:cs="Arial" w:eastAsia="Arial" w:hAnsi="Arial"/>
                <w:sz w:val="14"/>
                <w:szCs w:val="14"/>
                <w:color w:val="auto"/>
              </w:rPr>
              <w:t>9,711</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9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40" w:type="dxa"/>
            <w:vAlign w:val="bottom"/>
            <w:gridSpan w:val="4"/>
          </w:tcPr>
          <w:p>
            <w:pPr>
              <w:ind w:left="140"/>
              <w:spacing w:after="0"/>
              <w:rPr>
                <w:sz w:val="20"/>
                <w:szCs w:val="20"/>
                <w:color w:val="auto"/>
              </w:rPr>
            </w:pPr>
            <w:r>
              <w:rPr>
                <w:rFonts w:ascii="Arial" w:cs="Arial" w:eastAsia="Arial" w:hAnsi="Arial"/>
                <w:sz w:val="14"/>
                <w:szCs w:val="14"/>
                <w:color w:val="auto"/>
              </w:rPr>
              <w:t>Series A preferred stock, $0.0001 par value: 35,000,000 shares</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34,922</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authorized, issued and outstanding, actual; no shares authorized,</w:t>
            </w: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issued or outstanding, pro forma and pro forma as</w:t>
            </w: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adjusted</w:t>
            </w:r>
          </w:p>
        </w:tc>
        <w:tc>
          <w:tcPr>
            <w:tcW w:w="9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gridSpan w:val="4"/>
          </w:tcPr>
          <w:p>
            <w:pPr>
              <w:ind w:left="140"/>
              <w:spacing w:after="0"/>
              <w:rPr>
                <w:sz w:val="20"/>
                <w:szCs w:val="20"/>
                <w:color w:val="auto"/>
              </w:rPr>
            </w:pPr>
            <w:r>
              <w:rPr>
                <w:rFonts w:ascii="Arial" w:cs="Arial" w:eastAsia="Arial" w:hAnsi="Arial"/>
                <w:sz w:val="14"/>
                <w:szCs w:val="14"/>
                <w:color w:val="auto"/>
              </w:rPr>
              <w:t>Series B preferred stock, $0.0001 par value: 26,143,790 shares</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gridSpan w:val="4"/>
          </w:tcPr>
          <w:p>
            <w:pPr>
              <w:ind w:left="300"/>
              <w:spacing w:after="0"/>
              <w:rPr>
                <w:sz w:val="20"/>
                <w:szCs w:val="20"/>
                <w:color w:val="auto"/>
              </w:rPr>
            </w:pPr>
            <w:r>
              <w:rPr>
                <w:rFonts w:ascii="Arial" w:cs="Arial" w:eastAsia="Arial" w:hAnsi="Arial"/>
                <w:sz w:val="14"/>
                <w:szCs w:val="14"/>
                <w:color w:val="auto"/>
              </w:rPr>
              <w:t>authorized, issued and outstanding, actual; no shares authorized,</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gridSpan w:val="4"/>
          </w:tcPr>
          <w:p>
            <w:pPr>
              <w:ind w:left="300"/>
              <w:spacing w:after="0"/>
              <w:rPr>
                <w:sz w:val="20"/>
                <w:szCs w:val="20"/>
                <w:color w:val="auto"/>
              </w:rPr>
            </w:pPr>
            <w:r>
              <w:rPr>
                <w:rFonts w:ascii="Arial" w:cs="Arial" w:eastAsia="Arial" w:hAnsi="Arial"/>
                <w:sz w:val="14"/>
                <w:szCs w:val="14"/>
                <w:color w:val="auto"/>
              </w:rPr>
              <w:t>issued or outstanding, pro forma and pro forma as adjusted</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144,839</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Series C preferred stock, $0.0001 par value: 24,721,999 shares</w:t>
            </w: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gridSpan w:val="4"/>
            <w:shd w:val="clear" w:color="auto" w:fill="CCEEFF"/>
          </w:tcPr>
          <w:p>
            <w:pPr>
              <w:ind w:left="300"/>
              <w:spacing w:after="0"/>
              <w:rPr>
                <w:sz w:val="20"/>
                <w:szCs w:val="20"/>
                <w:color w:val="auto"/>
              </w:rPr>
            </w:pPr>
            <w:r>
              <w:rPr>
                <w:rFonts w:ascii="Arial" w:cs="Arial" w:eastAsia="Arial" w:hAnsi="Arial"/>
                <w:sz w:val="14"/>
                <w:szCs w:val="14"/>
                <w:color w:val="auto"/>
              </w:rPr>
              <w:t>authorized, issued and outstanding, actual; no shares authorized,</w:t>
            </w: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40" w:type="dxa"/>
            <w:vAlign w:val="bottom"/>
            <w:gridSpan w:val="4"/>
            <w:shd w:val="clear" w:color="auto" w:fill="CCEEFF"/>
          </w:tcPr>
          <w:p>
            <w:pPr>
              <w:ind w:left="300"/>
              <w:spacing w:after="0"/>
              <w:rPr>
                <w:sz w:val="20"/>
                <w:szCs w:val="20"/>
                <w:color w:val="auto"/>
              </w:rPr>
            </w:pPr>
            <w:r>
              <w:rPr>
                <w:rFonts w:ascii="Arial" w:cs="Arial" w:eastAsia="Arial" w:hAnsi="Arial"/>
                <w:sz w:val="14"/>
                <w:szCs w:val="14"/>
                <w:color w:val="auto"/>
              </w:rPr>
              <w:t>issued or outstanding, pro forma and pro forma as adjusted</w:t>
            </w: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159,628</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gridSpan w:val="4"/>
          </w:tcPr>
          <w:p>
            <w:pPr>
              <w:ind w:left="140"/>
              <w:spacing w:after="0"/>
              <w:rPr>
                <w:sz w:val="20"/>
                <w:szCs w:val="20"/>
                <w:color w:val="auto"/>
              </w:rPr>
            </w:pPr>
            <w:r>
              <w:rPr>
                <w:rFonts w:ascii="Arial" w:cs="Arial" w:eastAsia="Arial" w:hAnsi="Arial"/>
                <w:sz w:val="14"/>
                <w:szCs w:val="14"/>
                <w:color w:val="auto"/>
              </w:rPr>
              <w:t>Common stock, $0.0001 par value, 125,236,190 shares authorized;</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gridSpan w:val="3"/>
          </w:tcPr>
          <w:p>
            <w:pPr>
              <w:ind w:left="300"/>
              <w:spacing w:after="0"/>
              <w:rPr>
                <w:sz w:val="20"/>
                <w:szCs w:val="20"/>
                <w:color w:val="auto"/>
              </w:rPr>
            </w:pPr>
            <w:r>
              <w:rPr>
                <w:rFonts w:ascii="Arial" w:cs="Arial" w:eastAsia="Arial" w:hAnsi="Arial"/>
                <w:sz w:val="14"/>
                <w:szCs w:val="14"/>
                <w:color w:val="auto"/>
              </w:rPr>
              <w:t>19,732,637 shares issued and outstanding, actual;</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00" w:type="dxa"/>
            <w:vAlign w:val="bottom"/>
            <w:gridSpan w:val="2"/>
          </w:tcPr>
          <w:p>
            <w:pPr>
              <w:ind w:left="300"/>
              <w:spacing w:after="0"/>
              <w:rPr>
                <w:sz w:val="20"/>
                <w:szCs w:val="20"/>
                <w:color w:val="auto"/>
              </w:rPr>
            </w:pPr>
            <w:r>
              <w:rPr>
                <w:rFonts w:ascii="Arial" w:cs="Arial" w:eastAsia="Arial" w:hAnsi="Arial"/>
                <w:sz w:val="14"/>
                <w:szCs w:val="14"/>
                <w:color w:val="auto"/>
              </w:rPr>
              <w:t>shares authorized and</w:t>
            </w:r>
          </w:p>
        </w:tc>
        <w:tc>
          <w:tcPr>
            <w:tcW w:w="2240" w:type="dxa"/>
            <w:vAlign w:val="bottom"/>
            <w:gridSpan w:val="2"/>
          </w:tcPr>
          <w:p>
            <w:pPr>
              <w:ind w:left="40"/>
              <w:spacing w:after="0"/>
              <w:rPr>
                <w:sz w:val="20"/>
                <w:szCs w:val="20"/>
                <w:color w:val="auto"/>
              </w:rPr>
            </w:pPr>
            <w:r>
              <w:rPr>
                <w:rFonts w:ascii="Arial" w:cs="Arial" w:eastAsia="Arial" w:hAnsi="Arial"/>
                <w:sz w:val="14"/>
                <w:szCs w:val="14"/>
                <w:color w:val="auto"/>
              </w:rPr>
              <w:t>shares issued and outstanding</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00" w:type="dxa"/>
            <w:vAlign w:val="bottom"/>
          </w:tcPr>
          <w:p>
            <w:pPr>
              <w:ind w:left="300"/>
              <w:spacing w:after="0"/>
              <w:rPr>
                <w:sz w:val="20"/>
                <w:szCs w:val="20"/>
                <w:color w:val="auto"/>
              </w:rPr>
            </w:pPr>
            <w:r>
              <w:rPr>
                <w:rFonts w:ascii="Arial" w:cs="Arial" w:eastAsia="Arial" w:hAnsi="Arial"/>
                <w:sz w:val="14"/>
                <w:szCs w:val="14"/>
                <w:color w:val="auto"/>
              </w:rPr>
              <w:t>pro forma;</w:t>
            </w:r>
          </w:p>
        </w:tc>
        <w:tc>
          <w:tcPr>
            <w:tcW w:w="2380" w:type="dxa"/>
            <w:vAlign w:val="bottom"/>
            <w:gridSpan w:val="2"/>
          </w:tcPr>
          <w:p>
            <w:pPr>
              <w:ind w:left="140"/>
              <w:spacing w:after="0"/>
              <w:rPr>
                <w:sz w:val="20"/>
                <w:szCs w:val="20"/>
                <w:color w:val="auto"/>
              </w:rPr>
            </w:pPr>
            <w:r>
              <w:rPr>
                <w:rFonts w:ascii="Arial" w:cs="Arial" w:eastAsia="Arial" w:hAnsi="Arial"/>
                <w:sz w:val="14"/>
                <w:szCs w:val="14"/>
                <w:color w:val="auto"/>
              </w:rPr>
              <w:t>shares authorized and</w:t>
            </w:r>
          </w:p>
        </w:tc>
        <w:tc>
          <w:tcPr>
            <w:tcW w:w="760" w:type="dxa"/>
            <w:vAlign w:val="bottom"/>
          </w:tcPr>
          <w:p>
            <w:pPr>
              <w:ind w:left="20"/>
              <w:spacing w:after="0"/>
              <w:rPr>
                <w:sz w:val="20"/>
                <w:szCs w:val="20"/>
                <w:color w:val="auto"/>
              </w:rPr>
            </w:pPr>
            <w:r>
              <w:rPr>
                <w:rFonts w:ascii="Arial" w:cs="Arial" w:eastAsia="Arial" w:hAnsi="Arial"/>
                <w:sz w:val="14"/>
                <w:szCs w:val="14"/>
                <w:color w:val="auto"/>
              </w:rPr>
              <w:t>shares</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80" w:type="dxa"/>
            <w:vAlign w:val="bottom"/>
            <w:gridSpan w:val="3"/>
          </w:tcPr>
          <w:p>
            <w:pPr>
              <w:ind w:left="300"/>
              <w:spacing w:after="0"/>
              <w:rPr>
                <w:sz w:val="20"/>
                <w:szCs w:val="20"/>
                <w:color w:val="auto"/>
              </w:rPr>
            </w:pPr>
            <w:r>
              <w:rPr>
                <w:rFonts w:ascii="Arial" w:cs="Arial" w:eastAsia="Arial" w:hAnsi="Arial"/>
                <w:sz w:val="14"/>
                <w:szCs w:val="14"/>
                <w:color w:val="auto"/>
              </w:rPr>
              <w:t>issued and outstanding pro forma as adjusted</w:t>
            </w:r>
          </w:p>
        </w:tc>
        <w:tc>
          <w:tcPr>
            <w:tcW w:w="76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219,156</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558,536</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(310,690) (310,690)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7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0" w:type="dxa"/>
            <w:vAlign w:val="bottom"/>
          </w:tcPr>
          <w:p>
            <w:pPr>
              <w:ind w:left="140"/>
              <w:spacing w:after="0"/>
              <w:rPr>
                <w:sz w:val="20"/>
                <w:szCs w:val="20"/>
                <w:color w:val="auto"/>
              </w:rPr>
            </w:pPr>
            <w:r>
              <w:rPr>
                <w:rFonts w:ascii="Arial" w:cs="Arial" w:eastAsia="Arial" w:hAnsi="Arial"/>
                <w:sz w:val="14"/>
                <w:szCs w:val="14"/>
                <w:color w:val="auto"/>
              </w:rPr>
              <w:t>Total capitalization</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$ 257,543 $</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257,543</w:t>
            </w:r>
          </w:p>
        </w:tc>
        <w:tc>
          <w:tcPr>
            <w:tcW w:w="6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980" w:type="dxa"/>
            <w:vAlign w:val="bottom"/>
            <w:gridSpan w:val="3"/>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80" w:type="dxa"/>
            <w:vAlign w:val="bottom"/>
            <w:gridSpan w:val="3"/>
          </w:tcPr>
          <w:p>
            <w:pPr>
              <w:spacing w:after="0"/>
              <w:rPr>
                <w:sz w:val="20"/>
                <w:szCs w:val="20"/>
                <w:color w:val="auto"/>
              </w:rPr>
            </w:pPr>
            <w:r>
              <w:rPr>
                <w:rFonts w:ascii="Arial" w:cs="Arial" w:eastAsia="Arial" w:hAnsi="Arial"/>
                <w:sz w:val="11"/>
                <w:szCs w:val="11"/>
                <w:color w:val="auto"/>
              </w:rPr>
              <w:t>(1) A $1.00 increase (decrease) in the assumed initial public offering price of $</w:t>
            </w:r>
          </w:p>
        </w:tc>
        <w:tc>
          <w:tcPr>
            <w:tcW w:w="2840" w:type="dxa"/>
            <w:vAlign w:val="bottom"/>
            <w:gridSpan w:val="4"/>
          </w:tcPr>
          <w:p>
            <w:pPr>
              <w:jc w:val="right"/>
              <w:ind w:right="248"/>
              <w:spacing w:after="0"/>
              <w:rPr>
                <w:sz w:val="20"/>
                <w:szCs w:val="20"/>
                <w:color w:val="auto"/>
              </w:rPr>
            </w:pPr>
            <w:r>
              <w:rPr>
                <w:rFonts w:ascii="Arial" w:cs="Arial" w:eastAsia="Arial" w:hAnsi="Arial"/>
                <w:sz w:val="11"/>
                <w:szCs w:val="11"/>
                <w:color w:val="auto"/>
              </w:rPr>
              <w:t>per share, the midpoint of the price range set</w:t>
            </w:r>
          </w:p>
        </w:tc>
        <w:tc>
          <w:tcPr>
            <w:tcW w:w="0" w:type="dxa"/>
            <w:vAlign w:val="bottom"/>
          </w:tcPr>
          <w:p>
            <w:pPr>
              <w:spacing w:after="0"/>
              <w:rPr>
                <w:sz w:val="1"/>
                <w:szCs w:val="1"/>
                <w:color w:val="auto"/>
              </w:rPr>
            </w:pPr>
          </w:p>
        </w:tc>
      </w:tr>
      <w:tr>
        <w:trPr>
          <w:trHeight w:val="129"/>
        </w:trPr>
        <w:tc>
          <w:tcPr>
            <w:tcW w:w="6820" w:type="dxa"/>
            <w:vAlign w:val="bottom"/>
            <w:gridSpan w:val="7"/>
          </w:tcPr>
          <w:p>
            <w:pPr>
              <w:spacing w:after="0"/>
              <w:rPr>
                <w:sz w:val="20"/>
                <w:szCs w:val="20"/>
                <w:color w:val="auto"/>
              </w:rPr>
            </w:pPr>
            <w:r>
              <w:rPr>
                <w:rFonts w:ascii="Arial" w:cs="Arial" w:eastAsia="Arial" w:hAnsi="Arial"/>
                <w:sz w:val="11"/>
                <w:szCs w:val="11"/>
                <w:color w:val="auto"/>
              </w:rPr>
              <w:t>forth on the cover page of this prospectus, would increase (decrease) the pro forma as adjusted amount of each of cash, total</w:t>
            </w:r>
          </w:p>
        </w:tc>
        <w:tc>
          <w:tcPr>
            <w:tcW w:w="0" w:type="dxa"/>
            <w:vAlign w:val="bottom"/>
          </w:tcPr>
          <w:p>
            <w:pPr>
              <w:spacing w:after="0"/>
              <w:rPr>
                <w:sz w:val="1"/>
                <w:szCs w:val="1"/>
                <w:color w:val="auto"/>
              </w:rPr>
            </w:pPr>
          </w:p>
        </w:tc>
      </w:tr>
      <w:tr>
        <w:trPr>
          <w:trHeight w:val="129"/>
        </w:trPr>
        <w:tc>
          <w:tcPr>
            <w:tcW w:w="2500" w:type="dxa"/>
            <w:vAlign w:val="bottom"/>
            <w:gridSpan w:val="2"/>
          </w:tcPr>
          <w:p>
            <w:pPr>
              <w:spacing w:after="0"/>
              <w:rPr>
                <w:sz w:val="20"/>
                <w:szCs w:val="20"/>
                <w:color w:val="auto"/>
              </w:rPr>
            </w:pPr>
            <w:r>
              <w:rPr>
                <w:rFonts w:ascii="Arial" w:cs="Arial" w:eastAsia="Arial" w:hAnsi="Arial"/>
                <w:sz w:val="11"/>
                <w:szCs w:val="11"/>
                <w:color w:val="auto"/>
              </w:rPr>
              <w:t>stockholders’ equity, and total capitalization by $</w:t>
            </w:r>
          </w:p>
        </w:tc>
        <w:tc>
          <w:tcPr>
            <w:tcW w:w="4320" w:type="dxa"/>
            <w:vAlign w:val="bottom"/>
            <w:gridSpan w:val="5"/>
          </w:tcPr>
          <w:p>
            <w:pPr>
              <w:jc w:val="right"/>
              <w:ind w:right="248"/>
              <w:spacing w:after="0"/>
              <w:rPr>
                <w:sz w:val="20"/>
                <w:szCs w:val="20"/>
                <w:color w:val="auto"/>
              </w:rPr>
            </w:pPr>
            <w:r>
              <w:rPr>
                <w:rFonts w:ascii="Arial" w:cs="Arial" w:eastAsia="Arial" w:hAnsi="Arial"/>
                <w:sz w:val="11"/>
                <w:szCs w:val="11"/>
                <w:color w:val="auto"/>
              </w:rPr>
              <w:t>million, assuming that the number of shares offered by us, as set forth on</w:t>
            </w:r>
          </w:p>
        </w:tc>
        <w:tc>
          <w:tcPr>
            <w:tcW w:w="0" w:type="dxa"/>
            <w:vAlign w:val="bottom"/>
          </w:tcPr>
          <w:p>
            <w:pPr>
              <w:spacing w:after="0"/>
              <w:rPr>
                <w:sz w:val="1"/>
                <w:szCs w:val="1"/>
                <w:color w:val="auto"/>
              </w:rPr>
            </w:pPr>
          </w:p>
        </w:tc>
      </w:tr>
    </w:tbl>
    <w:p>
      <w:pPr>
        <w:ind w:left="1220" w:right="1259"/>
        <w:spacing w:after="0" w:line="245" w:lineRule="auto"/>
        <w:rPr>
          <w:sz w:val="20"/>
          <w:szCs w:val="20"/>
          <w:color w:val="auto"/>
        </w:rPr>
      </w:pPr>
      <w:r>
        <w:rPr>
          <w:rFonts w:ascii="Arial" w:cs="Arial" w:eastAsia="Arial" w:hAnsi="Arial"/>
          <w:sz w:val="11"/>
          <w:szCs w:val="11"/>
          <w:color w:val="auto"/>
        </w:rPr>
        <w:t>the cover page of this prospectus, remains the same and after deducting estimated underwriting discounts and commissions and estimated offering expenses payable by us. An increase (decrease) of 1.0 million shares in the number of shares offered by us, as set forth on the cover page of this prospectus, would increase (decrease) the pro forma as adjusted amount of each of cash, total</w:t>
      </w:r>
    </w:p>
    <w:p>
      <w:pPr>
        <w:spacing w:after="0" w:line="1" w:lineRule="exact"/>
        <w:rPr>
          <w:sz w:val="20"/>
          <w:szCs w:val="20"/>
          <w:color w:val="auto"/>
        </w:rPr>
      </w:pPr>
    </w:p>
    <w:p>
      <w:pPr>
        <w:ind w:left="1220" w:right="1279"/>
        <w:spacing w:after="0" w:line="251" w:lineRule="auto"/>
        <w:rPr>
          <w:sz w:val="20"/>
          <w:szCs w:val="20"/>
          <w:color w:val="auto"/>
        </w:rPr>
      </w:pPr>
      <w:r>
        <w:rPr>
          <w:rFonts w:ascii="Arial" w:cs="Arial" w:eastAsia="Arial" w:hAnsi="Arial"/>
          <w:sz w:val="11"/>
          <w:szCs w:val="11"/>
          <w:color w:val="auto"/>
        </w:rPr>
        <w:t>stockholders’ deficit, and total capitalization by $ million, assuming no change in the assumed initial public offering price per share and after deducting estimated underwriting discounts and commissions and estimated offering expenses payable by us.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9" w:name="page80"/>
    <w:bookmarkEnd w:id="7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80" w:lineRule="auto"/>
        <w:rPr>
          <w:sz w:val="20"/>
          <w:szCs w:val="20"/>
          <w:color w:val="auto"/>
        </w:rPr>
      </w:pPr>
      <w:r>
        <w:rPr>
          <w:rFonts w:ascii="Arial" w:cs="Arial" w:eastAsia="Arial" w:hAnsi="Arial"/>
          <w:sz w:val="14"/>
          <w:szCs w:val="14"/>
          <w:color w:val="auto"/>
        </w:rPr>
        <w:t>The number of shares of our common stock to be outstanding after this offering reflected in the table above is based on 110,247,171 shares of common stock outstanding as of March 31, 2021 (which includes 4,648,745 shares outstanding that are subject to forfeiture or our right to repurchase as of such date), which gives effect to the pro forma transactions described above and excludes:</w:t>
      </w:r>
    </w:p>
    <w:p>
      <w:pPr>
        <w:spacing w:after="0" w:line="252" w:lineRule="exact"/>
        <w:rPr>
          <w:sz w:val="20"/>
          <w:szCs w:val="20"/>
          <w:color w:val="auto"/>
        </w:rPr>
      </w:pPr>
    </w:p>
    <w:p>
      <w:pPr>
        <w:ind w:left="1340" w:right="1759" w:hanging="116"/>
        <w:spacing w:after="0" w:line="290" w:lineRule="auto"/>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8,603,052 shares of our common stock issuable upon the exercise of stock options as of March 31, 2021, at a weighted-average exercise price of $0.73 per share;</w:t>
      </w:r>
    </w:p>
    <w:p>
      <w:pPr>
        <w:spacing w:after="0" w:line="64" w:lineRule="exact"/>
        <w:rPr>
          <w:rFonts w:ascii="Arial" w:cs="Arial" w:eastAsia="Arial" w:hAnsi="Arial"/>
          <w:sz w:val="14"/>
          <w:szCs w:val="14"/>
          <w:color w:val="auto"/>
        </w:rPr>
      </w:pPr>
    </w:p>
    <w:p>
      <w:pPr>
        <w:ind w:left="1340" w:right="1819" w:hanging="116"/>
        <w:spacing w:after="0" w:line="290" w:lineRule="auto"/>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40,540 shares of our common stock issuable upon the exercise of warrants to purchase common stock, at a weighted-average exercise price of $5.55 per share;</w:t>
      </w:r>
    </w:p>
    <w:p>
      <w:pPr>
        <w:spacing w:after="0" w:line="64" w:lineRule="exact"/>
        <w:rPr>
          <w:rFonts w:ascii="Arial" w:cs="Arial" w:eastAsia="Arial" w:hAnsi="Arial"/>
          <w:sz w:val="14"/>
          <w:szCs w:val="14"/>
          <w:color w:val="auto"/>
        </w:rPr>
      </w:pPr>
    </w:p>
    <w:p>
      <w:pPr>
        <w:ind w:left="1340" w:right="1439" w:hanging="116"/>
        <w:spacing w:after="0" w:line="290" w:lineRule="auto"/>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6,169,655 shares of our common stock reserved for issuance pursuant to future awards as of March 31, 2021 under the 2018 Plan;</w:t>
      </w:r>
    </w:p>
    <w:p>
      <w:pPr>
        <w:spacing w:after="0" w:line="64" w:lineRule="exact"/>
        <w:rPr>
          <w:rFonts w:ascii="Arial" w:cs="Arial" w:eastAsia="Arial" w:hAnsi="Arial"/>
          <w:sz w:val="14"/>
          <w:szCs w:val="14"/>
          <w:color w:val="auto"/>
        </w:rPr>
      </w:pPr>
    </w:p>
    <w:p>
      <w:pPr>
        <w:jc w:val="both"/>
        <w:ind w:left="1340" w:right="1259" w:hanging="116"/>
        <w:spacing w:after="0" w:line="278" w:lineRule="auto"/>
        <w:tabs>
          <w:tab w:leader="none" w:pos="1841" w:val="left"/>
        </w:tabs>
        <w:numPr>
          <w:ilvl w:val="0"/>
          <w:numId w:val="53"/>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4" w:lineRule="exact"/>
        <w:rPr>
          <w:rFonts w:ascii="Arial" w:cs="Arial" w:eastAsia="Arial" w:hAnsi="Arial"/>
          <w:sz w:val="14"/>
          <w:szCs w:val="14"/>
          <w:color w:val="auto"/>
        </w:rPr>
      </w:pPr>
    </w:p>
    <w:p>
      <w:pPr>
        <w:ind w:left="1340" w:right="1339" w:hanging="116"/>
        <w:spacing w:after="0" w:line="278" w:lineRule="auto"/>
        <w:tabs>
          <w:tab w:leader="none" w:pos="1841" w:val="left"/>
        </w:tabs>
        <w:numPr>
          <w:ilvl w:val="0"/>
          <w:numId w:val="53"/>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Employee Stock Purchase Plan, or ESPP, will become effective upon the effectiveness of the Registration Statement of which this prospectus forms a part, as well as any future increases in the number of shares of common stock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0" w:name="page81"/>
    <w:bookmarkEnd w:id="8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Dilution</w:t>
      </w:r>
    </w:p>
    <w:p>
      <w:pPr>
        <w:spacing w:after="0" w:line="90"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 The data in this section are derived from our balance sheet as of March 31, 2021.</w:t>
      </w:r>
    </w:p>
    <w:p>
      <w:pPr>
        <w:spacing w:after="0" w:line="63" w:lineRule="exact"/>
        <w:rPr>
          <w:sz w:val="20"/>
          <w:szCs w:val="20"/>
          <w:color w:val="auto"/>
        </w:rPr>
      </w:pPr>
    </w:p>
    <w:p>
      <w:pPr>
        <w:ind w:left="1220"/>
        <w:spacing w:after="0"/>
        <w:tabs>
          <w:tab w:leader="none" w:pos="6660" w:val="left"/>
        </w:tabs>
        <w:rPr>
          <w:sz w:val="20"/>
          <w:szCs w:val="20"/>
          <w:color w:val="auto"/>
        </w:rPr>
      </w:pPr>
      <w:r>
        <w:rPr>
          <w:rFonts w:ascii="Arial" w:cs="Arial" w:eastAsia="Arial" w:hAnsi="Arial"/>
          <w:sz w:val="14"/>
          <w:szCs w:val="14"/>
          <w:color w:val="auto"/>
        </w:rPr>
        <w:t>Our historical net tangible book value (deficit) as of March 31, 2021 was $</w:t>
      </w:r>
      <w:r>
        <w:rPr>
          <w:sz w:val="20"/>
          <w:szCs w:val="20"/>
          <w:color w:val="auto"/>
        </w:rPr>
        <w:tab/>
      </w:r>
      <w:r>
        <w:rPr>
          <w:rFonts w:ascii="Arial" w:cs="Arial" w:eastAsia="Arial" w:hAnsi="Arial"/>
          <w:sz w:val="14"/>
          <w:szCs w:val="14"/>
          <w:color w:val="auto"/>
        </w:rPr>
        <w:t>million, or</w:t>
      </w:r>
    </w:p>
    <w:p>
      <w:pPr>
        <w:spacing w:after="0" w:line="22" w:lineRule="exact"/>
        <w:rPr>
          <w:sz w:val="20"/>
          <w:szCs w:val="20"/>
          <w:color w:val="auto"/>
        </w:rPr>
      </w:pPr>
    </w:p>
    <w:p>
      <w:pPr>
        <w:ind w:left="1220" w:right="1259" w:firstLine="4"/>
        <w:spacing w:after="0" w:line="278" w:lineRule="auto"/>
        <w:tabs>
          <w:tab w:leader="none" w:pos="1805"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 share of our common stock. Our historical net tangible book value (deficit) represents our total tangible assets less total liabilities and convertible preferred stock. Historical net tangible book value (deficit) per share is our historical net tangible book value (deficit) divided by the number of shares of our common stock outstanding as of March 31, 2021.</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Our pro forma net tangible book value as of March 31, 2021, before giving effect to this offering,</w:t>
      </w:r>
    </w:p>
    <w:p>
      <w:pPr>
        <w:spacing w:after="0" w:line="22" w:lineRule="exact"/>
        <w:rPr>
          <w:sz w:val="20"/>
          <w:szCs w:val="20"/>
          <w:color w:val="auto"/>
        </w:rPr>
      </w:pPr>
    </w:p>
    <w:p>
      <w:pPr>
        <w:ind w:left="1220" w:right="1679"/>
        <w:spacing w:after="0" w:line="273" w:lineRule="auto"/>
        <w:rPr>
          <w:sz w:val="20"/>
          <w:szCs w:val="20"/>
          <w:color w:val="auto"/>
        </w:rPr>
      </w:pPr>
      <w:r>
        <w:rPr>
          <w:rFonts w:ascii="Arial" w:cs="Arial" w:eastAsia="Arial" w:hAnsi="Arial"/>
          <w:sz w:val="14"/>
          <w:szCs w:val="14"/>
          <w:color w:val="auto"/>
        </w:rPr>
        <w:t>was $ million, or $ per share. Pro forma net tangible book value, before the issuance and sale of shares in this offering, gives effect to the conversion of all outstanding</w:t>
      </w:r>
    </w:p>
    <w:p>
      <w:pPr>
        <w:spacing w:after="0" w:line="1" w:lineRule="exact"/>
        <w:rPr>
          <w:sz w:val="20"/>
          <w:szCs w:val="20"/>
          <w:color w:val="auto"/>
        </w:rPr>
      </w:pPr>
    </w:p>
    <w:p>
      <w:pPr>
        <w:ind w:left="1220" w:right="1539"/>
        <w:spacing w:after="0" w:line="290" w:lineRule="auto"/>
        <w:rPr>
          <w:sz w:val="20"/>
          <w:szCs w:val="20"/>
          <w:color w:val="auto"/>
        </w:rPr>
      </w:pPr>
      <w:r>
        <w:rPr>
          <w:rFonts w:ascii="Arial" w:cs="Arial" w:eastAsia="Arial" w:hAnsi="Arial"/>
          <w:sz w:val="14"/>
          <w:szCs w:val="14"/>
          <w:color w:val="auto"/>
        </w:rPr>
        <w:t>shares of our convertible preferred stock into an aggregate of shares of common stock upon the closing of this offering.</w:t>
      </w:r>
    </w:p>
    <w:p>
      <w:pPr>
        <w:spacing w:after="0" w:line="43"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Pro forma net tangible book value per share represents pro forma net tangible book value divided by the total number of shares outstanding as of March 31, 2021 after giving effect to the pro forma adjustments described above.</w:t>
      </w:r>
    </w:p>
    <w:p>
      <w:pPr>
        <w:spacing w:after="0" w:line="60" w:lineRule="exact"/>
        <w:rPr>
          <w:sz w:val="20"/>
          <w:szCs w:val="20"/>
          <w:color w:val="auto"/>
        </w:rPr>
      </w:pPr>
    </w:p>
    <w:p>
      <w:pPr>
        <w:ind w:left="1220" w:right="1279"/>
        <w:spacing w:after="0" w:line="273" w:lineRule="auto"/>
        <w:rPr>
          <w:sz w:val="20"/>
          <w:szCs w:val="20"/>
          <w:color w:val="auto"/>
        </w:rPr>
      </w:pPr>
      <w:r>
        <w:rPr>
          <w:rFonts w:ascii="Arial" w:cs="Arial" w:eastAsia="Arial" w:hAnsi="Arial"/>
          <w:sz w:val="14"/>
          <w:szCs w:val="14"/>
          <w:color w:val="auto"/>
        </w:rPr>
        <w:t>Net tangible book value dilution per share to new investors represents the difference between the amount per share paid by purchasers of common stock in this offering and the pro forma as adjusted net tangible book value per share of our common stock immediately following the closing of this offering. After giving effect to the pro forma transactions described above and the sale of shares of common stock in this offering at an assumed initial public offering price of</w:t>
      </w:r>
    </w:p>
    <w:p>
      <w:pPr>
        <w:spacing w:after="0" w:line="1" w:lineRule="exact"/>
        <w:rPr>
          <w:sz w:val="20"/>
          <w:szCs w:val="20"/>
          <w:color w:val="auto"/>
        </w:rPr>
      </w:pPr>
    </w:p>
    <w:p>
      <w:pPr>
        <w:jc w:val="both"/>
        <w:ind w:left="1220" w:right="1259" w:firstLine="4"/>
        <w:spacing w:after="0" w:line="273" w:lineRule="auto"/>
        <w:tabs>
          <w:tab w:leader="none" w:pos="1805" w:val="left"/>
        </w:tabs>
        <w:numPr>
          <w:ilvl w:val="0"/>
          <w:numId w:val="55"/>
        </w:numPr>
        <w:rPr>
          <w:rFonts w:ascii="Arial" w:cs="Arial" w:eastAsia="Arial" w:hAnsi="Arial"/>
          <w:sz w:val="14"/>
          <w:szCs w:val="14"/>
          <w:color w:val="auto"/>
        </w:rPr>
      </w:pPr>
      <w:r>
        <w:rPr>
          <w:rFonts w:ascii="Arial" w:cs="Arial" w:eastAsia="Arial" w:hAnsi="Arial"/>
          <w:sz w:val="14"/>
          <w:szCs w:val="14"/>
          <w:color w:val="auto"/>
        </w:rPr>
        <w:t>per share, the midpoint of the price range set forth on the cover page of this prospectus, and after deducting the underwriting discounts and commissions and estimated offering expenses payable by us, our pro forma as adjusted net tangible book value as of March 31, 2021 would</w:t>
      </w:r>
    </w:p>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4"/>
                <w:szCs w:val="14"/>
                <w:color w:val="auto"/>
              </w:rPr>
              <w:t>have been $</w:t>
            </w:r>
          </w:p>
        </w:tc>
        <w:tc>
          <w:tcPr>
            <w:tcW w:w="1240" w:type="dxa"/>
            <w:vAlign w:val="bottom"/>
          </w:tcPr>
          <w:p>
            <w:pPr>
              <w:ind w:left="260"/>
              <w:spacing w:after="0"/>
              <w:rPr>
                <w:sz w:val="20"/>
                <w:szCs w:val="20"/>
                <w:color w:val="auto"/>
              </w:rPr>
            </w:pPr>
            <w:r>
              <w:rPr>
                <w:rFonts w:ascii="Arial" w:cs="Arial" w:eastAsia="Arial" w:hAnsi="Arial"/>
                <w:sz w:val="14"/>
                <w:szCs w:val="14"/>
                <w:color w:val="auto"/>
              </w:rPr>
              <w:t>million, or $</w:t>
            </w:r>
          </w:p>
        </w:tc>
        <w:tc>
          <w:tcPr>
            <w:tcW w:w="4900" w:type="dxa"/>
            <w:vAlign w:val="bottom"/>
            <w:gridSpan w:val="4"/>
          </w:tcPr>
          <w:p>
            <w:pPr>
              <w:jc w:val="right"/>
              <w:ind w:right="1028"/>
              <w:spacing w:after="0"/>
              <w:rPr>
                <w:sz w:val="20"/>
                <w:szCs w:val="20"/>
                <w:color w:val="auto"/>
              </w:rPr>
            </w:pPr>
            <w:r>
              <w:rPr>
                <w:rFonts w:ascii="Arial" w:cs="Arial" w:eastAsia="Arial" w:hAnsi="Arial"/>
                <w:sz w:val="14"/>
                <w:szCs w:val="14"/>
                <w:color w:val="auto"/>
              </w:rPr>
              <w:t>per share. This represents an immediate increase in</w:t>
            </w:r>
          </w:p>
        </w:tc>
        <w:tc>
          <w:tcPr>
            <w:tcW w:w="0" w:type="dxa"/>
            <w:vAlign w:val="bottom"/>
          </w:tcPr>
          <w:p>
            <w:pPr>
              <w:spacing w:after="0"/>
              <w:rPr>
                <w:sz w:val="1"/>
                <w:szCs w:val="1"/>
                <w:color w:val="auto"/>
              </w:rPr>
            </w:pPr>
          </w:p>
        </w:tc>
      </w:tr>
      <w:tr>
        <w:trPr>
          <w:trHeight w:val="183"/>
        </w:trPr>
        <w:tc>
          <w:tcPr>
            <w:tcW w:w="3620" w:type="dxa"/>
            <w:vAlign w:val="bottom"/>
            <w:gridSpan w:val="4"/>
          </w:tcPr>
          <w:p>
            <w:pPr>
              <w:spacing w:after="0"/>
              <w:rPr>
                <w:sz w:val="20"/>
                <w:szCs w:val="20"/>
                <w:color w:val="auto"/>
              </w:rPr>
            </w:pPr>
            <w:r>
              <w:rPr>
                <w:rFonts w:ascii="Arial" w:cs="Arial" w:eastAsia="Arial" w:hAnsi="Arial"/>
                <w:sz w:val="14"/>
                <w:szCs w:val="14"/>
                <w:color w:val="auto"/>
              </w:rPr>
              <w:t>pro forma as adjusted net tangible book value of $</w:t>
            </w:r>
          </w:p>
        </w:tc>
        <w:tc>
          <w:tcPr>
            <w:tcW w:w="3600" w:type="dxa"/>
            <w:vAlign w:val="bottom"/>
            <w:gridSpan w:val="3"/>
          </w:tcPr>
          <w:p>
            <w:pPr>
              <w:jc w:val="right"/>
              <w:ind w:right="748"/>
              <w:spacing w:after="0"/>
              <w:rPr>
                <w:sz w:val="20"/>
                <w:szCs w:val="20"/>
                <w:color w:val="auto"/>
              </w:rPr>
            </w:pPr>
            <w:r>
              <w:rPr>
                <w:rFonts w:ascii="Arial" w:cs="Arial" w:eastAsia="Arial" w:hAnsi="Arial"/>
                <w:sz w:val="14"/>
                <w:szCs w:val="14"/>
                <w:color w:val="auto"/>
              </w:rPr>
              <w:t>per share to our existing stockholders</w:t>
            </w:r>
          </w:p>
        </w:tc>
        <w:tc>
          <w:tcPr>
            <w:tcW w:w="0" w:type="dxa"/>
            <w:vAlign w:val="bottom"/>
          </w:tcPr>
          <w:p>
            <w:pPr>
              <w:spacing w:after="0"/>
              <w:rPr>
                <w:sz w:val="1"/>
                <w:szCs w:val="1"/>
                <w:color w:val="auto"/>
              </w:rPr>
            </w:pPr>
          </w:p>
        </w:tc>
      </w:tr>
      <w:tr>
        <w:trPr>
          <w:trHeight w:val="183"/>
        </w:trPr>
        <w:tc>
          <w:tcPr>
            <w:tcW w:w="2320" w:type="dxa"/>
            <w:vAlign w:val="bottom"/>
            <w:gridSpan w:val="3"/>
          </w:tcPr>
          <w:p>
            <w:pPr>
              <w:spacing w:after="0"/>
              <w:rPr>
                <w:sz w:val="20"/>
                <w:szCs w:val="20"/>
                <w:color w:val="auto"/>
              </w:rPr>
            </w:pPr>
            <w:r>
              <w:rPr>
                <w:rFonts w:ascii="Arial" w:cs="Arial" w:eastAsia="Arial" w:hAnsi="Arial"/>
                <w:sz w:val="14"/>
                <w:szCs w:val="14"/>
                <w:color w:val="auto"/>
              </w:rPr>
              <w:t>and an immediate dilution of $</w:t>
            </w:r>
          </w:p>
        </w:tc>
        <w:tc>
          <w:tcPr>
            <w:tcW w:w="4900" w:type="dxa"/>
            <w:vAlign w:val="bottom"/>
            <w:gridSpan w:val="4"/>
          </w:tcPr>
          <w:p>
            <w:pPr>
              <w:jc w:val="right"/>
              <w:ind w:right="628"/>
              <w:spacing w:after="0"/>
              <w:rPr>
                <w:sz w:val="20"/>
                <w:szCs w:val="20"/>
                <w:color w:val="auto"/>
              </w:rPr>
            </w:pPr>
            <w:r>
              <w:rPr>
                <w:rFonts w:ascii="Arial" w:cs="Arial" w:eastAsia="Arial" w:hAnsi="Arial"/>
                <w:sz w:val="14"/>
                <w:szCs w:val="14"/>
                <w:color w:val="auto"/>
              </w:rPr>
              <w:t>per share to new investors participating in this offering. The</w:t>
            </w:r>
          </w:p>
        </w:tc>
        <w:tc>
          <w:tcPr>
            <w:tcW w:w="0" w:type="dxa"/>
            <w:vAlign w:val="bottom"/>
          </w:tcPr>
          <w:p>
            <w:pPr>
              <w:spacing w:after="0"/>
              <w:rPr>
                <w:sz w:val="1"/>
                <w:szCs w:val="1"/>
                <w:color w:val="auto"/>
              </w:rPr>
            </w:pPr>
          </w:p>
        </w:tc>
      </w:tr>
      <w:tr>
        <w:trPr>
          <w:trHeight w:val="183"/>
        </w:trPr>
        <w:tc>
          <w:tcPr>
            <w:tcW w:w="5820" w:type="dxa"/>
            <w:vAlign w:val="bottom"/>
            <w:gridSpan w:val="5"/>
          </w:tcPr>
          <w:p>
            <w:pPr>
              <w:spacing w:after="0"/>
              <w:rPr>
                <w:sz w:val="20"/>
                <w:szCs w:val="20"/>
                <w:color w:val="auto"/>
              </w:rPr>
            </w:pPr>
            <w:r>
              <w:rPr>
                <w:rFonts w:ascii="Arial" w:cs="Arial" w:eastAsia="Arial" w:hAnsi="Arial"/>
                <w:sz w:val="14"/>
                <w:szCs w:val="14"/>
                <w:color w:val="auto"/>
              </w:rPr>
              <w:t>following table illustrates this dilution on a per share basis:</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620" w:type="dxa"/>
            <w:vAlign w:val="bottom"/>
            <w:gridSpan w:val="4"/>
          </w:tcPr>
          <w:p>
            <w:pPr>
              <w:spacing w:after="0"/>
              <w:rPr>
                <w:sz w:val="10"/>
                <w:szCs w:val="10"/>
                <w:color w:val="auto"/>
              </w:rPr>
            </w:pPr>
          </w:p>
        </w:tc>
        <w:tc>
          <w:tcPr>
            <w:tcW w:w="2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220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820" w:type="dxa"/>
            <w:vAlign w:val="bottom"/>
            <w:gridSpan w:val="5"/>
          </w:tcPr>
          <w:p>
            <w:pPr>
              <w:spacing w:after="0"/>
              <w:rPr>
                <w:sz w:val="20"/>
                <w:szCs w:val="20"/>
                <w:color w:val="auto"/>
              </w:rPr>
            </w:pPr>
            <w:r>
              <w:rPr>
                <w:rFonts w:ascii="Arial" w:cs="Arial" w:eastAsia="Arial" w:hAnsi="Arial"/>
                <w:sz w:val="14"/>
                <w:szCs w:val="14"/>
                <w:color w:val="auto"/>
              </w:rPr>
              <w:t>Historical net tangible book value (deficit) per share as of March 31, 2021</w:t>
            </w:r>
          </w:p>
        </w:tc>
        <w:tc>
          <w:tcPr>
            <w:tcW w:w="14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67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Pro forma increase in net tangible book value per share as of March 31, 2021 attributable to</w:t>
            </w: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6"/>
                <w:szCs w:val="16"/>
                <w:color w:val="auto"/>
              </w:rPr>
            </w:pPr>
          </w:p>
        </w:tc>
        <w:tc>
          <w:tcPr>
            <w:tcW w:w="36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the pro forma transactions described above</w:t>
            </w:r>
          </w:p>
        </w:tc>
        <w:tc>
          <w:tcPr>
            <w:tcW w:w="2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720" w:type="dxa"/>
            <w:vAlign w:val="bottom"/>
            <w:tcBorders>
              <w:top w:val="single" w:sz="8" w:color="CCEEFF"/>
            </w:tcBorders>
            <w:gridSpan w:val="5"/>
          </w:tcPr>
          <w:p>
            <w:pPr>
              <w:spacing w:after="0"/>
              <w:rPr>
                <w:sz w:val="20"/>
                <w:szCs w:val="20"/>
                <w:color w:val="auto"/>
              </w:rPr>
            </w:pPr>
            <w:r>
              <w:rPr>
                <w:rFonts w:ascii="Arial" w:cs="Arial" w:eastAsia="Arial" w:hAnsi="Arial"/>
                <w:sz w:val="14"/>
                <w:szCs w:val="14"/>
                <w:color w:val="auto"/>
              </w:rPr>
              <w:t>Pro forma net tangible book value per share as of March 31, 2021 before giving effect to this</w:t>
            </w:r>
          </w:p>
        </w:tc>
        <w:tc>
          <w:tcPr>
            <w:tcW w:w="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Arial" w:cs="Arial" w:eastAsia="Arial" w:hAnsi="Arial"/>
                <w:sz w:val="14"/>
                <w:szCs w:val="14"/>
                <w:color w:val="auto"/>
              </w:rPr>
              <w:t>offering</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800" w:type="dxa"/>
            <w:vAlign w:val="bottom"/>
            <w:gridSpan w:val="4"/>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new investors</w:t>
            </w: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6"/>
                <w:szCs w:val="16"/>
                <w:color w:val="auto"/>
              </w:rPr>
            </w:pPr>
          </w:p>
        </w:tc>
        <w:tc>
          <w:tcPr>
            <w:tcW w:w="2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participating in this offering</w:t>
            </w:r>
          </w:p>
        </w:tc>
        <w:tc>
          <w:tcPr>
            <w:tcW w:w="13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tcBorders>
              <w:top w:val="single" w:sz="8" w:color="CCEEFF"/>
              <w:bottom w:val="single" w:sz="8" w:color="CCEEFF"/>
            </w:tcBorders>
            <w:gridSpan w:val="4"/>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920" w:type="dxa"/>
            <w:vAlign w:val="bottom"/>
            <w:tcBorders>
              <w:top w:val="single" w:sz="8" w:color="CCEEFF"/>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Dilution per share to new investors participating in this offering</w:t>
            </w:r>
          </w:p>
        </w:tc>
        <w:tc>
          <w:tcPr>
            <w:tcW w:w="9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0" w:type="dxa"/>
            <w:vAlign w:val="bottom"/>
            <w:gridSpan w:val="4"/>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20" w:type="dxa"/>
            <w:vAlign w:val="bottom"/>
            <w:gridSpan w:val="5"/>
          </w:tcPr>
          <w:p>
            <w:pPr>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1400" w:type="dxa"/>
            <w:vAlign w:val="bottom"/>
            <w:gridSpan w:val="2"/>
          </w:tcPr>
          <w:p>
            <w:pPr>
              <w:jc w:val="right"/>
              <w:ind w:right="608"/>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83"/>
        </w:trPr>
        <w:tc>
          <w:tcPr>
            <w:tcW w:w="7220" w:type="dxa"/>
            <w:vAlign w:val="bottom"/>
            <w:gridSpan w:val="7"/>
          </w:tcPr>
          <w:p>
            <w:pPr>
              <w:spacing w:after="0"/>
              <w:rPr>
                <w:sz w:val="20"/>
                <w:szCs w:val="20"/>
                <w:color w:val="auto"/>
              </w:rPr>
            </w:pPr>
            <w:r>
              <w:rPr>
                <w:rFonts w:ascii="Arial" w:cs="Arial" w:eastAsia="Arial" w:hAnsi="Arial"/>
                <w:sz w:val="14"/>
                <w:szCs w:val="14"/>
                <w:color w:val="auto"/>
              </w:rPr>
              <w:t>the midpoint of the price range set forth on the cover page of this prospectus, would increase or</w:t>
            </w:r>
          </w:p>
        </w:tc>
        <w:tc>
          <w:tcPr>
            <w:tcW w:w="0" w:type="dxa"/>
            <w:vAlign w:val="bottom"/>
          </w:tcPr>
          <w:p>
            <w:pPr>
              <w:spacing w:after="0"/>
              <w:rPr>
                <w:sz w:val="1"/>
                <w:szCs w:val="1"/>
                <w:color w:val="auto"/>
              </w:rPr>
            </w:pPr>
          </w:p>
        </w:tc>
      </w:tr>
      <w:tr>
        <w:trPr>
          <w:trHeight w:val="183"/>
        </w:trPr>
        <w:tc>
          <w:tcPr>
            <w:tcW w:w="7220" w:type="dxa"/>
            <w:vAlign w:val="bottom"/>
            <w:gridSpan w:val="7"/>
          </w:tcPr>
          <w:p>
            <w:pPr>
              <w:spacing w:after="0"/>
              <w:rPr>
                <w:sz w:val="20"/>
                <w:szCs w:val="20"/>
                <w:color w:val="auto"/>
              </w:rPr>
            </w:pPr>
            <w:r>
              <w:rPr>
                <w:rFonts w:ascii="Arial" w:cs="Arial" w:eastAsia="Arial" w:hAnsi="Arial"/>
                <w:sz w:val="14"/>
                <w:szCs w:val="14"/>
                <w:color w:val="auto"/>
              </w:rPr>
              <w:t>decrease, as applicable, our pro forma as adjusted net tangible book value per share after this</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rPr>
                <w:sz w:val="20"/>
                <w:szCs w:val="20"/>
                <w:color w:val="auto"/>
              </w:rPr>
            </w:pPr>
            <w:r>
              <w:rPr>
                <w:rFonts w:ascii="Arial" w:cs="Arial" w:eastAsia="Arial" w:hAnsi="Arial"/>
                <w:sz w:val="14"/>
                <w:szCs w:val="14"/>
                <w:color w:val="auto"/>
              </w:rPr>
              <w:t>offering by $</w:t>
            </w:r>
          </w:p>
        </w:tc>
        <w:tc>
          <w:tcPr>
            <w:tcW w:w="6140" w:type="dxa"/>
            <w:vAlign w:val="bottom"/>
            <w:gridSpan w:val="5"/>
          </w:tcPr>
          <w:p>
            <w:pPr>
              <w:ind w:left="260"/>
              <w:spacing w:after="0"/>
              <w:rPr>
                <w:sz w:val="20"/>
                <w:szCs w:val="20"/>
                <w:color w:val="auto"/>
              </w:rPr>
            </w:pPr>
            <w:r>
              <w:rPr>
                <w:rFonts w:ascii="Arial" w:cs="Arial" w:eastAsia="Arial" w:hAnsi="Arial"/>
                <w:sz w:val="14"/>
                <w:szCs w:val="14"/>
                <w:color w:val="auto"/>
              </w:rPr>
              <w:t>per share and the dilution per share to new investors participating in this</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rPr>
                <w:sz w:val="20"/>
                <w:szCs w:val="20"/>
                <w:color w:val="auto"/>
              </w:rPr>
            </w:pPr>
            <w:r>
              <w:rPr>
                <w:rFonts w:ascii="Arial" w:cs="Arial" w:eastAsia="Arial" w:hAnsi="Arial"/>
                <w:sz w:val="14"/>
                <w:szCs w:val="14"/>
                <w:color w:val="auto"/>
              </w:rPr>
              <w:t>offering by $</w:t>
            </w:r>
          </w:p>
        </w:tc>
        <w:tc>
          <w:tcPr>
            <w:tcW w:w="6140" w:type="dxa"/>
            <w:vAlign w:val="bottom"/>
            <w:gridSpan w:val="5"/>
          </w:tcPr>
          <w:p>
            <w:pPr>
              <w:ind w:left="260"/>
              <w:spacing w:after="0"/>
              <w:rPr>
                <w:sz w:val="20"/>
                <w:szCs w:val="20"/>
                <w:color w:val="auto"/>
              </w:rPr>
            </w:pPr>
            <w:r>
              <w:rPr>
                <w:rFonts w:ascii="Arial" w:cs="Arial" w:eastAsia="Arial" w:hAnsi="Arial"/>
                <w:sz w:val="14"/>
                <w:szCs w:val="14"/>
                <w:color w:val="auto"/>
              </w:rPr>
              <w:t>per share, assuming that the number of shares of common stock offered by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-772795</wp:posOffset>
            </wp:positionV>
            <wp:extent cx="426847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68470" cy="6985"/>
                    </a:xfrm>
                    <a:prstGeom prst="rect">
                      <a:avLst/>
                    </a:prstGeom>
                    <a:noFill/>
                  </pic:spPr>
                </pic:pic>
              </a:graphicData>
            </a:graphic>
          </wp:anchor>
        </w:drawing>
      </w:r>
    </w:p>
    <w:p>
      <w:pPr>
        <w:ind w:left="1220" w:right="1279"/>
        <w:spacing w:after="0" w:line="273" w:lineRule="auto"/>
        <w:rPr>
          <w:sz w:val="20"/>
          <w:szCs w:val="20"/>
          <w:color w:val="auto"/>
        </w:rPr>
      </w:pPr>
      <w:r>
        <w:rPr>
          <w:rFonts w:ascii="Arial" w:cs="Arial" w:eastAsia="Arial" w:hAnsi="Arial"/>
          <w:sz w:val="14"/>
          <w:szCs w:val="14"/>
          <w:color w:val="auto"/>
        </w:rPr>
        <w:t>us, as set forth on the cover page of this prospectus, remains the same and after deducting underwriting discounts and commissions and estimated offering expenses payable by us. Similarly, an increase of 1.0 million in the number of shares of common stock offered by us would</w:t>
      </w:r>
    </w:p>
    <w:p>
      <w:pPr>
        <w:spacing w:after="0" w:line="1" w:lineRule="exact"/>
        <w:rPr>
          <w:sz w:val="20"/>
          <w:szCs w:val="20"/>
          <w:color w:val="auto"/>
        </w:rPr>
      </w:pPr>
    </w:p>
    <w:p>
      <w:pPr>
        <w:ind w:left="1220" w:right="1619"/>
        <w:spacing w:after="0" w:line="273" w:lineRule="auto"/>
        <w:rPr>
          <w:sz w:val="20"/>
          <w:szCs w:val="20"/>
          <w:color w:val="auto"/>
        </w:rPr>
      </w:pPr>
      <w:r>
        <w:rPr>
          <w:rFonts w:ascii="Arial" w:cs="Arial" w:eastAsia="Arial" w:hAnsi="Arial"/>
          <w:sz w:val="14"/>
          <w:szCs w:val="14"/>
          <w:color w:val="auto"/>
        </w:rPr>
        <w:t>increase the pro forma as adjusted net tangible book value after this offering by $ per share and decrease the dilution per share to new investors participating in this offering by</w:t>
      </w:r>
    </w:p>
    <w:p>
      <w:pPr>
        <w:spacing w:after="0" w:line="1" w:lineRule="exact"/>
        <w:rPr>
          <w:sz w:val="20"/>
          <w:szCs w:val="20"/>
          <w:color w:val="auto"/>
        </w:rPr>
      </w:pPr>
    </w:p>
    <w:p>
      <w:pPr>
        <w:ind w:left="1800" w:hanging="576"/>
        <w:spacing w:after="0"/>
        <w:tabs>
          <w:tab w:leader="none" w:pos="18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per share, and a decrease of 1.0 million shares of common stock offered by us would</w:t>
      </w:r>
    </w:p>
    <w:p>
      <w:pPr>
        <w:spacing w:after="0" w:line="22" w:lineRule="exact"/>
        <w:rPr>
          <w:sz w:val="20"/>
          <w:szCs w:val="20"/>
          <w:color w:val="auto"/>
        </w:rPr>
      </w:pPr>
    </w:p>
    <w:p>
      <w:pPr>
        <w:ind w:left="1220"/>
        <w:spacing w:after="0"/>
        <w:tabs>
          <w:tab w:leader="none" w:pos="6020" w:val="left"/>
        </w:tabs>
        <w:rPr>
          <w:sz w:val="20"/>
          <w:szCs w:val="20"/>
          <w:color w:val="auto"/>
        </w:rPr>
      </w:pPr>
      <w:r>
        <w:rPr>
          <w:rFonts w:ascii="Arial" w:cs="Arial" w:eastAsia="Arial" w:hAnsi="Arial"/>
          <w:sz w:val="14"/>
          <w:szCs w:val="14"/>
          <w:color w:val="auto"/>
        </w:rPr>
        <w:t>decrease the pro forma as adjusted net tangible book value by $</w:t>
      </w:r>
      <w:r>
        <w:rPr>
          <w:sz w:val="20"/>
          <w:szCs w:val="20"/>
          <w:color w:val="auto"/>
        </w:rPr>
        <w:tab/>
      </w:r>
      <w:r>
        <w:rPr>
          <w:rFonts w:ascii="Arial" w:cs="Arial" w:eastAsia="Arial" w:hAnsi="Arial"/>
          <w:sz w:val="14"/>
          <w:szCs w:val="14"/>
          <w:color w:val="auto"/>
        </w:rPr>
        <w:t>per share,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1" w:name="page82"/>
    <w:bookmarkEnd w:id="8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89" w:lineRule="auto"/>
        <w:rPr>
          <w:sz w:val="20"/>
          <w:szCs w:val="20"/>
          <w:color w:val="auto"/>
        </w:rPr>
      </w:pPr>
      <w:r>
        <w:rPr>
          <w:rFonts w:ascii="Arial" w:cs="Arial" w:eastAsia="Arial" w:hAnsi="Arial"/>
          <w:sz w:val="14"/>
          <w:szCs w:val="14"/>
          <w:color w:val="auto"/>
        </w:rPr>
        <w:t>and increase the dilution per share to new investors in this offering by $ per share, assuming that the assumed initial public offering price of $ per share, the midpoint of the</w:t>
      </w:r>
    </w:p>
    <w:p>
      <w:pPr>
        <w:spacing w:after="0" w:line="1" w:lineRule="exact"/>
        <w:rPr>
          <w:sz w:val="20"/>
          <w:szCs w:val="20"/>
          <w:color w:val="auto"/>
        </w:rPr>
      </w:pPr>
    </w:p>
    <w:p>
      <w:pPr>
        <w:ind w:left="1220" w:right="1319"/>
        <w:spacing w:after="0" w:line="306" w:lineRule="auto"/>
        <w:rPr>
          <w:sz w:val="20"/>
          <w:szCs w:val="20"/>
          <w:color w:val="auto"/>
        </w:rPr>
      </w:pPr>
      <w:r>
        <w:rPr>
          <w:rFonts w:ascii="Arial" w:cs="Arial" w:eastAsia="Arial" w:hAnsi="Arial"/>
          <w:sz w:val="14"/>
          <w:szCs w:val="14"/>
          <w:color w:val="auto"/>
        </w:rPr>
        <w:t>price range set forth on the cover page of this prospectus, remains the same and after deducting underwriting discounts and commissions and estimated offering expenses payable by us.</w:t>
      </w:r>
    </w:p>
    <w:p>
      <w:pPr>
        <w:spacing w:after="0" w:line="43" w:lineRule="exact"/>
        <w:rPr>
          <w:sz w:val="20"/>
          <w:szCs w:val="20"/>
          <w:color w:val="auto"/>
        </w:rPr>
      </w:pPr>
    </w:p>
    <w:p>
      <w:pPr>
        <w:ind w:left="1220" w:right="1539"/>
        <w:spacing w:after="0" w:line="289" w:lineRule="auto"/>
        <w:rPr>
          <w:sz w:val="20"/>
          <w:szCs w:val="20"/>
          <w:color w:val="auto"/>
        </w:rPr>
      </w:pPr>
      <w:r>
        <w:rPr>
          <w:rFonts w:ascii="Arial" w:cs="Arial" w:eastAsia="Arial" w:hAnsi="Arial"/>
          <w:sz w:val="14"/>
          <w:szCs w:val="14"/>
          <w:color w:val="auto"/>
        </w:rPr>
        <w:t>If the underwriters exercise in full their option to purchase additional shares of common stock from us, the pro forma as adjusted net tangible book value per share after giving effect to this</w:t>
      </w:r>
    </w:p>
    <w:p>
      <w:pPr>
        <w:spacing w:after="0" w:line="1" w:lineRule="exact"/>
        <w:rPr>
          <w:sz w:val="20"/>
          <w:szCs w:val="20"/>
          <w:color w:val="auto"/>
        </w:rPr>
      </w:pPr>
    </w:p>
    <w:p>
      <w:pPr>
        <w:ind w:left="1220"/>
        <w:spacing w:after="0"/>
        <w:tabs>
          <w:tab w:leader="none" w:pos="5300" w:val="left"/>
        </w:tabs>
        <w:rPr>
          <w:sz w:val="20"/>
          <w:szCs w:val="20"/>
          <w:color w:val="auto"/>
        </w:rPr>
      </w:pPr>
      <w:r>
        <w:rPr>
          <w:rFonts w:ascii="Arial" w:cs="Arial" w:eastAsia="Arial" w:hAnsi="Arial"/>
          <w:sz w:val="14"/>
          <w:szCs w:val="14"/>
          <w:color w:val="auto"/>
        </w:rPr>
        <w:t>offering at an assumed initial public offering price of $</w:t>
      </w:r>
      <w:r>
        <w:rPr>
          <w:sz w:val="20"/>
          <w:szCs w:val="20"/>
          <w:color w:val="auto"/>
        </w:rPr>
        <w:tab/>
      </w:r>
      <w:r>
        <w:rPr>
          <w:rFonts w:ascii="Arial" w:cs="Arial" w:eastAsia="Arial" w:hAnsi="Arial"/>
          <w:sz w:val="14"/>
          <w:szCs w:val="14"/>
          <w:color w:val="auto"/>
        </w:rPr>
        <w:t>per share, the midpoint of the price</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range set forth on the cover page of this prospectus, and after deducting the underwriting</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discounts and commissions and estimated offering expenses payable by us, would be</w:t>
      </w:r>
    </w:p>
    <w:p>
      <w:pPr>
        <w:spacing w:after="0" w:line="33" w:lineRule="exact"/>
        <w:rPr>
          <w:sz w:val="20"/>
          <w:szCs w:val="20"/>
          <w:color w:val="auto"/>
        </w:rPr>
      </w:pPr>
    </w:p>
    <w:p>
      <w:pPr>
        <w:ind w:left="1220"/>
        <w:spacing w:after="0"/>
        <w:tabs>
          <w:tab w:leader="none" w:pos="1780" w:val="left"/>
          <w:tab w:leader="none" w:pos="7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per share, representing an immediate increase to existing stockholders of $</w:t>
      </w:r>
      <w:r>
        <w:rPr>
          <w:sz w:val="20"/>
          <w:szCs w:val="20"/>
          <w:color w:val="auto"/>
        </w:rPr>
        <w:tab/>
      </w:r>
      <w:r>
        <w:rPr>
          <w:rFonts w:ascii="Arial" w:cs="Arial" w:eastAsia="Arial" w:hAnsi="Arial"/>
          <w:sz w:val="14"/>
          <w:szCs w:val="14"/>
          <w:color w:val="auto"/>
        </w:rPr>
        <w:t>per</w:t>
      </w:r>
    </w:p>
    <w:p>
      <w:pPr>
        <w:spacing w:after="0" w:line="33" w:lineRule="exact"/>
        <w:rPr>
          <w:sz w:val="20"/>
          <w:szCs w:val="20"/>
          <w:color w:val="auto"/>
        </w:rPr>
      </w:pPr>
    </w:p>
    <w:p>
      <w:pPr>
        <w:ind w:left="1220"/>
        <w:spacing w:after="0"/>
        <w:tabs>
          <w:tab w:leader="none" w:pos="6240" w:val="left"/>
        </w:tabs>
        <w:rPr>
          <w:sz w:val="20"/>
          <w:szCs w:val="20"/>
          <w:color w:val="auto"/>
        </w:rPr>
      </w:pPr>
      <w:r>
        <w:rPr>
          <w:rFonts w:ascii="Arial" w:cs="Arial" w:eastAsia="Arial" w:hAnsi="Arial"/>
          <w:sz w:val="14"/>
          <w:szCs w:val="14"/>
          <w:color w:val="auto"/>
        </w:rPr>
        <w:t>share, and dilution to new investors participating in this offering of $</w:t>
      </w:r>
      <w:r>
        <w:rPr>
          <w:sz w:val="20"/>
          <w:szCs w:val="20"/>
          <w:color w:val="auto"/>
        </w:rPr>
        <w:tab/>
      </w:r>
      <w:r>
        <w:rPr>
          <w:rFonts w:ascii="Arial" w:cs="Arial" w:eastAsia="Arial" w:hAnsi="Arial"/>
          <w:sz w:val="14"/>
          <w:szCs w:val="14"/>
          <w:color w:val="auto"/>
        </w:rPr>
        <w:t>per share.</w:t>
      </w:r>
    </w:p>
    <w:p>
      <w:pPr>
        <w:spacing w:after="0" w:line="109" w:lineRule="exact"/>
        <w:rPr>
          <w:sz w:val="20"/>
          <w:szCs w:val="20"/>
          <w:color w:val="auto"/>
        </w:rPr>
      </w:pPr>
    </w:p>
    <w:p>
      <w:pPr>
        <w:ind w:left="1220" w:right="1279"/>
        <w:spacing w:after="0" w:line="289" w:lineRule="auto"/>
        <w:rPr>
          <w:sz w:val="20"/>
          <w:szCs w:val="20"/>
          <w:color w:val="auto"/>
        </w:rPr>
      </w:pPr>
      <w:r>
        <w:rPr>
          <w:rFonts w:ascii="Arial" w:cs="Arial" w:eastAsia="Arial" w:hAnsi="Arial"/>
          <w:sz w:val="14"/>
          <w:szCs w:val="14"/>
          <w:color w:val="auto"/>
        </w:rPr>
        <w:t>The following table summarizes the pro forma as adjusted basis described above, the differences between the number of shares purchased from us, the total consideration paid and the average price per share paid to us by existing stockholders and by investors purchasing shares in this</w:t>
      </w:r>
    </w:p>
    <w:p>
      <w:pPr>
        <w:spacing w:after="0" w:line="1" w:lineRule="exact"/>
        <w:rPr>
          <w:sz w:val="20"/>
          <w:szCs w:val="20"/>
          <w:color w:val="auto"/>
        </w:rPr>
      </w:pPr>
    </w:p>
    <w:p>
      <w:pPr>
        <w:jc w:val="both"/>
        <w:ind w:left="1220" w:right="1259"/>
        <w:spacing w:after="0" w:line="297" w:lineRule="auto"/>
        <w:rPr>
          <w:sz w:val="20"/>
          <w:szCs w:val="20"/>
          <w:color w:val="auto"/>
        </w:rPr>
      </w:pPr>
      <w:r>
        <w:rPr>
          <w:rFonts w:ascii="Arial" w:cs="Arial" w:eastAsia="Arial" w:hAnsi="Arial"/>
          <w:sz w:val="14"/>
          <w:szCs w:val="14"/>
          <w:color w:val="auto"/>
        </w:rPr>
        <w:t>offering at the assumed initial public offering price of $ per share, the midpoint of the price range set forth on the cover page of this prospectus,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59690</wp:posOffset>
            </wp:positionV>
            <wp:extent cx="416560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02"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3"/>
                <w:szCs w:val="13"/>
                <w:b w:val="1"/>
                <w:bCs w:val="1"/>
                <w:color w:val="auto"/>
              </w:rPr>
              <w:t>Shares purchased</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Total consideration</w:t>
            </w:r>
          </w:p>
        </w:tc>
        <w:tc>
          <w:tcPr>
            <w:tcW w:w="6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137"/>
        </w:trPr>
        <w:tc>
          <w:tcPr>
            <w:tcW w:w="2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Average price</w:t>
            </w:r>
          </w:p>
        </w:tc>
      </w:tr>
      <w:tr>
        <w:trPr>
          <w:trHeight w:val="179"/>
        </w:trPr>
        <w:tc>
          <w:tcPr>
            <w:tcW w:w="28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Number</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Percent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Amount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r>
      <w:tr>
        <w:trPr>
          <w:trHeight w:val="17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735"/>
              <w:spacing w:after="0"/>
              <w:rPr>
                <w:sz w:val="20"/>
                <w:szCs w:val="20"/>
                <w:color w:val="auto"/>
              </w:rPr>
            </w:pPr>
            <w:r>
              <w:rPr>
                <w:rFonts w:ascii="Arial" w:cs="Arial" w:eastAsia="Arial" w:hAnsi="Arial"/>
                <w:sz w:val="14"/>
                <w:szCs w:val="14"/>
                <w:color w:val="auto"/>
                <w:w w:val="99"/>
              </w:rPr>
              <w:t>% $</w:t>
            </w:r>
          </w:p>
        </w:tc>
      </w:tr>
      <w:tr>
        <w:trPr>
          <w:trHeight w:val="182"/>
        </w:trPr>
        <w:tc>
          <w:tcPr>
            <w:tcW w:w="3500" w:type="dxa"/>
            <w:vAlign w:val="bottom"/>
            <w:gridSpan w:val="2"/>
          </w:tcPr>
          <w:p>
            <w:pPr>
              <w:spacing w:after="0"/>
              <w:rPr>
                <w:sz w:val="20"/>
                <w:szCs w:val="20"/>
                <w:color w:val="auto"/>
              </w:rPr>
            </w:pPr>
            <w:r>
              <w:rPr>
                <w:rFonts w:ascii="Arial" w:cs="Arial" w:eastAsia="Arial" w:hAnsi="Arial"/>
                <w:sz w:val="14"/>
                <w:szCs w:val="14"/>
                <w:color w:val="auto"/>
              </w:rPr>
              <w:t>New investors</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
        </w:trPr>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64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gridSpan w:val="3"/>
            <w:shd w:val="clear" w:color="auto" w:fill="CCEEFF"/>
          </w:tcPr>
          <w:p>
            <w:pPr>
              <w:jc w:val="right"/>
              <w:ind w:right="875"/>
              <w:spacing w:after="0"/>
              <w:rPr>
                <w:sz w:val="20"/>
                <w:szCs w:val="20"/>
                <w:color w:val="auto"/>
              </w:rPr>
            </w:pPr>
            <w:r>
              <w:rPr>
                <w:rFonts w:ascii="Arial" w:cs="Arial" w:eastAsia="Arial" w:hAnsi="Arial"/>
                <w:sz w:val="14"/>
                <w:szCs w:val="14"/>
                <w:color w:val="auto"/>
              </w:rPr>
              <w:t>100%</w:t>
            </w:r>
          </w:p>
        </w:tc>
      </w:tr>
      <w:tr>
        <w:trPr>
          <w:trHeight w:val="20"/>
        </w:trPr>
        <w:tc>
          <w:tcPr>
            <w:tcW w:w="2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7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If the underwriters exercise in full their option to purchase additional shares in full, our existing</w:t>
      </w:r>
    </w:p>
    <w:p>
      <w:pPr>
        <w:spacing w:after="0" w:line="33" w:lineRule="exact"/>
        <w:rPr>
          <w:sz w:val="20"/>
          <w:szCs w:val="20"/>
          <w:color w:val="auto"/>
        </w:rPr>
      </w:pPr>
    </w:p>
    <w:p>
      <w:pPr>
        <w:ind w:left="1220" w:right="1419"/>
        <w:spacing w:after="0" w:line="306" w:lineRule="auto"/>
        <w:rPr>
          <w:sz w:val="20"/>
          <w:szCs w:val="20"/>
          <w:color w:val="auto"/>
        </w:rPr>
      </w:pPr>
      <w:r>
        <w:rPr>
          <w:rFonts w:ascii="Arial" w:cs="Arial" w:eastAsia="Arial" w:hAnsi="Arial"/>
          <w:sz w:val="14"/>
          <w:szCs w:val="14"/>
          <w:color w:val="auto"/>
        </w:rPr>
        <w:t>stockholders would own % and our new investors would own % of the total number of shares of our common stock outstanding upon the closing of this offering.</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foregoing discussion and tables above (other than the historical net tangible book value</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(deficit) calculation) are based on 110,247,171 shares of common stock outstanding as of</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March 31, 2021 (which includes 4,648,745 shares outstanding that are subject to forfeiture or our</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right to repurchase as of such date), which gives effect to the pro forma transaction described</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above and excludes:</w:t>
      </w:r>
    </w:p>
    <w:p>
      <w:pPr>
        <w:spacing w:after="0" w:line="130" w:lineRule="exact"/>
        <w:rPr>
          <w:sz w:val="20"/>
          <w:szCs w:val="20"/>
          <w:color w:val="auto"/>
        </w:rPr>
      </w:pPr>
    </w:p>
    <w:p>
      <w:pPr>
        <w:ind w:left="1340" w:right="1759" w:hanging="116"/>
        <w:spacing w:after="0" w:line="290" w:lineRule="auto"/>
        <w:tabs>
          <w:tab w:leader="none" w:pos="1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8,603,052 shares of our common stock issuable upon the exercise of stock options as of March 31, 2021, at a weighted-average exercise price of $0.73 per share;</w:t>
      </w:r>
    </w:p>
    <w:p>
      <w:pPr>
        <w:spacing w:after="0" w:line="85" w:lineRule="exact"/>
        <w:rPr>
          <w:rFonts w:ascii="Arial" w:cs="Arial" w:eastAsia="Arial" w:hAnsi="Arial"/>
          <w:sz w:val="14"/>
          <w:szCs w:val="14"/>
          <w:color w:val="auto"/>
        </w:rPr>
      </w:pPr>
    </w:p>
    <w:p>
      <w:pPr>
        <w:ind w:left="1340" w:right="1819" w:hanging="116"/>
        <w:spacing w:after="0" w:line="290" w:lineRule="auto"/>
        <w:tabs>
          <w:tab w:leader="none" w:pos="1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40,540 shares of our common stock issuable upon the exercise of warrants to purchase common stock, at a weighted-average exercise price of $5.55 per share;</w:t>
      </w:r>
    </w:p>
    <w:p>
      <w:pPr>
        <w:spacing w:after="0" w:line="96" w:lineRule="exact"/>
        <w:rPr>
          <w:rFonts w:ascii="Arial" w:cs="Arial" w:eastAsia="Arial" w:hAnsi="Arial"/>
          <w:sz w:val="14"/>
          <w:szCs w:val="14"/>
          <w:color w:val="auto"/>
        </w:rPr>
      </w:pPr>
    </w:p>
    <w:p>
      <w:pPr>
        <w:ind w:left="1340" w:right="1439" w:hanging="116"/>
        <w:spacing w:after="0" w:line="290" w:lineRule="auto"/>
        <w:tabs>
          <w:tab w:leader="none" w:pos="1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6,169,655 shares of our common stock reserved for issuance pursuant to future awards as of March 31, 2021 under the 2018 Plan;</w:t>
      </w:r>
    </w:p>
    <w:p>
      <w:pPr>
        <w:spacing w:after="0" w:line="85" w:lineRule="exact"/>
        <w:rPr>
          <w:rFonts w:ascii="Arial" w:cs="Arial" w:eastAsia="Arial" w:hAnsi="Arial"/>
          <w:sz w:val="14"/>
          <w:szCs w:val="14"/>
          <w:color w:val="auto"/>
        </w:rPr>
      </w:pPr>
    </w:p>
    <w:p>
      <w:pPr>
        <w:jc w:val="both"/>
        <w:ind w:left="1340" w:right="1259" w:hanging="116"/>
        <w:spacing w:after="0" w:line="278" w:lineRule="auto"/>
        <w:tabs>
          <w:tab w:leader="none" w:pos="1841" w:val="left"/>
        </w:tabs>
        <w:numPr>
          <w:ilvl w:val="0"/>
          <w:numId w:val="57"/>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106" w:lineRule="exact"/>
        <w:rPr>
          <w:rFonts w:ascii="Arial" w:cs="Arial" w:eastAsia="Arial" w:hAnsi="Arial"/>
          <w:sz w:val="14"/>
          <w:szCs w:val="14"/>
          <w:color w:val="auto"/>
        </w:rPr>
      </w:pPr>
    </w:p>
    <w:p>
      <w:pPr>
        <w:ind w:left="1340" w:right="1339" w:hanging="116"/>
        <w:spacing w:after="0" w:line="278" w:lineRule="auto"/>
        <w:tabs>
          <w:tab w:leader="none" w:pos="1841" w:val="left"/>
        </w:tabs>
        <w:numPr>
          <w:ilvl w:val="0"/>
          <w:numId w:val="57"/>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ESPP will become effective upon the effectiveness of the Registration Statement of which this prospectus forms a part, as well as any future increases in the number of shares of common stock reserved for issuance under the ESPP.</w:t>
      </w:r>
    </w:p>
    <w:p>
      <w:pPr>
        <w:spacing w:after="0" w:line="53" w:lineRule="exact"/>
        <w:rPr>
          <w:sz w:val="20"/>
          <w:szCs w:val="20"/>
          <w:color w:val="auto"/>
        </w:rPr>
      </w:pPr>
    </w:p>
    <w:p>
      <w:pPr>
        <w:jc w:val="both"/>
        <w:ind w:left="1220" w:right="1339"/>
        <w:spacing w:after="0" w:line="297" w:lineRule="auto"/>
        <w:rPr>
          <w:sz w:val="20"/>
          <w:szCs w:val="20"/>
          <w:color w:val="auto"/>
        </w:rPr>
      </w:pPr>
      <w:r>
        <w:rPr>
          <w:rFonts w:ascii="Arial" w:cs="Arial" w:eastAsia="Arial" w:hAnsi="Arial"/>
          <w:sz w:val="14"/>
          <w:szCs w:val="14"/>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2" w:name="page83"/>
    <w:bookmarkEnd w:id="8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Selected consolidated financial data</w:t>
      </w:r>
    </w:p>
    <w:p>
      <w:pPr>
        <w:spacing w:after="0" w:line="90" w:lineRule="exact"/>
        <w:rPr>
          <w:sz w:val="20"/>
          <w:szCs w:val="20"/>
          <w:color w:val="auto"/>
        </w:rPr>
      </w:pPr>
    </w:p>
    <w:p>
      <w:pPr>
        <w:ind w:left="1220" w:right="1259"/>
        <w:spacing w:after="0" w:line="273"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213360</wp:posOffset>
            </wp:positionV>
            <wp:extent cx="493966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39665" cy="13970"/>
                    </a:xfrm>
                    <a:prstGeom prst="rect">
                      <a:avLst/>
                    </a:prstGeom>
                    <a:noFill/>
                  </pic:spPr>
                </pic:pic>
              </a:graphicData>
            </a:graphic>
          </wp:anchor>
        </w:drawing>
      </w:r>
    </w:p>
    <w:p>
      <w:pPr>
        <w:spacing w:after="0" w:line="355" w:lineRule="exact"/>
        <w:rPr>
          <w:sz w:val="20"/>
          <w:szCs w:val="20"/>
          <w:color w:val="auto"/>
        </w:rPr>
      </w:pPr>
    </w:p>
    <w:tbl>
      <w:tblPr>
        <w:tblLayout w:type="fixed"/>
        <w:tblInd w:w="620" w:type="dxa"/>
        <w:tblCellMar>
          <w:top w:w="0" w:type="dxa"/>
          <w:left w:w="0" w:type="dxa"/>
          <w:bottom w:w="0" w:type="dxa"/>
          <w:right w:w="0" w:type="dxa"/>
        </w:tblCellMar>
      </w:tblP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Successor</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Period from</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Period from</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21, 2019</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(Inception) to</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20" w:type="dxa"/>
            <w:vAlign w:val="bottom"/>
            <w:gridSpan w:val="5"/>
          </w:tcPr>
          <w:p>
            <w:pPr>
              <w:jc w:val="right"/>
              <w:ind w:right="10"/>
              <w:spacing w:after="0"/>
              <w:rPr>
                <w:sz w:val="20"/>
                <w:szCs w:val="20"/>
                <w:color w:val="auto"/>
              </w:rPr>
            </w:pPr>
            <w:r>
              <w:rPr>
                <w:rFonts w:ascii="Arial" w:cs="Arial" w:eastAsia="Arial" w:hAnsi="Arial"/>
                <w:sz w:val="13"/>
                <w:szCs w:val="13"/>
                <w:b w:val="1"/>
                <w:bCs w:val="1"/>
                <w:color w:val="auto"/>
              </w:rPr>
              <w:t>December 31, December 31,</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20,</w:t>
            </w:r>
          </w:p>
        </w:tc>
        <w:tc>
          <w:tcPr>
            <w:tcW w:w="0" w:type="dxa"/>
            <w:vAlign w:val="bottom"/>
          </w:tcPr>
          <w:p>
            <w:pPr>
              <w:spacing w:after="0"/>
              <w:rPr>
                <w:sz w:val="1"/>
                <w:szCs w:val="1"/>
                <w:color w:val="auto"/>
              </w:rPr>
            </w:pPr>
          </w:p>
        </w:tc>
      </w:tr>
      <w:tr>
        <w:trPr>
          <w:trHeight w:val="153"/>
        </w:trPr>
        <w:tc>
          <w:tcPr>
            <w:tcW w:w="3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6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15,374 $</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60" w:type="dxa"/>
            <w:vAlign w:val="bottom"/>
          </w:tcPr>
          <w:p>
            <w:pPr>
              <w:ind w:left="140"/>
              <w:spacing w:after="0" w:line="141"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2,688</w:t>
            </w:r>
          </w:p>
        </w:tc>
        <w:tc>
          <w:tcPr>
            <w:tcW w:w="34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4"/>
                <w:szCs w:val="14"/>
                <w:color w:val="auto"/>
              </w:rPr>
              <w:t>2,050</w:t>
            </w:r>
          </w:p>
        </w:tc>
        <w:tc>
          <w:tcPr>
            <w:tcW w:w="12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9,495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3,622</w:t>
            </w:r>
          </w:p>
        </w:tc>
        <w:tc>
          <w:tcPr>
            <w:tcW w:w="12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2,145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 off of in-process research and</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development asset</w:t>
            </w: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225,946</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260" w:type="dxa"/>
            <w:vAlign w:val="bottom"/>
          </w:tcPr>
          <w:p>
            <w:pPr>
              <w:ind w:left="280"/>
              <w:spacing w:after="0" w:line="132" w:lineRule="exact"/>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Arial" w:cs="Arial" w:eastAsia="Arial" w:hAnsi="Arial"/>
                <w:sz w:val="14"/>
                <w:szCs w:val="14"/>
                <w:color w:val="auto"/>
              </w:rPr>
              <w:t>18,062</w:t>
            </w:r>
          </w:p>
        </w:tc>
        <w:tc>
          <w:tcPr>
            <w:tcW w:w="340" w:type="dxa"/>
            <w:vAlign w:val="bottom"/>
          </w:tcPr>
          <w:p>
            <w:pPr>
              <w:spacing w:after="0"/>
              <w:rPr>
                <w:sz w:val="11"/>
                <w:szCs w:val="11"/>
                <w:color w:val="auto"/>
              </w:rPr>
            </w:pPr>
          </w:p>
        </w:tc>
        <w:tc>
          <w:tcPr>
            <w:tcW w:w="480" w:type="dxa"/>
            <w:vAlign w:val="bottom"/>
          </w:tcPr>
          <w:p>
            <w:pPr>
              <w:jc w:val="right"/>
              <w:spacing w:after="0" w:line="132" w:lineRule="exact"/>
              <w:rPr>
                <w:sz w:val="20"/>
                <w:szCs w:val="20"/>
                <w:color w:val="auto"/>
              </w:rPr>
            </w:pPr>
            <w:r>
              <w:rPr>
                <w:rFonts w:ascii="Arial" w:cs="Arial" w:eastAsia="Arial" w:hAnsi="Arial"/>
                <w:sz w:val="14"/>
                <w:szCs w:val="14"/>
                <w:color w:val="auto"/>
              </w:rPr>
              <w:t>9,993</w:t>
            </w:r>
          </w:p>
        </w:tc>
        <w:tc>
          <w:tcPr>
            <w:tcW w:w="1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Arial" w:cs="Arial" w:eastAsia="Arial" w:hAnsi="Arial"/>
                <w:sz w:val="14"/>
                <w:szCs w:val="14"/>
                <w:color w:val="auto"/>
              </w:rPr>
              <w:t>53,898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Arial" w:cs="Arial" w:eastAsia="Arial" w:hAnsi="Arial"/>
                <w:sz w:val="14"/>
                <w:szCs w:val="14"/>
                <w:color w:val="auto"/>
              </w:rPr>
              <w:t>239,675</w:t>
            </w:r>
          </w:p>
        </w:tc>
        <w:tc>
          <w:tcPr>
            <w:tcW w:w="12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Arial" w:cs="Arial" w:eastAsia="Arial" w:hAnsi="Arial"/>
                <w:sz w:val="14"/>
                <w:szCs w:val="14"/>
                <w:color w:val="auto"/>
              </w:rPr>
              <w:t>6,304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(18,062)</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(9,993)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(239,675)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(314)</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6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Other income, net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28</w:t>
            </w:r>
          </w:p>
        </w:tc>
        <w:tc>
          <w:tcPr>
            <w:tcW w:w="3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320</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704</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908</w:t>
            </w: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line="142" w:lineRule="exact"/>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(18,348)$</w:t>
            </w: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(9,673)$</w:t>
            </w: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(53,575)</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(238,767)$</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Net loss per common share</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260" w:type="dxa"/>
            <w:vAlign w:val="bottom"/>
          </w:tcPr>
          <w:p>
            <w:pPr>
              <w:ind w:left="140"/>
              <w:spacing w:after="0" w:line="151" w:lineRule="exact"/>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tcPr>
          <w:p>
            <w:pPr>
              <w:jc w:val="right"/>
              <w:ind w:right="240"/>
              <w:spacing w:after="0" w:line="151" w:lineRule="exact"/>
              <w:rPr>
                <w:sz w:val="20"/>
                <w:szCs w:val="20"/>
                <w:color w:val="auto"/>
              </w:rPr>
            </w:pPr>
            <w:r>
              <w:rPr>
                <w:rFonts w:ascii="Arial" w:cs="Arial" w:eastAsia="Arial" w:hAnsi="Arial"/>
                <w:sz w:val="14"/>
                <w:szCs w:val="14"/>
                <w:color w:val="auto"/>
              </w:rPr>
              <w:t>(0.95)$</w:t>
            </w:r>
          </w:p>
        </w:tc>
        <w:tc>
          <w:tcPr>
            <w:tcW w:w="6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(0.51)$</w:t>
            </w:r>
          </w:p>
        </w:tc>
        <w:tc>
          <w:tcPr>
            <w:tcW w:w="86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(2.85)</w:t>
            </w: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(12.68)$</w:t>
            </w: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(0.40)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26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Weighted average common shares outstanding</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3260" w:type="dxa"/>
            <w:vAlign w:val="bottom"/>
            <w:tcBorders>
              <w:bottom w:val="single" w:sz="8" w:color="CCEEFF"/>
            </w:tcBorders>
            <w:shd w:val="clear" w:color="auto" w:fill="CCEEFF"/>
          </w:tcPr>
          <w:p>
            <w:pPr>
              <w:ind w:left="140"/>
              <w:spacing w:after="0" w:line="195" w:lineRule="exact"/>
              <w:rPr>
                <w:sz w:val="20"/>
                <w:szCs w:val="20"/>
                <w:color w:val="auto"/>
              </w:rPr>
            </w:pPr>
            <w:r>
              <w:rPr>
                <w:rFonts w:ascii="Arial" w:cs="Arial" w:eastAsia="Arial" w:hAnsi="Arial"/>
                <w:sz w:val="14"/>
                <w:szCs w:val="14"/>
                <w:color w:val="auto"/>
              </w:rPr>
              <w:t>Basic and Diluted</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19,278,887  18,825,136</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15,029,240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line="153" w:lineRule="exact"/>
              <w:rPr>
                <w:sz w:val="20"/>
                <w:szCs w:val="20"/>
                <w:color w:val="auto"/>
              </w:rPr>
            </w:pPr>
            <w:r>
              <w:rPr>
                <w:rFonts w:ascii="Arial" w:cs="Arial" w:eastAsia="Arial" w:hAnsi="Arial"/>
                <w:sz w:val="14"/>
                <w:szCs w:val="14"/>
                <w:color w:val="auto"/>
              </w:rPr>
              <w:t>Pro forma net loss per share attributable to</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260" w:type="dxa"/>
            <w:vAlign w:val="bottom"/>
          </w:tcPr>
          <w:p>
            <w:pPr>
              <w:ind w:left="140"/>
              <w:spacing w:after="0" w:line="151" w:lineRule="exact"/>
              <w:rPr>
                <w:sz w:val="20"/>
                <w:szCs w:val="20"/>
                <w:color w:val="auto"/>
              </w:rPr>
            </w:pPr>
            <w:r>
              <w:rPr>
                <w:rFonts w:ascii="Arial" w:cs="Arial" w:eastAsia="Arial" w:hAnsi="Arial"/>
                <w:sz w:val="14"/>
                <w:szCs w:val="14"/>
                <w:color w:val="auto"/>
              </w:rPr>
              <w:t>common stockholders – basic and diluted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140"/>
              <w:spacing w:after="0" w:line="195" w:lineRule="exact"/>
              <w:rPr>
                <w:sz w:val="20"/>
                <w:szCs w:val="20"/>
                <w:color w:val="auto"/>
              </w:rPr>
            </w:pPr>
            <w:r>
              <w:rPr>
                <w:rFonts w:ascii="Arial" w:cs="Arial" w:eastAsia="Arial" w:hAnsi="Arial"/>
                <w:sz w:val="14"/>
                <w:szCs w:val="14"/>
                <w:color w:val="auto"/>
              </w:rPr>
              <w:t>(unaudited)</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(0.17)</w:t>
            </w:r>
          </w:p>
        </w:tc>
        <w:tc>
          <w:tcPr>
            <w:tcW w:w="4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(0.51)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26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Pro forma weighted-average number of common</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CCEEFF"/>
            </w:tcBorders>
            <w:shd w:val="clear" w:color="auto" w:fill="CCEEFF"/>
          </w:tcPr>
          <w:p>
            <w:pPr>
              <w:ind w:left="140"/>
              <w:spacing w:after="0" w:line="238" w:lineRule="exact"/>
              <w:rPr>
                <w:sz w:val="20"/>
                <w:szCs w:val="20"/>
                <w:color w:val="auto"/>
              </w:rPr>
            </w:pPr>
            <w:r>
              <w:rPr>
                <w:rFonts w:ascii="Arial" w:cs="Arial" w:eastAsia="Arial" w:hAnsi="Arial"/>
                <w:sz w:val="14"/>
                <w:szCs w:val="14"/>
                <w:color w:val="auto"/>
              </w:rPr>
              <w:t>shares – basic and diluted (unaudited)</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105,144,676</w:t>
            </w:r>
          </w:p>
        </w:tc>
        <w:tc>
          <w:tcPr>
            <w:tcW w:w="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104,690,925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220" w:right="1239" w:firstLine="4"/>
        <w:spacing w:after="0" w:line="248" w:lineRule="auto"/>
        <w:tabs>
          <w:tab w:leader="none" w:pos="1393" w:val="left"/>
        </w:tabs>
        <w:numPr>
          <w:ilvl w:val="0"/>
          <w:numId w:val="58"/>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61" w:lineRule="exact"/>
        <w:rPr>
          <w:rFonts w:ascii="Arial" w:cs="Arial" w:eastAsia="Arial" w:hAnsi="Arial"/>
          <w:sz w:val="11"/>
          <w:szCs w:val="11"/>
          <w:color w:val="auto"/>
        </w:rPr>
      </w:pPr>
    </w:p>
    <w:p>
      <w:pPr>
        <w:ind w:left="1220" w:right="1259" w:firstLine="4"/>
        <w:spacing w:after="0" w:line="248" w:lineRule="auto"/>
        <w:tabs>
          <w:tab w:leader="none" w:pos="1393" w:val="left"/>
        </w:tabs>
        <w:numPr>
          <w:ilvl w:val="0"/>
          <w:numId w:val="58"/>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3" w:name="page84"/>
    <w:bookmarkEnd w:id="8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4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4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spacing w:after="0"/>
              <w:rPr>
                <w:sz w:val="20"/>
                <w:szCs w:val="20"/>
                <w:color w:val="auto"/>
              </w:rPr>
            </w:pPr>
            <w:r>
              <w:rPr>
                <w:rFonts w:ascii="Arial" w:cs="Arial" w:eastAsia="Arial" w:hAnsi="Arial"/>
                <w:sz w:val="14"/>
                <w:szCs w:val="14"/>
                <w:color w:val="auto"/>
              </w:rPr>
              <w:t>(292,342)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3"/>
        </w:trPr>
        <w:tc>
          <w:tcPr>
            <w:tcW w:w="33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220" w:right="1339" w:firstLine="4"/>
        <w:spacing w:after="0" w:line="251" w:lineRule="auto"/>
        <w:tabs>
          <w:tab w:leader="none" w:pos="1393" w:val="left"/>
        </w:tabs>
        <w:numPr>
          <w:ilvl w:val="0"/>
          <w:numId w:val="59"/>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4" w:name="page85"/>
    <w:bookmarkEnd w:id="8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1239"/>
        <w:spacing w:after="0" w:line="251" w:lineRule="auto"/>
        <w:rPr>
          <w:sz w:val="20"/>
          <w:szCs w:val="20"/>
          <w:color w:val="auto"/>
        </w:rPr>
      </w:pPr>
      <w:r>
        <w:rPr>
          <w:rFonts w:ascii="Arial" w:cs="Arial" w:eastAsia="Arial" w:hAnsi="Arial"/>
          <w:sz w:val="23"/>
          <w:szCs w:val="23"/>
          <w:b w:val="1"/>
          <w:bCs w:val="1"/>
          <w:color w:val="auto"/>
        </w:rPr>
        <w:t>Management’s discussion and analysis of financial condition and results of operations</w:t>
      </w:r>
    </w:p>
    <w:p>
      <w:pPr>
        <w:spacing w:after="0" w:line="57"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i w:val="1"/>
          <w:iCs w:val="1"/>
          <w:color w:val="auto"/>
        </w:rPr>
        <w:t>You should read the following discussion and analysis of our consolidated financial condition and results of operations together with the section titled “Selected consolidated financial data,” and our audited consolidated financial statements and unaudited condensed consolidated financial statements and the related notes thereto included elsewhere in this prospectus. The year ended December 31, 2020 and the period of June 21, 2019 through December 31, 2019 are referred to herein as Successor. The period of January 1, 2019 through June 20, 2019 is referred to herein as Predecessor.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Overview</w:t>
      </w:r>
    </w:p>
    <w:p>
      <w:pPr>
        <w:spacing w:after="0" w:line="133" w:lineRule="exact"/>
        <w:rPr>
          <w:sz w:val="20"/>
          <w:szCs w:val="20"/>
          <w:color w:val="auto"/>
        </w:rPr>
      </w:pPr>
    </w:p>
    <w:p>
      <w:pPr>
        <w:ind w:left="1220" w:right="1279"/>
        <w:spacing w:after="0" w:line="251"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iPSC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CARs,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0"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We were formed in 2018 as Prior Century. In 2019, in connection with our investment from Bayer, Prior Century contributed substantially all of its operating assets and cash to a newly formed entity,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of Prior Century. The IPR&amp;D asset acquired was Prior Century’s comprehensive allogeneic cell therapy platform.</w:t>
      </w:r>
    </w:p>
    <w:p>
      <w:pPr>
        <w:spacing w:after="0" w:line="268"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Until February 2021, our business was operated through the LLC Entity. In February 2021, in connection with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108" w:lineRule="exact"/>
        <w:rPr>
          <w:sz w:val="20"/>
          <w:szCs w:val="20"/>
          <w:color w:val="auto"/>
        </w:rPr>
      </w:pPr>
    </w:p>
    <w:p>
      <w:pPr>
        <w:ind w:left="1220" w:right="1379"/>
        <w:spacing w:after="0" w:line="261" w:lineRule="auto"/>
        <w:rPr>
          <w:sz w:val="20"/>
          <w:szCs w:val="20"/>
          <w:color w:val="auto"/>
        </w:rPr>
      </w:pPr>
      <w:r>
        <w:rPr>
          <w:rFonts w:ascii="Arial" w:cs="Arial" w:eastAsia="Arial" w:hAnsi="Arial"/>
          <w:sz w:val="14"/>
          <w:szCs w:val="14"/>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5" w:name="page86"/>
    <w:bookmarkEnd w:id="8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approved for sale. Since our inception, we have incurred net losses each year. We had an accumulated deficit of $310.7 million as of March 31,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270" w:lineRule="exact"/>
        <w:rPr>
          <w:sz w:val="20"/>
          <w:szCs w:val="20"/>
          <w:color w:val="auto"/>
        </w:rPr>
      </w:pPr>
    </w:p>
    <w:p>
      <w:pPr>
        <w:ind w:left="1220" w:right="1499"/>
        <w:spacing w:after="0" w:line="257"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ind w:left="1220" w:right="1259"/>
        <w:spacing w:after="0" w:line="257" w:lineRule="auto"/>
        <w:rPr>
          <w:sz w:val="20"/>
          <w:szCs w:val="20"/>
          <w:color w:val="auto"/>
        </w:rPr>
      </w:pPr>
      <w:r>
        <w:rPr>
          <w:rFonts w:ascii="Arial" w:cs="Arial" w:eastAsia="Arial" w:hAnsi="Arial"/>
          <w:sz w:val="14"/>
          <w:szCs w:val="14"/>
          <w:color w:val="auto"/>
        </w:rPr>
        <w:t>$340 million in net proceeds from sales of our equity securities. As of March 31, 2021, we had cash, and cash equivalents of $79.5 million and marketable securities of $166.6 million. Based on our current business plans, we believe that the net proceeds from this offering, together with our existing cash, cash equivalents and marketable securities, will be sufficient for us to fund our</w:t>
      </w:r>
    </w:p>
    <w:p>
      <w:pPr>
        <w:spacing w:after="0" w:line="1" w:lineRule="exact"/>
        <w:rPr>
          <w:sz w:val="20"/>
          <w:szCs w:val="20"/>
          <w:color w:val="auto"/>
        </w:rPr>
      </w:pPr>
    </w:p>
    <w:p>
      <w:pPr>
        <w:jc w:val="both"/>
        <w:ind w:left="1220" w:right="1339"/>
        <w:spacing w:after="0" w:line="265" w:lineRule="auto"/>
        <w:rPr>
          <w:sz w:val="20"/>
          <w:szCs w:val="20"/>
          <w:color w:val="auto"/>
        </w:rPr>
      </w:pPr>
      <w:r>
        <w:rPr>
          <w:rFonts w:ascii="Arial" w:cs="Arial" w:eastAsia="Arial" w:hAnsi="Arial"/>
          <w:sz w:val="14"/>
          <w:szCs w:val="14"/>
          <w:color w:val="auto"/>
        </w:rPr>
        <w:t>operating expenses and capital expenditures requirements for the next months from the date of this filing. We have based this estimate on assumptions that may prove to be wrong, and we could exhaust our available capital resources sooner than we expect.</w:t>
      </w:r>
    </w:p>
    <w:p>
      <w:pPr>
        <w:spacing w:after="0" w:line="103"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We anticipate that our expenses and operating losses will increase substantially over the foreseeable future. The expected increase in expenses will be driven in large part by our ongoing activities, if and as we:</w:t>
      </w:r>
    </w:p>
    <w:p>
      <w:pPr>
        <w:spacing w:after="0" w:line="82" w:lineRule="exact"/>
        <w:rPr>
          <w:sz w:val="20"/>
          <w:szCs w:val="20"/>
          <w:color w:val="auto"/>
        </w:rPr>
      </w:pPr>
    </w:p>
    <w:p>
      <w:pPr>
        <w:ind w:left="1340" w:hanging="116"/>
        <w:spacing w:after="0"/>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continue to advance our iPSC cell therapy platforms;</w:t>
      </w:r>
    </w:p>
    <w:p>
      <w:pPr>
        <w:spacing w:after="0" w:line="108"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continuing preclinical development of, and initiate clinical development of CNTY-101 and our other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establish and validate our own clinical-scale cGMP facilities;</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108" w:lineRule="exact"/>
        <w:rPr>
          <w:rFonts w:ascii="Arial" w:cs="Arial" w:eastAsia="Arial" w:hAnsi="Arial"/>
          <w:sz w:val="14"/>
          <w:szCs w:val="14"/>
          <w:color w:val="auto"/>
        </w:rPr>
      </w:pPr>
    </w:p>
    <w:p>
      <w:pPr>
        <w:ind w:left="1340" w:right="1479" w:hanging="116"/>
        <w:spacing w:after="0" w:line="278" w:lineRule="auto"/>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20" w:lineRule="exact"/>
        <w:rPr>
          <w:sz w:val="20"/>
          <w:szCs w:val="20"/>
          <w:color w:val="auto"/>
        </w:rPr>
      </w:pPr>
    </w:p>
    <w:p>
      <w:pPr>
        <w:ind w:left="1220" w:right="1479"/>
        <w:spacing w:after="0" w:line="261" w:lineRule="auto"/>
        <w:rPr>
          <w:sz w:val="20"/>
          <w:szCs w:val="20"/>
          <w:color w:val="auto"/>
        </w:rPr>
      </w:pPr>
      <w:r>
        <w:rPr>
          <w:rFonts w:ascii="Arial" w:cs="Arial" w:eastAsia="Arial" w:hAnsi="Arial"/>
          <w:sz w:val="14"/>
          <w:szCs w:val="14"/>
          <w:color w:val="auto"/>
        </w:rPr>
        <w:t>We are also investing early in building our capabilities in key areas of manufacturing sciences and operations, including development of our iPSC cell therapy platforms, product characterization, and process analytics from the time candidates are in early research phases. Our investments also include scaled research solutions, scaled infrastructure, and novel technologies intended to improve efficiency, characterization, and scalability of manufacturing.</w:t>
      </w:r>
    </w:p>
    <w:p>
      <w:pPr>
        <w:spacing w:after="0" w:line="10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We anticipate that we will need to raise additional financing in the future to fund our operations, including funding for preclinical studies, clinical trials and the commercialization of any approved product candidates. We intend to use the proceeds from this offering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the net proceeds from this offering,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6" w:name="page87"/>
    <w:bookmarkEnd w:id="8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stay-at-home orders where our operations are located. However, to the extent possible, we are conducting business as usual, with necessary or advisable modifications to employee travel and most of our non-laboratory employees working remotely.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31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License and collaboration agreements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Fujifilm Cellular Dynamics, Inc. (FCDI)</w:t>
      </w:r>
    </w:p>
    <w:p>
      <w:pPr>
        <w:spacing w:after="0" w:line="125"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7,500,000 shares of common stock to FCDI, which were exchanged for 7,500,000 shares of common stock in connection with the Reorganization. Prior Century recorded acquired research and development expense of $75 thousand in 2018 based on the fair market value of Prior Century common stock of $0.01 per share.</w:t>
      </w:r>
    </w:p>
    <w:p>
      <w:pPr>
        <w:spacing w:after="0" w:line="110"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Also on September 18, 2018, we entered into the non-exclusive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the Master Collaboration Agreement with FCDI pursuant to which we agreed to fund research and development work at FCDI pursuant to a research plan, or, as amended, the Collaboration Agreement.</w:t>
      </w:r>
    </w:p>
    <w:p>
      <w:pPr>
        <w:spacing w:after="0" w:line="280" w:lineRule="exact"/>
        <w:rPr>
          <w:sz w:val="20"/>
          <w:szCs w:val="20"/>
          <w:color w:val="auto"/>
        </w:rPr>
      </w:pPr>
    </w:p>
    <w:p>
      <w:pPr>
        <w:ind w:left="1220" w:right="1539"/>
        <w:spacing w:after="0" w:line="260" w:lineRule="auto"/>
        <w:rPr>
          <w:sz w:val="20"/>
          <w:szCs w:val="20"/>
          <w:color w:val="auto"/>
        </w:rPr>
      </w:pPr>
      <w:r>
        <w:rPr>
          <w:rFonts w:ascii="Arial" w:cs="Arial" w:eastAsia="Arial" w:hAnsi="Arial"/>
          <w:sz w:val="14"/>
          <w:szCs w:val="14"/>
          <w:color w:val="auto"/>
        </w:rPr>
        <w:t>On October 21, 2019, we entered into the Collaboration Agreement with FCDI, whereby FCDI provides certain services to us to develop and manufacture iPSCs and immune cells derived therefrom. Under the terms of the Collaboration Agreement, as amended, FCDI will provide services in accordance with the approved research plan and related research budget. The research plan covers the period from the date of execution of the Collaboration Agreement through March 31, 2022, with the related research budget of approximately $30.4 million.</w:t>
      </w:r>
    </w:p>
    <w:p>
      <w:pPr>
        <w:spacing w:after="0" w:line="97"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During the period ended March 31, 2021, under the terms of the Reprogramming License and the Collaboration Agreement, the Company made payments of $3.2 million and incurred research and development expenses of $2.8 million and legal fees of $21 thousand recorded within general and administrative expenses within its consolidated statements of operations. As of March 31, 2021, there were $1.4 million of payables recorded within accounts payable on the consolidated balance sheets related to the Collaboration Agreement.</w:t>
      </w:r>
    </w:p>
    <w:p>
      <w:pPr>
        <w:spacing w:after="0" w:line="108"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During the Successor period ended December 31, 2020, under the terms of the Reprogramming License and the Collaboration Agreement, the Company made payments of $5.3 million and incurred research and development expenses of $9.0 million and legal fees of $52 thousand recorded within general and administrative expenses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7" w:name="page88"/>
    <w:bookmarkEnd w:id="8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within its consolidated statements of operations. As of December 31, 2020, there were</w:t>
      </w:r>
    </w:p>
    <w:p>
      <w:pPr>
        <w:spacing w:after="0" w:line="22"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$1.8 million of payables recorded within accounts payable on the consolidated balance sheets related to the Collaboration Agreement.</w:t>
      </w:r>
    </w:p>
    <w:p>
      <w:pPr>
        <w:spacing w:after="0" w:line="8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During the Successor period June 21, 2019 through December 31, 2019, under the terms of the Reprogramming License and the Collaboration Agreement, we made payments of $4.8 million, of which $2.1 million is classified in prepaid expenses and other current assets as of December 31, 2019. During the Successor period June 21, 2019 through December 31, 2019, under the terms of the Reprogramming License and the Collaboration Agreement, we incurred research and development operating expenses of $3.1 million and legal fees of $0.1 million recorded within general and administrative expenses.</w:t>
      </w:r>
    </w:p>
    <w:p>
      <w:pPr>
        <w:spacing w:after="0" w:line="107" w:lineRule="exact"/>
        <w:rPr>
          <w:sz w:val="20"/>
          <w:szCs w:val="20"/>
          <w:color w:val="auto"/>
        </w:rPr>
      </w:pPr>
    </w:p>
    <w:p>
      <w:pPr>
        <w:ind w:left="1220" w:right="1479"/>
        <w:spacing w:after="0" w:line="278" w:lineRule="auto"/>
        <w:rPr>
          <w:sz w:val="20"/>
          <w:szCs w:val="20"/>
          <w:color w:val="auto"/>
        </w:rPr>
      </w:pPr>
      <w:r>
        <w:rPr>
          <w:rFonts w:ascii="Arial" w:cs="Arial" w:eastAsia="Arial" w:hAnsi="Arial"/>
          <w:sz w:val="14"/>
          <w:szCs w:val="14"/>
          <w:color w:val="auto"/>
        </w:rPr>
        <w:t>During the Predecessor period January 1, 2019 through June 20, 2019, under the terms of the Reprogramming License and the Collaboration Agreement, we incurred research and development operating expenses of $1.6 million. There were no payments made during the Predecessor period January 1, 2019 through June 20, 2019.</w:t>
      </w:r>
    </w:p>
    <w:p>
      <w:pPr>
        <w:spacing w:after="0" w:line="106" w:lineRule="exact"/>
        <w:rPr>
          <w:sz w:val="20"/>
          <w:szCs w:val="20"/>
          <w:color w:val="auto"/>
        </w:rPr>
      </w:pPr>
    </w:p>
    <w:p>
      <w:pPr>
        <w:ind w:left="1220" w:right="2079"/>
        <w:spacing w:after="0" w:line="290" w:lineRule="auto"/>
        <w:rPr>
          <w:sz w:val="20"/>
          <w:szCs w:val="20"/>
          <w:color w:val="auto"/>
        </w:rPr>
      </w:pPr>
      <w:r>
        <w:rPr>
          <w:rFonts w:ascii="Arial" w:cs="Arial" w:eastAsia="Arial" w:hAnsi="Arial"/>
          <w:sz w:val="14"/>
          <w:szCs w:val="14"/>
          <w:color w:val="auto"/>
        </w:rPr>
        <w:t>As of March 31, 2021, we incurred $17.1 million of the $30.4 million budget under the Collaboration Agreement.</w:t>
      </w:r>
    </w:p>
    <w:p>
      <w:pPr>
        <w:spacing w:after="0" w:line="86" w:lineRule="exact"/>
        <w:rPr>
          <w:sz w:val="20"/>
          <w:szCs w:val="20"/>
          <w:color w:val="auto"/>
        </w:rPr>
      </w:pPr>
    </w:p>
    <w:p>
      <w:pPr>
        <w:jc w:val="both"/>
        <w:ind w:left="1220" w:right="1799"/>
        <w:spacing w:after="0" w:line="281" w:lineRule="auto"/>
        <w:rPr>
          <w:sz w:val="20"/>
          <w:szCs w:val="20"/>
          <w:color w:val="auto"/>
        </w:rPr>
      </w:pPr>
      <w:r>
        <w:rPr>
          <w:rFonts w:ascii="Arial" w:cs="Arial" w:eastAsia="Arial" w:hAnsi="Arial"/>
          <w:sz w:val="14"/>
          <w:szCs w:val="14"/>
          <w:color w:val="auto"/>
        </w:rPr>
        <w:t>We also have entered into a sublicense agreement with iCELL Inc. and a master services agreement with Distributed Bio, Inc. See Note 11 to our consolidated financial statements included elsewhere in this prospectus.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Empirica acquisition</w:t>
      </w:r>
    </w:p>
    <w:p>
      <w:pPr>
        <w:spacing w:after="0" w:line="144"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0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The transaction was accounted for as an asset acquisition of IPR&amp;D. Total consideration in the acquisition was $4.7 million, consisting of cash consideration of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The Escrow Deposit is recognized as an asset and the promissory note is post-acquisition compensation expense, which will be accrued over the term of the promissory note. We recorded $0.4 million and $0.3 million compensation in research and development expense for the three months ended March 31, 2021 and the year ended December 31, 2020, respectively. For further details regarding this acquisition, see Note 4 to our audited consolidated financial statements included elsewhere in this prospectus.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Components of operating results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Research and development</w:t>
      </w:r>
    </w:p>
    <w:p>
      <w:pPr>
        <w:spacing w:after="0" w:line="134"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07" w:lineRule="exact"/>
        <w:rPr>
          <w:sz w:val="20"/>
          <w:szCs w:val="20"/>
          <w:color w:val="auto"/>
        </w:rPr>
      </w:pPr>
    </w:p>
    <w:p>
      <w:pPr>
        <w:ind w:left="1220" w:right="1359"/>
        <w:spacing w:after="0" w:line="277" w:lineRule="auto"/>
        <w:rPr>
          <w:sz w:val="20"/>
          <w:szCs w:val="20"/>
          <w:color w:val="auto"/>
        </w:rPr>
      </w:pPr>
      <w:r>
        <w:rPr>
          <w:rFonts w:ascii="Arial" w:cs="Arial" w:eastAsia="Arial" w:hAnsi="Arial"/>
          <w:sz w:val="14"/>
          <w:szCs w:val="14"/>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8" w:name="page89"/>
    <w:bookmarkEnd w:id="8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98"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2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General and administrative</w:t>
      </w:r>
    </w:p>
    <w:p>
      <w:pPr>
        <w:spacing w:after="0" w:line="144" w:lineRule="exact"/>
        <w:rPr>
          <w:sz w:val="20"/>
          <w:szCs w:val="20"/>
          <w:color w:val="auto"/>
        </w:rPr>
      </w:pPr>
    </w:p>
    <w:p>
      <w:pPr>
        <w:ind w:left="1220" w:right="1259"/>
        <w:spacing w:after="0" w:line="293" w:lineRule="auto"/>
        <w:rPr>
          <w:sz w:val="20"/>
          <w:szCs w:val="20"/>
          <w:color w:val="auto"/>
        </w:rPr>
      </w:pPr>
      <w:r>
        <w:rPr>
          <w:rFonts w:ascii="Arial" w:cs="Arial" w:eastAsia="Arial" w:hAnsi="Arial"/>
          <w:sz w:val="14"/>
          <w:szCs w:val="14"/>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07" w:lineRule="exact"/>
        <w:rPr>
          <w:sz w:val="20"/>
          <w:szCs w:val="20"/>
          <w:color w:val="auto"/>
        </w:rPr>
      </w:pPr>
    </w:p>
    <w:p>
      <w:pPr>
        <w:ind w:left="1220" w:right="1339"/>
        <w:spacing w:after="0" w:line="295" w:lineRule="auto"/>
        <w:rPr>
          <w:sz w:val="20"/>
          <w:szCs w:val="20"/>
          <w:color w:val="auto"/>
        </w:rPr>
      </w:pPr>
      <w:r>
        <w:rPr>
          <w:rFonts w:ascii="Arial" w:cs="Arial" w:eastAsia="Arial" w:hAnsi="Arial"/>
          <w:sz w:val="14"/>
          <w:szCs w:val="14"/>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Write-off of in-process research and development</w:t>
      </w:r>
    </w:p>
    <w:p>
      <w:pPr>
        <w:spacing w:after="0" w:line="134" w:lineRule="exact"/>
        <w:rPr>
          <w:sz w:val="20"/>
          <w:szCs w:val="20"/>
          <w:color w:val="auto"/>
        </w:rPr>
      </w:pPr>
    </w:p>
    <w:p>
      <w:pPr>
        <w:jc w:val="both"/>
        <w:ind w:left="1220" w:right="1299"/>
        <w:spacing w:after="0" w:line="297" w:lineRule="auto"/>
        <w:rPr>
          <w:sz w:val="20"/>
          <w:szCs w:val="20"/>
          <w:color w:val="auto"/>
        </w:rPr>
      </w:pPr>
      <w:r>
        <w:rPr>
          <w:rFonts w:ascii="Arial" w:cs="Arial" w:eastAsia="Arial" w:hAnsi="Arial"/>
          <w:sz w:val="14"/>
          <w:szCs w:val="14"/>
          <w:color w:val="auto"/>
        </w:rPr>
        <w:t>Acquired in-process research and development assets are charged to expense at the acquisition date. In-process research and development charges in 2020 and 2019 relate to the acquisition of Prior Century’s and Empirica’s assets, respectively.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6" w:lineRule="exact"/>
        <w:rPr>
          <w:sz w:val="20"/>
          <w:szCs w:val="20"/>
          <w:color w:val="auto"/>
        </w:rPr>
      </w:pPr>
    </w:p>
    <w:p>
      <w:pPr>
        <w:ind w:left="1220" w:right="1319"/>
        <w:spacing w:after="0" w:line="295" w:lineRule="auto"/>
        <w:rPr>
          <w:sz w:val="20"/>
          <w:szCs w:val="20"/>
          <w:color w:val="auto"/>
        </w:rPr>
      </w:pPr>
      <w:r>
        <w:rPr>
          <w:rFonts w:ascii="Arial" w:cs="Arial" w:eastAsia="Arial" w:hAnsi="Arial"/>
          <w:sz w:val="14"/>
          <w:szCs w:val="14"/>
          <w:color w:val="auto"/>
        </w:rPr>
        <w:t>Interest expense relates to interest incurred on the Loan Agreement we entered into with Hercules in September 2020, as well as amortization of the related deferred financing cost (see Note 9 to our audited consolidated financial statements included elsewhere in this prospectus for additional information).</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6" w:lineRule="exact"/>
        <w:rPr>
          <w:sz w:val="20"/>
          <w:szCs w:val="20"/>
          <w:color w:val="auto"/>
        </w:rPr>
      </w:pPr>
    </w:p>
    <w:p>
      <w:pPr>
        <w:ind w:left="1220" w:right="1519"/>
        <w:spacing w:after="0" w:line="290" w:lineRule="auto"/>
        <w:rPr>
          <w:sz w:val="20"/>
          <w:szCs w:val="20"/>
          <w:color w:val="auto"/>
        </w:rPr>
      </w:pPr>
      <w:r>
        <w:rPr>
          <w:rFonts w:ascii="Arial" w:cs="Arial" w:eastAsia="Arial" w:hAnsi="Arial"/>
          <w:sz w:val="14"/>
          <w:szCs w:val="14"/>
          <w:color w:val="auto"/>
        </w:rPr>
        <w:t>Interest income, net consists of interest earned on our cash, cash equivalents and investment balance.</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Therefore, no provisions or benefit for income taxes is necessary in the accompanying consolidated financial statements.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9" w:name="page90"/>
    <w:bookmarkEnd w:id="8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Results of operations</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Comparison of the three months ended March 31, 2021 and 2020</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our results of operations for the periods presented:</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Three months ended</w:t>
            </w:r>
          </w:p>
        </w:tc>
        <w:tc>
          <w:tcPr>
            <w:tcW w:w="152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March 31, 2021</w:t>
            </w:r>
          </w:p>
        </w:tc>
        <w:tc>
          <w:tcPr>
            <w:tcW w:w="15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March 31, 2020</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3"/>
        </w:trPr>
        <w:tc>
          <w:tcPr>
            <w:tcW w:w="2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15,374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7,943</w:t>
            </w:r>
          </w:p>
        </w:tc>
        <w:tc>
          <w:tcPr>
            <w:tcW w:w="540" w:type="dxa"/>
            <w:vAlign w:val="bottom"/>
          </w:tcPr>
          <w:p>
            <w:pPr>
              <w:jc w:val="right"/>
              <w:spacing w:after="0"/>
              <w:rPr>
                <w:sz w:val="20"/>
                <w:szCs w:val="20"/>
                <w:color w:val="auto"/>
              </w:rPr>
            </w:pPr>
            <w:r>
              <w:rPr>
                <w:rFonts w:ascii="Arial" w:cs="Arial" w:eastAsia="Arial" w:hAnsi="Arial"/>
                <w:sz w:val="14"/>
                <w:szCs w:val="14"/>
                <w:color w:val="auto"/>
              </w:rPr>
              <w:t>$ 7,431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2,688</w:t>
            </w: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operating expenses</w:t>
            </w: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18,062</w:t>
            </w: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Interest expense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4"/>
                <w:szCs w:val="14"/>
                <w:color w:val="auto"/>
              </w:rPr>
              <w:t>(314)</w:t>
            </w:r>
          </w:p>
        </w:tc>
        <w:tc>
          <w:tcPr>
            <w:tcW w:w="960" w:type="dxa"/>
            <w:vAlign w:val="bottom"/>
          </w:tcPr>
          <w:p>
            <w:pPr>
              <w:spacing w:after="0"/>
              <w:rPr>
                <w:sz w:val="11"/>
                <w:szCs w:val="11"/>
                <w:color w:val="auto"/>
              </w:rPr>
            </w:pPr>
          </w:p>
        </w:tc>
        <w:tc>
          <w:tcPr>
            <w:tcW w:w="560" w:type="dxa"/>
            <w:vAlign w:val="bottom"/>
          </w:tcPr>
          <w:p>
            <w:pPr>
              <w:jc w:val="right"/>
              <w:ind w:right="28"/>
              <w:spacing w:after="0" w:line="136"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6" w:lineRule="exact"/>
              <w:rPr>
                <w:sz w:val="20"/>
                <w:szCs w:val="20"/>
                <w:color w:val="auto"/>
              </w:rPr>
            </w:pPr>
            <w:r>
              <w:rPr>
                <w:rFonts w:ascii="Arial" w:cs="Arial" w:eastAsia="Arial" w:hAnsi="Arial"/>
                <w:sz w:val="14"/>
                <w:szCs w:val="14"/>
                <w:color w:val="auto"/>
              </w:rPr>
              <w:t>(314)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(18,348)</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540" w:type="dxa"/>
            <w:vAlign w:val="bottom"/>
          </w:tcPr>
          <w:p>
            <w:pPr>
              <w:jc w:val="right"/>
              <w:spacing w:after="0"/>
              <w:rPr>
                <w:sz w:val="20"/>
                <w:szCs w:val="20"/>
                <w:color w:val="auto"/>
              </w:rPr>
            </w:pPr>
            <w:r>
              <w:rPr>
                <w:rFonts w:ascii="Arial" w:cs="Arial" w:eastAsia="Arial" w:hAnsi="Arial"/>
                <w:sz w:val="14"/>
                <w:szCs w:val="14"/>
                <w:color w:val="auto"/>
                <w:w w:val="99"/>
              </w:rPr>
              <w:t>$(8,675)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-561340</wp:posOffset>
            </wp:positionV>
            <wp:extent cx="188404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84045" cy="6985"/>
                    </a:xfrm>
                    <a:prstGeom prst="rect">
                      <a:avLst/>
                    </a:prstGeom>
                    <a:noFill/>
                  </pic:spPr>
                </pic:pic>
              </a:graphicData>
            </a:graphic>
          </wp:anchor>
        </w:drawing>
      </w:r>
    </w:p>
    <w:p>
      <w:pPr>
        <w:spacing w:after="0" w:line="1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5" w:lineRule="exact"/>
        <w:rPr>
          <w:sz w:val="20"/>
          <w:szCs w:val="20"/>
          <w:color w:val="auto"/>
        </w:rPr>
      </w:pPr>
    </w:p>
    <w:p>
      <w:pPr>
        <w:ind w:left="1220" w:right="1379"/>
        <w:spacing w:after="0" w:line="274"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0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3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r>
      <w:tr>
        <w:trPr>
          <w:trHeight w:val="179"/>
        </w:trPr>
        <w:tc>
          <w:tcPr>
            <w:tcW w:w="3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3"/>
                <w:szCs w:val="13"/>
                <w:b w:val="1"/>
                <w:bCs w:val="1"/>
                <w:color w:val="auto"/>
              </w:rPr>
              <w:t>March 31, 2020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r>
      <w:tr>
        <w:trPr>
          <w:trHeight w:val="17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980" w:type="dxa"/>
            <w:vAlign w:val="bottom"/>
            <w:tcBorders>
              <w:bottom w:val="single" w:sz="8" w:color="CCEEFF"/>
            </w:tcBorders>
            <w:shd w:val="clear" w:color="auto" w:fill="CCEEFF"/>
          </w:tcPr>
          <w:p>
            <w:pPr>
              <w:jc w:val="center"/>
              <w:ind w:left="7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$ 2,201</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Facility and other allocated costs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2,075</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668</w:t>
            </w:r>
          </w:p>
        </w:tc>
        <w:tc>
          <w:tcPr>
            <w:tcW w:w="540" w:type="dxa"/>
            <w:vAlign w:val="bottom"/>
          </w:tcPr>
          <w:p>
            <w:pPr>
              <w:jc w:val="right"/>
              <w:spacing w:after="0"/>
              <w:rPr>
                <w:sz w:val="20"/>
                <w:szCs w:val="20"/>
                <w:color w:val="auto"/>
              </w:rPr>
            </w:pPr>
            <w:r>
              <w:rPr>
                <w:rFonts w:ascii="Arial" w:cs="Arial" w:eastAsia="Arial" w:hAnsi="Arial"/>
                <w:sz w:val="14"/>
                <w:szCs w:val="14"/>
                <w:color w:val="auto"/>
              </w:rPr>
              <w:t>1,407</w:t>
            </w:r>
          </w:p>
        </w:tc>
      </w:tr>
      <w:tr>
        <w:trPr>
          <w:trHeight w:val="23"/>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5"/>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Collaborations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2,906</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2,877</w:t>
            </w: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3"/>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5"/>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Consulting</w:t>
            </w: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8"/>
        </w:trPr>
        <w:tc>
          <w:tcPr>
            <w:tcW w:w="3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r>
      <w:tr>
        <w:trPr>
          <w:trHeight w:val="227"/>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research and development expense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15,374</w:t>
            </w:r>
          </w:p>
        </w:tc>
        <w:tc>
          <w:tcPr>
            <w:tcW w:w="980" w:type="dxa"/>
            <w:vAlign w:val="bottom"/>
            <w:tcBorders>
              <w:bottom w:val="single" w:sz="8" w:color="CCEEFF"/>
            </w:tcBorders>
            <w:shd w:val="clear" w:color="auto" w:fill="CCEEFF"/>
          </w:tcPr>
          <w:p>
            <w:pPr>
              <w:jc w:val="center"/>
              <w:ind w:left="7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$ 7,431</w:t>
            </w: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19799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79930" cy="6985"/>
                    </a:xfrm>
                    <a:prstGeom prst="rect">
                      <a:avLst/>
                    </a:prstGeom>
                    <a:noFill/>
                  </pic:spPr>
                </pic:pic>
              </a:graphicData>
            </a:graphic>
          </wp:anchor>
        </w:drawing>
      </w:r>
    </w:p>
    <w:p>
      <w:pPr>
        <w:spacing w:after="0" w:line="87" w:lineRule="exact"/>
        <w:rPr>
          <w:sz w:val="20"/>
          <w:szCs w:val="20"/>
          <w:color w:val="auto"/>
        </w:rPr>
      </w:pPr>
    </w:p>
    <w:p>
      <w:pPr>
        <w:jc w:val="both"/>
        <w:ind w:left="1220" w:right="1419"/>
        <w:spacing w:after="0" w:line="265" w:lineRule="auto"/>
        <w:rPr>
          <w:sz w:val="20"/>
          <w:szCs w:val="20"/>
          <w:color w:val="auto"/>
        </w:rPr>
      </w:pPr>
      <w:r>
        <w:rPr>
          <w:rFonts w:ascii="Arial" w:cs="Arial" w:eastAsia="Arial" w:hAnsi="Arial"/>
          <w:sz w:val="14"/>
          <w:szCs w:val="14"/>
          <w:color w:val="auto"/>
        </w:rPr>
        <w:t>Research and development expenses were $15.4 million for the three months ended March 31, 2021 and $7.9 million for the three months ended March 31, 2020. The increase of $7.4 million was primarily due to:</w:t>
      </w:r>
    </w:p>
    <w:p>
      <w:pPr>
        <w:spacing w:after="0" w:line="82" w:lineRule="exact"/>
        <w:rPr>
          <w:sz w:val="20"/>
          <w:szCs w:val="20"/>
          <w:color w:val="auto"/>
        </w:rPr>
      </w:pPr>
    </w:p>
    <w:p>
      <w:pPr>
        <w:ind w:left="1340" w:right="1259" w:hanging="116"/>
        <w:spacing w:after="0" w:line="290" w:lineRule="auto"/>
        <w:tabs>
          <w:tab w:leader="none" w:pos="1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increase in personnel-related expenses of $2.2 million, which was primarily attributable to an increase in headcount to expand our research and development capabilities;</w:t>
      </w:r>
    </w:p>
    <w:p>
      <w:pPr>
        <w:spacing w:after="0" w:line="42"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increase of $1.4 million of facility and other allocated costs, including rent and allocated overhead costs as a result of an expansion of our geographic footprint for office and lab space;</w:t>
      </w:r>
    </w:p>
    <w:p>
      <w:pPr>
        <w:spacing w:after="0" w:line="42"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increase of $2.6 million in research and laboratory costs, including laboratory supplies, preclinical studies, and other external research expenses;</w:t>
      </w:r>
    </w:p>
    <w:p>
      <w:pPr>
        <w:spacing w:after="0" w:line="53"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increase of $0.6 million of consulting costs primarily for temporary personnel to assist in the expansion of our research and development capabilities; and</w:t>
      </w:r>
    </w:p>
    <w:p>
      <w:pPr>
        <w:spacing w:after="0" w:line="42" w:lineRule="exact"/>
        <w:rPr>
          <w:rFonts w:ascii="Arial" w:cs="Arial" w:eastAsia="Arial" w:hAnsi="Arial"/>
          <w:sz w:val="14"/>
          <w:szCs w:val="14"/>
          <w:color w:val="auto"/>
        </w:rPr>
      </w:pPr>
    </w:p>
    <w:p>
      <w:pPr>
        <w:ind w:left="1340" w:hanging="116"/>
        <w:spacing w:after="0"/>
        <w:tabs>
          <w:tab w:leader="none" w:pos="1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 increase of $0.5 million of other expenses.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5"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General and administrative expenses were $2.7 million for the three months ended March 31, 2021 and $2.1 million for three months ended March 31, 2020. The increase of $0.6 million was primarily due to increased personnel-related expenses of $0.4 million primarily attributable to an increase in headcount to build our infrastructure, and increased consulting and legal fees of $0.2 million.</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0" w:name="page91"/>
    <w:bookmarkEnd w:id="9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6" w:lineRule="exact"/>
        <w:rPr>
          <w:sz w:val="20"/>
          <w:szCs w:val="20"/>
          <w:color w:val="auto"/>
        </w:rPr>
      </w:pPr>
    </w:p>
    <w:p>
      <w:pPr>
        <w:ind w:left="1220" w:right="1439"/>
        <w:spacing w:after="0" w:line="290" w:lineRule="auto"/>
        <w:rPr>
          <w:sz w:val="20"/>
          <w:szCs w:val="20"/>
          <w:color w:val="auto"/>
        </w:rPr>
      </w:pPr>
      <w:r>
        <w:rPr>
          <w:rFonts w:ascii="Arial" w:cs="Arial" w:eastAsia="Arial" w:hAnsi="Arial"/>
          <w:sz w:val="14"/>
          <w:szCs w:val="14"/>
          <w:color w:val="auto"/>
        </w:rPr>
        <w:t>Interest expense was $0.3 million for the three months ended March 31, 2021, which related to our Loan Agreement with Hercules.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6"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Interest income was $28 thousand for the three months ended March 31, 2021 and $0.3 million for the three months ended March 31, 2020, which included interest earned on our cash, cash equivalents, and short-term and long-term investment balances.</w:t>
      </w:r>
    </w:p>
    <w:p>
      <w:pPr>
        <w:spacing w:after="0" w:line="122" w:lineRule="exact"/>
        <w:rPr>
          <w:sz w:val="20"/>
          <w:szCs w:val="20"/>
          <w:color w:val="auto"/>
        </w:rPr>
      </w:pPr>
    </w:p>
    <w:p>
      <w:pPr>
        <w:jc w:val="both"/>
        <w:ind w:left="1220" w:right="1279"/>
        <w:spacing w:after="0" w:line="243" w:lineRule="auto"/>
        <w:rPr>
          <w:sz w:val="20"/>
          <w:szCs w:val="20"/>
          <w:color w:val="auto"/>
        </w:rPr>
      </w:pPr>
      <w:r>
        <w:rPr>
          <w:rFonts w:ascii="Arial" w:cs="Arial" w:eastAsia="Arial" w:hAnsi="Arial"/>
          <w:sz w:val="14"/>
          <w:szCs w:val="14"/>
          <w:i w:val="1"/>
          <w:iCs w:val="1"/>
          <w:color w:val="auto"/>
        </w:rPr>
        <w:t>Comparison of the Year Ended December 31, 2020 (Successor) to the period from June 21, 2019 through December 31, 2019 (Successor), and the Period from January 1, 2019 through June 20, 2019 (Predecessor)</w:t>
      </w:r>
    </w:p>
    <w:p>
      <w:pPr>
        <w:spacing w:after="0" w:line="118"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The following table summarizes our results of operations for the periods presented. The change in the results of operations is reflective of the (Successor) for the year ended December 31, 2020 compared to combined periods of both (Successor) June 21, 2019 to December 31, 2019 and (Predecessor) January 1, 2019 to June 20, 2019:</w:t>
      </w:r>
    </w:p>
    <w:p>
      <w:pPr>
        <w:spacing w:after="0" w:line="10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Successor</w:t>
            </w:r>
          </w:p>
        </w:tc>
        <w:tc>
          <w:tcPr>
            <w:tcW w:w="102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period from</w:t>
            </w:r>
          </w:p>
        </w:tc>
        <w:tc>
          <w:tcPr>
            <w:tcW w:w="10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Successor</w:t>
            </w:r>
          </w:p>
        </w:tc>
        <w:tc>
          <w:tcPr>
            <w:tcW w:w="13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June 21, 2019</w:t>
            </w:r>
          </w:p>
        </w:tc>
        <w:tc>
          <w:tcPr>
            <w:tcW w:w="10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January 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year ended</w:t>
            </w:r>
          </w:p>
        </w:tc>
        <w:tc>
          <w:tcPr>
            <w:tcW w:w="13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(Inception) to</w:t>
            </w:r>
          </w:p>
        </w:tc>
        <w:tc>
          <w:tcPr>
            <w:tcW w:w="10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2019 to</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22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 2020</w:t>
            </w:r>
          </w:p>
        </w:tc>
        <w:tc>
          <w:tcPr>
            <w:tcW w:w="132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December 31, 2019</w:t>
            </w:r>
          </w:p>
        </w:tc>
        <w:tc>
          <w:tcPr>
            <w:tcW w:w="10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June 20, 2019</w:t>
            </w: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r>
      <w:tr>
        <w:trPr>
          <w:trHeight w:val="173"/>
        </w:trPr>
        <w:tc>
          <w:tcPr>
            <w:tcW w:w="22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center"/>
              <w:ind w:left="51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39,681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10,107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4,159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25,415</w:t>
            </w:r>
          </w:p>
        </w:tc>
        <w:tc>
          <w:tcPr>
            <w:tcW w:w="60" w:type="dxa"/>
            <w:vAlign w:val="bottom"/>
          </w:tcPr>
          <w:p>
            <w:pPr>
              <w:spacing w:after="0"/>
              <w:rPr>
                <w:sz w:val="15"/>
                <w:szCs w:val="15"/>
                <w:color w:val="auto"/>
              </w:rPr>
            </w:pPr>
          </w:p>
        </w:tc>
      </w:tr>
      <w:tr>
        <w:trPr>
          <w:trHeight w:val="23"/>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2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9,495</w:t>
            </w:r>
          </w:p>
        </w:tc>
        <w:tc>
          <w:tcPr>
            <w:tcW w:w="6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3,622</w:t>
            </w:r>
          </w:p>
        </w:tc>
        <w:tc>
          <w:tcPr>
            <w:tcW w:w="4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2,145</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60" w:type="dxa"/>
            <w:vAlign w:val="bottom"/>
          </w:tcPr>
          <w:p>
            <w:pPr>
              <w:spacing w:after="0"/>
              <w:rPr>
                <w:sz w:val="16"/>
                <w:szCs w:val="16"/>
                <w:color w:val="auto"/>
              </w:rPr>
            </w:pPr>
          </w:p>
        </w:tc>
      </w:tr>
      <w:tr>
        <w:trPr>
          <w:trHeight w:val="172"/>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Write off of in-process</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asset</w:t>
            </w:r>
          </w:p>
        </w:tc>
        <w:tc>
          <w:tcPr>
            <w:tcW w:w="74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4,722</w:t>
            </w:r>
          </w:p>
        </w:tc>
        <w:tc>
          <w:tcPr>
            <w:tcW w:w="6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225,946</w:t>
            </w:r>
          </w:p>
        </w:tc>
        <w:tc>
          <w:tcPr>
            <w:tcW w:w="48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(221,224)</w:t>
            </w:r>
          </w:p>
        </w:tc>
      </w:tr>
      <w:tr>
        <w:trPr>
          <w:trHeight w:val="23"/>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69"/>
        </w:trPr>
        <w:tc>
          <w:tcPr>
            <w:tcW w:w="21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operating expenses</w:t>
            </w: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53,898</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239,675</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6,304</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(192,081)</w:t>
            </w:r>
          </w:p>
        </w:tc>
        <w:tc>
          <w:tcPr>
            <w:tcW w:w="60" w:type="dxa"/>
            <w:vAlign w:val="bottom"/>
          </w:tcPr>
          <w:p>
            <w:pPr>
              <w:spacing w:after="0"/>
              <w:rPr>
                <w:sz w:val="14"/>
                <w:szCs w:val="14"/>
                <w:color w:val="auto"/>
              </w:rPr>
            </w:pPr>
          </w:p>
        </w:tc>
      </w:tr>
      <w:tr>
        <w:trPr>
          <w:trHeight w:val="179"/>
        </w:trPr>
        <w:tc>
          <w:tcPr>
            <w:tcW w:w="220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(53,898)</w:t>
            </w: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4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(6,304)</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192,081</w:t>
            </w:r>
          </w:p>
        </w:tc>
        <w:tc>
          <w:tcPr>
            <w:tcW w:w="60" w:type="dxa"/>
            <w:vAlign w:val="bottom"/>
          </w:tcPr>
          <w:p>
            <w:pPr>
              <w:spacing w:after="0"/>
              <w:rPr>
                <w:sz w:val="15"/>
                <w:szCs w:val="15"/>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220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Other income, net</w:t>
            </w:r>
          </w:p>
        </w:tc>
        <w:tc>
          <w:tcPr>
            <w:tcW w:w="7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8"/>
              <w:spacing w:after="0" w:line="156" w:lineRule="exact"/>
              <w:rPr>
                <w:sz w:val="20"/>
                <w:szCs w:val="20"/>
                <w:color w:val="auto"/>
              </w:rPr>
            </w:pPr>
            <w:r>
              <w:rPr>
                <w:rFonts w:ascii="Arial" w:cs="Arial" w:eastAsia="Arial" w:hAnsi="Arial"/>
                <w:sz w:val="14"/>
                <w:szCs w:val="14"/>
                <w:color w:val="auto"/>
              </w:rPr>
              <w:t>704</w:t>
            </w:r>
          </w:p>
        </w:tc>
        <w:tc>
          <w:tcPr>
            <w:tcW w:w="6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
              <w:spacing w:after="0" w:line="156" w:lineRule="exact"/>
              <w:rPr>
                <w:sz w:val="20"/>
                <w:szCs w:val="20"/>
                <w:color w:val="auto"/>
              </w:rPr>
            </w:pPr>
            <w:r>
              <w:rPr>
                <w:rFonts w:ascii="Arial" w:cs="Arial" w:eastAsia="Arial" w:hAnsi="Arial"/>
                <w:sz w:val="14"/>
                <w:szCs w:val="14"/>
                <w:color w:val="auto"/>
              </w:rPr>
              <w:t>908</w:t>
            </w:r>
          </w:p>
        </w:tc>
        <w:tc>
          <w:tcPr>
            <w:tcW w:w="4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(506)</w:t>
            </w:r>
          </w:p>
        </w:tc>
        <w:tc>
          <w:tcPr>
            <w:tcW w:w="60" w:type="dxa"/>
            <w:vAlign w:val="bottom"/>
          </w:tcPr>
          <w:p>
            <w:pPr>
              <w:spacing w:after="0"/>
              <w:rPr>
                <w:sz w:val="13"/>
                <w:szCs w:val="13"/>
                <w:color w:val="auto"/>
              </w:rPr>
            </w:pPr>
          </w:p>
        </w:tc>
      </w:tr>
      <w:tr>
        <w:trPr>
          <w:trHeight w:val="188"/>
        </w:trPr>
        <w:tc>
          <w:tcPr>
            <w:tcW w:w="220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7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w:t>
            </w:r>
          </w:p>
        </w:tc>
        <w:tc>
          <w:tcPr>
            <w:tcW w:w="6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(381)</w:t>
            </w:r>
          </w:p>
        </w:tc>
      </w:tr>
      <w:tr>
        <w:trPr>
          <w:trHeight w:val="182"/>
        </w:trPr>
        <w:tc>
          <w:tcPr>
            <w:tcW w:w="2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740" w:type="dxa"/>
            <w:vAlign w:val="bottom"/>
            <w:tcBorders>
              <w:top w:val="single" w:sz="8" w:color="auto"/>
              <w:bottom w:val="single" w:sz="8" w:color="CCEEFF"/>
            </w:tcBorders>
            <w:shd w:val="clear" w:color="auto" w:fill="CCEEFF"/>
          </w:tcPr>
          <w:p>
            <w:pPr>
              <w:jc w:val="center"/>
              <w:ind w:left="51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191,194</w:t>
            </w:r>
          </w:p>
        </w:tc>
        <w:tc>
          <w:tcPr>
            <w:tcW w:w="60" w:type="dxa"/>
            <w:vAlign w:val="bottom"/>
          </w:tcPr>
          <w:p>
            <w:pPr>
              <w:spacing w:after="0"/>
              <w:rPr>
                <w:sz w:val="15"/>
                <w:szCs w:val="15"/>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139065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90650" cy="698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-540385</wp:posOffset>
            </wp:positionV>
            <wp:extent cx="273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-664210</wp:posOffset>
            </wp:positionV>
            <wp:extent cx="13906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Predecessor</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00" w:type="dxa"/>
            <w:vAlign w:val="bottom"/>
          </w:tcPr>
          <w:p>
            <w:pPr>
              <w:jc w:val="right"/>
              <w:ind w:right="50"/>
              <w:spacing w:after="0"/>
              <w:rPr>
                <w:sz w:val="20"/>
                <w:szCs w:val="20"/>
                <w:color w:val="auto"/>
              </w:rPr>
            </w:pPr>
            <w:r>
              <w:rPr>
                <w:rFonts w:ascii="Arial" w:cs="Arial" w:eastAsia="Arial" w:hAnsi="Arial"/>
                <w:sz w:val="13"/>
                <w:szCs w:val="13"/>
                <w:b w:val="1"/>
                <w:bCs w:val="1"/>
                <w:color w:val="auto"/>
              </w:rPr>
              <w:t>Successor</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12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00" w:type="dxa"/>
            <w:vAlign w:val="bottom"/>
          </w:tcPr>
          <w:p>
            <w:pPr>
              <w:jc w:val="right"/>
              <w:ind w:right="50"/>
              <w:spacing w:after="0"/>
              <w:rPr>
                <w:sz w:val="20"/>
                <w:szCs w:val="20"/>
                <w:color w:val="auto"/>
              </w:rPr>
            </w:pPr>
            <w:r>
              <w:rPr>
                <w:rFonts w:ascii="Arial" w:cs="Arial" w:eastAsia="Arial" w:hAnsi="Arial"/>
                <w:sz w:val="13"/>
                <w:szCs w:val="13"/>
                <w:b w:val="1"/>
                <w:bCs w:val="1"/>
                <w:color w:val="auto"/>
              </w:rPr>
              <w:t>year ended</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21, 2019 to</w:t>
            </w:r>
          </w:p>
        </w:tc>
        <w:tc>
          <w:tcPr>
            <w:tcW w:w="12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January 1, 2019 to</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3240" w:type="dxa"/>
            <w:vAlign w:val="bottom"/>
            <w:gridSpan w:val="2"/>
          </w:tcPr>
          <w:p>
            <w:pPr>
              <w:ind w:left="1000"/>
              <w:spacing w:after="0"/>
              <w:rPr>
                <w:sz w:val="20"/>
                <w:szCs w:val="20"/>
                <w:color w:val="auto"/>
              </w:rPr>
            </w:pPr>
            <w:r>
              <w:rPr>
                <w:rFonts w:ascii="Arial" w:cs="Arial" w:eastAsia="Arial" w:hAnsi="Arial"/>
                <w:sz w:val="13"/>
                <w:szCs w:val="13"/>
                <w:b w:val="1"/>
                <w:bCs w:val="1"/>
                <w:color w:val="auto"/>
              </w:rPr>
              <w:t>(in thousands)</w:t>
            </w:r>
          </w:p>
        </w:tc>
        <w:tc>
          <w:tcPr>
            <w:tcW w:w="250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20, 2019</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$ 14,901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Facility and other allocated costs</w:t>
            </w: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3,262</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3,012</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10,518</w:t>
            </w:r>
          </w:p>
        </w:tc>
        <w:tc>
          <w:tcPr>
            <w:tcW w:w="7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Collaborations</w:t>
            </w: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9,002</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3,139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4,220</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Consulting</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730</w:t>
            </w:r>
          </w:p>
        </w:tc>
        <w:tc>
          <w:tcPr>
            <w:tcW w:w="7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1,268</w:t>
            </w: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research and</w:t>
            </w: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1000" w:type="dxa"/>
            <w:vAlign w:val="bottom"/>
          </w:tcPr>
          <w:p>
            <w:pPr>
              <w:spacing w:after="0"/>
              <w:rPr>
                <w:sz w:val="19"/>
                <w:szCs w:val="19"/>
                <w:color w:val="auto"/>
              </w:rPr>
            </w:pPr>
          </w:p>
        </w:tc>
        <w:tc>
          <w:tcPr>
            <w:tcW w:w="2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development expense</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$ 39,681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25,415</w:t>
            </w:r>
          </w:p>
        </w:tc>
        <w:tc>
          <w:tcPr>
            <w:tcW w:w="1000" w:type="dxa"/>
            <w:vAlign w:val="bottom"/>
          </w:tcPr>
          <w:p>
            <w:pPr>
              <w:spacing w:after="0"/>
              <w:rPr>
                <w:sz w:val="19"/>
                <w:szCs w:val="19"/>
                <w:color w:val="auto"/>
              </w:rPr>
            </w:pPr>
          </w:p>
        </w:tc>
      </w:tr>
      <w:tr>
        <w:trPr>
          <w:trHeight w:val="508"/>
        </w:trPr>
        <w:tc>
          <w:tcPr>
            <w:tcW w:w="100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4"/>
                <w:szCs w:val="14"/>
                <w:color w:val="auto"/>
              </w:rPr>
              <w:t>76</w:t>
            </w:r>
          </w:p>
        </w:tc>
        <w:tc>
          <w:tcPr>
            <w:tcW w:w="7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-807720</wp:posOffset>
            </wp:positionV>
            <wp:extent cx="14116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1160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1" w:name="page92"/>
    <w:bookmarkEnd w:id="9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59"/>
        <w:spacing w:after="0" w:line="317" w:lineRule="auto"/>
        <w:rPr>
          <w:sz w:val="20"/>
          <w:szCs w:val="20"/>
          <w:color w:val="auto"/>
        </w:rPr>
      </w:pPr>
      <w:r>
        <w:rPr>
          <w:rFonts w:ascii="Arial" w:cs="Arial" w:eastAsia="Arial" w:hAnsi="Arial"/>
          <w:sz w:val="14"/>
          <w:szCs w:val="14"/>
          <w:color w:val="auto"/>
        </w:rPr>
        <w:t>Research and development expenses were $39.7 million for the year ended December 31, 2020 and $14.3 million for the year ended December 31, 2019. The increase of $25.4 million was primarily due to:</w:t>
      </w:r>
    </w:p>
    <w:p>
      <w:pPr>
        <w:spacing w:after="0" w:line="244" w:lineRule="exact"/>
        <w:rPr>
          <w:sz w:val="20"/>
          <w:szCs w:val="20"/>
          <w:color w:val="auto"/>
        </w:rPr>
      </w:pPr>
    </w:p>
    <w:p>
      <w:pPr>
        <w:ind w:left="1340" w:right="1259" w:hanging="116"/>
        <w:spacing w:after="0" w:line="290" w:lineRule="auto"/>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increase in personnel-related expenses of $9.9 million, which was primarily attributable to an increase in headcount to expand our research and development capabilities;</w:t>
      </w:r>
    </w:p>
    <w:p>
      <w:pPr>
        <w:spacing w:after="0" w:line="85"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increase of $3.0 million of facility and other allocated costs, including rent and allocated overhead costs as a result of an expansion of our geographic footprint for office and lab space;</w:t>
      </w:r>
    </w:p>
    <w:p>
      <w:pPr>
        <w:spacing w:after="0" w:line="74"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increase of $7.6 million in research and laboratory costs, including laboratory supplies, preclinical studies, and other external research expenses;</w:t>
      </w:r>
    </w:p>
    <w:p>
      <w:pPr>
        <w:spacing w:after="0" w:line="85" w:lineRule="exact"/>
        <w:rPr>
          <w:rFonts w:ascii="Arial" w:cs="Arial" w:eastAsia="Arial" w:hAnsi="Arial"/>
          <w:sz w:val="14"/>
          <w:szCs w:val="14"/>
          <w:color w:val="auto"/>
        </w:rPr>
      </w:pPr>
    </w:p>
    <w:p>
      <w:pPr>
        <w:ind w:left="1340" w:hanging="116"/>
        <w:spacing w:after="0"/>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increase of $4.2 million for collaborative arrangements with FCDI;</w:t>
      </w:r>
    </w:p>
    <w:p>
      <w:pPr>
        <w:spacing w:after="0" w:line="130"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increase of $0.5 million of consulting costs primarily for temporary personnel to assist in the expansion of our research and development capabilities; and</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 increase of $0.1 million of other expenses.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46" w:lineRule="exact"/>
        <w:rPr>
          <w:sz w:val="20"/>
          <w:szCs w:val="20"/>
          <w:color w:val="auto"/>
        </w:rPr>
      </w:pPr>
    </w:p>
    <w:p>
      <w:pPr>
        <w:ind w:left="1220" w:right="1359"/>
        <w:spacing w:after="0" w:line="293" w:lineRule="auto"/>
        <w:rPr>
          <w:sz w:val="20"/>
          <w:szCs w:val="20"/>
          <w:color w:val="auto"/>
        </w:rPr>
      </w:pPr>
      <w:r>
        <w:rPr>
          <w:rFonts w:ascii="Arial" w:cs="Arial" w:eastAsia="Arial" w:hAnsi="Arial"/>
          <w:sz w:val="14"/>
          <w:szCs w:val="14"/>
          <w:color w:val="auto"/>
        </w:rPr>
        <w:t>General and administrative expenses were $9.5 million for the year ended December 31, 2020 and $5.8 million for year ended December 31, 2019. The increase of $3.7 million was primarily due to increased personnel-related expenses of $1.5 million primarily attributable to an increase in headcount to build our infrastructure, increased consulting and legal fees of $1.1 million, and increased information technology and facility costs, including rent, of $1.1 million.</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Write-off of in-process research and development</w:t>
      </w:r>
    </w:p>
    <w:p>
      <w:pPr>
        <w:spacing w:after="0" w:line="136" w:lineRule="exact"/>
        <w:rPr>
          <w:sz w:val="20"/>
          <w:szCs w:val="20"/>
          <w:color w:val="auto"/>
        </w:rPr>
      </w:pPr>
    </w:p>
    <w:p>
      <w:pPr>
        <w:ind w:left="1220" w:right="1539"/>
        <w:spacing w:after="0" w:line="297" w:lineRule="auto"/>
        <w:rPr>
          <w:sz w:val="20"/>
          <w:szCs w:val="20"/>
          <w:color w:val="auto"/>
        </w:rPr>
      </w:pPr>
      <w:r>
        <w:rPr>
          <w:rFonts w:ascii="Arial" w:cs="Arial" w:eastAsia="Arial" w:hAnsi="Arial"/>
          <w:sz w:val="14"/>
          <w:szCs w:val="14"/>
          <w:color w:val="auto"/>
        </w:rPr>
        <w:t>The write off of in-process research and development of $4.7 million in 2020 relates to the acquisition of the assets of Empirica. The write off of in-process research and development in 2019 of $225.9 million relates to the acquisition of the assets of Prior Century.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6" w:lineRule="exact"/>
        <w:rPr>
          <w:sz w:val="20"/>
          <w:szCs w:val="20"/>
          <w:color w:val="auto"/>
        </w:rPr>
      </w:pPr>
    </w:p>
    <w:p>
      <w:pPr>
        <w:ind w:left="1220" w:right="1499"/>
        <w:spacing w:after="0" w:line="306" w:lineRule="auto"/>
        <w:rPr>
          <w:sz w:val="20"/>
          <w:szCs w:val="20"/>
          <w:color w:val="auto"/>
        </w:rPr>
      </w:pPr>
      <w:r>
        <w:rPr>
          <w:rFonts w:ascii="Arial" w:cs="Arial" w:eastAsia="Arial" w:hAnsi="Arial"/>
          <w:sz w:val="14"/>
          <w:szCs w:val="14"/>
          <w:color w:val="auto"/>
        </w:rPr>
        <w:t>Interest expense was $0.4 million for the year ended December 31, 2020, which related to our Loan Agreement with Hercules.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6" w:lineRule="exact"/>
        <w:rPr>
          <w:sz w:val="20"/>
          <w:szCs w:val="20"/>
          <w:color w:val="auto"/>
        </w:rPr>
      </w:pPr>
    </w:p>
    <w:p>
      <w:pPr>
        <w:jc w:val="both"/>
        <w:ind w:left="1220" w:right="1419"/>
        <w:spacing w:after="0" w:line="297" w:lineRule="auto"/>
        <w:rPr>
          <w:sz w:val="20"/>
          <w:szCs w:val="20"/>
          <w:color w:val="auto"/>
        </w:rPr>
      </w:pPr>
      <w:r>
        <w:rPr>
          <w:rFonts w:ascii="Arial" w:cs="Arial" w:eastAsia="Arial" w:hAnsi="Arial"/>
          <w:sz w:val="14"/>
          <w:szCs w:val="14"/>
          <w:color w:val="auto"/>
        </w:rPr>
        <w:t>Interest income was $0.7 million for the year ended December 31, 2020 and $1.2 million for the year ended December 31, 2019, which included interest earned on our cash, cash equivalents, and short-term and long-term investment balances.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Unaudited pro forma information</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Immediately prior to the completion of this offering, all outstanding shares of our convertible</w:t>
      </w:r>
    </w:p>
    <w:p>
      <w:pPr>
        <w:spacing w:after="0" w:line="33"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preferred stock will convert into an aggregate of shares of common stock upon the closing of this offering. The unaudited pro forma basic and diluted net loss per share for the year ended December 31, 2020 and the three months ended March 31, 2021 were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Pro forma net loss per share does not include the shares expected to be sold in this offering.</w:t>
      </w:r>
    </w:p>
    <w:p>
      <w:pPr>
        <w:spacing w:after="0" w:line="107" w:lineRule="exact"/>
        <w:rPr>
          <w:sz w:val="20"/>
          <w:szCs w:val="20"/>
          <w:color w:val="auto"/>
        </w:rPr>
      </w:pPr>
    </w:p>
    <w:p>
      <w:pPr>
        <w:ind w:left="1220" w:right="1479"/>
        <w:spacing w:after="0" w:line="306" w:lineRule="auto"/>
        <w:rPr>
          <w:sz w:val="20"/>
          <w:szCs w:val="20"/>
          <w:color w:val="auto"/>
        </w:rPr>
      </w:pPr>
      <w:r>
        <w:rPr>
          <w:rFonts w:ascii="Arial" w:cs="Arial" w:eastAsia="Arial" w:hAnsi="Arial"/>
          <w:sz w:val="14"/>
          <w:szCs w:val="14"/>
          <w:color w:val="auto"/>
        </w:rPr>
        <w:t>The following table sets forth the computation of the unaudited pro forma basic and diluted net loss per share of common stock for the periods presented: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2" w:name="page93"/>
    <w:bookmarkEnd w:id="9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7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109"/>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4"/>
                <w:szCs w:val="14"/>
                <w:color w:val="auto"/>
              </w:rPr>
            </w:pPr>
          </w:p>
        </w:tc>
      </w:tr>
      <w:tr>
        <w:trPr>
          <w:trHeight w:val="179"/>
        </w:trPr>
        <w:tc>
          <w:tcPr>
            <w:tcW w:w="4700" w:type="dxa"/>
            <w:vAlign w:val="bottom"/>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420" w:type="dxa"/>
            <w:vAlign w:val="bottom"/>
          </w:tcPr>
          <w:p>
            <w:pPr>
              <w:spacing w:after="0"/>
              <w:rPr>
                <w:sz w:val="15"/>
                <w:szCs w:val="15"/>
                <w:color w:val="auto"/>
              </w:rPr>
            </w:pPr>
          </w:p>
        </w:tc>
        <w:tc>
          <w:tcPr>
            <w:tcW w:w="22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March 31, 2021December 31, 2020</w:t>
            </w:r>
          </w:p>
        </w:tc>
      </w:tr>
      <w:tr>
        <w:trPr>
          <w:trHeight w:val="173"/>
        </w:trPr>
        <w:tc>
          <w:tcPr>
            <w:tcW w:w="47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2"/>
        </w:trPr>
        <w:tc>
          <w:tcPr>
            <w:tcW w:w="4700" w:type="dxa"/>
            <w:vAlign w:val="bottom"/>
          </w:tcPr>
          <w:p>
            <w:pPr>
              <w:ind w:left="140"/>
              <w:spacing w:after="0"/>
              <w:rPr>
                <w:sz w:val="20"/>
                <w:szCs w:val="20"/>
                <w:color w:val="auto"/>
              </w:rPr>
            </w:pPr>
            <w:r>
              <w:rPr>
                <w:rFonts w:ascii="Arial" w:cs="Arial" w:eastAsia="Arial" w:hAnsi="Arial"/>
                <w:sz w:val="14"/>
                <w:szCs w:val="14"/>
                <w:color w:val="auto"/>
              </w:rPr>
              <w:t>Net loss used in calculating pro forma net loss per share, basic and</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4700" w:type="dxa"/>
            <w:vAlign w:val="bottom"/>
          </w:tcPr>
          <w:p>
            <w:pPr>
              <w:ind w:left="300"/>
              <w:spacing w:after="0"/>
              <w:rPr>
                <w:sz w:val="20"/>
                <w:szCs w:val="20"/>
                <w:color w:val="auto"/>
              </w:rPr>
            </w:pPr>
            <w:r>
              <w:rPr>
                <w:rFonts w:ascii="Arial" w:cs="Arial" w:eastAsia="Arial" w:hAnsi="Arial"/>
                <w:sz w:val="14"/>
                <w:szCs w:val="14"/>
                <w:color w:val="auto"/>
              </w:rPr>
              <w:t>diluted</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(18,348)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(53,575)</w:t>
            </w:r>
          </w:p>
        </w:tc>
      </w:tr>
      <w:tr>
        <w:trPr>
          <w:trHeight w:val="34"/>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4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470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4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19,278,887</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18,825,136</w:t>
            </w:r>
          </w:p>
        </w:tc>
        <w:tc>
          <w:tcPr>
            <w:tcW w:w="40" w:type="dxa"/>
            <w:vAlign w:val="bottom"/>
          </w:tcPr>
          <w:p>
            <w:pPr>
              <w:spacing w:after="0"/>
              <w:rPr>
                <w:sz w:val="15"/>
                <w:szCs w:val="15"/>
                <w:color w:val="auto"/>
              </w:rPr>
            </w:pPr>
          </w:p>
        </w:tc>
      </w:tr>
      <w:tr>
        <w:trPr>
          <w:trHeight w:val="23"/>
        </w:trPr>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Weighted-average convertible preferred stock</w:t>
            </w:r>
          </w:p>
        </w:tc>
        <w:tc>
          <w:tcPr>
            <w:tcW w:w="4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85,865,789</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85,865,789</w:t>
            </w:r>
          </w:p>
        </w:tc>
        <w:tc>
          <w:tcPr>
            <w:tcW w:w="40" w:type="dxa"/>
            <w:vAlign w:val="bottom"/>
          </w:tcPr>
          <w:p>
            <w:pPr>
              <w:spacing w:after="0"/>
              <w:rPr>
                <w:sz w:val="16"/>
                <w:szCs w:val="16"/>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4"/>
                <w:szCs w:val="14"/>
                <w:color w:val="auto"/>
              </w:rPr>
              <w:t>Pro forma weighted-average shares outstanding, basic and diluted</w:t>
            </w:r>
          </w:p>
        </w:tc>
        <w:tc>
          <w:tcPr>
            <w:tcW w:w="4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105,144,676</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104,690,925</w:t>
            </w:r>
          </w:p>
        </w:tc>
        <w:tc>
          <w:tcPr>
            <w:tcW w:w="40" w:type="dxa"/>
            <w:vAlign w:val="bottom"/>
          </w:tcPr>
          <w:p>
            <w:pPr>
              <w:spacing w:after="0"/>
              <w:rPr>
                <w:sz w:val="15"/>
                <w:szCs w:val="15"/>
                <w:color w:val="auto"/>
              </w:rPr>
            </w:pPr>
          </w:p>
        </w:tc>
      </w:tr>
      <w:tr>
        <w:trPr>
          <w:trHeight w:val="23"/>
        </w:trPr>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net loss per share, basic and diluted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40" w:type="dxa"/>
            <w:vAlign w:val="bottom"/>
          </w:tcPr>
          <w:p>
            <w:pPr>
              <w:spacing w:after="0"/>
              <w:rPr>
                <w:sz w:val="17"/>
                <w:szCs w:val="17"/>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Liquidity, capital resources, and capital requirements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5" w:lineRule="exact"/>
        <w:rPr>
          <w:sz w:val="20"/>
          <w:szCs w:val="20"/>
          <w:color w:val="auto"/>
        </w:rPr>
      </w:pPr>
    </w:p>
    <w:p>
      <w:pPr>
        <w:ind w:left="1220" w:right="1499"/>
        <w:spacing w:after="0" w:line="257"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jc w:val="both"/>
        <w:ind w:left="1220" w:right="1239"/>
        <w:spacing w:after="0" w:line="257" w:lineRule="auto"/>
        <w:rPr>
          <w:sz w:val="20"/>
          <w:szCs w:val="20"/>
          <w:color w:val="auto"/>
        </w:rPr>
      </w:pPr>
      <w:r>
        <w:rPr>
          <w:rFonts w:ascii="Arial" w:cs="Arial" w:eastAsia="Arial" w:hAnsi="Arial"/>
          <w:sz w:val="14"/>
          <w:szCs w:val="14"/>
          <w:color w:val="auto"/>
        </w:rPr>
        <w:t>$340 million in net proceeds from the sales of our equity securities. As of March 31, 2021, we had cash, and cash equivalents of $79.5 million and marketable securities of $166.6 million. Based on our research and development plans, we believe that the net proceeds from this offering, together with our existing cash, cash equivalents and marketable securities, will be sufficient to fund our</w:t>
      </w:r>
    </w:p>
    <w:p>
      <w:pPr>
        <w:spacing w:after="0" w:line="1" w:lineRule="exact"/>
        <w:rPr>
          <w:sz w:val="20"/>
          <w:szCs w:val="20"/>
          <w:color w:val="auto"/>
        </w:rPr>
      </w:pPr>
    </w:p>
    <w:p>
      <w:pPr>
        <w:ind w:left="1220" w:right="1339"/>
        <w:spacing w:after="0" w:line="257" w:lineRule="auto"/>
        <w:rPr>
          <w:sz w:val="20"/>
          <w:szCs w:val="20"/>
          <w:color w:val="auto"/>
        </w:rPr>
      </w:pPr>
      <w:r>
        <w:rPr>
          <w:rFonts w:ascii="Arial" w:cs="Arial" w:eastAsia="Arial" w:hAnsi="Arial"/>
          <w:sz w:val="14"/>
          <w:szCs w:val="14"/>
          <w:color w:val="auto"/>
        </w:rPr>
        <w:t>operating expenses and capital expenditures requirements for the next months after this filing. 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We had an accumulated deficit of</w:t>
      </w:r>
    </w:p>
    <w:p>
      <w:pPr>
        <w:spacing w:after="0" w:line="1"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$310.7 million as of March 31, 2021. As further described in Note 3 of our audited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audited consolidated financial statements, we entered into a Loan Agreement with Hercules, pursuant to which net proceeds of $9.6 million were received by us in September 2020. We intend to use the proceeds of the Loan Agreement for working capital and general corporate purposes. As further described in Note 17 of our audited consolidated financial statements, in February 2021, we sold 24,721,999 shares of our Series C preferred stock to certain institutional investors for gross proceeds of approximately $160 million.</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Future funding requirements</w:t>
      </w:r>
    </w:p>
    <w:p>
      <w:pPr>
        <w:spacing w:after="0" w:line="136" w:lineRule="exact"/>
        <w:rPr>
          <w:sz w:val="20"/>
          <w:szCs w:val="20"/>
          <w:color w:val="auto"/>
        </w:rPr>
      </w:pPr>
    </w:p>
    <w:p>
      <w:pPr>
        <w:ind w:left="1220" w:right="1279"/>
        <w:spacing w:after="0" w:line="257" w:lineRule="auto"/>
        <w:rPr>
          <w:sz w:val="20"/>
          <w:szCs w:val="20"/>
          <w:color w:val="auto"/>
        </w:rPr>
      </w:pPr>
      <w:r>
        <w:rPr>
          <w:rFonts w:ascii="Arial" w:cs="Arial" w:eastAsia="Arial" w:hAnsi="Arial"/>
          <w:sz w:val="14"/>
          <w:szCs w:val="14"/>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from this offering, together with our existing cash and cash equivalents, will be sufficient for us to fund our operating expenses and capital expenditure requirements for the</w:t>
      </w:r>
    </w:p>
    <w:p>
      <w:pPr>
        <w:spacing w:after="0" w:line="1"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next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9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98" w:lineRule="exact"/>
        <w:rPr>
          <w:sz w:val="20"/>
          <w:szCs w:val="20"/>
          <w:color w:val="auto"/>
        </w:rPr>
      </w:pPr>
    </w:p>
    <w:p>
      <w:pPr>
        <w:ind w:left="1340" w:right="1739" w:hanging="116"/>
        <w:spacing w:after="0" w:line="290" w:lineRule="auto"/>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scope, timing, progress, costs, and results of discovery, preclinical development, and clinical trials for our current and future product candidates;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3" w:name="page94"/>
    <w:bookmarkEnd w:id="9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7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and future product candidates;</w:t>
      </w:r>
    </w:p>
    <w:p>
      <w:pPr>
        <w:spacing w:after="0" w:line="74" w:lineRule="exact"/>
        <w:rPr>
          <w:rFonts w:ascii="Arial" w:cs="Arial" w:eastAsia="Arial" w:hAnsi="Arial"/>
          <w:sz w:val="14"/>
          <w:szCs w:val="14"/>
          <w:color w:val="auto"/>
        </w:rPr>
      </w:pPr>
    </w:p>
    <w:p>
      <w:pPr>
        <w:ind w:left="1340" w:right="157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any of our current and future product candidates;</w:t>
      </w:r>
    </w:p>
    <w:p>
      <w:pPr>
        <w:spacing w:after="0" w:line="85"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cost of manufacturing clinical and commercial supplies of our current and future product candidates;</w:t>
      </w:r>
    </w:p>
    <w:p>
      <w:pPr>
        <w:spacing w:after="0" w:line="74" w:lineRule="exact"/>
        <w:rPr>
          <w:rFonts w:ascii="Arial" w:cs="Arial" w:eastAsia="Arial" w:hAnsi="Arial"/>
          <w:sz w:val="14"/>
          <w:szCs w:val="14"/>
          <w:color w:val="auto"/>
        </w:rPr>
      </w:pPr>
    </w:p>
    <w:p>
      <w:pPr>
        <w:ind w:left="1340" w:right="1359" w:hanging="116"/>
        <w:spacing w:after="0" w:line="295"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costs and timing of future commercialization activities, including manufacturing, marketing, sales, and distribution, for any of our product candidates for which we receive marketing approval;</w:t>
      </w:r>
    </w:p>
    <w:p>
      <w:pPr>
        <w:spacing w:after="0" w:line="262" w:lineRule="exact"/>
        <w:rPr>
          <w:rFonts w:ascii="Arial" w:cs="Arial" w:eastAsia="Arial" w:hAnsi="Arial"/>
          <w:sz w:val="14"/>
          <w:szCs w:val="14"/>
          <w:color w:val="auto"/>
        </w:rPr>
      </w:pPr>
    </w:p>
    <w:p>
      <w:pPr>
        <w:ind w:left="1340" w:right="1419" w:hanging="116"/>
        <w:spacing w:after="0" w:line="278"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95" w:lineRule="exact"/>
        <w:rPr>
          <w:rFonts w:ascii="Arial" w:cs="Arial" w:eastAsia="Arial" w:hAnsi="Arial"/>
          <w:sz w:val="14"/>
          <w:szCs w:val="14"/>
          <w:color w:val="auto"/>
        </w:rPr>
      </w:pPr>
    </w:p>
    <w:p>
      <w:pPr>
        <w:ind w:left="1340" w:right="1299" w:hanging="116"/>
        <w:spacing w:after="0" w:line="281"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1" w:lineRule="exact"/>
        <w:rPr>
          <w:rFonts w:ascii="Arial" w:cs="Arial" w:eastAsia="Arial" w:hAnsi="Arial"/>
          <w:sz w:val="14"/>
          <w:szCs w:val="14"/>
          <w:color w:val="auto"/>
        </w:rPr>
      </w:pPr>
    </w:p>
    <w:p>
      <w:pPr>
        <w:ind w:left="1340" w:right="157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revenue, if any, received from commercial sales of our product candidates for which we receive marketing approval;</w:t>
      </w:r>
    </w:p>
    <w:p>
      <w:pPr>
        <w:spacing w:after="0" w:line="85" w:lineRule="exact"/>
        <w:rPr>
          <w:rFonts w:ascii="Arial" w:cs="Arial" w:eastAsia="Arial" w:hAnsi="Arial"/>
          <w:sz w:val="14"/>
          <w:szCs w:val="14"/>
          <w:color w:val="auto"/>
        </w:rPr>
      </w:pPr>
    </w:p>
    <w:p>
      <w:pPr>
        <w:ind w:left="1340" w:hanging="116"/>
        <w:spacing w:after="0"/>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expenses to attract, hire and retain, skilled personnel;</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costs of operating as a public company;</w:t>
      </w:r>
    </w:p>
    <w:p>
      <w:pPr>
        <w:spacing w:after="0" w:line="130"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our ability to establish a commercially viable pricing structure and obtain approval for coverage and adequate reimbursement from third-party and government payors;</w:t>
      </w:r>
    </w:p>
    <w:p>
      <w:pPr>
        <w:spacing w:after="0" w:line="74" w:lineRule="exact"/>
        <w:rPr>
          <w:rFonts w:ascii="Arial" w:cs="Arial" w:eastAsia="Arial" w:hAnsi="Arial"/>
          <w:sz w:val="14"/>
          <w:szCs w:val="14"/>
          <w:color w:val="auto"/>
        </w:rPr>
      </w:pPr>
    </w:p>
    <w:p>
      <w:pPr>
        <w:ind w:left="1340" w:right="135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addressing any potential interruptions or delays resulting from factors related to the COVID-19 pandemic;</w:t>
      </w:r>
    </w:p>
    <w:p>
      <w:pPr>
        <w:spacing w:after="0" w:line="85" w:lineRule="exact"/>
        <w:rPr>
          <w:rFonts w:ascii="Arial" w:cs="Arial" w:eastAsia="Arial" w:hAnsi="Arial"/>
          <w:sz w:val="14"/>
          <w:szCs w:val="14"/>
          <w:color w:val="auto"/>
        </w:rPr>
      </w:pPr>
    </w:p>
    <w:p>
      <w:pPr>
        <w:ind w:left="1340" w:hanging="116"/>
        <w:spacing w:after="0"/>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w:t>
      </w:r>
    </w:p>
    <w:p>
      <w:pPr>
        <w:spacing w:after="0" w:line="130" w:lineRule="exact"/>
        <w:rPr>
          <w:sz w:val="20"/>
          <w:szCs w:val="20"/>
          <w:color w:val="auto"/>
        </w:rPr>
      </w:pPr>
    </w:p>
    <w:p>
      <w:pPr>
        <w:ind w:left="1220" w:right="1279"/>
        <w:spacing w:after="0" w:line="290"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4" w:name="page95"/>
    <w:bookmarkEnd w:id="9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Cash flows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our cash flows for the periods indicated:</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3"/>
                <w:szCs w:val="13"/>
                <w:b w:val="1"/>
                <w:bCs w:val="1"/>
                <w:color w:val="auto"/>
              </w:rPr>
              <w:t>Successor</w:t>
            </w:r>
          </w:p>
        </w:tc>
        <w:tc>
          <w:tcPr>
            <w:tcW w:w="4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Predecessor</w:t>
            </w:r>
          </w:p>
        </w:tc>
      </w:tr>
      <w:tr>
        <w:trPr>
          <w:trHeight w:val="151"/>
        </w:trPr>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Successor</w:t>
            </w:r>
          </w:p>
        </w:tc>
        <w:tc>
          <w:tcPr>
            <w:tcW w:w="24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Arial" w:cs="Arial" w:eastAsia="Arial" w:hAnsi="Arial"/>
                <w:sz w:val="13"/>
                <w:szCs w:val="13"/>
                <w:b w:val="1"/>
                <w:bCs w:val="1"/>
                <w:color w:val="auto"/>
              </w:rPr>
              <w:t>June 21,</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period from</w:t>
            </w:r>
          </w:p>
        </w:tc>
      </w:tr>
      <w:tr>
        <w:trPr>
          <w:trHeight w:val="151"/>
        </w:trPr>
        <w:tc>
          <w:tcPr>
            <w:tcW w:w="2120" w:type="dxa"/>
            <w:vAlign w:val="bottom"/>
          </w:tcPr>
          <w:p>
            <w:pPr>
              <w:spacing w:after="0"/>
              <w:rPr>
                <w:sz w:val="13"/>
                <w:szCs w:val="13"/>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w w:val="99"/>
              </w:rPr>
              <w:t>Three months</w:t>
            </w:r>
          </w:p>
        </w:tc>
        <w:tc>
          <w:tcPr>
            <w:tcW w:w="92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Arial" w:cs="Arial" w:eastAsia="Arial" w:hAnsi="Arial"/>
                <w:sz w:val="13"/>
                <w:szCs w:val="13"/>
                <w:b w:val="1"/>
                <w:bCs w:val="1"/>
                <w:color w:val="auto"/>
              </w:rPr>
              <w:t>2019 to</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January 1,</w:t>
            </w:r>
          </w:p>
        </w:tc>
      </w:tr>
      <w:tr>
        <w:trPr>
          <w:trHeight w:val="151"/>
        </w:trPr>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3"/>
                <w:szCs w:val="13"/>
                <w:color w:val="auto"/>
              </w:rPr>
            </w:pPr>
          </w:p>
        </w:tc>
        <w:tc>
          <w:tcPr>
            <w:tcW w:w="2460" w:type="dxa"/>
            <w:vAlign w:val="bottom"/>
            <w:gridSpan w:val="5"/>
          </w:tcPr>
          <w:p>
            <w:pPr>
              <w:jc w:val="right"/>
              <w:ind w:right="31"/>
              <w:spacing w:after="0"/>
              <w:rPr>
                <w:sz w:val="20"/>
                <w:szCs w:val="20"/>
                <w:color w:val="auto"/>
              </w:rPr>
            </w:pPr>
            <w:r>
              <w:rPr>
                <w:rFonts w:ascii="Arial" w:cs="Arial" w:eastAsia="Arial" w:hAnsi="Arial"/>
                <w:sz w:val="13"/>
                <w:szCs w:val="13"/>
                <w:b w:val="1"/>
                <w:bCs w:val="1"/>
                <w:color w:val="auto"/>
              </w:rPr>
              <w:t>ended December 31, December 31,</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2019 to</w:t>
            </w:r>
          </w:p>
        </w:tc>
      </w:tr>
      <w:tr>
        <w:trPr>
          <w:trHeight w:val="179"/>
        </w:trPr>
        <w:tc>
          <w:tcPr>
            <w:tcW w:w="21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080" w:type="dxa"/>
            <w:vAlign w:val="bottom"/>
            <w:gridSpan w:val="4"/>
          </w:tcPr>
          <w:p>
            <w:pPr>
              <w:jc w:val="right"/>
              <w:ind w:right="50"/>
              <w:spacing w:after="0"/>
              <w:rPr>
                <w:sz w:val="20"/>
                <w:szCs w:val="20"/>
                <w:color w:val="auto"/>
              </w:rPr>
            </w:pPr>
            <w:r>
              <w:rPr>
                <w:rFonts w:ascii="Arial" w:cs="Arial" w:eastAsia="Arial" w:hAnsi="Arial"/>
                <w:sz w:val="13"/>
                <w:szCs w:val="13"/>
                <w:b w:val="1"/>
                <w:bCs w:val="1"/>
                <w:color w:val="auto"/>
              </w:rPr>
              <w:t>March 31, 2021 March 31, 2020</w:t>
            </w:r>
          </w:p>
        </w:tc>
        <w:tc>
          <w:tcPr>
            <w:tcW w:w="28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2019 June 20, 2019</w:t>
            </w:r>
          </w:p>
        </w:tc>
      </w:tr>
      <w:tr>
        <w:trPr>
          <w:trHeight w:val="173"/>
        </w:trPr>
        <w:tc>
          <w:tcPr>
            <w:tcW w:w="2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(used in):</w:t>
            </w: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(22,179)</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(6,884)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(41,269)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(11,768)</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(4,400)</w:t>
            </w:r>
          </w:p>
        </w:tc>
      </w:tr>
      <w:tr>
        <w:trPr>
          <w:trHeight w:val="23"/>
        </w:trPr>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85"/>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(119,034)</w:t>
            </w: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(4,178)</w:t>
            </w: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(22,757)</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(19,007)</w:t>
            </w:r>
          </w:p>
        </w:tc>
        <w:tc>
          <w:tcPr>
            <w:tcW w:w="4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40" w:type="dxa"/>
            <w:vAlign w:val="bottom"/>
          </w:tcPr>
          <w:p>
            <w:pPr>
              <w:spacing w:after="0"/>
              <w:rPr>
                <w:sz w:val="16"/>
                <w:szCs w:val="16"/>
                <w:color w:val="auto"/>
              </w:rPr>
            </w:pPr>
          </w:p>
        </w:tc>
      </w:tr>
      <w:tr>
        <w:trPr>
          <w:trHeight w:val="188"/>
        </w:trPr>
        <w:tc>
          <w:tcPr>
            <w:tcW w:w="2120" w:type="dxa"/>
            <w:vAlign w:val="bottom"/>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(193,485)</w:t>
            </w:r>
          </w:p>
        </w:tc>
        <w:tc>
          <w:tcPr>
            <w:tcW w:w="40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47,690</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74,839</w:t>
            </w:r>
          </w:p>
        </w:tc>
        <w:tc>
          <w:tcPr>
            <w:tcW w:w="4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8"/>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(decrease) increase in</w:t>
            </w:r>
          </w:p>
        </w:tc>
        <w:tc>
          <w:tcPr>
            <w:tcW w:w="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3"/>
        </w:trPr>
        <w:tc>
          <w:tcPr>
            <w:tcW w:w="2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cash equivalents, and</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52,272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(5,227)</w:t>
            </w:r>
          </w:p>
        </w:tc>
        <w:tc>
          <w:tcPr>
            <w:tcW w:w="40" w:type="dxa"/>
            <w:vAlign w:val="bottom"/>
          </w:tcPr>
          <w:p>
            <w:pPr>
              <w:spacing w:after="0"/>
              <w:rPr>
                <w:sz w:val="18"/>
                <w:szCs w:val="18"/>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-375920</wp:posOffset>
            </wp:positionV>
            <wp:extent cx="13360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36040" cy="6985"/>
                    </a:xfrm>
                    <a:prstGeom prst="rect">
                      <a:avLst/>
                    </a:prstGeom>
                    <a:noFill/>
                  </pic:spPr>
                </pic:pic>
              </a:graphicData>
            </a:graphic>
          </wp:anchor>
        </w:drawing>
      </w:r>
    </w:p>
    <w:p>
      <w:pPr>
        <w:spacing w:after="0" w:line="11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Operating activities</w:t>
      </w:r>
    </w:p>
    <w:p>
      <w:pPr>
        <w:spacing w:after="0" w:line="123"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Net cash used in operating activities was $22.2 million, and $6.9 million for the three months ended March 31, 2021 and 2020, respectively. Net cash used in operating activities during the three months ended March 31, 2021 consisted primarily of our net loss of $18.3 million and net cash outflows from decreases in our accounts payable and accrued expenses and other liabilities of $5.2 million partially offset by increase in operating lease liability of $0.1 million, and non-cash charges of $1.1 million. The non-cash charges of $1.1 million consisted primarily of $0.7 million for depreciation expense, and non-cash operating lease expense of $0.2 million.</w:t>
      </w:r>
    </w:p>
    <w:p>
      <w:pPr>
        <w:spacing w:after="0" w:line="106" w:lineRule="exact"/>
        <w:rPr>
          <w:sz w:val="20"/>
          <w:szCs w:val="20"/>
          <w:color w:val="auto"/>
        </w:rPr>
      </w:pPr>
    </w:p>
    <w:p>
      <w:pPr>
        <w:ind w:left="1220" w:right="1239"/>
        <w:spacing w:after="0" w:line="261" w:lineRule="auto"/>
        <w:rPr>
          <w:sz w:val="20"/>
          <w:szCs w:val="20"/>
          <w:color w:val="auto"/>
        </w:rPr>
      </w:pPr>
      <w:r>
        <w:rPr>
          <w:rFonts w:ascii="Arial" w:cs="Arial" w:eastAsia="Arial" w:hAnsi="Arial"/>
          <w:sz w:val="14"/>
          <w:szCs w:val="14"/>
          <w:color w:val="auto"/>
        </w:rPr>
        <w:t>Net cash used in operating activities for the three months ended March 31, 2020 consisted primarily of our net loss of $9.7 million partially offset by net cash inflows from changes in operating assets and liabilities of $2.3 million and non-cash charges of $0.5 million. The non-cash charges of $0.5 million consisted primarily of $0.2 million for depreciation expense, non-cash stock-based compensation expense of $0.2 million, and non-cash operating lease expense of $0.1 million.</w:t>
      </w:r>
    </w:p>
    <w:p>
      <w:pPr>
        <w:spacing w:after="0" w:line="279"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Net cash used in operating activities was $41.3 million, $11.8 million and $4.4 million for the year ended December 31, 2020 (Successor), the period from June 21, 2019 through December 31, 2019 (Successor) and the period from January 1, 2019 through June 20, 2019 (Predecessor), respectively. Net cash used in operating activities during the year ended December 31, 2020 (Successor) consisted primarily of our net loss of $53.6 million partially offset by increase in operating lease liability of $2.2 million, net cash inflows from increases in our accounts payable and accrued expenses and other liabilities of $4.4 million and non-cash charges of $7.4 million. The non-cash charges of $7.4 million consisted primarily of $1.4 million for depreciation expense, non-cash stock-based compensation expense of $0.9 million, non-cash operating lease expense of $0.4 million and write off of in-process research and development asset of $4.7 million from an asset acquisition.</w:t>
      </w:r>
    </w:p>
    <w:p>
      <w:pPr>
        <w:spacing w:after="0" w:line="270"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Net cash used in operating activities during the period from June 21, 2019 through December 31, 2019 (Successor), consisted primarily of our net loss of $238.8 million, partially offset by non-cash charges of $226.3 million. The non-cash charges of $226.3 million consisted primarily of $225.9 million for write off of in-process research and development assets, and other non-cash charges of $0.4 million.</w:t>
      </w:r>
    </w:p>
    <w:p>
      <w:pPr>
        <w:spacing w:after="0" w:line="279"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Net cash used in operating activities during the period from January 1, 2019 through June 20, 2019 (Predecessor) consisted primarily of our net loss of $6.0 million, partially offset by net cash inflows from changes in operating assets and liabilities of $1.5 million.</w:t>
      </w:r>
    </w:p>
    <w:p>
      <w:pPr>
        <w:spacing w:after="0" w:line="13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Investing activities</w:t>
      </w:r>
    </w:p>
    <w:p>
      <w:pPr>
        <w:spacing w:after="0" w:line="134"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Cash used in investing activities was $119.0 million, and $4.2 million for the three months ended March 31, 2021 and 2020, respectively. Cash used in investing activities for the three months ended March 31, 2021</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5" w:name="page96"/>
    <w:bookmarkEnd w:id="9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74" w:lineRule="auto"/>
        <w:rPr>
          <w:sz w:val="20"/>
          <w:szCs w:val="20"/>
          <w:color w:val="auto"/>
        </w:rPr>
      </w:pPr>
      <w:r>
        <w:rPr>
          <w:rFonts w:ascii="Arial" w:cs="Arial" w:eastAsia="Arial" w:hAnsi="Arial"/>
          <w:sz w:val="14"/>
          <w:szCs w:val="14"/>
          <w:color w:val="auto"/>
        </w:rPr>
        <w:t>consisted primarily of net purchases of fixed maturity securities of $117.2 million, and purchases of property and equipment of $1.9 million.</w:t>
      </w:r>
    </w:p>
    <w:p>
      <w:pPr>
        <w:spacing w:after="0" w:line="86"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Cash used in investing activities for the three months ended March 31, 2020 consisted primarily of net purchases of fixed maturity securities of $1.5 million, and purchases of property and equipment of $2.7 million.</w:t>
      </w:r>
    </w:p>
    <w:p>
      <w:pPr>
        <w:spacing w:after="0" w:line="10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Cash used in investing activities was $22.8 million, $19.0 million and $0.8 million for the year ended December 31, 2020 (Successor), the period from June 21, 2019 through December 31, 2019 (Successor) and the period from January 1, 2019 through June 20, 2019 (Predecessor), respectively. Cash used in investing activities for the year ended December 31, 2020 (Successor) consisted primarily of net purchases of fixed maturity securities of $8.2 million, purchases of property and equipment of $9.8 million, and net cash used for an asset acquisition of $4.7 million.</w:t>
      </w:r>
    </w:p>
    <w:p>
      <w:pPr>
        <w:spacing w:after="0" w:line="108"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Cash used in investing activities for the period from June 21, 2019 through December 31, 2019 (Successor) consisted primarily of purchases of fixed maturity securities of $41.5 million, and purchases of property and equipment of $1.6 million, partially offset by net cash resulting from an asset acquisition of $24.2 million. Cash used in investing activities for the period from January 1, 2019 through June 20, 2019 (Predecessor) consisted primarily of purchases of property and equipment of $0.8 million.</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Financing activities</w:t>
      </w:r>
    </w:p>
    <w:p>
      <w:pPr>
        <w:spacing w:after="0" w:line="12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Cash provided by financing activities was $193.5 million for the three months ended March 31, 2021 . There was no financing activities for the three months ended March 31, 2020. Cash provided by financing activities for the three months ended March 31, 2021 consisted primarily of net proceeds from collection of subscription receivable of $31.9 million and from sale of our Series C preferred shares of $159.6 million, payments of deferred offering costs associated with incremental legal, professional and other third-party fees directly associated with the planned IPO of $0.6 million, and cash resulting from the merger of $2.4 million.</w:t>
      </w:r>
    </w:p>
    <w:p>
      <w:pPr>
        <w:spacing w:after="0" w:line="106"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Cash provided by financing activities was $47.7 million and $74.8 million for the year ended December 31, 2020 (Successor) and the period from June 21, 2019 through December 31, 2019 (Successor), respectively. There was no cash used in or provided by financing activities for the period from January 1, 2019 through June 20, 2019 (predecessor). Cash provided by financing activities for the year ended December 31, 2020 (Successor) consisted primarily of net proceeds from collection of subscription receivable of $38.1 million. Additionally, on September 14, 2020, the Company entered into a $10 million Loan Agreement with Hercules, pursuant to which net proceeds of $9.6 million were received by us.</w:t>
      </w:r>
    </w:p>
    <w:p>
      <w:pPr>
        <w:spacing w:after="0" w:line="279" w:lineRule="exact"/>
        <w:rPr>
          <w:sz w:val="20"/>
          <w:szCs w:val="20"/>
          <w:color w:val="auto"/>
        </w:rPr>
      </w:pPr>
    </w:p>
    <w:p>
      <w:pPr>
        <w:jc w:val="both"/>
        <w:ind w:left="1220" w:right="1259"/>
        <w:spacing w:after="0" w:line="274" w:lineRule="auto"/>
        <w:rPr>
          <w:sz w:val="20"/>
          <w:szCs w:val="20"/>
          <w:color w:val="auto"/>
        </w:rPr>
      </w:pPr>
      <w:r>
        <w:rPr>
          <w:rFonts w:ascii="Arial" w:cs="Arial" w:eastAsia="Arial" w:hAnsi="Arial"/>
          <w:sz w:val="14"/>
          <w:szCs w:val="14"/>
          <w:color w:val="auto"/>
        </w:rPr>
        <w:t>Cash provided by financing activities during the period from June 21, 2019 through December 31, 2019 (Successor) consisted of net proceeds of $74.8 million from the sale of our common shares.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our significant contractual obligations and commitments as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 due by period</w:t>
            </w:r>
          </w:p>
        </w:tc>
        <w:tc>
          <w:tcPr>
            <w:tcW w:w="0" w:type="dxa"/>
            <w:vAlign w:val="bottom"/>
          </w:tcPr>
          <w:p>
            <w:pPr>
              <w:spacing w:after="0"/>
              <w:rPr>
                <w:sz w:val="1"/>
                <w:szCs w:val="1"/>
                <w:color w:val="auto"/>
              </w:rPr>
            </w:pPr>
          </w:p>
        </w:tc>
      </w:tr>
      <w:tr>
        <w:trPr>
          <w:trHeight w:val="186"/>
        </w:trPr>
        <w:tc>
          <w:tcPr>
            <w:tcW w:w="23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 year</w:t>
            </w:r>
          </w:p>
        </w:tc>
        <w:tc>
          <w:tcPr>
            <w:tcW w:w="900" w:type="dxa"/>
            <w:vAlign w:val="bottom"/>
          </w:tcPr>
          <w:p>
            <w:pPr>
              <w:jc w:val="right"/>
              <w:ind w:right="10"/>
              <w:spacing w:after="0"/>
              <w:rPr>
                <w:sz w:val="20"/>
                <w:szCs w:val="20"/>
                <w:color w:val="auto"/>
              </w:rPr>
            </w:pPr>
            <w:r>
              <w:rPr>
                <w:rFonts w:ascii="Arial" w:cs="Arial" w:eastAsia="Arial" w:hAnsi="Arial"/>
                <w:sz w:val="13"/>
                <w:szCs w:val="13"/>
                <w:b w:val="1"/>
                <w:bCs w:val="1"/>
                <w:color w:val="auto"/>
              </w:rPr>
              <w:t>1 to 3 years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 to 5 years</w:t>
            </w:r>
          </w:p>
        </w:tc>
        <w:tc>
          <w:tcPr>
            <w:tcW w:w="1300" w:type="dxa"/>
            <w:vAlign w:val="bottom"/>
          </w:tcPr>
          <w:p>
            <w:pPr>
              <w:jc w:val="right"/>
              <w:ind w:right="11"/>
              <w:spacing w:after="0"/>
              <w:rPr>
                <w:sz w:val="20"/>
                <w:szCs w:val="20"/>
                <w:color w:val="auto"/>
              </w:rPr>
            </w:pPr>
            <w:r>
              <w:rPr>
                <w:rFonts w:ascii="Arial" w:cs="Arial" w:eastAsia="Arial" w:hAnsi="Arial"/>
                <w:sz w:val="13"/>
                <w:szCs w:val="13"/>
                <w:b w:val="1"/>
                <w:bCs w:val="1"/>
                <w:color w:val="auto"/>
              </w:rPr>
              <w:t>More than 5 years</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$ 3,347</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$ 3,629</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$ 13,207</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0" w:type="dxa"/>
            <w:vAlign w:val="bottom"/>
          </w:tcPr>
          <w:p>
            <w:pPr>
              <w:spacing w:after="0"/>
              <w:rPr>
                <w:sz w:val="1"/>
                <w:szCs w:val="1"/>
                <w:color w:val="auto"/>
              </w:rPr>
            </w:pPr>
          </w:p>
        </w:tc>
      </w:tr>
      <w:tr>
        <w:trPr>
          <w:trHeight w:val="182"/>
        </w:trPr>
        <w:tc>
          <w:tcPr>
            <w:tcW w:w="23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7,642</w:t>
            </w:r>
          </w:p>
        </w:tc>
        <w:tc>
          <w:tcPr>
            <w:tcW w:w="880" w:type="dxa"/>
            <w:vAlign w:val="bottom"/>
          </w:tcPr>
          <w:p>
            <w:pPr>
              <w:jc w:val="right"/>
              <w:spacing w:after="0"/>
              <w:rPr>
                <w:sz w:val="20"/>
                <w:szCs w:val="20"/>
                <w:color w:val="auto"/>
              </w:rPr>
            </w:pPr>
            <w:r>
              <w:rPr>
                <w:rFonts w:ascii="Arial" w:cs="Arial" w:eastAsia="Arial" w:hAnsi="Arial"/>
                <w:sz w:val="14"/>
                <w:szCs w:val="14"/>
                <w:color w:val="auto"/>
              </w:rPr>
              <w:t>2,753</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2300" w:type="dxa"/>
            <w:vAlign w:val="bottom"/>
            <w:tcBorders>
              <w:bottom w:val="single" w:sz="8" w:color="auto"/>
            </w:tcBorders>
            <w:shd w:val="clear" w:color="auto" w:fill="CCEEFF"/>
          </w:tcPr>
          <w:p>
            <w:pPr>
              <w:spacing w:after="0" w:line="227" w:lineRule="exact"/>
              <w:rPr>
                <w:sz w:val="20"/>
                <w:szCs w:val="20"/>
                <w:color w:val="auto"/>
              </w:rPr>
            </w:pPr>
            <w:r>
              <w:rPr>
                <w:rFonts w:ascii="Arial" w:cs="Arial" w:eastAsia="Arial" w:hAnsi="Arial"/>
                <w:sz w:val="14"/>
                <w:szCs w:val="14"/>
                <w:color w:val="auto"/>
              </w:rPr>
              <w:t>Interest on long-term debt</w:t>
            </w:r>
            <w:r>
              <w:rPr>
                <w:rFonts w:ascii="Arial" w:cs="Arial" w:eastAsia="Arial" w:hAnsi="Arial"/>
                <w:sz w:val="21"/>
                <w:szCs w:val="21"/>
                <w:color w:val="auto"/>
                <w:vertAlign w:val="superscript"/>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-13335</wp:posOffset>
            </wp:positionV>
            <wp:extent cx="3429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23" w:lineRule="exact"/>
        <w:rPr>
          <w:sz w:val="20"/>
          <w:szCs w:val="20"/>
          <w:color w:val="auto"/>
        </w:rPr>
      </w:pPr>
    </w:p>
    <w:p>
      <w:pPr>
        <w:ind w:left="1480" w:right="1359" w:hanging="256"/>
        <w:spacing w:after="0" w:line="251" w:lineRule="auto"/>
        <w:tabs>
          <w:tab w:leader="none" w:pos="1480" w:val="left"/>
        </w:tabs>
        <w:numPr>
          <w:ilvl w:val="0"/>
          <w:numId w:val="65"/>
        </w:numPr>
        <w:rPr>
          <w:rFonts w:ascii="Arial" w:cs="Arial" w:eastAsia="Arial" w:hAnsi="Arial"/>
          <w:sz w:val="11"/>
          <w:szCs w:val="11"/>
          <w:color w:val="auto"/>
        </w:rPr>
      </w:pPr>
      <w:r>
        <w:rPr>
          <w:rFonts w:ascii="Arial" w:cs="Arial" w:eastAsia="Arial" w:hAnsi="Arial"/>
          <w:sz w:val="11"/>
          <w:szCs w:val="11"/>
          <w:color w:val="auto"/>
        </w:rPr>
        <w:t>Reflects minimum interest payable under the Loan Agreement. Payment herein are subject to variable rate debt have been estimated.</w:t>
      </w:r>
    </w:p>
    <w:p>
      <w:pPr>
        <w:spacing w:after="0" w:line="113" w:lineRule="exact"/>
        <w:rPr>
          <w:sz w:val="20"/>
          <w:szCs w:val="20"/>
          <w:color w:val="auto"/>
        </w:rPr>
      </w:pPr>
    </w:p>
    <w:p>
      <w:pPr>
        <w:ind w:left="1220" w:right="1439"/>
        <w:spacing w:after="0" w:line="261" w:lineRule="auto"/>
        <w:rPr>
          <w:sz w:val="20"/>
          <w:szCs w:val="20"/>
          <w:color w:val="auto"/>
        </w:rPr>
      </w:pPr>
      <w:r>
        <w:rPr>
          <w:rFonts w:ascii="Arial" w:cs="Arial" w:eastAsia="Arial" w:hAnsi="Arial"/>
          <w:sz w:val="14"/>
          <w:szCs w:val="14"/>
          <w:color w:val="auto"/>
        </w:rPr>
        <w:t>Other than as disclosed in the table above, the payment obligations under our license, collaboration, and acquisition agreements as of December 31, 2020 are contingent upon future events such as our achievement of pre-specified development, regulatory, and commercial milestones, or royalties on net product sales. See the section titled “Business—Licensing, Partnerships and Collaborations” for more information about these payment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6" w:name="page97"/>
    <w:bookmarkEnd w:id="9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obligations. As of December 31, 2020, the timing and likelihood of achieving the milestones and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success payments and generating future product sales are uncertain and therefore, any related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payments are not included in the table above. The Company has commitments under operating</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leases for certain facilities used in its operations. The Company’s leases have initial lease terms</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ranging from five to 16 years. The Company entered into three leases that had not commenced at</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 As a result, future lease payments of approximately $0.5 million in 1 year,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$4.8 million in 1 to 3 years, $5.0 million in 3 to 5 years and $16.3 million in more than 5 years are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not included within the table above.</w:t>
      </w:r>
    </w:p>
    <w:p>
      <w:pPr>
        <w:spacing w:after="0" w:line="130" w:lineRule="exact"/>
        <w:rPr>
          <w:sz w:val="20"/>
          <w:szCs w:val="20"/>
          <w:color w:val="auto"/>
        </w:rPr>
      </w:pPr>
    </w:p>
    <w:p>
      <w:pPr>
        <w:ind w:left="1220" w:right="1739"/>
        <w:spacing w:after="0" w:line="277" w:lineRule="auto"/>
        <w:rPr>
          <w:sz w:val="20"/>
          <w:szCs w:val="20"/>
          <w:color w:val="auto"/>
        </w:rPr>
      </w:pPr>
      <w:r>
        <w:rPr>
          <w:rFonts w:ascii="Arial" w:cs="Arial" w:eastAsia="Arial" w:hAnsi="Arial"/>
          <w:sz w:val="14"/>
          <w:szCs w:val="14"/>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audited consolidated financial statements included elsewhere in this prospectus for additional information.</w:t>
      </w:r>
    </w:p>
    <w:p>
      <w:pPr>
        <w:spacing w:after="0" w:line="107"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We have entered into a $10.0 million Term Loan Agreement with Hercules. Amounts borrowed under the Loan Agreement have an interest-only period of up to 24 months and a maturity date of April 1, 2024. See Note 9 to our audited consolidated financial statements included elsewhere in this prospectus for additional information.</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Off-balance sheet arrangements</w:t>
      </w:r>
    </w:p>
    <w:p>
      <w:pPr>
        <w:spacing w:after="0" w:line="144" w:lineRule="exact"/>
        <w:rPr>
          <w:sz w:val="20"/>
          <w:szCs w:val="20"/>
          <w:color w:val="auto"/>
        </w:rPr>
      </w:pPr>
    </w:p>
    <w:p>
      <w:pPr>
        <w:ind w:left="1220" w:right="1599"/>
        <w:spacing w:after="0" w:line="290" w:lineRule="auto"/>
        <w:rPr>
          <w:sz w:val="20"/>
          <w:szCs w:val="20"/>
          <w:color w:val="auto"/>
        </w:rPr>
      </w:pPr>
      <w:r>
        <w:rPr>
          <w:rFonts w:ascii="Arial" w:cs="Arial" w:eastAsia="Arial" w:hAnsi="Arial"/>
          <w:sz w:val="14"/>
          <w:szCs w:val="14"/>
          <w:color w:val="auto"/>
        </w:rPr>
        <w:t>Since our inception, we have not engaged in any off-balance sheet arrangements as defined under the rules and regulations of the SEC.</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33" w:lineRule="exact"/>
        <w:rPr>
          <w:sz w:val="20"/>
          <w:szCs w:val="20"/>
          <w:color w:val="auto"/>
        </w:rPr>
      </w:pPr>
    </w:p>
    <w:p>
      <w:pPr>
        <w:ind w:left="1220" w:right="1319"/>
        <w:spacing w:after="0" w:line="283" w:lineRule="auto"/>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6"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We had cash, cash equivalents, and restricted cash of $80.0 million as of March 31, 2021, which consisted of bank deposits and money market funds. We also had marketable securities of $166.6 million as of March 31, 2021. The primary objective of our investment activities is to preserve capital to fund our operations while earning a low 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JOBS act accounting election</w:t>
      </w:r>
    </w:p>
    <w:p>
      <w:pPr>
        <w:spacing w:after="0" w:line="144" w:lineRule="exact"/>
        <w:rPr>
          <w:sz w:val="20"/>
          <w:szCs w:val="20"/>
          <w:color w:val="auto"/>
        </w:rPr>
      </w:pPr>
    </w:p>
    <w:p>
      <w:pPr>
        <w:ind w:left="1220" w:right="1319"/>
        <w:spacing w:after="0" w:line="276"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76" w:lineRule="exact"/>
        <w:rPr>
          <w:sz w:val="20"/>
          <w:szCs w:val="20"/>
          <w:color w:val="auto"/>
        </w:rPr>
      </w:pPr>
    </w:p>
    <w:p>
      <w:pPr>
        <w:ind w:left="1340" w:right="1319" w:hanging="116"/>
        <w:spacing w:after="0" w:line="281" w:lineRule="auto"/>
        <w:tabs>
          <w:tab w:leader="none" w:pos="1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7" w:name="page98"/>
    <w:bookmarkEnd w:id="9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95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8" w:lineRule="exact"/>
        <w:rPr>
          <w:rFonts w:ascii="Arial" w:cs="Arial" w:eastAsia="Arial" w:hAnsi="Arial"/>
          <w:sz w:val="14"/>
          <w:szCs w:val="14"/>
          <w:color w:val="auto"/>
        </w:rPr>
      </w:pPr>
    </w:p>
    <w:p>
      <w:pPr>
        <w:ind w:left="1340" w:right="1479" w:hanging="116"/>
        <w:spacing w:after="0" w:line="281"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1"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20" w:lineRule="exact"/>
        <w:rPr>
          <w:sz w:val="20"/>
          <w:szCs w:val="20"/>
          <w:color w:val="auto"/>
        </w:rPr>
      </w:pPr>
    </w:p>
    <w:p>
      <w:pPr>
        <w:ind w:left="1220" w:right="1419"/>
        <w:spacing w:after="0" w:line="262"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83"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We will remain an emerging growth company until the earliest of (i) the last day of the fiscal year following the fifth anniversary of the closing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99" w:lineRule="exact"/>
        <w:rPr>
          <w:sz w:val="20"/>
          <w:szCs w:val="20"/>
          <w:color w:val="auto"/>
        </w:rPr>
      </w:pPr>
    </w:p>
    <w:p>
      <w:pPr>
        <w:ind w:left="1220" w:right="1359"/>
        <w:spacing w:after="0" w:line="257"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33" w:lineRule="exact"/>
        <w:rPr>
          <w:sz w:val="20"/>
          <w:szCs w:val="20"/>
          <w:color w:val="auto"/>
        </w:rPr>
      </w:pPr>
    </w:p>
    <w:p>
      <w:pPr>
        <w:ind w:left="1220" w:right="1399"/>
        <w:spacing w:after="0" w:line="259" w:lineRule="auto"/>
        <w:rPr>
          <w:sz w:val="20"/>
          <w:szCs w:val="20"/>
          <w:color w:val="auto"/>
        </w:rPr>
      </w:pPr>
      <w:r>
        <w:rPr>
          <w:rFonts w:ascii="Arial" w:cs="Arial" w:eastAsia="Arial" w:hAnsi="Arial"/>
          <w:sz w:val="14"/>
          <w:szCs w:val="14"/>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8" w:name="page99"/>
    <w:bookmarkEnd w:id="9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90" w:lineRule="exact"/>
        <w:rPr>
          <w:sz w:val="20"/>
          <w:szCs w:val="20"/>
          <w:color w:val="auto"/>
        </w:rPr>
      </w:pPr>
    </w:p>
    <w:p>
      <w:pPr>
        <w:ind w:left="1220" w:right="1479"/>
        <w:spacing w:after="0" w:line="278" w:lineRule="auto"/>
        <w:rPr>
          <w:sz w:val="20"/>
          <w:szCs w:val="20"/>
          <w:color w:val="auto"/>
        </w:rPr>
      </w:pPr>
      <w:r>
        <w:rPr>
          <w:rFonts w:ascii="Arial" w:cs="Arial" w:eastAsia="Arial" w:hAnsi="Arial"/>
          <w:sz w:val="14"/>
          <w:szCs w:val="14"/>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Acquisitions</w:t>
      </w:r>
    </w:p>
    <w:p>
      <w:pPr>
        <w:spacing w:after="0" w:line="146" w:lineRule="exact"/>
        <w:rPr>
          <w:sz w:val="20"/>
          <w:szCs w:val="20"/>
          <w:color w:val="auto"/>
        </w:rPr>
      </w:pPr>
    </w:p>
    <w:p>
      <w:pPr>
        <w:ind w:left="1220" w:right="1419"/>
        <w:spacing w:after="0" w:line="277" w:lineRule="auto"/>
        <w:rPr>
          <w:sz w:val="20"/>
          <w:szCs w:val="20"/>
          <w:color w:val="auto"/>
        </w:rPr>
      </w:pPr>
      <w:r>
        <w:rPr>
          <w:rFonts w:ascii="Arial" w:cs="Arial" w:eastAsia="Arial" w:hAnsi="Arial"/>
          <w:sz w:val="14"/>
          <w:szCs w:val="14"/>
          <w:color w:val="auto"/>
        </w:rPr>
        <w:t>We account for business combinations using the acquisition method of accounting, which requires the assets acquired, including IPR&amp;D, and liabilities assumed, be recorded at their fair values as of the acquisition date. Any excess of the purchase price over the fair value of net assets acquired is recorded as goodwill. The determination of the estimated fair value of these items requires us to make significant estimates and assumptions.</w:t>
      </w:r>
    </w:p>
    <w:p>
      <w:pPr>
        <w:spacing w:after="0" w:line="9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If we determine the acquisition does not meet the definition of a business combination under the acquisition method of accounting, the transaction is accounted for as an asset acquisition and no goodwill or contingent consideration are recognized at the acquisition date. In an asset acquisition, up-front payments allocated to IPR&amp;D and subsequent milestone payments are recorded in research and development expense.</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290" w:lineRule="exact"/>
        <w:rPr>
          <w:sz w:val="20"/>
          <w:szCs w:val="20"/>
          <w:color w:val="auto"/>
        </w:rPr>
      </w:pPr>
    </w:p>
    <w:p>
      <w:pPr>
        <w:ind w:left="1220" w:right="1619"/>
        <w:spacing w:after="0" w:line="290" w:lineRule="auto"/>
        <w:rPr>
          <w:sz w:val="20"/>
          <w:szCs w:val="20"/>
          <w:color w:val="auto"/>
        </w:rPr>
      </w:pPr>
      <w:r>
        <w:rPr>
          <w:rFonts w:ascii="Arial" w:cs="Arial" w:eastAsia="Arial" w:hAnsi="Arial"/>
          <w:sz w:val="14"/>
          <w:szCs w:val="14"/>
          <w:color w:val="auto"/>
        </w:rPr>
        <w:t>The Black-Scholes option pricing model requires the use of highly subjective assumptions to determine the fair value of stock-based awards. These assumptions include:</w:t>
      </w:r>
    </w:p>
    <w:p>
      <w:pPr>
        <w:spacing w:after="0" w:line="64" w:lineRule="exact"/>
        <w:rPr>
          <w:sz w:val="20"/>
          <w:szCs w:val="20"/>
          <w:color w:val="auto"/>
        </w:rPr>
      </w:pPr>
    </w:p>
    <w:p>
      <w:pPr>
        <w:ind w:left="1340" w:hanging="116"/>
        <w:spacing w:after="0"/>
        <w:tabs>
          <w:tab w:leader="none" w:pos="1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Fair Value of Common Stock—See the subsection titled “—Common Stock Valuations.”</w:t>
      </w:r>
    </w:p>
    <w:p>
      <w:pPr>
        <w:spacing w:after="0" w:line="108" w:lineRule="exact"/>
        <w:rPr>
          <w:rFonts w:ascii="Arial" w:cs="Arial" w:eastAsia="Arial" w:hAnsi="Arial"/>
          <w:sz w:val="14"/>
          <w:szCs w:val="14"/>
          <w:color w:val="auto"/>
        </w:rPr>
      </w:pPr>
    </w:p>
    <w:p>
      <w:pPr>
        <w:jc w:val="both"/>
        <w:ind w:left="1340" w:right="1599" w:hanging="116"/>
        <w:spacing w:after="0" w:line="281" w:lineRule="auto"/>
        <w:tabs>
          <w:tab w:leader="none" w:pos="1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71" w:lineRule="exact"/>
        <w:rPr>
          <w:rFonts w:ascii="Arial" w:cs="Arial" w:eastAsia="Arial" w:hAnsi="Arial"/>
          <w:sz w:val="14"/>
          <w:szCs w:val="14"/>
          <w:color w:val="auto"/>
        </w:rPr>
      </w:pPr>
    </w:p>
    <w:p>
      <w:pPr>
        <w:ind w:left="1340" w:right="1299" w:hanging="116"/>
        <w:spacing w:after="0" w:line="277" w:lineRule="auto"/>
        <w:tabs>
          <w:tab w:leader="none" w:pos="1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Expected Volatility—Since we are not yet a public company and do not have any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9" w:name="page100"/>
    <w:bookmarkEnd w:id="9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399"/>
        <w:spacing w:after="0" w:line="290" w:lineRule="auto"/>
        <w:rPr>
          <w:sz w:val="20"/>
          <w:szCs w:val="20"/>
          <w:color w:val="auto"/>
        </w:rPr>
      </w:pPr>
      <w:r>
        <w:rPr>
          <w:rFonts w:ascii="Arial" w:cs="Arial" w:eastAsia="Arial" w:hAnsi="Arial"/>
          <w:sz w:val="14"/>
          <w:szCs w:val="14"/>
          <w:color w:val="auto"/>
        </w:rPr>
        <w:t>specialty. We will continue to apply this process until sufficient historical information regarding the volatility of our own stock price becomes available.</w:t>
      </w:r>
    </w:p>
    <w:p>
      <w:pPr>
        <w:spacing w:after="0" w:line="64" w:lineRule="exact"/>
        <w:rPr>
          <w:sz w:val="20"/>
          <w:szCs w:val="20"/>
          <w:color w:val="auto"/>
        </w:rPr>
      </w:pPr>
    </w:p>
    <w:p>
      <w:pPr>
        <w:ind w:left="1340" w:right="1279" w:hanging="116"/>
        <w:spacing w:after="0" w:line="281" w:lineRule="auto"/>
        <w:tabs>
          <w:tab w:leader="none" w:pos="1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57" w:lineRule="exact"/>
        <w:rPr>
          <w:rFonts w:ascii="Arial" w:cs="Arial" w:eastAsia="Arial" w:hAnsi="Arial"/>
          <w:sz w:val="14"/>
          <w:szCs w:val="14"/>
          <w:color w:val="auto"/>
        </w:rPr>
      </w:pPr>
    </w:p>
    <w:p>
      <w:pPr>
        <w:ind w:left="1340" w:right="1279" w:hanging="116"/>
        <w:spacing w:after="0" w:line="310" w:lineRule="auto"/>
        <w:tabs>
          <w:tab w:leader="none" w:pos="134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We have never paid dividends on our common stock and have no plans to</w:t>
      </w:r>
      <w:r>
        <w:rPr>
          <w:rFonts w:ascii="Arial" w:cs="Arial" w:eastAsia="Arial" w:hAnsi="Arial"/>
          <w:sz w:val="14"/>
          <w:szCs w:val="14"/>
          <w:i w:val="1"/>
          <w:iCs w:val="1"/>
          <w:color w:val="auto"/>
        </w:rPr>
        <w:t xml:space="preserve"> </w:t>
      </w:r>
      <w:r>
        <w:rPr>
          <w:rFonts w:ascii="Arial" w:cs="Arial" w:eastAsia="Arial" w:hAnsi="Arial"/>
          <w:sz w:val="14"/>
          <w:szCs w:val="14"/>
          <w:color w:val="auto"/>
        </w:rPr>
        <w:t>pay dividends on our common stock. Therefore, we used an expected dividend yield of zero.</w:t>
      </w:r>
    </w:p>
    <w:p>
      <w:pPr>
        <w:spacing w:after="0" w:line="8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See Note 14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Year Ended December 31, 2020 (Successor), the period from June 21, 2019 through December 31, 2019 (Successor), and the period from January 1, 2019 through June 20, 2019 (Predecessor).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00" w:lineRule="exact"/>
        <w:rPr>
          <w:sz w:val="20"/>
          <w:szCs w:val="20"/>
          <w:color w:val="auto"/>
        </w:rPr>
      </w:pPr>
    </w:p>
    <w:p>
      <w:pPr>
        <w:ind w:left="1220" w:right="1359"/>
        <w:spacing w:after="0" w:line="280" w:lineRule="auto"/>
        <w:rPr>
          <w:sz w:val="20"/>
          <w:szCs w:val="20"/>
          <w:color w:val="auto"/>
        </w:rPr>
      </w:pPr>
      <w:r>
        <w:rPr>
          <w:rFonts w:ascii="Arial" w:cs="Arial" w:eastAsia="Arial" w:hAnsi="Arial"/>
          <w:sz w:val="14"/>
          <w:szCs w:val="14"/>
          <w:color w:val="auto"/>
        </w:rPr>
        <w:t>In June 2018, Prior Century adopted the 2018 Plan. The 2018 Plan provided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w:t>
      </w:r>
    </w:p>
    <w:p>
      <w:pPr>
        <w:spacing w:after="0" w:line="285"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During the year ended December 31, 2020 and the periods from June 21, 2019 through December 31, 2019, equity compensation awards were granted from Prior Century to our employees. We recognized the costs of the stock based payments incurred by Prior Century on its behalf as our employees vest in the awards (i.e., we recognize expense measured on the same basis as Prior Century). We also record a corresponding capital contribution from Prior Century.</w:t>
      </w:r>
    </w:p>
    <w:p>
      <w:pPr>
        <w:spacing w:after="0" w:line="28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intrinsic value of all outstanding options as of March 31, 2021 was approximately</w:t>
      </w:r>
    </w:p>
    <w:p>
      <w:pPr>
        <w:spacing w:after="0" w:line="22" w:lineRule="exact"/>
        <w:rPr>
          <w:sz w:val="20"/>
          <w:szCs w:val="20"/>
          <w:color w:val="auto"/>
        </w:rPr>
      </w:pPr>
    </w:p>
    <w:p>
      <w:pPr>
        <w:ind w:left="1220"/>
        <w:spacing w:after="0"/>
        <w:tabs>
          <w:tab w:leader="none" w:pos="2160" w:val="left"/>
          <w:tab w:leader="none" w:pos="71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million, based on the assumed initial public offering price of $</w:t>
      </w:r>
      <w:r>
        <w:rPr>
          <w:sz w:val="20"/>
          <w:szCs w:val="20"/>
          <w:color w:val="auto"/>
        </w:rPr>
        <w:tab/>
      </w:r>
      <w:r>
        <w:rPr>
          <w:rFonts w:ascii="Arial" w:cs="Arial" w:eastAsia="Arial" w:hAnsi="Arial"/>
          <w:sz w:val="13"/>
          <w:szCs w:val="13"/>
          <w:color w:val="auto"/>
        </w:rPr>
        <w:t>per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share, which is the midpoint of the estimated initial public offering price range set forth on the</w:t>
      </w:r>
    </w:p>
    <w:p>
      <w:pPr>
        <w:spacing w:after="0" w:line="344" w:lineRule="exact"/>
        <w:rPr>
          <w:sz w:val="20"/>
          <w:szCs w:val="20"/>
          <w:color w:val="auto"/>
        </w:rPr>
      </w:pPr>
    </w:p>
    <w:p>
      <w:pPr>
        <w:ind w:left="1220" w:right="1419"/>
        <w:spacing w:after="0" w:line="290" w:lineRule="auto"/>
        <w:rPr>
          <w:sz w:val="20"/>
          <w:szCs w:val="20"/>
          <w:color w:val="auto"/>
        </w:rPr>
      </w:pPr>
      <w:r>
        <w:rPr>
          <w:rFonts w:ascii="Arial" w:cs="Arial" w:eastAsia="Arial" w:hAnsi="Arial"/>
          <w:sz w:val="14"/>
          <w:szCs w:val="14"/>
          <w:color w:val="auto"/>
        </w:rPr>
        <w:t>cover page of this prospectus, of which approximately $ million is related to vested options and approximately $ million is related to unvested options.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6"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 xml:space="preserve">Prior to this offering, we were a privately-held company with no active public market for our common stock. Therefore, our board of directors, with the assistance and upon the recommendation of management, has for financial reporting purposes periodically determined the estimated per share fair value of our common stock on the date of grant in part using contemporaneous independent third-party valuations consistent with the American Institute of Certified Public Accountants Practice Aid, </w:t>
      </w:r>
      <w:r>
        <w:rPr>
          <w:rFonts w:ascii="Arial" w:cs="Arial" w:eastAsia="Arial" w:hAnsi="Arial"/>
          <w:sz w:val="14"/>
          <w:szCs w:val="14"/>
          <w:i w:val="1"/>
          <w:iCs w:val="1"/>
          <w:color w:val="auto"/>
        </w:rPr>
        <w:t>Valuation of Privately-Held Company Equity Securities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Issued as Compensation </w:t>
      </w:r>
      <w:r>
        <w:rPr>
          <w:rFonts w:ascii="Arial" w:cs="Arial" w:eastAsia="Arial" w:hAnsi="Arial"/>
          <w:sz w:val="14"/>
          <w:szCs w:val="14"/>
          <w:color w:val="auto"/>
        </w:rPr>
        <w:t>(Practice Aid). Within the contemporaneous valuations performed by our</w:t>
      </w:r>
      <w:r>
        <w:rPr>
          <w:rFonts w:ascii="Arial" w:cs="Arial" w:eastAsia="Arial" w:hAnsi="Arial"/>
          <w:sz w:val="14"/>
          <w:szCs w:val="14"/>
          <w:i w:val="1"/>
          <w:iCs w:val="1"/>
          <w:color w:val="auto"/>
        </w:rPr>
        <w:t xml:space="preserve"> </w:t>
      </w:r>
      <w:r>
        <w:rPr>
          <w:rFonts w:ascii="Arial" w:cs="Arial" w:eastAsia="Arial" w:hAnsi="Arial"/>
          <w:sz w:val="14"/>
          <w:szCs w:val="14"/>
          <w:color w:val="auto"/>
        </w:rPr>
        <w:t>board of directors, a range of factors, assumptions, and methodologies were used. The significant objective and subjective factors included, but are not limited to:</w:t>
      </w:r>
    </w:p>
    <w:p>
      <w:pPr>
        <w:spacing w:after="0" w:line="256" w:lineRule="exact"/>
        <w:rPr>
          <w:sz w:val="20"/>
          <w:szCs w:val="20"/>
          <w:color w:val="auto"/>
        </w:rPr>
      </w:pPr>
    </w:p>
    <w:p>
      <w:pPr>
        <w:ind w:left="1340" w:right="1299" w:hanging="116"/>
        <w:spacing w:after="0" w:line="290" w:lineRule="auto"/>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most recently available valuations of our common stock performed by an independent third-party valuation firm;</w:t>
      </w:r>
    </w:p>
    <w:p>
      <w:pPr>
        <w:spacing w:after="0" w:line="64" w:lineRule="exact"/>
        <w:rPr>
          <w:rFonts w:ascii="Arial" w:cs="Arial" w:eastAsia="Arial" w:hAnsi="Arial"/>
          <w:sz w:val="14"/>
          <w:szCs w:val="14"/>
          <w:color w:val="auto"/>
        </w:rPr>
      </w:pPr>
    </w:p>
    <w:p>
      <w:pPr>
        <w:ind w:left="1340" w:right="1719" w:hanging="116"/>
        <w:spacing w:after="0" w:line="281" w:lineRule="auto"/>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prices of shares of our convertible preferred stock sold to investors in arm’s length transactions, and the rights, preferences and privileges of our convertible preferred stock relative to our common stock;</w:t>
      </w:r>
    </w:p>
    <w:p>
      <w:pPr>
        <w:spacing w:after="0" w:line="71" w:lineRule="exact"/>
        <w:rPr>
          <w:rFonts w:ascii="Arial" w:cs="Arial" w:eastAsia="Arial" w:hAnsi="Arial"/>
          <w:sz w:val="14"/>
          <w:szCs w:val="14"/>
          <w:color w:val="auto"/>
        </w:rPr>
      </w:pPr>
    </w:p>
    <w:p>
      <w:pPr>
        <w:ind w:left="1340" w:hanging="116"/>
        <w:spacing w:after="0"/>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committed future rounds of funding;</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stage of development and material risks related to our business;</w:t>
      </w:r>
    </w:p>
    <w:p>
      <w:pPr>
        <w:spacing w:after="0" w:line="108" w:lineRule="exact"/>
        <w:rPr>
          <w:rFonts w:ascii="Arial" w:cs="Arial" w:eastAsia="Arial" w:hAnsi="Arial"/>
          <w:sz w:val="14"/>
          <w:szCs w:val="14"/>
          <w:color w:val="auto"/>
        </w:rPr>
      </w:pPr>
    </w:p>
    <w:p>
      <w:pPr>
        <w:ind w:left="1340" w:right="1899" w:hanging="116"/>
        <w:spacing w:after="0" w:line="290" w:lineRule="auto"/>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results of operations and financial position, including our levels of available capital resources;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0" w:name="page101"/>
    <w:bookmarkEnd w:id="10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hanging="116"/>
        <w:spacing w:after="0"/>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progress of our research and development activities;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lack of marketability of our common stock as a private company;</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hiring of key personnel and the experience of management;</w:t>
      </w:r>
    </w:p>
    <w:p>
      <w:pPr>
        <w:spacing w:after="0" w:line="108" w:lineRule="exact"/>
        <w:rPr>
          <w:rFonts w:ascii="Arial" w:cs="Arial" w:eastAsia="Arial" w:hAnsi="Arial"/>
          <w:sz w:val="14"/>
          <w:szCs w:val="14"/>
          <w:color w:val="auto"/>
        </w:rPr>
      </w:pPr>
    </w:p>
    <w:p>
      <w:pPr>
        <w:ind w:left="1340" w:right="1639" w:hanging="116"/>
        <w:spacing w:after="0" w:line="290" w:lineRule="auto"/>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likelihood of achieving a liquidity event for our securityholders, such as an initial public offering or a sale of our company, given prevailing market conditions;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valuation of publicly traded companies in the life sciences and biotechnology sectors, as well as recently completed mergers and acquisitions of peer companies;</w:t>
      </w:r>
    </w:p>
    <w:p>
      <w:pPr>
        <w:spacing w:after="0" w:line="64" w:lineRule="exact"/>
        <w:rPr>
          <w:rFonts w:ascii="Arial" w:cs="Arial" w:eastAsia="Arial" w:hAnsi="Arial"/>
          <w:sz w:val="14"/>
          <w:szCs w:val="14"/>
          <w:color w:val="auto"/>
        </w:rPr>
      </w:pPr>
    </w:p>
    <w:p>
      <w:pPr>
        <w:ind w:left="1340" w:right="1799" w:hanging="116"/>
        <w:spacing w:after="0" w:line="290" w:lineRule="auto"/>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status of strategic transactions, including the acquisition and licensing of intellectual property and technology;</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trends and developments in our industry;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external market conditions affecting the life sciences and biotechnology industry sectors.</w:t>
      </w:r>
    </w:p>
    <w:p>
      <w:pPr>
        <w:spacing w:after="0" w:line="130"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Our board of directors exercises significant judgment in estimating the fair value of our common stock. Such estimates involve inherent uncertainties and the application of significant judgment. As a result, if factors or expected outcomes change and we use significantly different assumptions or estimates, our equity-based compensation could be materially different. Changes in judgments could have a material impact on our results of operations.</w:t>
      </w:r>
    </w:p>
    <w:p>
      <w:pPr>
        <w:spacing w:after="0" w:line="10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For our valuations performed prior to December 31, 2020, in accordance with the Practice Aid, we determined the option pricing model (OPM) method, utilizing recent rounds of preferred financing when available and if a recent round of financing wasn’t available utilizing an equity value determined by the amount invested in the company plus a market return, was the most appropriate method for determining the fair value of our common stock based on our stage of development and other relevant factors. The OPM framework, utilizing a recent round of financing (the backsolve method) infers the equity value implied by a recent financing transaction by making assumptions for the expected time to liquidity, volatility, discount for lack of marketability, and risk-free rate and then solving for the value of equity such that value for the most recent financing equals the amount paid. This method was selected as management concluded that the contemporaneous financing transactions were arms’-length transactions. The OPM framework utilizing the amount invested in the company plus a return provides the basis for the equity value in the OPM and then utilizes certain assumptions for the expected time to liquidity, volatility, discount for lack of marketability, and risk-free rate to estimate the fair value of the common stock.</w:t>
      </w:r>
    </w:p>
    <w:p>
      <w:pPr>
        <w:spacing w:after="0" w:line="200" w:lineRule="exact"/>
        <w:rPr>
          <w:sz w:val="20"/>
          <w:szCs w:val="20"/>
          <w:color w:val="auto"/>
        </w:rPr>
      </w:pPr>
    </w:p>
    <w:p>
      <w:pPr>
        <w:spacing w:after="0" w:line="272"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For our valuations performed after December 31, 2020 we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w:t>
      </w:r>
    </w:p>
    <w:p>
      <w:pPr>
        <w:spacing w:after="0" w:line="280"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Following the closing of this offering, the fair market value of our common stock will be the closing price of our common stock on the date of grant on the primary stock exchange on which our common stock is traded.</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Recently adopted and recent accounting pronouncements</w:t>
      </w:r>
    </w:p>
    <w:p>
      <w:pPr>
        <w:spacing w:after="0" w:line="144"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See Note 2 to our audited consolidated financial statements included elsewhere in this prospectus for information about recent accounting pronouncements, the timing of their adoption, and our assessment, to the extent we have made one yet, of their potential impact on our financial condition or results of operations.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1" w:name="page102"/>
    <w:bookmarkEnd w:id="10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Business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Overview</w:t>
      </w:r>
    </w:p>
    <w:p>
      <w:pPr>
        <w:spacing w:after="0" w:line="122" w:lineRule="exact"/>
        <w:rPr>
          <w:sz w:val="20"/>
          <w:szCs w:val="20"/>
          <w:color w:val="auto"/>
        </w:rPr>
      </w:pPr>
    </w:p>
    <w:p>
      <w:pPr>
        <w:ind w:left="1220" w:right="1239"/>
        <w:spacing w:after="0" w:line="251"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key elements of our approach include:</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efficient precision gene editing technology:</w:t>
      </w:r>
    </w:p>
    <w:p>
      <w:pPr>
        <w:spacing w:after="0" w:line="125"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We have developed highly efficient gene engineering processes to generate our product candidates. Our first product candidate will have six CRISPR-mediated homologous recombination and repair edits, and we plan to incorporate additional edits in our future product candidates. We are currently using the CRISPR-MAD7 nuclease to enable precise editing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2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51" w:lineRule="exact"/>
        <w:rPr>
          <w:sz w:val="20"/>
          <w:szCs w:val="20"/>
          <w:color w:val="auto"/>
        </w:rPr>
      </w:pPr>
    </w:p>
    <w:p>
      <w:pPr>
        <w:ind w:left="1220" w:right="1279"/>
        <w:spacing w:after="0" w:line="238" w:lineRule="auto"/>
        <w:rPr>
          <w:sz w:val="20"/>
          <w:szCs w:val="20"/>
          <w:color w:val="auto"/>
        </w:rPr>
      </w:pPr>
      <w:r>
        <w:rPr>
          <w:rFonts w:ascii="Arial" w:cs="Arial" w:eastAsia="Arial" w:hAnsi="Arial"/>
          <w:sz w:val="14"/>
          <w:szCs w:val="14"/>
          <w:color w:val="auto"/>
        </w:rPr>
        <w:t>We are leveraging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design cells capable of evading identification and destruction by the host immune system. We believe this technology may permit dosing in patients with limited or no</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2" w:name="page103"/>
    <w:bookmarkEnd w:id="10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5" w:lineRule="auto"/>
        <w:rPr>
          <w:sz w:val="20"/>
          <w:szCs w:val="20"/>
          <w:color w:val="auto"/>
        </w:rPr>
      </w:pPr>
      <w:r>
        <w:rPr>
          <w:rFonts w:ascii="Arial" w:cs="Arial" w:eastAsia="Arial" w:hAnsi="Arial"/>
          <w:sz w:val="14"/>
          <w:szCs w:val="14"/>
          <w:color w:val="auto"/>
        </w:rPr>
        <w:t>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CAR and protein engineering:</w:t>
      </w:r>
    </w:p>
    <w:p>
      <w:pPr>
        <w:spacing w:after="0" w:line="12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CAR design is a critical component of innovative cell therapy 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Common engineered iPSC progenitor accelerates new product candidate generation:</w:t>
      </w:r>
    </w:p>
    <w:p>
      <w:pPr>
        <w:spacing w:after="0" w:line="13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Significant acceleration of new product candidate generation.</w:t>
      </w:r>
    </w:p>
    <w:p>
      <w:pPr>
        <w:spacing w:after="0" w:line="134"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Multiple product candidates 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Robust manufacturing processes for multiple product candidates.</w:t>
      </w:r>
    </w:p>
    <w:p>
      <w:pPr>
        <w:spacing w:after="0" w:line="123" w:lineRule="exact"/>
        <w:rPr>
          <w:sz w:val="20"/>
          <w:szCs w:val="20"/>
          <w:color w:val="auto"/>
        </w:rPr>
      </w:pPr>
    </w:p>
    <w:p>
      <w:pPr>
        <w:ind w:left="1220" w:right="1719"/>
        <w:spacing w:after="0" w:line="274" w:lineRule="auto"/>
        <w:rPr>
          <w:sz w:val="20"/>
          <w:szCs w:val="20"/>
          <w:color w:val="auto"/>
        </w:rPr>
      </w:pPr>
      <w:r>
        <w:rPr>
          <w:rFonts w:ascii="Arial" w:cs="Arial" w:eastAsia="Arial" w:hAnsi="Arial"/>
          <w:sz w:val="14"/>
          <w:szCs w:val="14"/>
          <w:color w:val="auto"/>
        </w:rPr>
        <w:t>Since the starting iPSC line is the same for multiple product candidates, our manufacturing processes are predictable and robust.</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Predictability of product candidate functionality, safety, and persistence.</w:t>
      </w:r>
    </w:p>
    <w:p>
      <w:pPr>
        <w:spacing w:after="0" w:line="134" w:lineRule="exact"/>
        <w:rPr>
          <w:sz w:val="20"/>
          <w:szCs w:val="20"/>
          <w:color w:val="auto"/>
        </w:rPr>
      </w:pPr>
    </w:p>
    <w:p>
      <w:pPr>
        <w:ind w:left="1220" w:right="1559"/>
        <w:spacing w:after="0" w:line="262" w:lineRule="auto"/>
        <w:rPr>
          <w:sz w:val="20"/>
          <w:szCs w:val="20"/>
          <w:color w:val="auto"/>
        </w:rPr>
      </w:pPr>
      <w:r>
        <w:rPr>
          <w:rFonts w:ascii="Arial" w:cs="Arial" w:eastAsia="Arial" w:hAnsi="Arial"/>
          <w:sz w:val="14"/>
          <w:szCs w:val="14"/>
          <w:color w:val="auto"/>
        </w:rPr>
        <w:t>Because multiple 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10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hematological and solid tumor malignancies. Our approach to developing therapies for life-threatening cancers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3" w:name="page104"/>
    <w:bookmarkEnd w:id="10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739"/>
        <w:spacing w:after="0" w:line="297" w:lineRule="auto"/>
        <w:rPr>
          <w:sz w:val="20"/>
          <w:szCs w:val="20"/>
          <w:color w:val="auto"/>
        </w:rPr>
      </w:pPr>
      <w:r>
        <w:rPr>
          <w:rFonts w:ascii="Arial" w:cs="Arial" w:eastAsia="Arial" w:hAnsi="Arial"/>
          <w:sz w:val="14"/>
          <w:szCs w:val="14"/>
          <w:color w:val="auto"/>
        </w:rPr>
        <w:t>of highly unmet medical need potentially presents an opportunity to efficiently advance our product candidates through clinical development, regulatory approval and ultimately to commercialization.</w:t>
      </w:r>
    </w:p>
    <w:p>
      <w:pPr>
        <w:spacing w:after="0" w:line="93" w:lineRule="exact"/>
        <w:rPr>
          <w:sz w:val="20"/>
          <w:szCs w:val="20"/>
          <w:color w:val="auto"/>
        </w:rPr>
      </w:pPr>
    </w:p>
    <w:p>
      <w:pPr>
        <w:ind w:left="1220" w:right="1339"/>
        <w:spacing w:after="0" w:line="292"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300" w:lineRule="exact"/>
        <w:rPr>
          <w:sz w:val="20"/>
          <w:szCs w:val="20"/>
          <w:color w:val="auto"/>
        </w:rPr>
      </w:pPr>
    </w:p>
    <w:p>
      <w:pPr>
        <w:ind w:left="1220" w:right="1259"/>
        <w:spacing w:after="0" w:line="291"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300" w:lineRule="exact"/>
        <w:rPr>
          <w:sz w:val="20"/>
          <w:szCs w:val="20"/>
          <w:color w:val="auto"/>
        </w:rPr>
      </w:pPr>
    </w:p>
    <w:p>
      <w:pPr>
        <w:ind w:left="1220" w:right="1399"/>
        <w:spacing w:after="0" w:line="292"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96" w:lineRule="exact"/>
        <w:rPr>
          <w:sz w:val="20"/>
          <w:szCs w:val="20"/>
          <w:color w:val="auto"/>
        </w:rPr>
      </w:pPr>
    </w:p>
    <w:p>
      <w:pPr>
        <w:ind w:left="1220" w:right="1439"/>
        <w:spacing w:after="0" w:line="293"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pipeline</w:t>
      </w:r>
    </w:p>
    <w:p>
      <w:pPr>
        <w:spacing w:after="0" w:line="144" w:lineRule="exact"/>
        <w:rPr>
          <w:sz w:val="20"/>
          <w:szCs w:val="20"/>
          <w:color w:val="auto"/>
        </w:rPr>
      </w:pPr>
    </w:p>
    <w:p>
      <w:pPr>
        <w:ind w:left="1220" w:right="1359"/>
        <w:spacing w:after="0" w:line="279"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4" w:name="page105"/>
    <w:bookmarkEnd w:id="10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103505</wp:posOffset>
            </wp:positionV>
            <wp:extent cx="3747770" cy="10617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47770" cy="106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80" w:right="1339" w:hanging="256"/>
        <w:spacing w:after="0" w:line="246" w:lineRule="auto"/>
        <w:tabs>
          <w:tab w:leader="none" w:pos="1480" w:val="left"/>
        </w:tabs>
        <w:numPr>
          <w:ilvl w:val="0"/>
          <w:numId w:val="72"/>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5" w:lineRule="exact"/>
        <w:rPr>
          <w:sz w:val="20"/>
          <w:szCs w:val="20"/>
          <w:color w:val="auto"/>
        </w:rPr>
      </w:pPr>
    </w:p>
    <w:p>
      <w:pPr>
        <w:ind w:left="1220" w:right="2039"/>
        <w:spacing w:after="0" w:line="265" w:lineRule="auto"/>
        <w:rPr>
          <w:sz w:val="20"/>
          <w:szCs w:val="20"/>
          <w:color w:val="auto"/>
        </w:rPr>
      </w:pPr>
      <w:r>
        <w:rPr>
          <w:rFonts w:ascii="Arial" w:cs="Arial" w:eastAsia="Arial" w:hAnsi="Arial"/>
          <w:sz w:val="14"/>
          <w:szCs w:val="14"/>
          <w:b w:val="1"/>
          <w:bCs w:val="1"/>
          <w:i w:val="1"/>
          <w:iCs w:val="1"/>
          <w:color w:val="auto"/>
        </w:rPr>
        <w:t>CNTY-101: Our CAR-iNK candidate targeting CD19 for relapsed, refractory B-cell lymphoma.</w:t>
      </w:r>
    </w:p>
    <w:p>
      <w:pPr>
        <w:spacing w:after="0" w:line="92" w:lineRule="exact"/>
        <w:rPr>
          <w:sz w:val="20"/>
          <w:szCs w:val="20"/>
          <w:color w:val="auto"/>
        </w:rPr>
      </w:pPr>
    </w:p>
    <w:p>
      <w:pPr>
        <w:ind w:left="1220" w:right="1299"/>
        <w:spacing w:after="0" w:line="239" w:lineRule="auto"/>
        <w:rPr>
          <w:sz w:val="20"/>
          <w:szCs w:val="20"/>
          <w:color w:val="auto"/>
        </w:rPr>
      </w:pPr>
      <w:r>
        <w:rPr>
          <w:rFonts w:ascii="Arial" w:cs="Arial" w:eastAsia="Arial" w:hAnsi="Arial"/>
          <w:sz w:val="14"/>
          <w:szCs w:val="14"/>
          <w:color w:val="auto"/>
        </w:rPr>
        <w:t>Our lead product candidate, CNTY-101, is an allogeneic, iPSC-derived CAR-iNK cell 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15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CNTY-103: Our CAR-iNK candidate targeting CD133 + EGFR for recurrent glioblastoma.</w:t>
      </w:r>
    </w:p>
    <w:p>
      <w:pPr>
        <w:spacing w:after="0" w:line="125"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We 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135" w:lineRule="exact"/>
        <w:rPr>
          <w:sz w:val="20"/>
          <w:szCs w:val="20"/>
          <w:color w:val="auto"/>
        </w:rPr>
      </w:pPr>
    </w:p>
    <w:p>
      <w:pPr>
        <w:ind w:left="1220" w:right="1859"/>
        <w:spacing w:after="0" w:line="265" w:lineRule="auto"/>
        <w:rPr>
          <w:sz w:val="20"/>
          <w:szCs w:val="20"/>
          <w:color w:val="auto"/>
        </w:rPr>
      </w:pPr>
      <w:r>
        <w:rPr>
          <w:rFonts w:ascii="Arial" w:cs="Arial" w:eastAsia="Arial" w:hAnsi="Arial"/>
          <w:sz w:val="14"/>
          <w:szCs w:val="14"/>
          <w:b w:val="1"/>
          <w:bCs w:val="1"/>
          <w:i w:val="1"/>
          <w:iCs w:val="1"/>
          <w:color w:val="auto"/>
        </w:rPr>
        <w:t>CNTY-102: Our CAR-iT or CAR-iNK candidate targeting CD19 + CD79b for relapsed, refractory B-cell lymphoma and other B-cell malignancies.</w:t>
      </w:r>
    </w:p>
    <w:p>
      <w:pPr>
        <w:spacing w:after="0" w:line="92"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CNTY-102 will simultaneously 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CNTY-104: Our CAR-iNK or CAR-iT multi-specific candidate for acute myeloid leukemia.</w:t>
      </w:r>
    </w:p>
    <w:p>
      <w:pPr>
        <w:spacing w:after="0" w:line="13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5"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5" w:name="page106"/>
    <w:bookmarkEnd w:id="10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b w:val="1"/>
          <w:bCs w:val="1"/>
          <w:i w:val="1"/>
          <w:iCs w:val="1"/>
          <w:color w:val="auto"/>
        </w:rPr>
        <w:t>Our use of iPSCs provides us with a differentiated advantage in product development and manufacturing</w:t>
      </w:r>
    </w:p>
    <w:p>
      <w:pPr>
        <w:spacing w:after="0" w:line="92"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200" w:lineRule="exact"/>
        <w:rPr>
          <w:sz w:val="20"/>
          <w:szCs w:val="20"/>
          <w:color w:val="auto"/>
        </w:rPr>
      </w:pPr>
    </w:p>
    <w:p>
      <w:pPr>
        <w:spacing w:after="0" w:line="280" w:lineRule="exact"/>
        <w:rPr>
          <w:sz w:val="20"/>
          <w:szCs w:val="20"/>
          <w:color w:val="auto"/>
        </w:rPr>
      </w:pPr>
    </w:p>
    <w:p>
      <w:pPr>
        <w:ind w:left="1220" w:right="1399"/>
        <w:spacing w:after="0" w:line="278" w:lineRule="auto"/>
        <w:rPr>
          <w:sz w:val="20"/>
          <w:szCs w:val="20"/>
          <w:color w:val="auto"/>
        </w:rPr>
      </w:pPr>
      <w:r>
        <w:rPr>
          <w:rFonts w:ascii="Arial" w:cs="Arial" w:eastAsia="Arial" w:hAnsi="Arial"/>
          <w:sz w:val="14"/>
          <w:szCs w:val="14"/>
          <w:color w:val="auto"/>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121920</wp:posOffset>
            </wp:positionV>
            <wp:extent cx="3960495" cy="1041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60495" cy="1041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iPSC-derived allogeneic cells differentiate our therapeutic development approach</w:t>
      </w:r>
    </w:p>
    <w:p>
      <w:pPr>
        <w:spacing w:after="0" w:line="146"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The source cells used in the manufacture of our allogeneic cell therapy candidates are induced pluripotent stem cells, or iPSCs. An iPSC is a type of stem cell that can be generated directly from a somatic cell. A somatic cell is a cell that has become functionally differentiated, or specialized, such as a blood cell, skin cell or bone cell. IPSC-derived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281"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believe the use of iPSCs will enable us to manufacture cell therapies of increased consistency, in a shorter period of time, at scale and at reduced cost compared to donor-derived NK or T cell therapies. Unlike these donor-derived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6" w:name="page107"/>
    <w:bookmarkEnd w:id="10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599"/>
        <w:spacing w:after="0" w:line="274" w:lineRule="auto"/>
        <w:rPr>
          <w:sz w:val="20"/>
          <w:szCs w:val="20"/>
          <w:color w:val="auto"/>
        </w:rPr>
      </w:pPr>
      <w:r>
        <w:rPr>
          <w:rFonts w:ascii="Arial" w:cs="Arial" w:eastAsia="Arial" w:hAnsi="Arial"/>
          <w:sz w:val="14"/>
          <w:szCs w:val="14"/>
          <w:color w:val="auto"/>
        </w:rPr>
        <w:t>alterations. A single cell clone is used to construct a master cell bank capable of providing a sufficient number of doses for the life of a product due to the unlimited replicative capacity of iPSCs.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use of iPSCs provide us with differentiated advantages in product development and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117475</wp:posOffset>
            </wp:positionV>
            <wp:extent cx="3960495" cy="15278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60495" cy="152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strategy</w:t>
      </w:r>
    </w:p>
    <w:p>
      <w:pPr>
        <w:spacing w:after="0" w:line="122"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research,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43" w:lineRule="exact"/>
        <w:rPr>
          <w:sz w:val="20"/>
          <w:szCs w:val="20"/>
          <w:color w:val="auto"/>
        </w:rPr>
      </w:pPr>
    </w:p>
    <w:p>
      <w:pPr>
        <w:ind w:left="1600" w:right="1339" w:hanging="117"/>
        <w:spacing w:after="0" w:line="264" w:lineRule="auto"/>
        <w:tabs>
          <w:tab w:leader="none" w:pos="1600" w:val="left"/>
        </w:tabs>
        <w:numPr>
          <w:ilvl w:val="0"/>
          <w:numId w:val="7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4"/>
          <w:szCs w:val="14"/>
          <w:color w:val="auto"/>
        </w:rPr>
        <w:t>We have created comprehensive allogeneic cell therapy platforms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industry-leading iPSC differentiation know-how, CRISPR-mediated precision gene editing, sophisticated protein engineering capabilities,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and cutting 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65" w:lineRule="exact"/>
        <w:rPr>
          <w:rFonts w:ascii="Arial" w:cs="Arial" w:eastAsia="Arial" w:hAnsi="Arial"/>
          <w:sz w:val="14"/>
          <w:szCs w:val="14"/>
          <w:color w:val="auto"/>
        </w:rPr>
      </w:pPr>
    </w:p>
    <w:p>
      <w:pPr>
        <w:ind w:left="1600" w:right="1379" w:hanging="117"/>
        <w:spacing w:after="0" w:line="278" w:lineRule="auto"/>
        <w:tabs>
          <w:tab w:leader="none" w:pos="1600" w:val="left"/>
        </w:tabs>
        <w:numPr>
          <w:ilvl w:val="0"/>
          <w:numId w:val="7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Maximize the potential to treat a broad range of cancers by exploiting the distinct biologies of both NK and T cells. </w:t>
      </w:r>
      <w:r>
        <w:rPr>
          <w:rFonts w:ascii="Arial" w:cs="Arial" w:eastAsia="Arial" w:hAnsi="Arial"/>
          <w:sz w:val="14"/>
          <w:szCs w:val="14"/>
          <w:color w:val="auto"/>
        </w:rPr>
        <w:t>We are initially developing our CAR-iNK and CAR-iT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cell therapy platforms for multiple indications including lymphoma, glioblastoma, acute myeloid leukemia and other solid tumor and hematological malignancies.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w:t>
      </w:r>
    </w:p>
    <w:p>
      <w:pPr>
        <w:spacing w:after="0" w:line="30" w:lineRule="exact"/>
        <w:rPr>
          <w:rFonts w:ascii="Arial" w:cs="Arial" w:eastAsia="Arial" w:hAnsi="Arial"/>
          <w:sz w:val="14"/>
          <w:szCs w:val="14"/>
          <w:color w:val="auto"/>
        </w:rPr>
      </w:pPr>
    </w:p>
    <w:p>
      <w:pPr>
        <w:ind w:left="1600" w:right="1319" w:hanging="117"/>
        <w:spacing w:after="0" w:line="254" w:lineRule="auto"/>
        <w:tabs>
          <w:tab w:leader="none" w:pos="1600" w:val="left"/>
        </w:tabs>
        <w:numPr>
          <w:ilvl w:val="0"/>
          <w:numId w:val="73"/>
        </w:numPr>
        <w:rPr>
          <w:rFonts w:ascii="Arial" w:cs="Arial" w:eastAsia="Arial" w:hAnsi="Arial"/>
          <w:sz w:val="14"/>
          <w:szCs w:val="14"/>
          <w:color w:val="auto"/>
        </w:rPr>
      </w:pPr>
      <w:r>
        <w:rPr>
          <w:rFonts w:ascii="Arial" w:cs="Arial" w:eastAsia="Arial" w:hAnsi="Arial"/>
          <w:sz w:val="14"/>
          <w:szCs w:val="14"/>
          <w:b w:val="1"/>
          <w:bCs w:val="1"/>
          <w:i w:val="1"/>
          <w:iCs w:val="1"/>
          <w:color w:val="auto"/>
        </w:rPr>
        <w:t>Leverage our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 across our product platform to avoid host rejection and enable repeat dosing. </w:t>
      </w:r>
      <w:r>
        <w:rPr>
          <w:rFonts w:ascii="Arial" w:cs="Arial" w:eastAsia="Arial" w:hAnsi="Arial"/>
          <w:sz w:val="14"/>
          <w:szCs w:val="14"/>
          <w:color w:val="auto"/>
        </w:rPr>
        <w:t>Central to the potential clinical performance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iPSC-derived cell therapies is our novel and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7" w:name="page108"/>
    <w:bookmarkEnd w:id="10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0" w:right="1279"/>
        <w:spacing w:after="0" w:line="265" w:lineRule="auto"/>
        <w:rPr>
          <w:sz w:val="20"/>
          <w:szCs w:val="20"/>
          <w:color w:val="auto"/>
        </w:rPr>
      </w:pPr>
      <w:r>
        <w:rPr>
          <w:rFonts w:ascii="Arial" w:cs="Arial" w:eastAsia="Arial" w:hAnsi="Arial"/>
          <w:sz w:val="14"/>
          <w:szCs w:val="14"/>
          <w:color w:val="auto"/>
        </w:rPr>
        <w:t>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pacing w:after="0" w:line="228" w:lineRule="exact"/>
        <w:rPr>
          <w:sz w:val="20"/>
          <w:szCs w:val="20"/>
          <w:color w:val="auto"/>
        </w:rPr>
      </w:pPr>
    </w:p>
    <w:p>
      <w:pPr>
        <w:ind w:left="1600" w:right="1439" w:hanging="117"/>
        <w:spacing w:after="0" w:line="277" w:lineRule="auto"/>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Exploit serial gene editing of iPSCs to create product candidates with enhanced functionalities and fit for purpose product characteristics. </w:t>
      </w:r>
      <w:r>
        <w:rPr>
          <w:rFonts w:ascii="Arial" w:cs="Arial" w:eastAsia="Arial" w:hAnsi="Arial"/>
          <w:sz w:val="14"/>
          <w:szCs w:val="14"/>
          <w:color w:val="auto"/>
        </w:rPr>
        <w:t>We utilize CRISPR-mediated precision gene editing that allows us to incorporate multiple transgenes and knock-outs to achieve precise genetic modifications at defined locations in the iPSC genome. Our first clinical product candidate, CNTY-101, will incorporate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57" w:lineRule="exact"/>
        <w:rPr>
          <w:rFonts w:ascii="Arial" w:cs="Arial" w:eastAsia="Arial" w:hAnsi="Arial"/>
          <w:sz w:val="14"/>
          <w:szCs w:val="14"/>
          <w:color w:val="auto"/>
        </w:rPr>
      </w:pPr>
    </w:p>
    <w:p>
      <w:pPr>
        <w:ind w:left="1600" w:right="1259" w:hanging="117"/>
        <w:spacing w:after="0" w:line="278" w:lineRule="auto"/>
        <w:tabs>
          <w:tab w:leader="none" w:pos="1600" w:val="left"/>
        </w:tabs>
        <w:numPr>
          <w:ilvl w:val="0"/>
          <w:numId w:val="7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own manufacturing infrastructure, product and process understanding, and scale-up technologies to minimize manufacturing risk. </w:t>
      </w:r>
      <w:r>
        <w:rPr>
          <w:rFonts w:ascii="Arial" w:cs="Arial" w:eastAsia="Arial" w:hAnsi="Arial"/>
          <w:sz w:val="14"/>
          <w:szCs w:val="14"/>
          <w:color w:val="auto"/>
        </w:rPr>
        <w:t>We are strategically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investing in manufacturing across all aspects of the value chain to become leaders in the industry. We are building internal manufacturing facilities that we believe will enable us to learn and iterate more rapidly and increase control of development timelines for expedited clinical development of high quality products. We will continue to invest in process and analytical development capabilities and closely study our cell process parameters that affect product quality. Furthermore, we intend to establish expertise in scale-up technologies designed to enable optimal manufacturing scale, which will reduce cost of goods and improve patient access.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Background</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The role of NK cells and T cells in the human immune system</w:t>
      </w:r>
    </w:p>
    <w:p>
      <w:pPr>
        <w:spacing w:after="0" w:line="136" w:lineRule="exact"/>
        <w:rPr>
          <w:sz w:val="20"/>
          <w:szCs w:val="20"/>
          <w:color w:val="auto"/>
        </w:rPr>
      </w:pPr>
    </w:p>
    <w:p>
      <w:pPr>
        <w:ind w:left="1220" w:right="1239"/>
        <w:spacing w:after="0" w:line="262" w:lineRule="auto"/>
        <w:rPr>
          <w:sz w:val="20"/>
          <w:szCs w:val="20"/>
          <w:color w:val="auto"/>
        </w:rPr>
      </w:pPr>
      <w:r>
        <w:rPr>
          <w:rFonts w:ascii="Arial" w:cs="Arial" w:eastAsia="Arial" w:hAnsi="Arial"/>
          <w:sz w:val="14"/>
          <w:szCs w:val="14"/>
          <w:color w:val="auto"/>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Innate immune system—NK Cells</w:t>
      </w:r>
    </w:p>
    <w:p>
      <w:pPr>
        <w:spacing w:after="0" w:line="12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Adaptive immune system—T Cells</w:t>
      </w:r>
    </w:p>
    <w:p>
      <w:pPr>
        <w:spacing w:after="0" w:line="134"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8" w:name="page109"/>
    <w:bookmarkEnd w:id="10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74" w:lineRule="auto"/>
        <w:rPr>
          <w:sz w:val="20"/>
          <w:szCs w:val="20"/>
          <w:color w:val="auto"/>
        </w:rPr>
      </w:pPr>
      <w:r>
        <w:rPr>
          <w:rFonts w:ascii="Arial" w:cs="Arial" w:eastAsia="Arial" w:hAnsi="Arial"/>
          <w:sz w:val="14"/>
          <w:szCs w:val="14"/>
          <w:color w:val="auto"/>
        </w:rPr>
        <w:t>same pathogen. We seek to take advantage of the unique properties of T cells and their proven anti-cancer activity to engineer iPSC-derived T cell products.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Cellular immunotherapy and its use in the treatment of cancer</w:t>
      </w:r>
    </w:p>
    <w:p>
      <w:pPr>
        <w:spacing w:after="0" w:line="122"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CARs on the surface of a lymphocyte that enable the CTL or NK cell to recognize specific antigens that are present on the surface of tumor cells.</w:t>
      </w:r>
    </w:p>
    <w:p>
      <w:pPr>
        <w:spacing w:after="0" w:line="279" w:lineRule="exact"/>
        <w:rPr>
          <w:sz w:val="20"/>
          <w:szCs w:val="20"/>
          <w:color w:val="auto"/>
        </w:rPr>
      </w:pPr>
    </w:p>
    <w:p>
      <w:pPr>
        <w:jc w:val="both"/>
        <w:ind w:left="1220" w:right="1639"/>
        <w:spacing w:after="0" w:line="262" w:lineRule="auto"/>
        <w:rPr>
          <w:sz w:val="20"/>
          <w:szCs w:val="20"/>
          <w:color w:val="auto"/>
        </w:rPr>
      </w:pPr>
      <w:r>
        <w:rPr>
          <w:rFonts w:ascii="Arial" w:cs="Arial" w:eastAsia="Arial" w:hAnsi="Arial"/>
          <w:sz w:val="14"/>
          <w:szCs w:val="14"/>
          <w:color w:val="auto"/>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114935</wp:posOffset>
            </wp:positionV>
            <wp:extent cx="3960495" cy="1438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60495"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0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In 2017, the U.S. Food and Drug Administration, or FDA, approved the first two CAR-T based cell therapies for the treatment of certain types of hematological cancers. They are axicabtagene ciloleucel, sold by Gilead Sciences under the brand name Yescarta®, and tisagenlecleucel, sold by Novartis under the brand name Kymriah®. Subsequently, Gilead Sciences’ Brexucabtagene autoleucel, branded Tecartus®, was approved in July 2020 and Bristol Myers Squibbs’ lisocabtagene maraleucel, branded Breyanzi®, received FDA approval in February 2021. Yescarta®, Kymriah® and Breyanzi® are approved for the treatment for relapsed or refractory large B-cell lymphoma, and Yescarta® is also approved for relapsed or refractory lymphoma and Tecartus® is approved for the treatment of relapsed or refractory mantle cell lymphoma. These therapies are autologous and made from T cells first collected from the patient, which are then genetically modified and administered back to the same patient. While these therapies represent a significant development milestone for the cellular therapy field overall, a significant percentage of patients who receive these therapies ultimately relapse. To date, no CAR-based cell therapies using NK cells have received FDA approval.</w:t>
      </w:r>
    </w:p>
    <w:p>
      <w:pPr>
        <w:spacing w:after="0" w:line="313" w:lineRule="exact"/>
        <w:rPr>
          <w:sz w:val="20"/>
          <w:szCs w:val="20"/>
          <w:color w:val="auto"/>
        </w:rPr>
      </w:pPr>
    </w:p>
    <w:p>
      <w:pPr>
        <w:ind w:left="1220" w:right="1779"/>
        <w:spacing w:after="0" w:line="265" w:lineRule="auto"/>
        <w:rPr>
          <w:sz w:val="20"/>
          <w:szCs w:val="20"/>
          <w:color w:val="auto"/>
        </w:rPr>
      </w:pPr>
      <w:r>
        <w:rPr>
          <w:rFonts w:ascii="Arial" w:cs="Arial" w:eastAsia="Arial" w:hAnsi="Arial"/>
          <w:sz w:val="14"/>
          <w:szCs w:val="14"/>
          <w:b w:val="1"/>
          <w:bCs w:val="1"/>
          <w:i w:val="1"/>
          <w:iCs w:val="1"/>
          <w:color w:val="auto"/>
        </w:rPr>
        <w:t>Advancements in cell therapy approaches have enhanced treatment alternatives for patients</w:t>
      </w:r>
    </w:p>
    <w:p>
      <w:pPr>
        <w:spacing w:after="0" w:line="92"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9" w:name="page110"/>
    <w:bookmarkEnd w:id="10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114935</wp:posOffset>
            </wp:positionV>
            <wp:extent cx="3960495" cy="2144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60495" cy="214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Limitations of autologous CAR-T therapies</w:t>
      </w:r>
    </w:p>
    <w:p>
      <w:pPr>
        <w:spacing w:after="0" w:line="125"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Autologous CAR-T therapies have many characteristics that we believe limit their therapeutic potential. These therapies necessitate an individualized and lengthy manufacturing process, resulting in increased wait times for patients, limited product availability and increased supply chain complexity and cost. Additionally, patients may have undergone multiple therapeutic regimens such as chemotherapy or radiation treatment that may negatively impact the health of the donor cells. Damaged or weakened donor cells may not be able to properly proliferate, resulting in manufacturing failure or insufficient potency.</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Limitations of healthy donor-derived allogeneic CAR-NK and CAR-T therapies</w:t>
      </w:r>
    </w:p>
    <w:p>
      <w:pPr>
        <w:spacing w:after="0" w:line="13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Allogeneic CAR-T and CAR-NK therapy uses lymphocytes donated by a person other than the patient as the starting biological material. Since the manufacturing process for allogeneic therapies is not individualized, allogeneic approaches enable immediate treatment availability and the opportunity to distribute cost across a larger number of doses, lowering the manufacturing cost per dose. Manufacturing healthy donor cells in larger batches provides the opportunity for more rigorous quality control and the production of engineered cells of a more consistent character while reducing the risk of manufacturing failure. While these benefits address some of the key limitations of autologous CAR-T therapies, allogeneic approaches still face challenges, including:</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GvHD.</w:t>
      </w:r>
    </w:p>
    <w:p>
      <w:pPr>
        <w:spacing w:after="0" w:line="12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Graft versus host disease, or GvHD, is a serious and life-threatening condition triggered when donor T cells recognize the recipient as non-self and initiate a powerful immune response against the recipient. This recognition is mediated by TCR engagement with the HLA expressed on organs of the recipient. Conversely, allogeneic CAR-T cells may be recognized as foreign to the recipient’s body and eliminated by the recipient’s immune system. CAR-NK cells do not express a TCR, and therefore the use of iNK cells does not trigger GvHD.</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Host versus graft rejection.</w:t>
      </w:r>
    </w:p>
    <w:p>
      <w:pPr>
        <w:spacing w:after="0" w:line="134"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In a similar fashion, allogeneic CAR-T cells may be recognized as foreign by the recipient’s immune system, leading to their rejection. The patient’s immune system being sensitized to the allogenic CAR-T also precludes the ability for the cells to be effectively re-dosed. Both outcomes diminish the ability of the infused cells to attack the cancer.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0" w:name="page111"/>
    <w:bookmarkEnd w:id="11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Limited gene editing potential.</w:t>
      </w:r>
    </w:p>
    <w:p>
      <w:pPr>
        <w:spacing w:after="0" w:line="134" w:lineRule="exact"/>
        <w:rPr>
          <w:sz w:val="20"/>
          <w:szCs w:val="20"/>
          <w:color w:val="auto"/>
        </w:rPr>
      </w:pPr>
    </w:p>
    <w:p>
      <w:pPr>
        <w:ind w:left="1220" w:right="1519"/>
        <w:spacing w:after="0" w:line="277" w:lineRule="auto"/>
        <w:rPr>
          <w:sz w:val="20"/>
          <w:szCs w:val="20"/>
          <w:color w:val="auto"/>
        </w:rPr>
      </w:pPr>
      <w:r>
        <w:rPr>
          <w:rFonts w:ascii="Arial" w:cs="Arial" w:eastAsia="Arial" w:hAnsi="Arial"/>
          <w:sz w:val="14"/>
          <w:szCs w:val="14"/>
          <w:color w:val="auto"/>
        </w:rPr>
        <w:t>Allogeneic approaches that utilize differentiated lymphocytes are limited to just a few genetic edits. One edit utilized consistently across all allogeneic approaches is the addition of a CAR. Furthermore, elimination of the HLA-I is another typical edit. The number of edits that can be introduced into the genome of differentiated NK cells or T cells is limited, as each engineering step requires cells to replicate and too many expansion cycles often result in cell exhaustion.</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Finite replication capacity.</w:t>
      </w:r>
    </w:p>
    <w:p>
      <w:pPr>
        <w:spacing w:after="0" w:line="144"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Once donor cells have been sourced and modified, they must be expanded into a quantity sufficient for therapeutic efficacy.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NK cells or T cells is severely limited, as each engineering step requires cells to replicate. Too many expansion cycles often result in cell exhaustion, with the engineered lymphocytes (white blood cells) expressing checkpoint molecules, often accompanied by a loss of functionality.</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Advantages of iPSC vs. donor-derived approaches</w:t>
      </w:r>
    </w:p>
    <w:p>
      <w:pPr>
        <w:spacing w:after="0" w:line="14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in-licensed iPSC technology allows us to reprogram differentiated cells to become iPSCs and to then differentiate the iPSCs to generate different immune cell types including NK cells and T cells. We believe some of the advantages offered by iPSCs are:</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Receptive to complex genetic editing.</w:t>
      </w:r>
    </w:p>
    <w:p>
      <w:pPr>
        <w:spacing w:after="0" w:line="134"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Significant replication capacity.</w:t>
      </w:r>
    </w:p>
    <w:p>
      <w:pPr>
        <w:spacing w:after="0" w:line="144"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iPSCs are derived from single cell clones, which are used to construct a master cell bank capable of providing a sufficient number of doses for the life of a product due to the unlimited replicative capacity of iPSCs.</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Streamlined manufacturing and consistent product.</w:t>
      </w:r>
    </w:p>
    <w:p>
      <w:pPr>
        <w:spacing w:after="0" w:line="144" w:lineRule="exact"/>
        <w:rPr>
          <w:sz w:val="20"/>
          <w:szCs w:val="20"/>
          <w:color w:val="auto"/>
        </w:rPr>
      </w:pPr>
    </w:p>
    <w:p>
      <w:pPr>
        <w:jc w:val="both"/>
        <w:ind w:left="1220" w:right="1459"/>
        <w:spacing w:after="0" w:line="281" w:lineRule="auto"/>
        <w:rPr>
          <w:sz w:val="20"/>
          <w:szCs w:val="20"/>
          <w:color w:val="auto"/>
        </w:rPr>
      </w:pPr>
      <w:r>
        <w:rPr>
          <w:rFonts w:ascii="Arial" w:cs="Arial" w:eastAsia="Arial" w:hAnsi="Arial"/>
          <w:sz w:val="14"/>
          <w:szCs w:val="14"/>
          <w:color w:val="auto"/>
        </w:rPr>
        <w:t>The use of a single master cell bank allows iPSC-derived products to be produced with greater consistency, at the greatest possible scale and at reduced cost compared to donor-derived NK cells or T cells.</w:t>
      </w:r>
    </w:p>
    <w:p>
      <w:pPr>
        <w:spacing w:after="0" w:line="93" w:lineRule="exact"/>
        <w:rPr>
          <w:sz w:val="20"/>
          <w:szCs w:val="20"/>
          <w:color w:val="auto"/>
        </w:rPr>
      </w:pPr>
    </w:p>
    <w:p>
      <w:pPr>
        <w:ind w:left="1220" w:right="1279"/>
        <w:spacing w:after="0" w:line="290" w:lineRule="auto"/>
        <w:rPr>
          <w:sz w:val="20"/>
          <w:szCs w:val="20"/>
          <w:color w:val="auto"/>
        </w:rPr>
      </w:pPr>
      <w:r>
        <w:rPr>
          <w:rFonts w:ascii="Arial" w:cs="Arial" w:eastAsia="Arial" w:hAnsi="Arial"/>
          <w:sz w:val="14"/>
          <w:szCs w:val="14"/>
          <w:color w:val="auto"/>
        </w:rPr>
        <w:t>We believe that iPSC-derived cell therapies provide meaningful advantages over other modalities and have the potential to disrupt the oncology treatment paradigm.</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1" w:name="page112"/>
    <w:bookmarkEnd w:id="11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128905</wp:posOffset>
            </wp:positionV>
            <wp:extent cx="3254375" cy="20897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4375"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20" w:right="1319"/>
        <w:spacing w:after="0" w:line="245" w:lineRule="auto"/>
        <w:rPr>
          <w:sz w:val="20"/>
          <w:szCs w:val="20"/>
          <w:color w:val="auto"/>
        </w:rPr>
      </w:pPr>
      <w:r>
        <w:rPr>
          <w:rFonts w:ascii="Arial" w:cs="Arial" w:eastAsia="Arial" w:hAnsi="Arial"/>
          <w:sz w:val="14"/>
          <w:szCs w:val="14"/>
          <w:i w:val="1"/>
          <w:iCs w:val="1"/>
          <w:color w:val="auto"/>
        </w:rPr>
        <w:t>Stages of iPSC gene editing, characterization, and clonal selection prior to the generation of the engineered iPSC master cell bank (MCB). Genetic engineering of our product candidates occurs exclusively at the iPSC stage, where the cells have unlimited replicative capacity and pluripotency. In the above figure, we highlight the multiple steps required for selection of the final CNTY-101 clinical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rationale for developing both iNK and iT allogeneic cell therapy platforms</w:t>
      </w:r>
    </w:p>
    <w:p>
      <w:pPr>
        <w:spacing w:after="0" w:line="146" w:lineRule="exact"/>
        <w:rPr>
          <w:sz w:val="20"/>
          <w:szCs w:val="20"/>
          <w:color w:val="auto"/>
        </w:rPr>
      </w:pPr>
    </w:p>
    <w:p>
      <w:pPr>
        <w:ind w:left="1220" w:right="1239"/>
        <w:spacing w:after="0" w:line="290" w:lineRule="auto"/>
        <w:rPr>
          <w:sz w:val="20"/>
          <w:szCs w:val="20"/>
          <w:color w:val="auto"/>
        </w:rPr>
      </w:pPr>
      <w:r>
        <w:rPr>
          <w:rFonts w:ascii="Arial" w:cs="Arial" w:eastAsia="Arial" w:hAnsi="Arial"/>
          <w:sz w:val="14"/>
          <w:szCs w:val="14"/>
          <w:color w:val="auto"/>
        </w:rPr>
        <w:t>We are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GvHD in iT cells through the use of TCRs that are not expected to cause GvHD, which we refer to herein as Trusted 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 (e.g., when targeting AML antigens that are also expressed on some normal hematopoietic progenitors, enabling a chance for normal cell recovery between doses). Ultimately, the development of both platforms enables a unique opportunity to merge the intrinsic biology of these lymphocyte subsets with desirable engineering attributes to tailor therapies best suited for the clinical path being pursued.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2" w:name="page113"/>
    <w:bookmarkEnd w:id="11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Development of CAR-NK and CAR-T platforms: distinct biology influences disease-specific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83185</wp:posOffset>
            </wp:positionV>
            <wp:extent cx="3528695" cy="21583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28695" cy="215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proprietary technology and differentiated approach</w:t>
      </w:r>
    </w:p>
    <w:p>
      <w:pPr>
        <w:spacing w:after="0" w:line="117"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b w:val="1"/>
          <w:bCs w:val="1"/>
          <w:i w:val="1"/>
          <w:iCs w:val="1"/>
          <w:color w:val="auto"/>
        </w:rPr>
        <w:t>Advanced cell engineering expertise further differentiates our iPSC-derived allogeneic cell therapies</w:t>
      </w:r>
    </w:p>
    <w:p>
      <w:pPr>
        <w:spacing w:after="0" w:line="60"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HDR, to enable the creation of optimized cell products specifically tailored to address a particular disease. Protein engineering refers to the engineering and incorporation of CARs and other transgenes such as stimulatory cytokines, allo-evasive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94615</wp:posOffset>
            </wp:positionV>
            <wp:extent cx="3076575" cy="1452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76575" cy="145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Common engineered iPSC progenitor</w:t>
      </w:r>
    </w:p>
    <w:p>
      <w:pPr>
        <w:spacing w:after="0" w:line="101" w:lineRule="exact"/>
        <w:rPr>
          <w:sz w:val="20"/>
          <w:szCs w:val="20"/>
          <w:color w:val="auto"/>
        </w:rPr>
      </w:pPr>
    </w:p>
    <w:p>
      <w:pPr>
        <w:jc w:val="both"/>
        <w:ind w:left="1220" w:right="1379"/>
        <w:spacing w:after="0" w:line="224" w:lineRule="auto"/>
        <w:rPr>
          <w:sz w:val="20"/>
          <w:szCs w:val="20"/>
          <w:color w:val="auto"/>
        </w:rPr>
      </w:pPr>
      <w:r>
        <w:rPr>
          <w:rFonts w:ascii="Arial" w:cs="Arial" w:eastAsia="Arial" w:hAnsi="Arial"/>
          <w:sz w:val="14"/>
          <w:szCs w:val="14"/>
          <w:color w:val="auto"/>
        </w:rPr>
        <w:t>All of our product candidates include a set of core features to increase their functionality, safety, and persistence. These features include (i)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enable the cells to avoid detection by the host</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3" w:name="page114"/>
    <w:bookmarkEnd w:id="11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 xml:space="preserve">immune system; (ii) a safety switch to allow for the rapid elimination of the cells from the patient if necessary; (iii) the inclusion of a homeostatic cytokine, IL-15, which promotes increased functionality and persistence </w:t>
      </w:r>
      <w:r>
        <w:rPr>
          <w:rFonts w:ascii="Arial" w:cs="Arial" w:eastAsia="Arial" w:hAnsi="Arial"/>
          <w:sz w:val="14"/>
          <w:szCs w:val="14"/>
          <w:i w:val="1"/>
          <w:iCs w:val="1"/>
          <w:color w:val="auto"/>
        </w:rPr>
        <w:t>in vivo</w:t>
      </w:r>
      <w:r>
        <w:rPr>
          <w:rFonts w:ascii="Arial" w:cs="Arial" w:eastAsia="Arial" w:hAnsi="Arial"/>
          <w:sz w:val="14"/>
          <w:szCs w:val="14"/>
          <w:color w:val="auto"/>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plan to build all of these core features into a “common engineered iPSC progenitor” which will be utilized in the creation of a master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121920</wp:posOffset>
            </wp:positionV>
            <wp:extent cx="4028440" cy="1822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28440" cy="182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Highly efficient engineering processes</w:t>
      </w:r>
    </w:p>
    <w:p>
      <w:pPr>
        <w:spacing w:after="0" w:line="14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4" w:name="page115"/>
    <w:bookmarkEnd w:id="11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Engineering steps used to generate our CNTY-101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114935</wp:posOffset>
            </wp:positionV>
            <wp:extent cx="4028440" cy="1541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28440" cy="154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121920</wp:posOffset>
            </wp:positionV>
            <wp:extent cx="3398520" cy="22269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98520" cy="222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Advantages of 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51" w:lineRule="exact"/>
        <w:rPr>
          <w:sz w:val="20"/>
          <w:szCs w:val="20"/>
          <w:color w:val="auto"/>
        </w:rPr>
      </w:pPr>
    </w:p>
    <w:p>
      <w:pPr>
        <w:ind w:left="1220" w:right="1339"/>
        <w:spacing w:after="0" w:line="246" w:lineRule="auto"/>
        <w:rPr>
          <w:sz w:val="20"/>
          <w:szCs w:val="20"/>
          <w:color w:val="auto"/>
        </w:rPr>
      </w:pP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therapeutic efficacy. In combination with the extended killing capability of optimized immune cells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5" w:name="page116"/>
    <w:bookmarkEnd w:id="11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19"/>
        <w:spacing w:after="0" w:line="297" w:lineRule="auto"/>
        <w:rPr>
          <w:sz w:val="20"/>
          <w:szCs w:val="20"/>
          <w:color w:val="auto"/>
        </w:rPr>
      </w:pPr>
      <w:r>
        <w:rPr>
          <w:rFonts w:ascii="Arial" w:cs="Arial" w:eastAsia="Arial" w:hAnsi="Arial"/>
          <w:sz w:val="14"/>
          <w:szCs w:val="14"/>
          <w:color w:val="auto"/>
        </w:rPr>
        <w:t>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potential of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using NK inhibitory ligands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20" w:right="1299"/>
        <w:spacing w:after="0" w:line="230" w:lineRule="auto"/>
        <w:rPr>
          <w:sz w:val="20"/>
          <w:szCs w:val="20"/>
          <w:color w:val="auto"/>
        </w:rPr>
      </w:pPr>
      <w:r>
        <w:rPr>
          <w:rFonts w:ascii="Arial" w:cs="Arial" w:eastAsia="Arial" w:hAnsi="Arial"/>
          <w:sz w:val="14"/>
          <w:szCs w:val="14"/>
          <w:i w:val="1"/>
          <w:iCs w:val="1"/>
          <w:color w:val="auto"/>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CD4</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 cells respectively, but renders the cells susceptible to killing by recipient NK cells (middle panel). Introduction of the NK inhibitory ligand HLA-E into the product candidate (right panel) delivers a negative signal to recipient NK cells that protects them from elimination.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llustrative potential of PK of Allo-Evasion</w:t>
      </w:r>
      <w:r>
        <w:rPr>
          <w:rFonts w:ascii="Arial" w:cs="Arial" w:eastAsia="Arial" w:hAnsi="Arial"/>
          <w:sz w:val="21"/>
          <w:szCs w:val="21"/>
          <w:b w:val="1"/>
          <w:bCs w:val="1"/>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101600</wp:posOffset>
            </wp:positionV>
            <wp:extent cx="4008120" cy="1781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08120" cy="178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Future generations of our cell therapies will embrace an extended range of capabilities</w:t>
      </w:r>
    </w:p>
    <w:p>
      <w:pPr>
        <w:spacing w:after="0" w:line="144" w:lineRule="exact"/>
        <w:rPr>
          <w:sz w:val="20"/>
          <w:szCs w:val="20"/>
          <w:color w:val="auto"/>
        </w:rPr>
      </w:pPr>
    </w:p>
    <w:p>
      <w:pPr>
        <w:ind w:left="1220" w:right="1259"/>
        <w:spacing w:after="0" w:line="291" w:lineRule="auto"/>
        <w:rPr>
          <w:sz w:val="20"/>
          <w:szCs w:val="20"/>
          <w:color w:val="auto"/>
        </w:rPr>
      </w:pPr>
      <w:r>
        <w:rPr>
          <w:rFonts w:ascii="Arial" w:cs="Arial" w:eastAsia="Arial" w:hAnsi="Arial"/>
          <w:sz w:val="14"/>
          <w:szCs w:val="14"/>
          <w:color w:val="auto"/>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6" w:name="page117"/>
    <w:bookmarkEnd w:id="11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Future product candidates will be designed to embrace a potentially extended range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117475</wp:posOffset>
            </wp:positionV>
            <wp:extent cx="2870835" cy="1788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70835"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Manufacturing, product quality and COGS advantages</w:t>
      </w:r>
    </w:p>
    <w:p>
      <w:pPr>
        <w:spacing w:after="0" w:line="136" w:lineRule="exact"/>
        <w:rPr>
          <w:sz w:val="20"/>
          <w:szCs w:val="20"/>
          <w:color w:val="auto"/>
        </w:rPr>
      </w:pPr>
    </w:p>
    <w:p>
      <w:pPr>
        <w:ind w:left="1220" w:right="1299"/>
        <w:spacing w:after="0" w:line="280" w:lineRule="auto"/>
        <w:rPr>
          <w:sz w:val="20"/>
          <w:szCs w:val="20"/>
          <w:color w:val="auto"/>
        </w:rPr>
      </w:pPr>
      <w:r>
        <w:rPr>
          <w:rFonts w:ascii="Arial" w:cs="Arial" w:eastAsia="Arial" w:hAnsi="Arial"/>
          <w:sz w:val="14"/>
          <w:szCs w:val="14"/>
          <w:color w:val="auto"/>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285"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We intend to increase our investment in scale-up technology as our product pipeline advances through clinical trials towards commercialization.</w:t>
      </w:r>
    </w:p>
    <w:p>
      <w:pPr>
        <w:spacing w:after="0" w:line="282"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 A key aspect of our investment in internal manufacturing facilities and capabilities includes the construction of our Current Good Manufacturing Practices, or cGMP, manufacturing facility in Branchburg, New Jersey. We anticipate that this facility will become operational by the end of 2021. This multi-product, multi-phase facility will have the capabilities and capacity to manufacture both NK and T cells, as well as other immune cell types, for complete optionality.</w:t>
      </w:r>
    </w:p>
    <w:p>
      <w:pPr>
        <w:spacing w:after="0" w:line="288" w:lineRule="exact"/>
        <w:rPr>
          <w:sz w:val="20"/>
          <w:szCs w:val="20"/>
          <w:color w:val="auto"/>
        </w:rPr>
      </w:pPr>
    </w:p>
    <w:p>
      <w:pPr>
        <w:ind w:left="1220" w:right="1379"/>
        <w:spacing w:after="0" w:line="278" w:lineRule="auto"/>
        <w:rPr>
          <w:sz w:val="20"/>
          <w:szCs w:val="20"/>
          <w:color w:val="auto"/>
        </w:rPr>
      </w:pPr>
      <w:r>
        <w:rPr>
          <w:rFonts w:ascii="Arial" w:cs="Arial" w:eastAsia="Arial" w:hAnsi="Arial"/>
          <w:sz w:val="14"/>
          <w:szCs w:val="14"/>
          <w:color w:val="auto"/>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7" w:name="page118"/>
    <w:bookmarkEnd w:id="11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20" w:lineRule="exact"/>
        <w:rPr>
          <w:sz w:val="20"/>
          <w:szCs w:val="20"/>
          <w:color w:val="auto"/>
        </w:rPr>
      </w:pPr>
    </w:p>
    <w:p>
      <w:pPr>
        <w:ind w:left="1220" w:right="1759"/>
        <w:spacing w:after="0" w:line="265" w:lineRule="auto"/>
        <w:rPr>
          <w:sz w:val="20"/>
          <w:szCs w:val="20"/>
          <w:color w:val="auto"/>
        </w:rPr>
      </w:pPr>
      <w:r>
        <w:rPr>
          <w:rFonts w:ascii="Arial" w:cs="Arial" w:eastAsia="Arial" w:hAnsi="Arial"/>
          <w:sz w:val="14"/>
          <w:szCs w:val="14"/>
          <w:b w:val="1"/>
          <w:bCs w:val="1"/>
          <w:i w:val="1"/>
          <w:iCs w:val="1"/>
          <w:color w:val="auto"/>
        </w:rPr>
        <w:t>Off-the-shelf commercialization opportunity for iPSC-derived allogeneic cell therapy platform derived product candidates</w:t>
      </w:r>
    </w:p>
    <w:p>
      <w:pPr>
        <w:spacing w:after="0" w:line="92"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28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Preclinical profiles or characteristics of development candidates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product platforms</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iPSC-derived iNK cell platform</w:t>
      </w:r>
    </w:p>
    <w:p>
      <w:pPr>
        <w:spacing w:after="0" w:line="144" w:lineRule="exact"/>
        <w:rPr>
          <w:sz w:val="20"/>
          <w:szCs w:val="20"/>
          <w:color w:val="auto"/>
        </w:rPr>
      </w:pPr>
    </w:p>
    <w:p>
      <w:pPr>
        <w:ind w:left="1220" w:right="1359"/>
        <w:spacing w:after="0" w:line="280" w:lineRule="auto"/>
        <w:rPr>
          <w:sz w:val="20"/>
          <w:szCs w:val="20"/>
          <w:color w:val="auto"/>
        </w:rPr>
      </w:pPr>
      <w:r>
        <w:rPr>
          <w:rFonts w:ascii="Arial" w:cs="Arial" w:eastAsia="Arial" w:hAnsi="Arial"/>
          <w:sz w:val="14"/>
          <w:szCs w:val="14"/>
          <w:color w:val="auto"/>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27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121920</wp:posOffset>
            </wp:positionV>
            <wp:extent cx="3960495" cy="12471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60495"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8" w:name="page119"/>
    <w:bookmarkEnd w:id="11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19"/>
        <w:spacing w:after="0" w:line="292" w:lineRule="auto"/>
        <w:rPr>
          <w:sz w:val="20"/>
          <w:szCs w:val="20"/>
          <w:color w:val="auto"/>
        </w:rPr>
      </w:pPr>
      <w:r>
        <w:rPr>
          <w:rFonts w:ascii="Arial" w:cs="Arial" w:eastAsia="Arial" w:hAnsi="Arial"/>
          <w:sz w:val="14"/>
          <w:szCs w:val="14"/>
          <w:color w:val="auto"/>
        </w:rPr>
        <w:t>We have intentionally focused on the parameters that define immune cell functionality to direct internal development initiatives. This focus is intended to improve upon the intellectual property licensed from FCDI. 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289" w:lineRule="exact"/>
        <w:rPr>
          <w:sz w:val="20"/>
          <w:szCs w:val="20"/>
          <w:color w:val="auto"/>
        </w:rPr>
      </w:pPr>
    </w:p>
    <w:p>
      <w:pPr>
        <w:ind w:left="1220" w:right="1239"/>
        <w:spacing w:after="0" w:line="292" w:lineRule="auto"/>
        <w:rPr>
          <w:sz w:val="20"/>
          <w:szCs w:val="20"/>
          <w:color w:val="auto"/>
        </w:rPr>
      </w:pPr>
      <w:r>
        <w:rPr>
          <w:rFonts w:ascii="Arial" w:cs="Arial" w:eastAsia="Arial" w:hAnsi="Arial"/>
          <w:sz w:val="14"/>
          <w:szCs w:val="14"/>
          <w:color w:val="auto"/>
        </w:rPr>
        <w:t xml:space="preserve">Assessment of these cells’ functionality demonstrates their potential for tumor cell cytotoxicity. Through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128905</wp:posOffset>
            </wp:positionV>
            <wp:extent cx="2952750" cy="2082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5275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20" w:right="1259"/>
        <w:spacing w:after="0" w:line="249" w:lineRule="auto"/>
        <w:rPr>
          <w:sz w:val="20"/>
          <w:szCs w:val="20"/>
          <w:color w:val="auto"/>
        </w:rPr>
      </w:pPr>
      <w:r>
        <w:rPr>
          <w:rFonts w:ascii="Arial" w:cs="Arial" w:eastAsia="Arial" w:hAnsi="Arial"/>
          <w:sz w:val="14"/>
          <w:szCs w:val="14"/>
          <w:i w:val="1"/>
          <w:iCs w:val="1"/>
          <w:color w:val="auto"/>
        </w:rPr>
        <w:t>Century’s iNK cells and peripheral blood mononuclear cell, or PBMC, NK cells were incubated with K562 tumor cells labelled with NuclightRed, or NLR,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279" w:lineRule="exact"/>
        <w:rPr>
          <w:sz w:val="20"/>
          <w:szCs w:val="20"/>
          <w:color w:val="auto"/>
        </w:rPr>
      </w:pPr>
    </w:p>
    <w:p>
      <w:pPr>
        <w:ind w:left="1220" w:right="1319"/>
        <w:spacing w:after="0" w:line="295" w:lineRule="auto"/>
        <w:rPr>
          <w:sz w:val="20"/>
          <w:szCs w:val="20"/>
          <w:color w:val="auto"/>
        </w:rPr>
      </w:pPr>
      <w:r>
        <w:rPr>
          <w:rFonts w:ascii="Arial" w:cs="Arial" w:eastAsia="Arial" w:hAnsi="Arial"/>
          <w:sz w:val="14"/>
          <w:szCs w:val="14"/>
          <w:color w:val="auto"/>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9" w:name="page120"/>
    <w:bookmarkEnd w:id="11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128905</wp:posOffset>
            </wp:positionV>
            <wp:extent cx="2973705" cy="2185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7370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20" w:right="1359"/>
        <w:spacing w:after="0" w:line="250" w:lineRule="auto"/>
        <w:rPr>
          <w:sz w:val="20"/>
          <w:szCs w:val="20"/>
          <w:color w:val="auto"/>
        </w:rPr>
      </w:pPr>
      <w:r>
        <w:rPr>
          <w:rFonts w:ascii="Arial" w:cs="Arial" w:eastAsia="Arial" w:hAnsi="Arial"/>
          <w:sz w:val="14"/>
          <w:szCs w:val="14"/>
          <w:i w:val="1"/>
          <w:iCs w:val="1"/>
          <w:color w:val="auto"/>
        </w:rPr>
        <w:t>Our CAR-iNK cells and peripheral blood CAR-T cells were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14" w:lineRule="exact"/>
        <w:rPr>
          <w:sz w:val="20"/>
          <w:szCs w:val="20"/>
          <w:color w:val="auto"/>
        </w:rPr>
      </w:pPr>
    </w:p>
    <w:p>
      <w:pPr>
        <w:ind w:left="1220" w:right="1259"/>
        <w:spacing w:after="0" w:line="292" w:lineRule="auto"/>
        <w:rPr>
          <w:sz w:val="20"/>
          <w:szCs w:val="20"/>
          <w:color w:val="auto"/>
        </w:rPr>
      </w:pPr>
      <w:r>
        <w:rPr>
          <w:rFonts w:ascii="Arial" w:cs="Arial" w:eastAsia="Arial" w:hAnsi="Arial"/>
          <w:sz w:val="14"/>
          <w:szCs w:val="14"/>
          <w:color w:val="auto"/>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135890</wp:posOffset>
            </wp:positionV>
            <wp:extent cx="2994025" cy="1932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94025" cy="193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0" w:name="page121"/>
    <w:bookmarkEnd w:id="12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right="1239"/>
        <w:spacing w:after="0" w:line="229" w:lineRule="auto"/>
        <w:rPr>
          <w:sz w:val="20"/>
          <w:szCs w:val="20"/>
          <w:color w:val="auto"/>
        </w:rPr>
      </w:pPr>
      <w:r>
        <w:rPr>
          <w:rFonts w:ascii="Arial" w:cs="Arial" w:eastAsia="Arial" w:hAnsi="Arial"/>
          <w:sz w:val="14"/>
          <w:szCs w:val="14"/>
          <w:i w:val="1"/>
          <w:iCs w:val="1"/>
          <w:color w:val="auto"/>
        </w:rPr>
        <w:t>Our CAR-iNK cells were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w:t>
      </w:r>
    </w:p>
    <w:p>
      <w:pPr>
        <w:spacing w:after="0" w:line="1" w:lineRule="exact"/>
        <w:rPr>
          <w:sz w:val="20"/>
          <w:szCs w:val="20"/>
          <w:color w:val="auto"/>
        </w:rPr>
      </w:pPr>
    </w:p>
    <w:p>
      <w:pPr>
        <w:ind w:left="1220" w:right="1459" w:firstLine="4"/>
        <w:spacing w:after="0" w:line="241" w:lineRule="auto"/>
        <w:tabs>
          <w:tab w:leader="none" w:pos="1307"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tumor only well at time x) / (tumor and iNK well at first time point) * 100. Loss in killing activity was observed between rounds seven and eight.</w:t>
      </w:r>
    </w:p>
    <w:p>
      <w:pPr>
        <w:spacing w:after="0" w:line="94" w:lineRule="exact"/>
        <w:rPr>
          <w:sz w:val="20"/>
          <w:szCs w:val="20"/>
          <w:color w:val="auto"/>
        </w:rPr>
      </w:pPr>
    </w:p>
    <w:p>
      <w:pPr>
        <w:ind w:left="1220" w:right="1299"/>
        <w:spacing w:after="0" w:line="279" w:lineRule="auto"/>
        <w:rPr>
          <w:sz w:val="20"/>
          <w:szCs w:val="20"/>
          <w:color w:val="auto"/>
        </w:rPr>
      </w:pPr>
      <w:r>
        <w:rPr>
          <w:rFonts w:ascii="Arial" w:cs="Arial" w:eastAsia="Arial" w:hAnsi="Arial"/>
          <w:sz w:val="14"/>
          <w:szCs w:val="14"/>
          <w:color w:val="auto"/>
        </w:rPr>
        <w:t xml:space="preserve">The tumor-killing potential of our iNK cells was confirmed through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evaluations. Raji lymphoma cells were administered intravenously to mice that were then dosed three consecutive days with both non-engineered and CAR-modified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Our CAR-iNK cells have robust anti-tumor activity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121920</wp:posOffset>
            </wp:positionV>
            <wp:extent cx="3131185" cy="2829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31185" cy="282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108" w:lineRule="exact"/>
        <w:rPr>
          <w:sz w:val="20"/>
          <w:szCs w:val="20"/>
          <w:color w:val="auto"/>
        </w:rPr>
      </w:pPr>
    </w:p>
    <w:p>
      <w:pPr>
        <w:ind w:left="1220" w:right="1359"/>
        <w:spacing w:after="0" w:line="280" w:lineRule="auto"/>
        <w:rPr>
          <w:sz w:val="20"/>
          <w:szCs w:val="20"/>
          <w:color w:val="auto"/>
        </w:rPr>
      </w:pPr>
      <w:r>
        <w:rPr>
          <w:rFonts w:ascii="Arial" w:cs="Arial" w:eastAsia="Arial" w:hAnsi="Arial"/>
          <w:sz w:val="14"/>
          <w:szCs w:val="14"/>
          <w:color w:val="auto"/>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CAR-iNK cells without the addition of the cytokine.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1" w:name="page122"/>
    <w:bookmarkEnd w:id="12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94615</wp:posOffset>
            </wp:positionV>
            <wp:extent cx="2377440" cy="2178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77440" cy="217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IPSC-derived iT cell platform</w:t>
      </w:r>
    </w:p>
    <w:p>
      <w:pPr>
        <w:spacing w:after="0" w:line="103"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94615</wp:posOffset>
            </wp:positionV>
            <wp:extent cx="3453130" cy="1815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53130" cy="181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Proprietary Trusted TCR constructs enable our generation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w:t>
      </w:r>
    </w:p>
    <w:p>
      <w:pPr>
        <w:spacing w:after="0" w:line="62" w:lineRule="exact"/>
        <w:rPr>
          <w:sz w:val="20"/>
          <w:szCs w:val="20"/>
          <w:color w:val="auto"/>
        </w:rPr>
      </w:pPr>
    </w:p>
    <w:p>
      <w:pPr>
        <w:jc w:val="both"/>
        <w:ind w:left="1220" w:right="1379"/>
        <w:spacing w:after="0" w:line="265" w:lineRule="auto"/>
        <w:rPr>
          <w:sz w:val="20"/>
          <w:szCs w:val="20"/>
          <w:color w:val="auto"/>
        </w:rPr>
      </w:pPr>
      <w:r>
        <w:rPr>
          <w:rFonts w:ascii="Arial" w:cs="Arial" w:eastAsia="Arial" w:hAnsi="Arial"/>
          <w:sz w:val="14"/>
          <w:szCs w:val="14"/>
          <w:color w:val="auto"/>
        </w:rPr>
        <w:t>Many companies that are pursing the development of allogeneic T cell therapies engineer T cell with an intentionally deleted TCR to eliminate the risk of GvHD. We have taken a fundamentally different approach; we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2" w:name="page123"/>
    <w:bookmarkEnd w:id="12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95" w:lineRule="exact"/>
        <w:rPr>
          <w:sz w:val="20"/>
          <w:szCs w:val="20"/>
          <w:color w:val="auto"/>
        </w:rPr>
      </w:pPr>
    </w:p>
    <w:p>
      <w:pPr>
        <w:ind w:left="1220" w:right="1239"/>
        <w:spacing w:after="0" w:line="247" w:lineRule="auto"/>
        <w:rPr>
          <w:sz w:val="20"/>
          <w:szCs w:val="20"/>
          <w:color w:val="auto"/>
        </w:rPr>
      </w:pPr>
      <w:r>
        <w:rPr>
          <w:rFonts w:ascii="Arial" w:cs="Arial" w:eastAsia="Arial" w:hAnsi="Arial"/>
          <w:sz w:val="14"/>
          <w:szCs w:val="14"/>
          <w:color w:val="auto"/>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as a contrast to T cell engineered without a TCR.</w:t>
      </w:r>
    </w:p>
    <w:p>
      <w:pPr>
        <w:spacing w:after="0" w:line="257" w:lineRule="exact"/>
        <w:rPr>
          <w:sz w:val="20"/>
          <w:szCs w:val="20"/>
          <w:color w:val="auto"/>
        </w:rPr>
      </w:pPr>
    </w:p>
    <w:p>
      <w:pPr>
        <w:ind w:left="1220" w:right="1239"/>
        <w:spacing w:after="0" w:line="252" w:lineRule="auto"/>
        <w:rPr>
          <w:sz w:val="20"/>
          <w:szCs w:val="20"/>
          <w:color w:val="auto"/>
        </w:rPr>
      </w:pPr>
      <w:r>
        <w:rPr>
          <w:rFonts w:ascii="Arial" w:cs="Arial" w:eastAsia="Arial" w:hAnsi="Arial"/>
          <w:sz w:val="14"/>
          <w:szCs w:val="14"/>
          <w:color w:val="auto"/>
        </w:rPr>
        <w:t>For any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 approach there are two main strategies that can be deployed to make iPSC-derived T cells. The first is to begin with a T cell from 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292" w:lineRule="exact"/>
        <w:rPr>
          <w:sz w:val="20"/>
          <w:szCs w:val="20"/>
          <w:color w:val="auto"/>
        </w:rPr>
      </w:pPr>
    </w:p>
    <w:p>
      <w:pPr>
        <w:ind w:left="1220" w:right="1719"/>
        <w:spacing w:after="0" w:line="225" w:lineRule="auto"/>
        <w:rPr>
          <w:sz w:val="20"/>
          <w:szCs w:val="20"/>
          <w:color w:val="auto"/>
        </w:rPr>
      </w:pPr>
      <w:r>
        <w:rPr>
          <w:rFonts w:ascii="Arial" w:cs="Arial" w:eastAsia="Arial" w:hAnsi="Arial"/>
          <w:sz w:val="14"/>
          <w:szCs w:val="14"/>
          <w:b w:val="1"/>
          <w:bCs w:val="1"/>
          <w:i w:val="1"/>
          <w:iCs w:val="1"/>
          <w:color w:val="auto"/>
        </w:rPr>
        <w:t>Differentiation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 results in cells that co-express TCR and CD3 and can utilize an engineered CAR for target cell killing</w:t>
      </w:r>
    </w:p>
    <w:p>
      <w:pPr>
        <w:spacing w:after="0" w:line="95" w:lineRule="exact"/>
        <w:rPr>
          <w:sz w:val="20"/>
          <w:szCs w:val="20"/>
          <w:color w:val="auto"/>
        </w:rPr>
      </w:pPr>
    </w:p>
    <w:p>
      <w:pPr>
        <w:ind w:left="1220" w:right="1339"/>
        <w:spacing w:after="0" w:line="269" w:lineRule="auto"/>
        <w:rPr>
          <w:sz w:val="20"/>
          <w:szCs w:val="20"/>
          <w:color w:val="auto"/>
        </w:rPr>
      </w:pPr>
      <w:r>
        <w:rPr>
          <w:rFonts w:ascii="Arial" w:cs="Arial" w:eastAsia="Arial" w:hAnsi="Arial"/>
          <w:sz w:val="14"/>
          <w:szCs w:val="14"/>
          <w:color w:val="auto"/>
        </w:rPr>
        <w:t xml:space="preserve">The process for differentiating T cells from iPSC is a multistage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91"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Differentiation of γδ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108585</wp:posOffset>
            </wp:positionV>
            <wp:extent cx="3672205" cy="1712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72205" cy="171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3" w:name="page124"/>
    <w:bookmarkEnd w:id="12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A T-iPSC line that was derived from a γδ T cell was used to differentiate γδ T cells using a process that takes approximately 5-6 weeks. At the end of the process, cells were collected and stained for flow cytometry. The left panel demonstrates co-expression of CD3 and the γδ TCR on the cell surface of resulting iT cells. Because the T-iPSC line was also engineered with a CAR transgene, the CAR protein was also detected on the surface of these iT cells.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γδ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121920</wp:posOffset>
            </wp:positionV>
            <wp:extent cx="2267585" cy="1781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67585" cy="178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0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For conventional αβ T cells, the current process yields iT cells that uniformly express the αβ TCR and CD3. These iPSCs were also engineered to express a CD19 CAR to evaluate their tumor cell killing activity. When the iPSC-derived αβ T cells were exposed to CD19-expressing lymphoma cells, the lymphoma cells were killed in an antigen-specific manner.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Differentiation of αβ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114935</wp:posOffset>
            </wp:positionV>
            <wp:extent cx="3507740" cy="1562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07740" cy="156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 Because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4" w:name="page125"/>
    <w:bookmarkEnd w:id="12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19"/>
        <w:spacing w:after="0" w:line="274" w:lineRule="auto"/>
        <w:rPr>
          <w:sz w:val="20"/>
          <w:szCs w:val="20"/>
          <w:color w:val="auto"/>
        </w:rPr>
      </w:pPr>
      <w:r>
        <w:rPr>
          <w:rFonts w:ascii="Arial" w:cs="Arial" w:eastAsia="Arial" w:hAnsi="Arial"/>
          <w:sz w:val="14"/>
          <w:szCs w:val="14"/>
          <w:color w:val="auto"/>
        </w:rPr>
        <w:t>the T-iPSC line was also engineered with a CAR transgene, the CAR protein was also detected on the surface of these iT cells (right panel).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αβ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78105</wp:posOffset>
            </wp:positionV>
            <wp:extent cx="2713355" cy="2062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13355"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81915</wp:posOffset>
            </wp:positionV>
            <wp:extent cx="4165600" cy="16103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65600" cy="161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Serial killing of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tumor cells by CAR-γδ-iT cells is comparable to PBMC-derived CAR-T</w:t>
      </w:r>
    </w:p>
    <w:p>
      <w:pPr>
        <w:ind w:left="1220" w:right="1279"/>
        <w:spacing w:after="0" w:line="229" w:lineRule="auto"/>
        <w:rPr>
          <w:sz w:val="20"/>
          <w:szCs w:val="20"/>
          <w:color w:val="auto"/>
        </w:rPr>
      </w:pPr>
      <w:r>
        <w:rPr>
          <w:rFonts w:ascii="Arial" w:cs="Arial" w:eastAsia="Arial" w:hAnsi="Arial"/>
          <w:sz w:val="14"/>
          <w:szCs w:val="14"/>
          <w:i w:val="1"/>
          <w:iCs w:val="1"/>
          <w:color w:val="auto"/>
        </w:rPr>
        <w:t>cells. The serial killing assay was performed using an Incucyte instrument where viable tumor cells expressed Nuclight Red and were enumerated every 3 hours based on Red Calibrated Units, or RCU, a measure of total red fluorescence. At the beginning of the culture, 1e5 CAR-γδ-iT or CAR-T were added to each well followed by addition of 2e4 NALM-6 target cells (Nuclight Red+). Cells were cultured in complete medium with 10 ng/ml rhIL- 15. Every 24 hours, 2e4 fresh NALM-6 cells were added to the culture and data was recorded for 10 days. Increasing RCU indicates daily addition of new targets and/or outgrowth of tumor cells. Decreasing RCU indicates tumor cell killing by γδ CAR-iT cells or PBMC CAR-T cells.</w:t>
      </w:r>
    </w:p>
    <w:p>
      <w:pPr>
        <w:spacing w:after="0" w:line="109" w:lineRule="exact"/>
        <w:rPr>
          <w:sz w:val="20"/>
          <w:szCs w:val="20"/>
          <w:color w:val="auto"/>
        </w:rPr>
      </w:pPr>
    </w:p>
    <w:p>
      <w:pPr>
        <w:ind w:left="1220" w:right="1279"/>
        <w:spacing w:after="0" w:line="224" w:lineRule="auto"/>
        <w:rPr>
          <w:sz w:val="20"/>
          <w:szCs w:val="20"/>
          <w:color w:val="auto"/>
        </w:rPr>
      </w:pPr>
      <w:r>
        <w:rPr>
          <w:rFonts w:ascii="Arial" w:cs="Arial" w:eastAsia="Arial" w:hAnsi="Arial"/>
          <w:sz w:val="14"/>
          <w:szCs w:val="14"/>
          <w:color w:val="auto"/>
        </w:rPr>
        <w:t>Collectively, we have made significant progress in deriving iPSC lines that carry Trusted TCRs as well as refining the differentiation process to generate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that express a TCR and a CAR. The cells mediate robust killing</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5" w:name="page126"/>
    <w:bookmarkEnd w:id="12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color w:val="auto"/>
        </w:rPr>
        <w:t>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development candidates</w:t>
      </w:r>
    </w:p>
    <w:p>
      <w:pPr>
        <w:spacing w:after="0" w:line="122" w:lineRule="exact"/>
        <w:rPr>
          <w:sz w:val="20"/>
          <w:szCs w:val="20"/>
          <w:color w:val="auto"/>
        </w:rPr>
      </w:pPr>
    </w:p>
    <w:p>
      <w:pPr>
        <w:ind w:left="1220" w:right="1259"/>
        <w:spacing w:after="0" w:line="248"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tumors and hematological malignancies. This pipeline is comprised of cell therapies that will address diseases where we believe current therapies are inadequate. Our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is designed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an IND in the second half of 2023. Our fourth product candidate, CNTY-104, is being developed to treat AML with the IND expected in mid 2024. 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214630</wp:posOffset>
            </wp:positionV>
            <wp:extent cx="3960495" cy="11169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60495" cy="111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480" w:right="1339" w:hanging="256"/>
        <w:spacing w:after="0" w:line="246" w:lineRule="auto"/>
        <w:tabs>
          <w:tab w:leader="none" w:pos="1480" w:val="left"/>
        </w:tabs>
        <w:numPr>
          <w:ilvl w:val="0"/>
          <w:numId w:val="76"/>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5" w:lineRule="exact"/>
        <w:rPr>
          <w:sz w:val="20"/>
          <w:szCs w:val="20"/>
          <w:color w:val="auto"/>
        </w:rPr>
      </w:pPr>
    </w:p>
    <w:p>
      <w:pPr>
        <w:ind w:left="1220" w:right="1239"/>
        <w:spacing w:after="0" w:line="462" w:lineRule="auto"/>
        <w:rPr>
          <w:sz w:val="20"/>
          <w:szCs w:val="20"/>
          <w:color w:val="auto"/>
        </w:rPr>
      </w:pPr>
      <w:r>
        <w:rPr>
          <w:rFonts w:ascii="Arial" w:cs="Arial" w:eastAsia="Arial" w:hAnsi="Arial"/>
          <w:sz w:val="14"/>
          <w:szCs w:val="14"/>
          <w:b w:val="1"/>
          <w:bCs w:val="1"/>
          <w:i w:val="1"/>
          <w:iCs w:val="1"/>
          <w:color w:val="auto"/>
        </w:rPr>
        <w:t xml:space="preserve">CNTY-101: Our CAR-iNK candidate targeting CD19 for relapsed, refractory B-cell lymphoma </w:t>
      </w:r>
      <w:r>
        <w:rPr>
          <w:rFonts w:ascii="Arial" w:cs="Arial" w:eastAsia="Arial" w:hAnsi="Arial"/>
          <w:sz w:val="14"/>
          <w:szCs w:val="14"/>
          <w:i w:val="1"/>
          <w:iCs w:val="1"/>
          <w:color w:val="auto"/>
        </w:rPr>
        <w:t>Disease background</w:t>
      </w:r>
    </w:p>
    <w:p>
      <w:pPr>
        <w:ind w:left="1220" w:right="1239"/>
        <w:spacing w:after="0" w:line="260" w:lineRule="auto"/>
        <w:rPr>
          <w:sz w:val="20"/>
          <w:szCs w:val="20"/>
          <w:color w:val="auto"/>
        </w:rPr>
      </w:pPr>
      <w:r>
        <w:rPr>
          <w:rFonts w:ascii="Arial" w:cs="Arial" w:eastAsia="Arial" w:hAnsi="Arial"/>
          <w:sz w:val="14"/>
          <w:szCs w:val="14"/>
          <w:color w:val="auto"/>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Current treatment and shortcomings</w:t>
      </w:r>
    </w:p>
    <w:p>
      <w:pPr>
        <w:spacing w:after="0" w:line="134"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97"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6" w:name="page127"/>
    <w:bookmarkEnd w:id="12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19"/>
        <w:spacing w:after="0" w:line="261" w:lineRule="auto"/>
        <w:rPr>
          <w:sz w:val="20"/>
          <w:szCs w:val="20"/>
          <w:color w:val="auto"/>
        </w:rPr>
      </w:pPr>
      <w:r>
        <w:rPr>
          <w:rFonts w:ascii="Arial" w:cs="Arial" w:eastAsia="Arial" w:hAnsi="Arial"/>
          <w:sz w:val="14"/>
          <w:szCs w:val="14"/>
          <w:color w:val="auto"/>
        </w:rPr>
        <w:t>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therapeutic approach and development program</w:t>
      </w:r>
    </w:p>
    <w:p>
      <w:pPr>
        <w:spacing w:after="0" w:line="123" w:lineRule="exact"/>
        <w:rPr>
          <w:sz w:val="20"/>
          <w:szCs w:val="20"/>
          <w:color w:val="auto"/>
        </w:rPr>
      </w:pPr>
    </w:p>
    <w:p>
      <w:pPr>
        <w:jc w:val="both"/>
        <w:ind w:left="1220" w:right="1379"/>
        <w:spacing w:after="0" w:line="274" w:lineRule="auto"/>
        <w:rPr>
          <w:sz w:val="20"/>
          <w:szCs w:val="20"/>
          <w:color w:val="auto"/>
        </w:rPr>
      </w:pPr>
      <w:r>
        <w:rPr>
          <w:rFonts w:ascii="Arial" w:cs="Arial" w:eastAsia="Arial" w:hAnsi="Arial"/>
          <w:sz w:val="14"/>
          <w:szCs w:val="14"/>
          <w:color w:val="auto"/>
        </w:rPr>
        <w:t>Our lead product candidate, CNTY-101, is an allogeneic, iPSC-derived CAR-iNK cell product for the treatment of B-cell lymphomas. CNTY-101 has been engineered with the following features:</w:t>
      </w:r>
    </w:p>
    <w:p>
      <w:pPr>
        <w:spacing w:after="0" w:line="75" w:lineRule="exact"/>
        <w:rPr>
          <w:sz w:val="20"/>
          <w:szCs w:val="20"/>
          <w:color w:val="auto"/>
        </w:rPr>
      </w:pPr>
    </w:p>
    <w:p>
      <w:pPr>
        <w:ind w:left="1600" w:right="1439" w:hanging="117"/>
        <w:spacing w:after="0" w:line="290" w:lineRule="auto"/>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expression of CD19 CAR to target malignant B cells. Our CAR construct uses the FMC63 scFv and the signaling domains of CD28 and CD3ζ;</w:t>
      </w:r>
    </w:p>
    <w:p>
      <w:pPr>
        <w:spacing w:after="0" w:line="42" w:lineRule="exact"/>
        <w:rPr>
          <w:rFonts w:ascii="Arial" w:cs="Arial" w:eastAsia="Arial" w:hAnsi="Arial"/>
          <w:sz w:val="14"/>
          <w:szCs w:val="14"/>
          <w:color w:val="auto"/>
        </w:rPr>
      </w:pPr>
    </w:p>
    <w:p>
      <w:pPr>
        <w:ind w:left="1600" w:hanging="117"/>
        <w:spacing w:after="0"/>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knock-out of HLA-I and HLA-II to escape elimination by the patient’s CD8 and CD4 T cells;</w:t>
      </w:r>
    </w:p>
    <w:p>
      <w:pPr>
        <w:spacing w:after="0" w:line="97" w:lineRule="exact"/>
        <w:rPr>
          <w:rFonts w:ascii="Arial" w:cs="Arial" w:eastAsia="Arial" w:hAnsi="Arial"/>
          <w:sz w:val="14"/>
          <w:szCs w:val="14"/>
          <w:color w:val="auto"/>
        </w:rPr>
      </w:pPr>
    </w:p>
    <w:p>
      <w:pPr>
        <w:ind w:left="1600" w:hanging="117"/>
        <w:spacing w:after="0"/>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knock-in of HLA-E to avoid killing by the patient’s NK cells;</w:t>
      </w:r>
    </w:p>
    <w:p>
      <w:pPr>
        <w:spacing w:after="0" w:line="87" w:lineRule="exact"/>
        <w:rPr>
          <w:rFonts w:ascii="Arial" w:cs="Arial" w:eastAsia="Arial" w:hAnsi="Arial"/>
          <w:sz w:val="14"/>
          <w:szCs w:val="14"/>
          <w:color w:val="auto"/>
        </w:rPr>
      </w:pPr>
    </w:p>
    <w:p>
      <w:pPr>
        <w:ind w:left="1600" w:right="1559" w:hanging="117"/>
        <w:spacing w:after="0" w:line="290" w:lineRule="auto"/>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expression of IL-15 to provide homeostatic cytokine support to improve persistence and functionality; and</w:t>
      </w:r>
    </w:p>
    <w:p>
      <w:pPr>
        <w:spacing w:after="0" w:line="53" w:lineRule="exact"/>
        <w:rPr>
          <w:rFonts w:ascii="Arial" w:cs="Arial" w:eastAsia="Arial" w:hAnsi="Arial"/>
          <w:sz w:val="14"/>
          <w:szCs w:val="14"/>
          <w:color w:val="auto"/>
        </w:rPr>
      </w:pPr>
    </w:p>
    <w:p>
      <w:pPr>
        <w:ind w:left="1600" w:hanging="117"/>
        <w:spacing w:after="0"/>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incorporation of an EGFR safety switch to allow for elimination of the product if necessary.</w:t>
      </w:r>
    </w:p>
    <w:p>
      <w:pPr>
        <w:spacing w:after="0" w:line="120"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106" w:lineRule="exact"/>
        <w:rPr>
          <w:sz w:val="20"/>
          <w:szCs w:val="20"/>
          <w:color w:val="auto"/>
        </w:rPr>
      </w:pPr>
    </w:p>
    <w:p>
      <w:pPr>
        <w:ind w:left="1220" w:right="1239"/>
        <w:spacing w:after="0" w:line="248" w:lineRule="auto"/>
        <w:rPr>
          <w:sz w:val="20"/>
          <w:szCs w:val="20"/>
          <w:color w:val="auto"/>
        </w:rPr>
      </w:pPr>
      <w:r>
        <w:rPr>
          <w:rFonts w:ascii="Arial" w:cs="Arial" w:eastAsia="Arial" w:hAnsi="Arial"/>
          <w:sz w:val="14"/>
          <w:szCs w:val="14"/>
          <w:color w:val="auto"/>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B-cell malignancies. The inclusion of a validated CAR construct in our first product candidate eliminates a key variable, i.e. the performance of a novel CAR construct, better enabling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engineered iNK platform to be validated in the initial studies. The validity of this therapeutic approach is further supported by a M.D. Anderson clinical trial of CAR-NK cells targeting CD19 used in the treatment of relapsed or refractory NHL and chronic lymphocytic leukemia, or CLL, patients. In that trial, eight of the 11 patients responded to treatment with seven patients achieving complete remission.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114935</wp:posOffset>
            </wp:positionV>
            <wp:extent cx="4001135" cy="17468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01135" cy="174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20" w:right="1379"/>
        <w:spacing w:after="0" w:line="310" w:lineRule="auto"/>
        <w:rPr>
          <w:sz w:val="20"/>
          <w:szCs w:val="20"/>
          <w:color w:val="auto"/>
        </w:rPr>
      </w:pPr>
      <w:r>
        <w:rPr>
          <w:rFonts w:ascii="Arial" w:cs="Arial" w:eastAsia="Arial" w:hAnsi="Arial"/>
          <w:sz w:val="14"/>
          <w:szCs w:val="14"/>
          <w:i w:val="1"/>
          <w:iCs w:val="1"/>
          <w:color w:val="auto"/>
        </w:rPr>
        <w:t>Left panel: engineered features of CNTY-101. Right panel: structure of the CD19 CAR construct used in CNTY-101</w:t>
      </w:r>
    </w:p>
    <w:p>
      <w:pPr>
        <w:spacing w:after="0" w:line="73"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We have completed engineering of iPSC lines from five different donors and single cell cloning of numerous iPSC lines. The single cell clones are undergoing genotype and phenotype identity, purity, safety, manufacturability, and</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7" w:name="page128"/>
    <w:bookmarkEnd w:id="12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20" w:right="1339"/>
        <w:spacing w:after="0" w:line="263" w:lineRule="auto"/>
        <w:rPr>
          <w:sz w:val="20"/>
          <w:szCs w:val="20"/>
          <w:color w:val="auto"/>
        </w:rPr>
      </w:pPr>
      <w:r>
        <w:rPr>
          <w:rFonts w:ascii="Arial" w:cs="Arial" w:eastAsia="Arial" w:hAnsi="Arial"/>
          <w:sz w:val="14"/>
          <w:szCs w:val="14"/>
          <w:i w:val="1"/>
          <w:iCs w:val="1"/>
          <w:color w:val="auto"/>
        </w:rPr>
        <w:t xml:space="preserve">in vitro </w:t>
      </w:r>
      <w:r>
        <w:rPr>
          <w:rFonts w:ascii="Arial" w:cs="Arial" w:eastAsia="Arial" w:hAnsi="Arial"/>
          <w:sz w:val="14"/>
          <w:szCs w:val="14"/>
          <w:color w:val="auto"/>
        </w:rPr>
        <w:t>and</w:t>
      </w:r>
      <w:r>
        <w:rPr>
          <w:rFonts w:ascii="Arial" w:cs="Arial" w:eastAsia="Arial" w:hAnsi="Arial"/>
          <w:sz w:val="14"/>
          <w:szCs w:val="14"/>
          <w:i w:val="1"/>
          <w:iCs w:val="1"/>
          <w:color w:val="auto"/>
        </w:rPr>
        <w:t xml:space="preserve"> in vivo </w:t>
      </w:r>
      <w:r>
        <w:rPr>
          <w:rFonts w:ascii="Arial" w:cs="Arial" w:eastAsia="Arial" w:hAnsi="Arial"/>
          <w:sz w:val="14"/>
          <w:szCs w:val="14"/>
          <w:color w:val="auto"/>
        </w:rPr>
        <w:t>functional testing. CD19 iNK single cell clones demonstrate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cytotoxicity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comparable to CAR-T controls, and numerous cycles of serial killing after repeated challenge with lymphoma cells. CNTY-101 single cell clones also demonstrate IL-15 expression and persistence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as well as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tumor growth inhibition. We expect clinical candidate clone selection in the first half of 2021, and plan to move into IND-enabling preclinical and technical studies and manufacturing at that time. We currently anticipate filing an IND in mid 2022 to advance CNTY-101 into a Phase 1 clinical trial.</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Preclinical studies and selection of the final product candidate for CNTY-101</w:t>
      </w:r>
    </w:p>
    <w:p>
      <w:pPr>
        <w:spacing w:after="0" w:line="123" w:lineRule="exact"/>
        <w:rPr>
          <w:sz w:val="20"/>
          <w:szCs w:val="20"/>
          <w:color w:val="auto"/>
        </w:rPr>
      </w:pPr>
    </w:p>
    <w:p>
      <w:pPr>
        <w:ind w:left="1220" w:right="1279"/>
        <w:spacing w:after="0"/>
        <w:rPr>
          <w:sz w:val="20"/>
          <w:szCs w:val="20"/>
          <w:color w:val="auto"/>
        </w:rPr>
      </w:pPr>
      <w:r>
        <w:rPr>
          <w:rFonts w:ascii="Arial" w:cs="Arial" w:eastAsia="Arial" w:hAnsi="Arial"/>
          <w:sz w:val="14"/>
          <w:szCs w:val="14"/>
          <w:color w:val="auto"/>
        </w:rPr>
        <w:t>To identify the CNTY-101 clinical candidate, we engineered iPSC lines from five different donors. The initial characterization studies were done with bulk cells prior to single cell cloning (bulk-engineered cells), and we have now generated additional data with single-cell clones. To identify the candidate, we have narrowed down to six clonal cell lines derived from two donors. The initial evaluation of the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features and safety switch was done on bulk-engineered iPSC lines.</w:t>
      </w:r>
    </w:p>
    <w:p>
      <w:pPr>
        <w:spacing w:after="0" w:line="29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Allo-Evasion</w:t>
      </w:r>
      <w:r>
        <w:rPr>
          <w:rFonts w:ascii="Arial" w:cs="Arial" w:eastAsia="Arial" w:hAnsi="Arial"/>
          <w:sz w:val="21"/>
          <w:szCs w:val="21"/>
          <w:i w:val="1"/>
          <w:iCs w:val="1"/>
          <w:color w:val="auto"/>
          <w:vertAlign w:val="superscript"/>
        </w:rPr>
        <w:t>TM</w:t>
      </w:r>
      <w:r>
        <w:rPr>
          <w:rFonts w:ascii="Arial" w:cs="Arial" w:eastAsia="Arial" w:hAnsi="Arial"/>
          <w:sz w:val="14"/>
          <w:szCs w:val="14"/>
          <w:i w:val="1"/>
          <w:iCs w:val="1"/>
          <w:color w:val="auto"/>
        </w:rPr>
        <w:t xml:space="preserve"> studies with bulk-engineered CAR-iNK cells</w:t>
      </w:r>
    </w:p>
    <w:p>
      <w:pPr>
        <w:spacing w:after="0" w:line="81" w:lineRule="exact"/>
        <w:rPr>
          <w:sz w:val="20"/>
          <w:szCs w:val="20"/>
          <w:color w:val="auto"/>
        </w:rPr>
      </w:pPr>
    </w:p>
    <w:p>
      <w:pPr>
        <w:ind w:left="1220" w:right="1359"/>
        <w:spacing w:after="0" w:line="242" w:lineRule="auto"/>
        <w:rPr>
          <w:sz w:val="20"/>
          <w:szCs w:val="20"/>
          <w:color w:val="auto"/>
        </w:rPr>
      </w:pPr>
      <w:r>
        <w:rPr>
          <w:rFonts w:ascii="Arial" w:cs="Arial" w:eastAsia="Arial" w:hAnsi="Arial"/>
          <w:sz w:val="14"/>
          <w:szCs w:val="14"/>
          <w:color w:val="auto"/>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products, HLA-I will be uniformly absent from all iNK cells.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108585</wp:posOffset>
            </wp:positionV>
            <wp:extent cx="2527935" cy="1939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2793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20" w:right="1259"/>
        <w:spacing w:after="0" w:line="235" w:lineRule="auto"/>
        <w:rPr>
          <w:sz w:val="20"/>
          <w:szCs w:val="20"/>
          <w:color w:val="auto"/>
        </w:rPr>
      </w:pPr>
      <w:r>
        <w:rPr>
          <w:rFonts w:ascii="Arial" w:cs="Arial" w:eastAsia="Arial" w:hAnsi="Arial"/>
          <w:sz w:val="14"/>
          <w:szCs w:val="14"/>
          <w:i w:val="1"/>
          <w:iCs w:val="1"/>
          <w:color w:val="auto"/>
        </w:rPr>
        <w:t>Elimination of HLA-I prevents allogeneic immune recognition of iNK cells by CD8 T cells. To determine if removal of HLA-I via β2m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100" w:lineRule="exact"/>
        <w:rPr>
          <w:sz w:val="20"/>
          <w:szCs w:val="20"/>
          <w:color w:val="auto"/>
        </w:rPr>
      </w:pPr>
    </w:p>
    <w:p>
      <w:pPr>
        <w:ind w:left="1220" w:right="1299"/>
        <w:spacing w:after="0" w:line="242" w:lineRule="auto"/>
        <w:rPr>
          <w:sz w:val="20"/>
          <w:szCs w:val="20"/>
          <w:color w:val="auto"/>
        </w:rPr>
      </w:pPr>
      <w:r>
        <w:rPr>
          <w:rFonts w:ascii="Arial" w:cs="Arial" w:eastAsia="Arial" w:hAnsi="Arial"/>
          <w:sz w:val="14"/>
          <w:szCs w:val="14"/>
          <w:color w:val="auto"/>
        </w:rPr>
        <w:t>Deletion of HLA-I prevents the recognition of our iNK cells by allogeneic T cells, but on the other hand, it exposes the iNK cells to killing by the patient’s NK cells. NK cells can sense the lack of HLA-I as a danger signal (missing self-hypothesis) and eliminate HLA-I negative cells. As part of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engineered the expression of HLA-E, a monomorphic MHC Class I related molecule to prevent the killing of the HLA-I null iNK cells. HLA-E engages an inhibitory receptor, NKG2A on NK cells and prevents their cytolytic activity. Our data with bulk-engineered iNK cells indicates that HLA-E is effective in mitigating the killing of the null iNK cells.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8" w:name="page129"/>
    <w:bookmarkEnd w:id="12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Expression of HLA-E prevents killing of iNK cells</w:t>
      </w:r>
    </w:p>
    <w:p>
      <w:pPr>
        <w:spacing w:after="0" w:line="2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69850</wp:posOffset>
            </wp:positionV>
            <wp:extent cx="3432810" cy="1746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32810" cy="174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20" w:right="1379"/>
        <w:spacing w:after="0" w:line="262" w:lineRule="auto"/>
        <w:rPr>
          <w:sz w:val="20"/>
          <w:szCs w:val="20"/>
          <w:color w:val="auto"/>
        </w:rPr>
      </w:pPr>
      <w:r>
        <w:rPr>
          <w:rFonts w:ascii="Arial" w:cs="Arial" w:eastAsia="Arial" w:hAnsi="Arial"/>
          <w:sz w:val="14"/>
          <w:szCs w:val="14"/>
          <w:i w:val="1"/>
          <w:iCs w:val="1"/>
          <w:color w:val="auto"/>
        </w:rPr>
        <w:t>In contrast with HLA-I null iNK cells, which are killed by allogeneic NK cells, HLA-I null iNK cells engineered with HLA-E are mostly protected from killing by allogeneic NK cells.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Evaluation of the EGFR safety switch with bulk engineered CAR-iNK cells</w:t>
      </w:r>
    </w:p>
    <w:p>
      <w:pPr>
        <w:spacing w:after="0" w:line="134"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 xml:space="preserve">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 Cetuximab engages FcγR on innate immune cells, such as NK cells and macrophages, to eliminate EFGR-expressing cells through ADCC or ADCP. Our preliminary data from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indicates that the cetuximab effectively triggers the elimination of iNK cells engineered with our EGFR safety switch from different tissues including blood, liver, and lungs.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74295</wp:posOffset>
            </wp:positionV>
            <wp:extent cx="4042410" cy="2048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4241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20" w:right="1419"/>
        <w:spacing w:after="0" w:line="243" w:lineRule="auto"/>
        <w:rPr>
          <w:sz w:val="20"/>
          <w:szCs w:val="20"/>
          <w:color w:val="auto"/>
        </w:rPr>
      </w:pPr>
      <w:r>
        <w:rPr>
          <w:rFonts w:ascii="Arial" w:cs="Arial" w:eastAsia="Arial" w:hAnsi="Arial"/>
          <w:sz w:val="14"/>
          <w:szCs w:val="14"/>
          <w:i w:val="1"/>
          <w:iCs w:val="1"/>
          <w:color w:val="auto"/>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9" w:name="page130"/>
    <w:bookmarkEnd w:id="12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Single-cell cloning of engineered iPSC from different donors to identify the final clinical candidate</w:t>
      </w:r>
    </w:p>
    <w:p>
      <w:pPr>
        <w:spacing w:after="0" w:line="134" w:lineRule="exact"/>
        <w:rPr>
          <w:sz w:val="20"/>
          <w:szCs w:val="20"/>
          <w:color w:val="auto"/>
        </w:rPr>
      </w:pPr>
    </w:p>
    <w:p>
      <w:pPr>
        <w:ind w:left="1220" w:right="1259"/>
        <w:spacing w:after="0" w:line="273" w:lineRule="auto"/>
        <w:rPr>
          <w:sz w:val="20"/>
          <w:szCs w:val="20"/>
          <w:color w:val="auto"/>
        </w:rPr>
      </w:pPr>
      <w:r>
        <w:rPr>
          <w:rFonts w:ascii="Arial" w:cs="Arial" w:eastAsia="Arial" w:hAnsi="Arial"/>
          <w:sz w:val="14"/>
          <w:szCs w:val="14"/>
          <w:color w:val="auto"/>
        </w:rPr>
        <w:t xml:space="preserve">We have now completed the single cell cloning of engineered iPSC lines from three different donors. The single cell clones have been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and manufacturability screens. We have narrowed down the number of candidates to six clonal lines from two different donors. These lines are being evaluated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for final clinical candidate selection, which is set to occur in the first half of 2021. We anticipate filing an IND in mid 2022 and subsequently advance CNTY-101 into a Phase</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1 clinical trial.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121920</wp:posOffset>
            </wp:positionV>
            <wp:extent cx="4165600" cy="16167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16560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Selected single-cell clones express engineered transgenes in virtually all cells after expansion</w:t>
      </w:r>
    </w:p>
    <w:p>
      <w:pPr>
        <w:spacing w:after="0" w:line="144"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We have run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0" w:name="page131"/>
    <w:bookmarkEnd w:id="13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128905</wp:posOffset>
            </wp:positionV>
            <wp:extent cx="3926205" cy="3254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26205" cy="325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20" w:right="1259"/>
        <w:spacing w:after="0" w:line="255" w:lineRule="auto"/>
        <w:rPr>
          <w:sz w:val="20"/>
          <w:szCs w:val="20"/>
          <w:color w:val="auto"/>
        </w:rPr>
      </w:pPr>
      <w:r>
        <w:rPr>
          <w:rFonts w:ascii="Arial" w:cs="Arial" w:eastAsia="Arial" w:hAnsi="Arial"/>
          <w:sz w:val="14"/>
          <w:szCs w:val="14"/>
          <w:i w:val="1"/>
          <w:iCs w:val="1"/>
          <w:color w:val="auto"/>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Functional analysis of iNK cells generated from individual iPSC clones reveals meaningful</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differences in the </w:t>
      </w:r>
      <w:r>
        <w:rPr>
          <w:rFonts w:ascii="Arial" w:cs="Arial" w:eastAsia="Arial" w:hAnsi="Arial"/>
          <w:sz w:val="14"/>
          <w:szCs w:val="14"/>
          <w:b w:val="1"/>
          <w:bCs w:val="1"/>
          <w:i w:val="1"/>
          <w:iCs w:val="1"/>
          <w:color w:val="auto"/>
        </w:rPr>
        <w:t>in vitro</w:t>
      </w:r>
      <w:r>
        <w:rPr>
          <w:rFonts w:ascii="Arial" w:cs="Arial" w:eastAsia="Arial" w:hAnsi="Arial"/>
          <w:sz w:val="14"/>
          <w:szCs w:val="14"/>
          <w:b w:val="1"/>
          <w:bCs w:val="1"/>
          <w:color w:val="auto"/>
        </w:rPr>
        <w:t xml:space="preserve"> persistence and killing capacity of clinical candidates.</w:t>
      </w:r>
    </w:p>
    <w:p>
      <w:pPr>
        <w:spacing w:after="0" w:line="170" w:lineRule="exact"/>
        <w:rPr>
          <w:sz w:val="20"/>
          <w:szCs w:val="20"/>
          <w:color w:val="auto"/>
        </w:rPr>
      </w:pPr>
    </w:p>
    <w:p>
      <w:pPr>
        <w:ind w:left="1220" w:right="1279"/>
        <w:spacing w:after="0" w:line="293" w:lineRule="auto"/>
        <w:rPr>
          <w:sz w:val="20"/>
          <w:szCs w:val="20"/>
          <w:color w:val="auto"/>
        </w:rPr>
      </w:pPr>
      <w:r>
        <w:rPr>
          <w:rFonts w:ascii="Arial" w:cs="Arial" w:eastAsia="Arial" w:hAnsi="Arial"/>
          <w:sz w:val="14"/>
          <w:szCs w:val="14"/>
          <w:color w:val="auto"/>
        </w:rPr>
        <w:t xml:space="preserve">In addition to assuring uniform transgene expression in the clones under consideration for clinical candidate selection, we compared two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 there was a meaningful difference between clones in the recovery of iNK cells after a seven day culture, with three clones demonstrating particularly favorable persistence.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1" w:name="page132"/>
    <w:bookmarkEnd w:id="13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430530</wp:posOffset>
            </wp:positionV>
            <wp:extent cx="4158615" cy="17265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58615" cy="172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20" w:right="1259"/>
        <w:spacing w:after="0" w:line="194" w:lineRule="auto"/>
        <w:rPr>
          <w:sz w:val="20"/>
          <w:szCs w:val="20"/>
          <w:color w:val="auto"/>
        </w:rPr>
      </w:pPr>
      <w:r>
        <w:rPr>
          <w:rFonts w:ascii="Arial" w:cs="Arial" w:eastAsia="Arial" w:hAnsi="Arial"/>
          <w:sz w:val="14"/>
          <w:szCs w:val="14"/>
          <w:i w:val="1"/>
          <w:iCs w:val="1"/>
          <w:color w:val="auto"/>
        </w:rPr>
        <w:t>Average iNK cell number as measured by flow cytometry at the conclusion of the 7 day persistence assay. iNK cells were cultured alone or in co-culture with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NALM6 or REH cells</w:t>
      </w:r>
    </w:p>
    <w:p>
      <w:pPr>
        <w:spacing w:after="0" w:line="2" w:lineRule="exact"/>
        <w:rPr>
          <w:sz w:val="20"/>
          <w:szCs w:val="20"/>
          <w:color w:val="auto"/>
        </w:rPr>
      </w:pPr>
    </w:p>
    <w:p>
      <w:pPr>
        <w:ind w:left="1220" w:right="1419"/>
        <w:spacing w:after="0"/>
        <w:rPr>
          <w:sz w:val="20"/>
          <w:szCs w:val="20"/>
          <w:color w:val="auto"/>
        </w:rPr>
      </w:pPr>
      <w:r>
        <w:rPr>
          <w:rFonts w:ascii="Arial" w:cs="Arial" w:eastAsia="Arial" w:hAnsi="Arial"/>
          <w:sz w:val="14"/>
          <w:szCs w:val="14"/>
          <w:i w:val="1"/>
          <w:iCs w:val="1"/>
          <w:color w:val="auto"/>
        </w:rPr>
        <w:t>at an effector to target ratio of 1:1 in the absence of any exogenous cytokine support for 7 days and then analyzed by flow cytometry. The iNK cell population was defined as live, CD45</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CD56</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cells.</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Single-cell clones mediate serial killing of lymphoma cells</w:t>
      </w:r>
    </w:p>
    <w:p>
      <w:pPr>
        <w:spacing w:after="0" w:line="123"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to characterize and distinguish CAR-iNK cell clones. Our most potent clones (iPSC611, iPSC387, iPSC384) sustain serial killing activity for over ten rounds of killing. These clones have now progressed to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for characterization of their anti-tumor activity against human lymphoma xenografts. These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will determine the final choice of the iPSC clone that will be selected to generate the CNTY-101 clinical candidate.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114935</wp:posOffset>
            </wp:positionV>
            <wp:extent cx="4104005" cy="1939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0400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1259"/>
        <w:spacing w:after="0" w:line="243" w:lineRule="auto"/>
        <w:rPr>
          <w:sz w:val="20"/>
          <w:szCs w:val="20"/>
          <w:color w:val="auto"/>
        </w:rPr>
      </w:pPr>
      <w:r>
        <w:rPr>
          <w:rFonts w:ascii="Arial" w:cs="Arial" w:eastAsia="Arial" w:hAnsi="Arial"/>
          <w:sz w:val="14"/>
          <w:szCs w:val="14"/>
          <w:i w:val="1"/>
          <w:iCs w:val="1"/>
          <w:color w:val="auto"/>
        </w:rPr>
        <w:t>To demonstrate the ability of our clonal CAR-iNK cells to kill lymphoma cells over multiple rounds of tumor challenge, NuclightRed labeled Nalm-6 CD19+ lymphoma cells were cocultured with iNK clones at an E:T ratio of 5:1. The</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2" w:name="page133"/>
    <w:bookmarkEnd w:id="13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20" w:right="1379"/>
        <w:spacing w:after="0" w:line="251" w:lineRule="auto"/>
        <w:rPr>
          <w:sz w:val="20"/>
          <w:szCs w:val="20"/>
          <w:color w:val="auto"/>
        </w:rPr>
      </w:pPr>
      <w:r>
        <w:rPr>
          <w:rFonts w:ascii="Arial" w:cs="Arial" w:eastAsia="Arial" w:hAnsi="Arial"/>
          <w:sz w:val="14"/>
          <w:szCs w:val="14"/>
          <w:i w:val="1"/>
          <w:iCs w:val="1"/>
          <w:color w:val="auto"/>
        </w:rPr>
        <w:t>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Preliminary assessment of CD19 CAR-iNK cell clone inhibition of tumor growth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135890</wp:posOffset>
            </wp:positionV>
            <wp:extent cx="3213100" cy="268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13100"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20" w:right="1319"/>
        <w:spacing w:after="0" w:line="246" w:lineRule="auto"/>
        <w:rPr>
          <w:sz w:val="20"/>
          <w:szCs w:val="20"/>
          <w:color w:val="auto"/>
        </w:rPr>
      </w:pPr>
      <w:r>
        <w:rPr>
          <w:rFonts w:ascii="Arial" w:cs="Arial" w:eastAsia="Arial" w:hAnsi="Arial"/>
          <w:sz w:val="14"/>
          <w:szCs w:val="14"/>
          <w:i w:val="1"/>
          <w:iCs w:val="1"/>
          <w:color w:val="auto"/>
        </w:rPr>
        <w:t>The clones that performed best in the persistence and serial killing assays shown above were advanced into in vivo tumor growth inhibition studies. The CD19 expressing NALM6 lymphoma model was used in a mouse xenograft model to determine the impact of the three leading clones (as determined above) on tumor growth. Tumor was established on day zero and iNK cells derived from single-cell clones (iPSC384, iPSC387, iPSC611)or bulk engineered iNK cells (iPSC300) were administered intravenously on days 1, 8, and 15. As predicted, each of the three lines derived from single-cell clones mediated significant anti-tumor growth inhibition which was greater than CD19 CAR-iNK cells derived from the bulk culture (iPSC300).</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Single-cell clones eliminate CD19+ B cells</w:t>
      </w:r>
    </w:p>
    <w:p>
      <w:pPr>
        <w:spacing w:after="0" w:line="134" w:lineRule="exact"/>
        <w:rPr>
          <w:sz w:val="20"/>
          <w:szCs w:val="20"/>
          <w:color w:val="auto"/>
        </w:rPr>
      </w:pPr>
    </w:p>
    <w:p>
      <w:pPr>
        <w:ind w:left="1220" w:right="1279"/>
        <w:spacing w:after="0" w:line="292" w:lineRule="auto"/>
        <w:rPr>
          <w:sz w:val="20"/>
          <w:szCs w:val="20"/>
          <w:color w:val="auto"/>
        </w:rPr>
      </w:pPr>
      <w:r>
        <w:rPr>
          <w:rFonts w:ascii="Arial" w:cs="Arial" w:eastAsia="Arial" w:hAnsi="Arial"/>
          <w:sz w:val="14"/>
          <w:szCs w:val="14"/>
          <w:color w:val="auto"/>
        </w:rPr>
        <w:t>One of the key hallmarks of approved CD19 CAR-T cell therapy is the observation that patients who respond to treatment have B-cell aplasia (loss of B cells). Because normal B-cells express CD19, B-cell aplasia is expected during CD19 CAR-T cell treatment and has been used as a pharmacodynamic indicator of CAR-T cell activity. 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B-cell aplasia should be expected during treatment of lymphoma patients. B-cell aplasia is expected to benefit our Allo-Evasion™ strategy by further reducing the chance of patients mounting a humoral anti-iNK cell antibody response.</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3" w:name="page134"/>
    <w:bookmarkEnd w:id="13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B Cells in Co-cultures of PBMCs with CAR-iNK Cells Derived from Single-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124460</wp:posOffset>
            </wp:positionV>
            <wp:extent cx="3446145" cy="22745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46145" cy="227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20" w:right="1319"/>
        <w:spacing w:after="0" w:line="279" w:lineRule="auto"/>
        <w:rPr>
          <w:sz w:val="20"/>
          <w:szCs w:val="20"/>
          <w:color w:val="auto"/>
        </w:rPr>
      </w:pPr>
      <w:r>
        <w:rPr>
          <w:rFonts w:ascii="Arial" w:cs="Arial" w:eastAsia="Arial" w:hAnsi="Arial"/>
          <w:sz w:val="14"/>
          <w:szCs w:val="14"/>
          <w:b w:val="1"/>
          <w:bCs w:val="1"/>
          <w:i w:val="1"/>
          <w:iCs w:val="1"/>
          <w:color w:val="auto"/>
        </w:rPr>
        <w:t>Elimination of normal B cells from whole PBMCs by our top candidate iNK single-cell clones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To evaluate B-cell killing activity in-vitro, CAR-iNK cells derived from six single-cell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CNTY-101 clinical development program</w:t>
      </w:r>
    </w:p>
    <w:p>
      <w:pPr>
        <w:spacing w:after="0" w:line="134" w:lineRule="exact"/>
        <w:rPr>
          <w:sz w:val="20"/>
          <w:szCs w:val="20"/>
          <w:color w:val="auto"/>
        </w:rPr>
      </w:pPr>
    </w:p>
    <w:p>
      <w:pPr>
        <w:jc w:val="both"/>
        <w:ind w:left="1220" w:right="1399"/>
        <w:spacing w:after="0" w:line="243" w:lineRule="auto"/>
        <w:rPr>
          <w:sz w:val="20"/>
          <w:szCs w:val="20"/>
          <w:color w:val="auto"/>
        </w:rPr>
      </w:pPr>
      <w:r>
        <w:rPr>
          <w:rFonts w:ascii="Arial" w:cs="Arial" w:eastAsia="Arial" w:hAnsi="Arial"/>
          <w:sz w:val="14"/>
          <w:szCs w:val="14"/>
          <w:color w:val="auto"/>
        </w:rPr>
        <w:t>We believe the successful development of CNTY-101 will enable us to establish clinical proof of concept for our CAR-iNT cell therapy and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CNTY-101 is projected to enter preclinical and technical IND-enabling studies and manufacturing this year, supporting an IND filing in the middle of 2022.</w:t>
      </w:r>
    </w:p>
    <w:p>
      <w:pPr>
        <w:spacing w:after="0" w:line="130"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intend to initiate a first-in-human Phase 1 clinical study in the United States in 2022, in relapsed and refractory large B-cell lymphoma, or RR NHL, patients including dose escalation and expansion portions, designed to evaluate the safety, tolerability, pharmacokinetics, persistence, efficacy, and recommended Phase 2 dose and schedule of CNTY-101. We plan to assess both CD19-naïve and CD19-CAR-T treated patients who have relapsed. We will evaluate dose and dosing schedule, and characterize repeat dosing and its impact on safety, persistence, and efficacy. Depending on FDA feedback on our study design, we’re expecting to be able to evaluate preliminary safety in several patients approximately six months after study start and preliminary efficacy approximately nine to twelve months after study start. CNTY-101 will allow for benchmarking, where safety and efficacy can be compared to the available results for mono-specific CD19 autologous and allogeneic therapies that also utilize the FMC63 binder and CAR.</w:t>
      </w:r>
    </w:p>
    <w:p>
      <w:pPr>
        <w:spacing w:after="0" w:line="292"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The primary objective of the Phase 1 clinical study will be to evaluate incidence and nature of dose-limiting toxicities within each dose level cohort. The secondary objectives of the study will include cell pharmacokinetics and persistence, incidence, nature, and severity of adverse events, overall response rate, complete and partial response rates, and duration of response, among other measures. Exploratory measures will include evaluation of immunogenicity, correlation of antigen expression with response, and cytokine profile as a reporter of safety.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4" w:name="page135"/>
    <w:bookmarkEnd w:id="13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believe CNTY-101 may provide significant treatment advantages including (i) as a result of our ability to repeat dose, the potential to enhance objective response rates, or ORRs, and the duration of response, or DoR; (ii) 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309" w:lineRule="exact"/>
        <w:rPr>
          <w:sz w:val="20"/>
          <w:szCs w:val="20"/>
          <w:color w:val="auto"/>
        </w:rPr>
      </w:pPr>
    </w:p>
    <w:p>
      <w:pPr>
        <w:ind w:left="1220" w:right="1599"/>
        <w:spacing w:after="0" w:line="454" w:lineRule="auto"/>
        <w:rPr>
          <w:sz w:val="20"/>
          <w:szCs w:val="20"/>
          <w:color w:val="auto"/>
        </w:rPr>
      </w:pPr>
      <w:r>
        <w:rPr>
          <w:rFonts w:ascii="Arial" w:cs="Arial" w:eastAsia="Arial" w:hAnsi="Arial"/>
          <w:sz w:val="14"/>
          <w:szCs w:val="14"/>
          <w:b w:val="1"/>
          <w:bCs w:val="1"/>
          <w:i w:val="1"/>
          <w:iCs w:val="1"/>
          <w:color w:val="auto"/>
        </w:rPr>
        <w:t xml:space="preserve">CNTY-103: Our CAR iNK candidate targeting CD133 + EGFR for recurrent glioblastoma </w:t>
      </w:r>
      <w:r>
        <w:rPr>
          <w:rFonts w:ascii="Arial" w:cs="Arial" w:eastAsia="Arial" w:hAnsi="Arial"/>
          <w:sz w:val="14"/>
          <w:szCs w:val="14"/>
          <w:i w:val="1"/>
          <w:iCs w:val="1"/>
          <w:color w:val="auto"/>
        </w:rPr>
        <w:t>Disease background</w:t>
      </w:r>
    </w:p>
    <w:p>
      <w:pPr>
        <w:ind w:left="1220" w:right="1279"/>
        <w:spacing w:after="0" w:line="246" w:lineRule="auto"/>
        <w:rPr>
          <w:sz w:val="20"/>
          <w:szCs w:val="20"/>
          <w:color w:val="auto"/>
        </w:rPr>
      </w:pPr>
      <w:r>
        <w:rPr>
          <w:rFonts w:ascii="Arial" w:cs="Arial" w:eastAsia="Arial" w:hAnsi="Arial"/>
          <w:sz w:val="14"/>
          <w:szCs w:val="14"/>
          <w:color w:val="auto"/>
        </w:rPr>
        <w:t>GBM is the most aggressive cancer that originates in the brain and accounts for 15% of all brain cancers. There is no known cure for this form of cancer and as such, GBM represents a significant unmet medical need. Treatment for GBM involves surgery followed by chemotherapy and radiation and is considered only palliative as patient relapse is virtually inevitable. Surgical removal of the tumor mass is often complicated by tumor growth into critical regions or the brain, which cannot be excised surgically. While Avastin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Gliadel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have been approved for use in the treatment of recurrent GBM, their therapeutic benefit is modest. Duration of survival after diagnosis is generally 12 to 15 months with treatment, 3 months without treatment. Recurrence is virtually inevitable, with short survival times and no effective therapies.</w:t>
      </w:r>
    </w:p>
    <w:p>
      <w:pPr>
        <w:spacing w:after="0" w:line="14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therapeutic approach</w:t>
      </w:r>
    </w:p>
    <w:p>
      <w:pPr>
        <w:spacing w:after="0" w:line="134" w:lineRule="exact"/>
        <w:rPr>
          <w:sz w:val="20"/>
          <w:szCs w:val="20"/>
          <w:color w:val="auto"/>
        </w:rPr>
      </w:pPr>
    </w:p>
    <w:p>
      <w:pPr>
        <w:ind w:left="1220" w:right="1239"/>
        <w:spacing w:after="0" w:line="245" w:lineRule="auto"/>
        <w:rPr>
          <w:sz w:val="20"/>
          <w:szCs w:val="20"/>
          <w:color w:val="auto"/>
        </w:rPr>
      </w:pPr>
      <w:r>
        <w:rPr>
          <w:rFonts w:ascii="Arial" w:cs="Arial" w:eastAsia="Arial" w:hAnsi="Arial"/>
          <w:sz w:val="14"/>
          <w:szCs w:val="14"/>
          <w:color w:val="auto"/>
        </w:rPr>
        <w:t>We are pursuing a novel and differentiated approach to the treatment of recurrent GBM using allogeneic iNK cells. Our initial GBM product candidate, CNTY-103, is a dual-targeted CD133 + EGFR iNK,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product, engineered to express IL-15, a safety switch to allow for cell removal and possibly a PET reporter for imaging of the cells after administration to the patients. A dual-target should advantage our treatment strategy, as GBM tumor cells have high target heterogeneity. We believe an iNK cell product will minimize clinical safety risks such as cytokine release syndrome, and our ability to locally administer may minimize systemic toxicity and could eliminate the need for lymphodepletion, allowing older and less fit patients to have access to treatment. CNTY-103 represents our first clinical candidate targeting a solid tumor.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CNTY-103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114935</wp:posOffset>
            </wp:positionV>
            <wp:extent cx="2144395" cy="2165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44395" cy="2165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5" w:name="page136"/>
    <w:bookmarkEnd w:id="13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Through our June 2020 acquisition of the assets of Empirica Therapeutics Inc., or Empirica, we gained access to a broad set of assets to enable the development of novel cell therapies for GBM. This acquisition brought us significant GBM expertise, direct access to tumor tissue from GBM patients, new potential targets for GBM CARs, novel, proprietary preclinical models of GBM, and access to an established laboratory to conduct development activities. These models involve the administration of the human tumor xenografts into mouse brains and delivery of the cell therapy candidates directly to sites in the brain where the tumor cells were implanted. These xenograft GBM models have been used to demonstrate the potential utility of CD133 CAR-T therapy to treat GBM. As seen in the data presented below, the CD133 CAR originally developed by Empirica demonstrates compelling anti-tumor activity against three different GBM tumors that express CD133.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CD133 CAR-T cells display strong </w:t>
      </w:r>
      <w:r>
        <w:rPr>
          <w:rFonts w:ascii="Arial" w:cs="Arial" w:eastAsia="Arial" w:hAnsi="Arial"/>
          <w:sz w:val="14"/>
          <w:szCs w:val="14"/>
          <w:b w:val="1"/>
          <w:bCs w:val="1"/>
          <w:i w:val="1"/>
          <w:iCs w:val="1"/>
          <w:color w:val="auto"/>
        </w:rPr>
        <w:t>in vivo</w:t>
      </w:r>
      <w:r>
        <w:rPr>
          <w:rFonts w:ascii="Arial" w:cs="Arial" w:eastAsia="Arial" w:hAnsi="Arial"/>
          <w:sz w:val="14"/>
          <w:szCs w:val="14"/>
          <w:b w:val="1"/>
          <w:bCs w:val="1"/>
          <w:color w:val="auto"/>
        </w:rPr>
        <w:t xml:space="preserve"> anti-tumor activity against GBM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135890</wp:posOffset>
            </wp:positionV>
            <wp:extent cx="3460115" cy="13290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6011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20" w:right="1299"/>
        <w:spacing w:after="0" w:line="297" w:lineRule="auto"/>
        <w:rPr>
          <w:sz w:val="20"/>
          <w:szCs w:val="20"/>
          <w:color w:val="auto"/>
        </w:rPr>
      </w:pPr>
      <w:r>
        <w:rPr>
          <w:rFonts w:ascii="Arial" w:cs="Arial" w:eastAsia="Arial" w:hAnsi="Arial"/>
          <w:sz w:val="14"/>
          <w:szCs w:val="14"/>
          <w:color w:val="auto"/>
        </w:rPr>
        <w:t xml:space="preserve">As is depicted in the cross-sectional images presented below, results achieved in an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mouse model provide further evidence of the utility of CD133 as a therapeutic target. Tumor cells were implanted into the brains of mice and the mice administered either a CAR-control or a CAR targeting CD133. The image on the left, which reflects tumor growth, is representative of mice dosed with the control CAR. Mice treated with the CAR-targeting CD133 through intracranial delivery, shown on the right, displayed significant tumor shrinkage.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CD133 targeted CARs significantly reduced tumor burden in preclinical </w:t>
      </w:r>
      <w:r>
        <w:rPr>
          <w:rFonts w:ascii="Arial" w:cs="Arial" w:eastAsia="Arial" w:hAnsi="Arial"/>
          <w:sz w:val="14"/>
          <w:szCs w:val="14"/>
          <w:b w:val="1"/>
          <w:bCs w:val="1"/>
          <w:i w:val="1"/>
          <w:iCs w:val="1"/>
          <w:color w:val="auto"/>
        </w:rPr>
        <w:t>in-vivo</w:t>
      </w:r>
      <w:r>
        <w:rPr>
          <w:rFonts w:ascii="Arial" w:cs="Arial" w:eastAsia="Arial" w:hAnsi="Arial"/>
          <w:sz w:val="14"/>
          <w:szCs w:val="14"/>
          <w:b w:val="1"/>
          <w:bCs w:val="1"/>
          <w:color w:val="auto"/>
        </w:rPr>
        <w:t xml:space="preserv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Tumor shrinkage leads to increased survival, as outlined in the graph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6" w:name="page137"/>
    <w:bookmarkEnd w:id="13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Tumor shrinkage led to improved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114935</wp:posOffset>
            </wp:positionV>
            <wp:extent cx="3131185" cy="18497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31185" cy="184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i w:val="1"/>
          <w:iCs w:val="1"/>
          <w:color w:val="auto"/>
        </w:rPr>
        <w:t>Mice intracranially treated with CART133 cells have improved survival compared to mice treated with control CART cells (p = 0.0027).</w:t>
      </w:r>
    </w:p>
    <w:p>
      <w:pPr>
        <w:spacing w:after="0" w:line="94" w:lineRule="exact"/>
        <w:rPr>
          <w:sz w:val="20"/>
          <w:szCs w:val="20"/>
          <w:color w:val="auto"/>
        </w:rPr>
      </w:pPr>
    </w:p>
    <w:p>
      <w:pPr>
        <w:ind w:left="1220" w:right="1239"/>
        <w:spacing w:after="0" w:line="261" w:lineRule="auto"/>
        <w:rPr>
          <w:sz w:val="20"/>
          <w:szCs w:val="20"/>
          <w:color w:val="auto"/>
        </w:rPr>
      </w:pPr>
      <w:r>
        <w:rPr>
          <w:rFonts w:ascii="Arial" w:cs="Arial" w:eastAsia="Arial" w:hAnsi="Arial"/>
          <w:sz w:val="14"/>
          <w:szCs w:val="14"/>
          <w:color w:val="auto"/>
        </w:rPr>
        <w:t>Epidermal growth factor receptor (EGFR) is a well-known oncogene expressed in multiple tumors. Tumors frequently overexpress wild-type and mutant EGFR, including the EGFRvIII variant which is expressed in a fraction of GBM tumors. EGFR gene amplification and overexpression is present in about 40% of GBM and amongst the tumors with amplified EGFR, about 50% express EGFRvIII. We plan to engineer the EGFR-CAR for CNTY-103 to bind both the wild-type and EGFRvIII variant.</w:t>
      </w:r>
    </w:p>
    <w:p>
      <w:pPr>
        <w:spacing w:after="0" w:line="279"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CNTY-103 may also allow for additional therapeutic benefit, taking advantage of the ability to administer the cells directly into the brain and repeat dosing to enhance response durability. Current treatment of GBM commonly utilizes the insertion of a catheter through the cranium directly into the tumor space or brain ventricles. We envision mitigating the challenge of therapeutic delivery across the blood-brain barrier through the use of this intracranial port. We believe that accessing the tumor site using an indwelling catheter may not only facilitate localized trafficking of the therapeutic cells to the tumor and limit the need for lymphodepletion, but also significantly diminish issues related to potential systemic toxicity. In addition, we believe the administration of the CAR-NK cells into the brain eliminates the need to use lymphodepletion, which is not tolerated by older patients or patients with low performance status.</w:t>
      </w:r>
    </w:p>
    <w:p>
      <w:pPr>
        <w:spacing w:after="0" w:line="293"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anticipate filing an IND and/or CTA to begin a Phase 1 clinical trial of CNTY-103 for the treatment of recurrent GBM in the first half of 2023. As CNTY-103 is our first solid tumor product candidate, Phase 1 development will include clinical proof of concept. The primary objectives of the Phase 1 study will be safety and tolerability, and we will also assess cell pharmacokinetics and persistence, and GBM efficacy and translational measures, including response rate, tumor volume, minimum residual disease, median progression free survival, and overall survival. Upon positive Phase 1 clinical trial results, we would move to develop through registration for use in recurrent GBM, as well as consider evaluating CNTY-103 further in earlier GBM populations.</w:t>
      </w:r>
    </w:p>
    <w:p>
      <w:pPr>
        <w:spacing w:after="0" w:line="127" w:lineRule="exact"/>
        <w:rPr>
          <w:sz w:val="20"/>
          <w:szCs w:val="20"/>
          <w:color w:val="auto"/>
        </w:rPr>
      </w:pPr>
    </w:p>
    <w:p>
      <w:pPr>
        <w:ind w:left="1220" w:right="1859"/>
        <w:spacing w:after="0" w:line="265" w:lineRule="auto"/>
        <w:rPr>
          <w:sz w:val="20"/>
          <w:szCs w:val="20"/>
          <w:color w:val="auto"/>
        </w:rPr>
      </w:pPr>
      <w:r>
        <w:rPr>
          <w:rFonts w:ascii="Arial" w:cs="Arial" w:eastAsia="Arial" w:hAnsi="Arial"/>
          <w:sz w:val="14"/>
          <w:szCs w:val="14"/>
          <w:b w:val="1"/>
          <w:bCs w:val="1"/>
          <w:i w:val="1"/>
          <w:iCs w:val="1"/>
          <w:color w:val="auto"/>
        </w:rPr>
        <w:t>CNTY-102: Our CAR-iNK or CAR -iT candidate targeting CD19 + CD79b for relapsed, refractory B-cell lymphoma and other B-cell malignancies</w:t>
      </w:r>
    </w:p>
    <w:p>
      <w:pPr>
        <w:spacing w:after="0" w:line="103" w:lineRule="exact"/>
        <w:rPr>
          <w:sz w:val="20"/>
          <w:szCs w:val="20"/>
          <w:color w:val="auto"/>
        </w:rPr>
      </w:pPr>
    </w:p>
    <w:p>
      <w:pPr>
        <w:ind w:left="1220" w:right="1359"/>
        <w:spacing w:after="0" w:line="254" w:lineRule="auto"/>
        <w:rPr>
          <w:sz w:val="20"/>
          <w:szCs w:val="20"/>
          <w:color w:val="auto"/>
        </w:rPr>
      </w:pPr>
      <w:r>
        <w:rPr>
          <w:rFonts w:ascii="Arial" w:cs="Arial" w:eastAsia="Arial" w:hAnsi="Arial"/>
          <w:sz w:val="14"/>
          <w:szCs w:val="14"/>
          <w:color w:val="auto"/>
        </w:rPr>
        <w:t>Our next-generation product candidate directed to treat B-cell malignancies is CNTY-102, an iPSC-derived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CAR-iNK or CAR-iT cell therapy designed to simultaneously target two tumor antigens, CD19 and CD79b.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7" w:name="page138"/>
    <w:bookmarkEnd w:id="13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color w:val="auto"/>
        </w:rPr>
        <w:t>response by eliminating the effect of CD19 antigen loss that has been observed as a factor limiting durability of CAR-T cell therapies, as well as taking advantage of targeting CD79b, an independently regulated, ubiquitous and validated B-cell target.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121920</wp:posOffset>
            </wp:positionV>
            <wp:extent cx="2493645" cy="2212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93645" cy="221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We are actively investigating both iNK and iT cell platforms for this product, as either may have preferential clinical features: iT cells are expected to have high proliferative capacity, persistence, and trafficking, leading to sustained anti-tumor activity, while iNK cell products are intrinsically active against tumor cells, traffic in the hematopoietic compartment where lymphoma is localized, and so far have demonstrated reduced clinical safety risks (e.g., limited observation of cytokine release syndrome). We currently envision filing an IND for CNTY-102 in the second half of 2023.</w:t>
      </w:r>
    </w:p>
    <w:p>
      <w:pPr>
        <w:spacing w:after="0" w:line="108"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B-cell acute lymphoblastic leukemia, or B-ALL. We will assess safety, tolerability, pharmacokinetics, persistence, and efficacy,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309" w:lineRule="exact"/>
        <w:rPr>
          <w:sz w:val="20"/>
          <w:szCs w:val="20"/>
          <w:color w:val="auto"/>
        </w:rPr>
      </w:pPr>
    </w:p>
    <w:p>
      <w:pPr>
        <w:ind w:left="1220" w:right="1679"/>
        <w:spacing w:after="0" w:line="265" w:lineRule="auto"/>
        <w:rPr>
          <w:sz w:val="20"/>
          <w:szCs w:val="20"/>
          <w:color w:val="auto"/>
        </w:rPr>
      </w:pPr>
      <w:r>
        <w:rPr>
          <w:rFonts w:ascii="Arial" w:cs="Arial" w:eastAsia="Arial" w:hAnsi="Arial"/>
          <w:sz w:val="14"/>
          <w:szCs w:val="14"/>
          <w:b w:val="1"/>
          <w:bCs w:val="1"/>
          <w:i w:val="1"/>
          <w:iCs w:val="1"/>
          <w:color w:val="auto"/>
        </w:rPr>
        <w:t>CNTY-104: Our CAR-iNK or CAR-iT multi-specific candidate for the treatment of acute myeloid leukemia</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Disease background</w:t>
      </w:r>
    </w:p>
    <w:p>
      <w:pPr>
        <w:spacing w:after="0" w:line="12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&gt;60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8" w:name="page139"/>
    <w:bookmarkEnd w:id="13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639"/>
        <w:spacing w:after="0" w:line="274" w:lineRule="auto"/>
        <w:rPr>
          <w:sz w:val="20"/>
          <w:szCs w:val="20"/>
          <w:color w:val="auto"/>
        </w:rPr>
      </w:pPr>
      <w:r>
        <w:rPr>
          <w:rFonts w:ascii="Arial" w:cs="Arial" w:eastAsia="Arial" w:hAnsi="Arial"/>
          <w:sz w:val="14"/>
          <w:szCs w:val="14"/>
          <w:color w:val="auto"/>
        </w:rPr>
        <w:t>remission, likely offers the only possible current chance for cure. Despite numerous clinical studies, outcomes are consistently disappointing with 5-year overall survival rates of ~ 10%.</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therapeutic approach</w:t>
      </w:r>
    </w:p>
    <w:p>
      <w:pPr>
        <w:spacing w:after="0" w:line="123"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color w:val="auto"/>
        </w:rPr>
        <w:t>We are developing a multi-specific CAR-iNK or CAR-iT cell product candidate to treat relapsed, refractory, and secondary AML. CNTY-104 is a CAR-iNK or CAR-iT product candidate designed to target at least two tumor-associated antigens of relevance in AML. We are currently investigating four tumor targets to select the final candidates for the CNTY-104 product candidate. CNTY-104 will include a safety switch and possibly a PET reporter for imaging of the cells after administration to the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205105</wp:posOffset>
            </wp:positionV>
            <wp:extent cx="2521585" cy="2212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21585" cy="221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pharmacokinetics and persistence, but we will evaluate both cell platforms to engineer CNTY-104. We currently envision filing an IND for CNTY-104 in mid 2024.</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5" w:lineRule="exact"/>
        <w:rPr>
          <w:sz w:val="20"/>
          <w:szCs w:val="20"/>
          <w:color w:val="auto"/>
        </w:rPr>
      </w:pPr>
    </w:p>
    <w:p>
      <w:pPr>
        <w:ind w:left="1220" w:right="1539"/>
        <w:spacing w:after="0" w:line="260"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08"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We have initiated multiple VHH antibody campaigns to identify binders to build the CAR constructs for the prioritized tumor indications. These campaigns are at different stages of development and include targets for bladder cancer and targets for renal cell carcinoma. Our goal is to do side by side comparisons of the different CARs to select the final CAR constructs for the product candidates. We plan to have these CARs ready in 2022 and add them to the common engineered iPSC progenitor.</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9" w:name="page140"/>
    <w:bookmarkEnd w:id="13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99"/>
        <w:spacing w:after="0" w:line="261" w:lineRule="auto"/>
        <w:rPr>
          <w:sz w:val="20"/>
          <w:szCs w:val="20"/>
          <w:color w:val="auto"/>
        </w:rPr>
      </w:pPr>
      <w:r>
        <w:rPr>
          <w:rFonts w:ascii="Arial" w:cs="Arial" w:eastAsia="Arial" w:hAnsi="Arial"/>
          <w:sz w:val="14"/>
          <w:szCs w:val="14"/>
          <w:color w:val="auto"/>
        </w:rPr>
        <w:t>We intend to evaluate the use of engineered macrophages and dendritic cells in the future as potential anti-cancer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Manufacturing</w:t>
      </w:r>
    </w:p>
    <w:p>
      <w:pPr>
        <w:spacing w:after="0" w:line="122"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believe that our iPSC-derived NK cells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28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We believe that our relationship with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281"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121920</wp:posOffset>
            </wp:positionV>
            <wp:extent cx="3946525" cy="1041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46525" cy="1041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color w:val="auto"/>
        </w:rPr>
        <w:t>We intend to source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 At the same time, we are investing in the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0" w:name="page141"/>
    <w:bookmarkEnd w:id="14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construction of our own 53,000 square foot cell therapy manufacturing facility in Branchburg, New Jersey. We anticipate that this facility will become operational by the end of 2021.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268"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Licensing, partnerships and collaborations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Fujifilm Cellular Dynamics, Inc.</w:t>
      </w:r>
    </w:p>
    <w:p>
      <w:pPr>
        <w:spacing w:after="0" w:line="13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are party to an exclusive license with FCDI, dated September 18, 2018, pursuant to which we have licensed from FCDI certain patents and know-how related to differentiation of iPSC cells into immune-effector cells in the field of cancer immunotherapeutics, or, as amended, the Differentiation License. We are also party to a non-exclusive license with FCDI, also dated September 18, 2018, pursuant to which we have licensed from FCDI certain patents and know-how related to the reprogramming of human somatic cells to iPSCs in the field of cancer immunotherapeutics, or, as amended, the Reprogramming License. On October 21, 2019, we entered into a Master Collaboration Agreement with FCDI pursuant to which we agreed to fund research and development work at FCDI pursuant to a research plan, or, as amended, the Collaboration Agreement. On March 23, 2021, we entered into a Manufacturing and Supply Agreement with FCDI, or the Manufacturing Agreement, pursuant to which FCDI will provide certain agreed upon technology transfer, process development, analytical testing and GMP manufacturing services to us.</w:t>
      </w:r>
    </w:p>
    <w:p>
      <w:pPr>
        <w:spacing w:after="0" w:line="3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Differentiation License Agreement</w:t>
      </w:r>
    </w:p>
    <w:p>
      <w:pPr>
        <w:spacing w:after="0" w:line="134"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286" w:lineRule="exact"/>
        <w:rPr>
          <w:sz w:val="20"/>
          <w:szCs w:val="20"/>
          <w:color w:val="auto"/>
        </w:rPr>
      </w:pPr>
    </w:p>
    <w:p>
      <w:pPr>
        <w:ind w:left="1220" w:right="1419"/>
        <w:spacing w:after="0" w:line="276" w:lineRule="auto"/>
        <w:rPr>
          <w:sz w:val="20"/>
          <w:szCs w:val="20"/>
          <w:color w:val="auto"/>
        </w:rPr>
      </w:pPr>
      <w:r>
        <w:rPr>
          <w:rFonts w:ascii="Arial" w:cs="Arial" w:eastAsia="Arial" w:hAnsi="Arial"/>
          <w:sz w:val="14"/>
          <w:szCs w:val="14"/>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7,500,000 shares of common stock to FCDI, which were exchanged for 7,500,000 shares of common stock in connection with the Reorganization.</w:t>
      </w:r>
    </w:p>
    <w:p>
      <w:pPr>
        <w:spacing w:after="0" w:line="290" w:lineRule="exact"/>
        <w:rPr>
          <w:sz w:val="20"/>
          <w:szCs w:val="20"/>
          <w:color w:val="auto"/>
        </w:rPr>
      </w:pPr>
    </w:p>
    <w:p>
      <w:pPr>
        <w:ind w:left="1220" w:right="1719"/>
        <w:spacing w:after="0" w:line="281" w:lineRule="auto"/>
        <w:rPr>
          <w:sz w:val="20"/>
          <w:szCs w:val="20"/>
          <w:color w:val="auto"/>
        </w:rPr>
      </w:pPr>
      <w:r>
        <w:rPr>
          <w:rFonts w:ascii="Arial" w:cs="Arial" w:eastAsia="Arial" w:hAnsi="Arial"/>
          <w:sz w:val="14"/>
          <w:szCs w:val="14"/>
          <w:color w:val="auto"/>
        </w:rPr>
        <w:t>The Differentiation License expires upon the expiration of the last-to-expire patent licensed thereunder, which is currently expected to expire in 2036. Either party may terminate the Differentiation License upon the other party’s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1" w:name="page142"/>
    <w:bookmarkEnd w:id="14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FCDI may also terminate the Differentiation License upon written notice in the event of termination of Reprogramming License.</w:t>
      </w:r>
    </w:p>
    <w:p>
      <w:pPr>
        <w:spacing w:after="0" w:line="270" w:lineRule="exact"/>
        <w:rPr>
          <w:sz w:val="20"/>
          <w:szCs w:val="20"/>
          <w:color w:val="auto"/>
        </w:rPr>
      </w:pPr>
    </w:p>
    <w:p>
      <w:pPr>
        <w:ind w:left="1220" w:right="2159"/>
        <w:spacing w:after="0" w:line="274" w:lineRule="auto"/>
        <w:rPr>
          <w:sz w:val="20"/>
          <w:szCs w:val="20"/>
          <w:color w:val="auto"/>
        </w:rPr>
      </w:pPr>
      <w:r>
        <w:rPr>
          <w:rFonts w:ascii="Arial" w:cs="Arial" w:eastAsia="Arial" w:hAnsi="Arial"/>
          <w:sz w:val="14"/>
          <w:szCs w:val="14"/>
          <w:color w:val="auto"/>
        </w:rPr>
        <w:t>The Differentiation License also contains customary representations and warranties, confidentiality, insurance and indemnification provisions.</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Reprogramming License Agreement</w:t>
      </w:r>
    </w:p>
    <w:p>
      <w:pPr>
        <w:spacing w:after="0" w:line="134"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285"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268"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FCDI may also terminate the Reprogramming License upon written notice in the event of termination of the Differentiation License.</w:t>
      </w:r>
    </w:p>
    <w:p>
      <w:pPr>
        <w:spacing w:after="0" w:line="283" w:lineRule="exact"/>
        <w:rPr>
          <w:sz w:val="20"/>
          <w:szCs w:val="20"/>
          <w:color w:val="auto"/>
        </w:rPr>
      </w:pPr>
    </w:p>
    <w:p>
      <w:pPr>
        <w:ind w:left="1220" w:right="2019"/>
        <w:spacing w:after="0" w:line="274" w:lineRule="auto"/>
        <w:rPr>
          <w:sz w:val="20"/>
          <w:szCs w:val="20"/>
          <w:color w:val="auto"/>
        </w:rPr>
      </w:pPr>
      <w:r>
        <w:rPr>
          <w:rFonts w:ascii="Arial" w:cs="Arial" w:eastAsia="Arial" w:hAnsi="Arial"/>
          <w:sz w:val="14"/>
          <w:szCs w:val="14"/>
          <w:color w:val="auto"/>
        </w:rPr>
        <w:t>The Reprogramming License also contains customary representations and warranties, confidentiality, insurance and indemnification provisions.</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Master Collaboration Agreement</w:t>
      </w:r>
    </w:p>
    <w:p>
      <w:pPr>
        <w:spacing w:after="0" w:line="134" w:lineRule="exact"/>
        <w:rPr>
          <w:sz w:val="20"/>
          <w:szCs w:val="20"/>
          <w:color w:val="auto"/>
        </w:rPr>
      </w:pPr>
    </w:p>
    <w:p>
      <w:pPr>
        <w:ind w:left="1220" w:right="1319"/>
        <w:spacing w:after="0" w:line="257" w:lineRule="auto"/>
        <w:rPr>
          <w:sz w:val="20"/>
          <w:szCs w:val="20"/>
          <w:color w:val="auto"/>
        </w:rPr>
      </w:pPr>
      <w:r>
        <w:rPr>
          <w:rFonts w:ascii="Arial" w:cs="Arial" w:eastAsia="Arial" w:hAnsi="Arial"/>
          <w:sz w:val="14"/>
          <w:szCs w:val="14"/>
          <w:color w:val="auto"/>
        </w:rPr>
        <w:t>Under the Collaboration Agreement, we established a collaborative relationship under which FCDI agreed to render certain services to us for the development and manufacture iPSC-derived cells in accordance with a research plan and approved budget funded by us. For the first</w:t>
      </w:r>
    </w:p>
    <w:p>
      <w:pPr>
        <w:spacing w:after="0" w:line="1" w:lineRule="exact"/>
        <w:rPr>
          <w:sz w:val="20"/>
          <w:szCs w:val="20"/>
          <w:color w:val="auto"/>
        </w:rPr>
      </w:pPr>
    </w:p>
    <w:p>
      <w:pPr>
        <w:ind w:left="1220" w:right="1539"/>
        <w:spacing w:after="0" w:line="274" w:lineRule="auto"/>
        <w:rPr>
          <w:sz w:val="20"/>
          <w:szCs w:val="20"/>
          <w:color w:val="auto"/>
        </w:rPr>
      </w:pPr>
      <w:r>
        <w:rPr>
          <w:rFonts w:ascii="Arial" w:cs="Arial" w:eastAsia="Arial" w:hAnsi="Arial"/>
          <w:sz w:val="14"/>
          <w:szCs w:val="14"/>
          <w:color w:val="auto"/>
        </w:rPr>
        <w:t>three years of the term of the Collaboration Agreement, we agreed to pay FCDI a minimum of $2.5 million per year.</w:t>
      </w:r>
    </w:p>
    <w:p>
      <w:pPr>
        <w:spacing w:after="0" w:line="8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Under the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2" w:name="page143"/>
    <w:bookmarkEnd w:id="14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19"/>
        <w:spacing w:after="0" w:line="262" w:lineRule="auto"/>
        <w:rPr>
          <w:sz w:val="20"/>
          <w:szCs w:val="20"/>
          <w:color w:val="auto"/>
        </w:rPr>
      </w:pPr>
      <w:r>
        <w:rPr>
          <w:rFonts w:ascii="Arial" w:cs="Arial" w:eastAsia="Arial" w:hAnsi="Arial"/>
          <w:sz w:val="14"/>
          <w:szCs w:val="14"/>
          <w:color w:val="auto"/>
        </w:rPr>
        <w:t>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Collaboration Agreement.</w:t>
      </w:r>
    </w:p>
    <w:p>
      <w:pPr>
        <w:spacing w:after="0" w:line="95"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The Collaboration Agreement expires upon the termination of the Reprogramming License. Either party may terminate the Collaboration Agreement upon the other party’s material breach, subject to a 30-day notice and cure period. We may terminate the Collaboration Agreement for convenience after October 1, 2021 by providing FCDI 60-days’ written notice.</w:t>
      </w:r>
    </w:p>
    <w:p>
      <w:pPr>
        <w:spacing w:after="0" w:line="106" w:lineRule="exact"/>
        <w:rPr>
          <w:sz w:val="20"/>
          <w:szCs w:val="20"/>
          <w:color w:val="auto"/>
        </w:rPr>
      </w:pPr>
    </w:p>
    <w:p>
      <w:pPr>
        <w:ind w:left="1220" w:right="1979"/>
        <w:spacing w:after="0" w:line="274" w:lineRule="auto"/>
        <w:rPr>
          <w:sz w:val="20"/>
          <w:szCs w:val="20"/>
          <w:color w:val="auto"/>
        </w:rPr>
      </w:pPr>
      <w:r>
        <w:rPr>
          <w:rFonts w:ascii="Arial" w:cs="Arial" w:eastAsia="Arial" w:hAnsi="Arial"/>
          <w:sz w:val="14"/>
          <w:szCs w:val="14"/>
          <w:color w:val="auto"/>
        </w:rPr>
        <w:t>The Collaboration Agreement also contains customary representations and warranties, confidentiality and indemnification provisions.</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Manufacturing and Supply Agreement</w:t>
      </w:r>
    </w:p>
    <w:p>
      <w:pPr>
        <w:spacing w:after="0" w:line="134"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Under the Manufacturing Agreement, FCDI will perform certain agreed upon technology transfer, process development, analytical testing, and 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270"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HealthCare LLC</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Option Agreement</w:t>
      </w:r>
    </w:p>
    <w:p>
      <w:pPr>
        <w:spacing w:after="0" w:line="134"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28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3" w:name="page144"/>
    <w:bookmarkEnd w:id="14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282" w:lineRule="exact"/>
        <w:rPr>
          <w:sz w:val="20"/>
          <w:szCs w:val="20"/>
          <w:color w:val="auto"/>
        </w:rPr>
      </w:pPr>
    </w:p>
    <w:p>
      <w:pPr>
        <w:ind w:left="1220" w:right="1459"/>
        <w:spacing w:after="0" w:line="283" w:lineRule="auto"/>
        <w:rPr>
          <w:sz w:val="20"/>
          <w:szCs w:val="20"/>
          <w:color w:val="auto"/>
        </w:rPr>
      </w:pPr>
      <w:r>
        <w:rPr>
          <w:rFonts w:ascii="Arial" w:cs="Arial" w:eastAsia="Arial" w:hAnsi="Arial"/>
          <w:sz w:val="14"/>
          <w:szCs w:val="14"/>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iCELL Inc.</w:t>
      </w:r>
    </w:p>
    <w:p>
      <w:pPr>
        <w:spacing w:after="0" w:line="146"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108"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277"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University of Toronto and McMaster University</w:t>
      </w:r>
    </w:p>
    <w:p>
      <w:pPr>
        <w:spacing w:after="0" w:line="14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 with the Council, the Toronto Universities, and Empirica. Under the Empirica License, we received an exclusive, non-transferable,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4" w:name="page145"/>
    <w:bookmarkEnd w:id="14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459"/>
        <w:spacing w:after="0" w:line="265" w:lineRule="auto"/>
        <w:rPr>
          <w:sz w:val="20"/>
          <w:szCs w:val="20"/>
          <w:color w:val="auto"/>
        </w:rPr>
      </w:pPr>
      <w:r>
        <w:rPr>
          <w:rFonts w:ascii="Arial" w:cs="Arial" w:eastAsia="Arial" w:hAnsi="Arial"/>
          <w:sz w:val="14"/>
          <w:szCs w:val="14"/>
          <w:color w:val="auto"/>
        </w:rPr>
        <w:t>bi-Specific or engineered T-Cells, including but not limited to CAR-Ts. The Toronto Universities reserve a royalty-free, non-exclusive, perpetual, irrevocable license to use such technology for non-commercial research, educational and administrative purposes.</w:t>
      </w:r>
    </w:p>
    <w:p>
      <w:pPr>
        <w:spacing w:after="0" w:line="93"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10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Inscripta</w:t>
      </w:r>
    </w:p>
    <w:p>
      <w:pPr>
        <w:spacing w:after="0" w:line="13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3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Intellectual property</w:t>
      </w:r>
    </w:p>
    <w:p>
      <w:pPr>
        <w:spacing w:after="0" w:line="122"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279"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do not own any issued patents covering our product candidates, platforms or technology and our patent portfolio is currently comprised only of provisional patent applications. Additionally, we have not filed any patent applications related to our product candidates other than CNTY-101. We have also filed provisional patent applications relating to our T-cell platform related to compositions and methods for generating alpha-beta and gamma delta T-cells from iPSCs. Additionally, we have filed a provisional application on gene transfer vectors and methods of engineering iPSCs. We have sought patent protection in the United States related to our CNTY-101 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With</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5" w:name="page146"/>
    <w:bookmarkEnd w:id="14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9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29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w:t>
      </w:r>
    </w:p>
    <w:p>
      <w:pPr>
        <w:spacing w:after="0" w:line="171"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07"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98" w:lineRule="exact"/>
        <w:rPr>
          <w:sz w:val="20"/>
          <w:szCs w:val="20"/>
          <w:color w:val="auto"/>
        </w:rPr>
      </w:pPr>
    </w:p>
    <w:p>
      <w:pPr>
        <w:jc w:val="both"/>
        <w:ind w:left="1220" w:right="1439"/>
        <w:spacing w:after="0" w:line="281" w:lineRule="auto"/>
        <w:rPr>
          <w:sz w:val="20"/>
          <w:szCs w:val="20"/>
          <w:color w:val="auto"/>
        </w:rPr>
      </w:pPr>
      <w:r>
        <w:rPr>
          <w:rFonts w:ascii="Arial" w:cs="Arial" w:eastAsia="Arial" w:hAnsi="Arial"/>
          <w:sz w:val="14"/>
          <w:szCs w:val="14"/>
          <w:color w:val="auto"/>
        </w:rPr>
        <w:t>We will file U.S. non-provisional applications and PCT applications that claim the benefit of the priority date of earlier filed provisional applications, when applicable. The PCT system allows a single application to be filed within</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6" w:name="page147"/>
    <w:bookmarkEnd w:id="14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7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110"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18"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280"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7" w:name="page148"/>
    <w:bookmarkEnd w:id="14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iPSC technology</w:t>
      </w:r>
    </w:p>
    <w:p>
      <w:pPr>
        <w:spacing w:after="0" w:line="123"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March 16,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286"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279"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genetic engineering</w:t>
      </w:r>
    </w:p>
    <w:p>
      <w:pPr>
        <w:spacing w:after="0" w:line="12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issue from these pending patent applications will expire in 2037, without giving effect to any patent term adjustment or extension.</w:t>
      </w:r>
    </w:p>
    <w:p>
      <w:pPr>
        <w:spacing w:after="0" w:line="109"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the differentiation of hematopoietic cells</w:t>
      </w:r>
    </w:p>
    <w:p>
      <w:pPr>
        <w:spacing w:after="0" w:line="134"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We have licensed from FCDI a portfolio of six patent families regarding methods of differentiating iPSC cells including issued patents and pending patent applications broadly applicable to the differentiation of iPSC cells,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8" w:name="page149"/>
    <w:bookmarkEnd w:id="14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the last of which is currently expected to expire in 2036. Our license is exclusive to exploit cancer 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March 16,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engineered iPSCs and derivative cells</w:t>
      </w:r>
    </w:p>
    <w:p>
      <w:pPr>
        <w:spacing w:after="0" w:line="123"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Currently, we own eight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product, as well as other iPSC-derived engineered CAR cells comprising certain transgene insertions and deletions, including our proprietary Allo-Evasion™ technology. One of our provisional patent applications includes claims directed to a universal CAR cell platform. We have also filed provisional patent applications relating to our T-cell platform related to compositions and methods for generating alpha-beta and gamma delta T cells from iPSCs. Any U.S. patents that may issue from such pending provisional patent applications would expire in 2040 or 2041, without giving effect to any patent term adjustment or extension.</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engineered T cells</w:t>
      </w:r>
    </w:p>
    <w:p>
      <w:pPr>
        <w:spacing w:after="0" w:line="134"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Competition</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biotechnology and pharmaceutical industries have made substantial investments in</w:t>
      </w:r>
    </w:p>
    <w:p>
      <w:pPr>
        <w:spacing w:after="0" w:line="12"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recent years into the rapid development of novel immunotherapies for the treatment of a range of pathologies, including infectious diseases and cancers, making this a highly competitive market.</w:t>
      </w:r>
    </w:p>
    <w:p>
      <w:pPr>
        <w:spacing w:after="0" w:line="8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spacing w:after="0" w:line="280"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06"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Large pharmaceutical companies that have commercialized or are developing immunotherapies to treat cancer include AstraZeneca, Bristol Myers Squibb, Gilead Sciences, Merck, Novartis, Pfizer, and Roche/Genentech.</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9" w:name="page150"/>
    <w:bookmarkEnd w:id="14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Companies that compete with us directly on the level of the development of product candidates targeting B-cell lymphomas include Gilead Sciences, Novartis and Bristol Myers Squibb, among others. Companies developing therapeutic candidates to treat glioblastomas include Arbor Pharmaceuticals and Genentech.</w:t>
      </w:r>
    </w:p>
    <w:p>
      <w:pPr>
        <w:spacing w:after="0" w:line="95"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color w:val="auto"/>
        </w:rPr>
        <w:t>On the technology level, other emerging biopharmaceutical companies which can potentially develop competing cell therapy candidates to treat cancer include Fate Therapeutics, Allogene Therapeutics and Nkarta Therapeutics.</w:t>
      </w:r>
    </w:p>
    <w:p>
      <w:pPr>
        <w:spacing w:after="0" w:line="103"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281"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Government regulation</w:t>
      </w:r>
    </w:p>
    <w:p>
      <w:pPr>
        <w:spacing w:after="0" w:line="122"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United States development process</w:t>
      </w:r>
    </w:p>
    <w:p>
      <w:pPr>
        <w:spacing w:after="0" w:line="136"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The process required by the FDA before a biologic product may be marketed in the United States generally involves the following:</w:t>
      </w:r>
    </w:p>
    <w:p>
      <w:pPr>
        <w:spacing w:after="0" w:line="75" w:lineRule="exact"/>
        <w:rPr>
          <w:sz w:val="20"/>
          <w:szCs w:val="20"/>
          <w:color w:val="auto"/>
        </w:rPr>
      </w:pPr>
    </w:p>
    <w:p>
      <w:pPr>
        <w:ind w:left="1600" w:right="1339" w:hanging="117"/>
        <w:spacing w:after="0" w:line="281" w:lineRule="auto"/>
        <w:tabs>
          <w:tab w:leader="none" w:pos="1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completion of nonclinical laboratory tests and animal studies according to Good Laboratory Practices, or cGLP, and applicable requirements for the humane use of laboratory animals or other applicable regulations;</w:t>
      </w:r>
    </w:p>
    <w:p>
      <w:pPr>
        <w:spacing w:after="0" w:line="60" w:lineRule="exact"/>
        <w:rPr>
          <w:rFonts w:ascii="Arial" w:cs="Arial" w:eastAsia="Arial" w:hAnsi="Arial"/>
          <w:sz w:val="14"/>
          <w:szCs w:val="14"/>
          <w:color w:val="auto"/>
        </w:rPr>
      </w:pPr>
    </w:p>
    <w:p>
      <w:pPr>
        <w:ind w:left="1600" w:hanging="117"/>
        <w:spacing w:after="0"/>
        <w:tabs>
          <w:tab w:leader="none" w:pos="1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preparation of clinical trial material in accordance with cGMP;</w:t>
      </w:r>
    </w:p>
    <w:p>
      <w:pPr>
        <w:spacing w:after="0" w:line="108" w:lineRule="exact"/>
        <w:rPr>
          <w:rFonts w:ascii="Arial" w:cs="Arial" w:eastAsia="Arial" w:hAnsi="Arial"/>
          <w:sz w:val="14"/>
          <w:szCs w:val="14"/>
          <w:color w:val="auto"/>
        </w:rPr>
      </w:pPr>
    </w:p>
    <w:p>
      <w:pPr>
        <w:ind w:left="1600" w:right="1519" w:hanging="117"/>
        <w:spacing w:after="0" w:line="290" w:lineRule="auto"/>
        <w:tabs>
          <w:tab w:leader="none" w:pos="1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submission to the FDA of an application for an IND, which must become effective before human clinical trials may begin;</w:t>
      </w:r>
    </w:p>
    <w:p>
      <w:pPr>
        <w:spacing w:after="0" w:line="64" w:lineRule="exact"/>
        <w:rPr>
          <w:rFonts w:ascii="Arial" w:cs="Arial" w:eastAsia="Arial" w:hAnsi="Arial"/>
          <w:sz w:val="14"/>
          <w:szCs w:val="14"/>
          <w:color w:val="auto"/>
        </w:rPr>
      </w:pPr>
    </w:p>
    <w:p>
      <w:pPr>
        <w:ind w:left="1600" w:right="1479" w:hanging="117"/>
        <w:spacing w:after="0" w:line="290" w:lineRule="auto"/>
        <w:tabs>
          <w:tab w:leader="none" w:pos="1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approval by an institutional review board, or IRB, reviewing each clinical site before each clinical trial may be initiated;</w:t>
      </w:r>
    </w:p>
    <w:p>
      <w:pPr>
        <w:spacing w:after="0" w:line="64" w:lineRule="exact"/>
        <w:rPr>
          <w:rFonts w:ascii="Arial" w:cs="Arial" w:eastAsia="Arial" w:hAnsi="Arial"/>
          <w:sz w:val="14"/>
          <w:szCs w:val="14"/>
          <w:color w:val="auto"/>
        </w:rPr>
      </w:pPr>
    </w:p>
    <w:p>
      <w:pPr>
        <w:ind w:left="1600" w:right="1599" w:hanging="117"/>
        <w:spacing w:after="0" w:line="278" w:lineRule="auto"/>
        <w:tabs>
          <w:tab w:leader="none" w:pos="1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0" w:name="page151"/>
    <w:bookmarkEnd w:id="15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0" w:right="1459" w:hanging="117"/>
        <w:spacing w:after="0" w:line="281"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submission to the FDA of a Biologics License Application, or BLA, for marketing approval that includes substantive evidence of safety, purity, potency, and efficacy from results of nonclinical testing and clinical trials;</w:t>
      </w:r>
    </w:p>
    <w:p>
      <w:pPr>
        <w:spacing w:after="0" w:line="60" w:lineRule="exact"/>
        <w:rPr>
          <w:rFonts w:ascii="Arial" w:cs="Arial" w:eastAsia="Arial" w:hAnsi="Arial"/>
          <w:sz w:val="14"/>
          <w:szCs w:val="14"/>
          <w:color w:val="auto"/>
        </w:rPr>
      </w:pPr>
    </w:p>
    <w:p>
      <w:pPr>
        <w:ind w:left="1600" w:right="1299" w:hanging="117"/>
        <w:spacing w:after="0" w:line="278"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74" w:lineRule="exact"/>
        <w:rPr>
          <w:rFonts w:ascii="Arial" w:cs="Arial" w:eastAsia="Arial" w:hAnsi="Arial"/>
          <w:sz w:val="14"/>
          <w:szCs w:val="14"/>
          <w:color w:val="auto"/>
        </w:rPr>
      </w:pPr>
    </w:p>
    <w:p>
      <w:pPr>
        <w:ind w:left="1600" w:right="1619" w:hanging="117"/>
        <w:spacing w:after="0" w:line="290"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potential FDA audit of the nonclinical and clinical study sites that generated the data in support of the BLA;</w:t>
      </w:r>
    </w:p>
    <w:p>
      <w:pPr>
        <w:spacing w:after="0" w:line="64" w:lineRule="exact"/>
        <w:rPr>
          <w:rFonts w:ascii="Arial" w:cs="Arial" w:eastAsia="Arial" w:hAnsi="Arial"/>
          <w:sz w:val="14"/>
          <w:szCs w:val="14"/>
          <w:color w:val="auto"/>
        </w:rPr>
      </w:pPr>
    </w:p>
    <w:p>
      <w:pPr>
        <w:ind w:left="1600" w:right="1719" w:hanging="117"/>
        <w:spacing w:after="0" w:line="290"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potential FDA Advisory Committee meeting to elicit expert input on critical issues and including a vote by external committee members;</w:t>
      </w:r>
    </w:p>
    <w:p>
      <w:pPr>
        <w:spacing w:after="0" w:line="64" w:lineRule="exact"/>
        <w:rPr>
          <w:rFonts w:ascii="Arial" w:cs="Arial" w:eastAsia="Arial" w:hAnsi="Arial"/>
          <w:sz w:val="14"/>
          <w:szCs w:val="14"/>
          <w:color w:val="auto"/>
        </w:rPr>
      </w:pPr>
    </w:p>
    <w:p>
      <w:pPr>
        <w:ind w:left="1600" w:right="1459" w:hanging="117"/>
        <w:spacing w:after="0" w:line="290"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FDA review and approval, or licensure, of the BLA, and payment of associated user fees, when applicable; and</w:t>
      </w:r>
    </w:p>
    <w:p>
      <w:pPr>
        <w:spacing w:after="0" w:line="53" w:lineRule="exact"/>
        <w:rPr>
          <w:rFonts w:ascii="Arial" w:cs="Arial" w:eastAsia="Arial" w:hAnsi="Arial"/>
          <w:sz w:val="14"/>
          <w:szCs w:val="14"/>
          <w:color w:val="auto"/>
        </w:rPr>
      </w:pPr>
    </w:p>
    <w:p>
      <w:pPr>
        <w:ind w:left="1600" w:right="1599" w:hanging="117"/>
        <w:spacing w:after="0" w:line="281" w:lineRule="auto"/>
        <w:tabs>
          <w:tab w:leader="none" w:pos="1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Mitigation Strategies, or REMS, and the potential requirement to conduct post-approval studies.</w:t>
      </w:r>
    </w:p>
    <w:p>
      <w:pPr>
        <w:spacing w:after="0" w:line="93" w:lineRule="exact"/>
        <w:rPr>
          <w:sz w:val="20"/>
          <w:szCs w:val="20"/>
          <w:color w:val="auto"/>
        </w:rPr>
      </w:pPr>
    </w:p>
    <w:p>
      <w:pPr>
        <w:ind w:left="1220" w:right="1439"/>
        <w:spacing w:after="0" w:line="261" w:lineRule="auto"/>
        <w:rPr>
          <w:sz w:val="20"/>
          <w:szCs w:val="20"/>
          <w:color w:val="auto"/>
        </w:rPr>
      </w:pPr>
      <w:r>
        <w:rPr>
          <w:rFonts w:ascii="Arial" w:cs="Arial" w:eastAsia="Arial" w:hAnsi="Arial"/>
          <w:sz w:val="14"/>
          <w:szCs w:val="14"/>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0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27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200" w:lineRule="exact"/>
        <w:rPr>
          <w:sz w:val="20"/>
          <w:szCs w:val="20"/>
          <w:color w:val="auto"/>
        </w:rPr>
      </w:pPr>
    </w:p>
    <w:p>
      <w:pPr>
        <w:spacing w:after="0" w:line="267" w:lineRule="exact"/>
        <w:rPr>
          <w:sz w:val="20"/>
          <w:szCs w:val="20"/>
          <w:color w:val="auto"/>
        </w:rPr>
      </w:pPr>
    </w:p>
    <w:p>
      <w:pPr>
        <w:ind w:left="1220" w:right="1479"/>
        <w:spacing w:after="0" w:line="290" w:lineRule="auto"/>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1" w:name="page152"/>
    <w:bookmarkEnd w:id="15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00" w:right="1659" w:hanging="117"/>
        <w:spacing w:after="0" w:line="293" w:lineRule="auto"/>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b w:val="1"/>
          <w:bCs w:val="1"/>
          <w:i w:val="1"/>
          <w:iCs w:val="1"/>
          <w:color w:val="auto"/>
        </w:rPr>
        <w:t>Phase 1</w:t>
      </w:r>
      <w:r>
        <w:rPr>
          <w:rFonts w:ascii="Arial" w:cs="Arial" w:eastAsia="Arial" w:hAnsi="Arial"/>
          <w:sz w:val="14"/>
          <w:szCs w:val="14"/>
          <w:color w:val="auto"/>
        </w:rPr>
        <w:t>. The biologic product is initially introduced into healthy human subjects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tested for safety. In the case of some products for rare and severe diseases, the initial human testing is often conducted in patients.</w:t>
      </w:r>
    </w:p>
    <w:p>
      <w:pPr>
        <w:spacing w:after="0" w:line="46" w:lineRule="exact"/>
        <w:rPr>
          <w:rFonts w:ascii="Arial" w:cs="Arial" w:eastAsia="Arial" w:hAnsi="Arial"/>
          <w:sz w:val="14"/>
          <w:szCs w:val="14"/>
          <w:color w:val="auto"/>
        </w:rPr>
      </w:pPr>
    </w:p>
    <w:p>
      <w:pPr>
        <w:ind w:left="1600" w:right="1399" w:hanging="117"/>
        <w:spacing w:after="0" w:line="292" w:lineRule="auto"/>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b w:val="1"/>
          <w:bCs w:val="1"/>
          <w:i w:val="1"/>
          <w:iCs w:val="1"/>
          <w:color w:val="auto"/>
        </w:rPr>
        <w:t>Phase 2</w:t>
      </w:r>
      <w:r>
        <w:rPr>
          <w:rFonts w:ascii="Arial" w:cs="Arial" w:eastAsia="Arial" w:hAnsi="Arial"/>
          <w:sz w:val="14"/>
          <w:szCs w:val="14"/>
          <w:color w:val="auto"/>
        </w:rPr>
        <w:t>. The biologic product is evaluated in a limited patient population to identify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possible adverse effects and safety risks, to preliminarily evaluate the efficacy of the product for specific targeted diseases and to determine dosage tolerance, optimal dosage and dosing schedule.</w:t>
      </w:r>
    </w:p>
    <w:p>
      <w:pPr>
        <w:spacing w:after="0" w:line="232" w:lineRule="exact"/>
        <w:rPr>
          <w:rFonts w:ascii="Arial" w:cs="Arial" w:eastAsia="Arial" w:hAnsi="Arial"/>
          <w:sz w:val="14"/>
          <w:szCs w:val="14"/>
          <w:color w:val="auto"/>
        </w:rPr>
      </w:pPr>
    </w:p>
    <w:p>
      <w:pPr>
        <w:ind w:left="1600" w:right="1239" w:hanging="117"/>
        <w:spacing w:after="0" w:line="281" w:lineRule="auto"/>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b w:val="1"/>
          <w:bCs w:val="1"/>
          <w:i w:val="1"/>
          <w:iCs w:val="1"/>
          <w:color w:val="auto"/>
        </w:rPr>
        <w:t>Phase 3</w:t>
      </w:r>
      <w:r>
        <w:rPr>
          <w:rFonts w:ascii="Arial" w:cs="Arial" w:eastAsia="Arial" w:hAnsi="Arial"/>
          <w:sz w:val="14"/>
          <w:szCs w:val="14"/>
          <w:color w:val="auto"/>
        </w:rPr>
        <w:t>. Clinical trials are undertaken to further evaluate dosage, clinical efficacy, potency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04" w:lineRule="exact"/>
        <w:rPr>
          <w:sz w:val="20"/>
          <w:szCs w:val="20"/>
          <w:color w:val="auto"/>
        </w:rPr>
      </w:pPr>
    </w:p>
    <w:p>
      <w:pPr>
        <w:jc w:val="both"/>
        <w:ind w:left="1220" w:right="1439"/>
        <w:spacing w:after="0" w:line="283" w:lineRule="auto"/>
        <w:rPr>
          <w:sz w:val="20"/>
          <w:szCs w:val="20"/>
          <w:color w:val="auto"/>
        </w:rPr>
      </w:pPr>
      <w:r>
        <w:rPr>
          <w:rFonts w:ascii="Arial" w:cs="Arial" w:eastAsia="Arial" w:hAnsi="Arial"/>
          <w:sz w:val="14"/>
          <w:szCs w:val="14"/>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272"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29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92"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276" w:lineRule="exact"/>
        <w:rPr>
          <w:sz w:val="20"/>
          <w:szCs w:val="20"/>
          <w:color w:val="auto"/>
        </w:rPr>
      </w:pPr>
    </w:p>
    <w:p>
      <w:pPr>
        <w:ind w:left="1220" w:right="1239"/>
        <w:spacing w:after="0" w:line="295" w:lineRule="auto"/>
        <w:rPr>
          <w:sz w:val="20"/>
          <w:szCs w:val="20"/>
          <w:color w:val="auto"/>
        </w:rPr>
      </w:pPr>
      <w:r>
        <w:rPr>
          <w:rFonts w:ascii="Arial" w:cs="Arial" w:eastAsia="Arial" w:hAnsi="Arial"/>
          <w:sz w:val="14"/>
          <w:szCs w:val="14"/>
          <w:color w:val="auto"/>
        </w:rPr>
        <w:t>Information about certain clinical trials must be submitted within specific timeframes to the NIH for public dissemination on its clinicaltrials.gov website. Sponsors or distributors of investigational products for the</w:t>
      </w: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2" w:name="page153"/>
    <w:bookmarkEnd w:id="15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95" w:lineRule="auto"/>
        <w:rPr>
          <w:sz w:val="20"/>
          <w:szCs w:val="20"/>
          <w:color w:val="auto"/>
        </w:rPr>
      </w:pPr>
      <w:r>
        <w:rPr>
          <w:rFonts w:ascii="Arial" w:cs="Arial" w:eastAsia="Arial" w:hAnsi="Arial"/>
          <w:sz w:val="14"/>
          <w:szCs w:val="14"/>
          <w:color w:val="auto"/>
        </w:rPr>
        <w:t>diagnosis, monitoring, or treatment of one or more serious diseases or conditions must also have a publicly available policy on evaluating and responding to requests for expanded access requests.</w:t>
      </w:r>
    </w:p>
    <w:p>
      <w:pPr>
        <w:spacing w:after="0" w:line="2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United States review and approval processes</w:t>
      </w:r>
    </w:p>
    <w:p>
      <w:pPr>
        <w:spacing w:after="0" w:line="136"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288"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07"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200" w:lineRule="exact"/>
        <w:rPr>
          <w:sz w:val="20"/>
          <w:szCs w:val="20"/>
          <w:color w:val="auto"/>
        </w:rPr>
      </w:pPr>
    </w:p>
    <w:p>
      <w:pPr>
        <w:spacing w:after="0" w:line="268"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w:t>
      </w:r>
    </w:p>
    <w:p>
      <w:pPr>
        <w:spacing w:after="0" w:line="110"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3" w:name="page154"/>
    <w:bookmarkEnd w:id="15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place the application in a condition for approval. If a complete response letter is issued, the applicant may either resubmit the BLA, addressing all of the deficiencies identified in the letter, or withdraw the application.</w:t>
      </w:r>
    </w:p>
    <w:p>
      <w:pPr>
        <w:spacing w:after="0" w:line="9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08"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United States post-approval requirements</w:t>
      </w:r>
    </w:p>
    <w:p>
      <w:pPr>
        <w:spacing w:after="0" w:line="136"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95"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291"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290" w:lineRule="exact"/>
        <w:rPr>
          <w:sz w:val="20"/>
          <w:szCs w:val="20"/>
          <w:color w:val="auto"/>
        </w:rPr>
      </w:pPr>
    </w:p>
    <w:p>
      <w:pPr>
        <w:ind w:left="1220" w:right="1539"/>
        <w:spacing w:after="0" w:line="278" w:lineRule="auto"/>
        <w:rPr>
          <w:sz w:val="20"/>
          <w:szCs w:val="20"/>
          <w:color w:val="auto"/>
        </w:rPr>
      </w:pPr>
      <w:r>
        <w:rPr>
          <w:rFonts w:ascii="Arial" w:cs="Arial" w:eastAsia="Arial" w:hAnsi="Arial"/>
          <w:sz w:val="14"/>
          <w:szCs w:val="14"/>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4" w:name="page155"/>
    <w:bookmarkEnd w:id="15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280"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14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288" w:lineRule="exact"/>
        <w:rPr>
          <w:sz w:val="20"/>
          <w:szCs w:val="20"/>
          <w:color w:val="auto"/>
        </w:rPr>
      </w:pPr>
    </w:p>
    <w:p>
      <w:pPr>
        <w:jc w:val="both"/>
        <w:ind w:left="1220" w:right="1319"/>
        <w:spacing w:after="0" w:line="277" w:lineRule="auto"/>
        <w:rPr>
          <w:sz w:val="20"/>
          <w:szCs w:val="20"/>
          <w:color w:val="auto"/>
        </w:rPr>
      </w:pPr>
      <w:r>
        <w:rPr>
          <w:rFonts w:ascii="Arial" w:cs="Arial" w:eastAsia="Arial" w:hAnsi="Arial"/>
          <w:sz w:val="14"/>
          <w:szCs w:val="14"/>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96"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Expedited review and approval programs</w:t>
      </w:r>
    </w:p>
    <w:p>
      <w:pPr>
        <w:spacing w:after="0" w:line="146" w:lineRule="exact"/>
        <w:rPr>
          <w:sz w:val="20"/>
          <w:szCs w:val="20"/>
          <w:color w:val="auto"/>
        </w:rPr>
      </w:pPr>
    </w:p>
    <w:p>
      <w:pPr>
        <w:jc w:val="both"/>
        <w:ind w:left="1220" w:right="1579"/>
        <w:spacing w:after="0" w:line="281" w:lineRule="auto"/>
        <w:rPr>
          <w:sz w:val="20"/>
          <w:szCs w:val="20"/>
          <w:color w:val="auto"/>
        </w:rPr>
      </w:pPr>
      <w:r>
        <w:rPr>
          <w:rFonts w:ascii="Arial" w:cs="Arial" w:eastAsia="Arial" w:hAnsi="Arial"/>
          <w:sz w:val="14"/>
          <w:szCs w:val="14"/>
          <w:color w:val="auto"/>
        </w:rPr>
        <w:t>The FDA has various programs, including fast track designation, priority review, accelerated approval, and breakthrough therapy designation, that are intended to expedite or simplify the process for the development and</w:t>
      </w:r>
    </w:p>
    <w:p>
      <w:pPr>
        <w:spacing w:after="0" w:line="103"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FDA review of biological products that are intended for the treatment of serious or life-threatening diseases or conditions and demonstrate the potential to address unmet medical needs. The purpose of these programs is to</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5" w:name="page156"/>
    <w:bookmarkEnd w:id="15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278"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296"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92" w:lineRule="exact"/>
        <w:rPr>
          <w:sz w:val="20"/>
          <w:szCs w:val="20"/>
          <w:color w:val="auto"/>
        </w:rPr>
      </w:pPr>
    </w:p>
    <w:p>
      <w:pPr>
        <w:ind w:left="1220" w:right="1359"/>
        <w:spacing w:after="0" w:line="277" w:lineRule="auto"/>
        <w:rPr>
          <w:sz w:val="20"/>
          <w:szCs w:val="20"/>
          <w:color w:val="auto"/>
        </w:rPr>
      </w:pPr>
      <w:r>
        <w:rPr>
          <w:rFonts w:ascii="Arial" w:cs="Arial" w:eastAsia="Arial" w:hAnsi="Arial"/>
          <w:sz w:val="14"/>
          <w:szCs w:val="14"/>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Biologics Price Competition and Innovation Act</w:t>
      </w:r>
    </w:p>
    <w:p>
      <w:pPr>
        <w:spacing w:after="0" w:line="13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 xml:space="preserve">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animal studies, and generally at least one clinical study, absent a waiver from the Secretary of Health and Human Services. The biosimilarity exercise tests the hypothesis that the investigational product and the reference product are the same. If at any</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6" w:name="page157"/>
    <w:bookmarkEnd w:id="15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Regulation outside of the United States</w:t>
      </w:r>
    </w:p>
    <w:p>
      <w:pPr>
        <w:spacing w:after="0" w:line="125" w:lineRule="exact"/>
        <w:rPr>
          <w:sz w:val="20"/>
          <w:szCs w:val="20"/>
          <w:color w:val="auto"/>
        </w:rPr>
      </w:pPr>
    </w:p>
    <w:p>
      <w:pPr>
        <w:ind w:left="1220" w:right="1399"/>
        <w:spacing w:after="0" w:line="259" w:lineRule="auto"/>
        <w:rPr>
          <w:sz w:val="20"/>
          <w:szCs w:val="20"/>
          <w:color w:val="auto"/>
        </w:rPr>
      </w:pPr>
      <w:r>
        <w:rPr>
          <w:rFonts w:ascii="Arial" w:cs="Arial" w:eastAsia="Arial" w:hAnsi="Arial"/>
          <w:sz w:val="14"/>
          <w:szCs w:val="14"/>
          <w:color w:val="auto"/>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09"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To obtain regulatory approval of an orphan drug under the European Union regulatory system, we are mandated to submit a Marketing Authorization Application, or MAA,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May 20,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May 20, 2004 or for products that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Centrally-authorized products may be marketed in all Member States. The centralized procedure is as follows: Full copies of the marketing authorization, or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200" w:lineRule="exact"/>
        <w:rPr>
          <w:sz w:val="20"/>
          <w:szCs w:val="20"/>
          <w:color w:val="auto"/>
        </w:rPr>
      </w:pPr>
    </w:p>
    <w:p>
      <w:pPr>
        <w:spacing w:after="0" w:line="254"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European Commission. This is the start of the second phase of the procedure: the decision-making process. The EMA sends to the Commission its opinion and assessment report, together with annexes containing: the SmPC, or Annex 1; the particulars of the MAH responsible for batch release, the particulars of the manufacturer of the active substance and the conditions of</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7" w:name="page158"/>
    <w:bookmarkEnd w:id="15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the marketing authorization, or Annex 2; and the labelling and the package leaflet, or Annex 3. The annexes are translated into the 22 other official languages of the European Union.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9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285"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Applications from persons or companies seeking “orphan medicinal product designation” for products they intend to develop for the diagnosis, prevention, or treatment of life-threatening or very serious conditions that affect not more than five in 10,000 persons in the European Union are reviewed by the Committee for Orphan Medicinal Products, or COMP. In addition, orphan drug designation can be granted if the drug or biologic is intended for a life threatening, seriously debilitating, or serious and chronic condition in the European Union and that without incentives it is unlikely that sales of the drug in the European Union would be sufficient to justify developing the drug or biologic. Orphan drug designation is only available if there is no other satisfactory method approved in the European Union of diagnosing, preventing, or treating the condition, or if such a method exists, the proposed orphan drug will be of significant benefit to patients.</w:t>
      </w:r>
    </w:p>
    <w:p>
      <w:pPr>
        <w:spacing w:after="0" w:line="118"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that has an orphan drug designation subsequently receives EMA marketing approval for the indication for which it has such designation, the product is entitled to orphan market exclusivity, which means the EMA may not approve any other application to market a similar drug or biologic for the same indication for a period of ten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over the existing orphan product. This demonstration of clinical superiority may be done at the time of initial approval or in post-approval studies, depending on the type of marketing authorization granted.</w:t>
      </w:r>
    </w:p>
    <w:p>
      <w:pPr>
        <w:spacing w:after="0" w:line="28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by six months. This is the case even when the studies’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8" w:name="page159"/>
    <w:bookmarkEnd w:id="15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results are negative. For orphan medicines,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or PUMA. If a PUMA is granted, the product will benefit from ten years of market protection as an incentive.</w:t>
      </w:r>
    </w:p>
    <w:p>
      <w:pPr>
        <w:spacing w:after="0" w:line="97"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drugs and biologics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28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United Kingdom left the European Union on January 31, 2020, referred to as Brexit, following which, existing European Union medicinal product legislation continued to apply in the United Kingdom during the transition period under the terms of the Brexit withdrawal agreement. The Brexit transition period, which ended on December 31, 2020, maintained access to the European Union single market and to the global trade deals negotiated by the European Union on behalf of its members. The Brexit transition period provided time for the United Kingdom and European Union to negotiate a framework for partnership for the future, which was then crystallized in the Trade and Cooperation Agreement, or TCA, and became effective on the January 1, 2021.</w:t>
      </w:r>
    </w:p>
    <w:p>
      <w:pPr>
        <w:spacing w:after="0" w:line="110"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As of January 1, 2021, the Medicines and Healthcare products Regulatory Agency, or MHRA, is the United Kingdom’s standalone medicines and medical devices regulator. As a result of the Northern Ireland protocol, different rules will apply in Northern Ireland than in England, Wales and Scotland, together Great Britain, broadly, Northern Ireland will continue to follow the European Union regulatory regime, but its national competent authority will remain the MHRA. The MHRA has published a draft guidance on how various aspects of the United Kingdom regulatory regime for medicines will operate in Great Britain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new guidance was be given effect via the Human Medicines Regulations (Amendment etc.) (European Union Exit) Regulations 2019, or the Exit Regulations. The United Kingdom regulatory regime largely mirrors that of the European Union.</w:t>
      </w:r>
    </w:p>
    <w:p>
      <w:pPr>
        <w:spacing w:after="0" w:line="275" w:lineRule="exact"/>
        <w:rPr>
          <w:sz w:val="20"/>
          <w:szCs w:val="20"/>
          <w:color w:val="auto"/>
        </w:rPr>
      </w:pPr>
    </w:p>
    <w:p>
      <w:pPr>
        <w:ind w:left="1220" w:right="1499"/>
        <w:spacing w:after="0" w:line="261" w:lineRule="auto"/>
        <w:rPr>
          <w:sz w:val="20"/>
          <w:szCs w:val="20"/>
          <w:color w:val="auto"/>
        </w:rPr>
      </w:pPr>
      <w:r>
        <w:rPr>
          <w:rFonts w:ascii="Arial" w:cs="Arial" w:eastAsia="Arial" w:hAnsi="Arial"/>
          <w:sz w:val="14"/>
          <w:szCs w:val="14"/>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will automatically be converted (grandfathered) into United Kingdom MAs free-of-charge on January 1, 2021.</w:t>
      </w:r>
    </w:p>
    <w:p>
      <w:pPr>
        <w:spacing w:after="0" w:line="106"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There will be no pre-marketing authorization orphan designation. Instead, the MHRA will review applications for orphan designation in parallel to the corresponding MA application.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Economic Area, wherever is earliest.</w:t>
      </w:r>
    </w:p>
    <w:p>
      <w:pPr>
        <w:spacing w:after="0" w:line="28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Healthcare laws and regulations</w:t>
      </w:r>
    </w:p>
    <w:p>
      <w:pPr>
        <w:spacing w:after="0" w:line="114"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9" w:name="page160"/>
    <w:bookmarkEnd w:id="15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0" w:right="1359" w:hanging="117"/>
        <w:spacing w:after="0" w:line="276"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65" w:lineRule="exact"/>
        <w:rPr>
          <w:rFonts w:ascii="Arial" w:cs="Arial" w:eastAsia="Arial" w:hAnsi="Arial"/>
          <w:sz w:val="14"/>
          <w:szCs w:val="14"/>
          <w:color w:val="auto"/>
        </w:rPr>
      </w:pPr>
    </w:p>
    <w:p>
      <w:pPr>
        <w:ind w:left="1600" w:right="1279" w:hanging="117"/>
        <w:spacing w:after="0" w:line="280"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252" w:lineRule="exact"/>
        <w:rPr>
          <w:rFonts w:ascii="Arial" w:cs="Arial" w:eastAsia="Arial" w:hAnsi="Arial"/>
          <w:sz w:val="14"/>
          <w:szCs w:val="14"/>
          <w:color w:val="auto"/>
        </w:rPr>
      </w:pPr>
    </w:p>
    <w:p>
      <w:pPr>
        <w:ind w:left="1600" w:right="1279" w:hanging="117"/>
        <w:spacing w:after="0" w:line="277"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4" w:lineRule="exact"/>
        <w:rPr>
          <w:rFonts w:ascii="Arial" w:cs="Arial" w:eastAsia="Arial" w:hAnsi="Arial"/>
          <w:sz w:val="14"/>
          <w:szCs w:val="14"/>
          <w:color w:val="auto"/>
        </w:rPr>
      </w:pPr>
    </w:p>
    <w:p>
      <w:pPr>
        <w:ind w:left="1600" w:right="1279" w:hanging="117"/>
        <w:spacing w:after="0" w:line="295"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and their implementing regulations, impose obligations on certain types of individuals and</w:t>
      </w:r>
    </w:p>
    <w:p>
      <w:pPr>
        <w:spacing w:after="0" w:line="240" w:lineRule="exact"/>
        <w:rPr>
          <w:rFonts w:ascii="Arial" w:cs="Arial" w:eastAsia="Arial" w:hAnsi="Arial"/>
          <w:sz w:val="14"/>
          <w:szCs w:val="14"/>
          <w:color w:val="auto"/>
        </w:rPr>
      </w:pPr>
    </w:p>
    <w:p>
      <w:pPr>
        <w:ind w:left="1600" w:right="1819" w:hanging="117"/>
        <w:spacing w:after="0" w:line="281"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entities regarding the electronic exchange of information in common healthcare transactions, as well as standards relating to the privacy and security of individually identifiable health information;</w:t>
      </w:r>
    </w:p>
    <w:p>
      <w:pPr>
        <w:spacing w:after="0" w:line="60" w:lineRule="exact"/>
        <w:rPr>
          <w:rFonts w:ascii="Arial" w:cs="Arial" w:eastAsia="Arial" w:hAnsi="Arial"/>
          <w:sz w:val="14"/>
          <w:szCs w:val="14"/>
          <w:color w:val="auto"/>
        </w:rPr>
      </w:pPr>
    </w:p>
    <w:p>
      <w:pPr>
        <w:ind w:left="1600" w:right="1299" w:hanging="117"/>
        <w:spacing w:after="0" w:line="277"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as well as ownership and investment interests held by physicians and their immediate family members; and</w:t>
      </w:r>
    </w:p>
    <w:p>
      <w:pPr>
        <w:spacing w:after="0" w:line="255" w:lineRule="exact"/>
        <w:rPr>
          <w:rFonts w:ascii="Arial" w:cs="Arial" w:eastAsia="Arial" w:hAnsi="Arial"/>
          <w:sz w:val="14"/>
          <w:szCs w:val="14"/>
          <w:color w:val="auto"/>
        </w:rPr>
      </w:pPr>
    </w:p>
    <w:p>
      <w:pPr>
        <w:ind w:left="1600" w:right="1299" w:hanging="117"/>
        <w:spacing w:after="0" w:line="277"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9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Healthcare Reform</w:t>
      </w:r>
    </w:p>
    <w:p>
      <w:pPr>
        <w:spacing w:after="0" w:line="123" w:lineRule="exact"/>
        <w:rPr>
          <w:sz w:val="20"/>
          <w:szCs w:val="20"/>
          <w:color w:val="auto"/>
        </w:rPr>
      </w:pPr>
    </w:p>
    <w:p>
      <w:pPr>
        <w:ind w:left="1220" w:right="1359"/>
        <w:spacing w:after="0" w:line="259"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0" w:name="page161"/>
    <w:bookmarkEnd w:id="16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96"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200" w:lineRule="exact"/>
        <w:rPr>
          <w:sz w:val="20"/>
          <w:szCs w:val="20"/>
          <w:color w:val="auto"/>
        </w:rPr>
      </w:pPr>
    </w:p>
    <w:p>
      <w:pPr>
        <w:spacing w:after="0" w:line="253"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unless additional Congressional action is taken. However, pursuant to the Coronavirus Aid, Relief and Economic Security Act, or CARES Act, the 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8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Further legislative and regulatory changes under the Affordable Care Act remain possible, although the new Administration under President Biden has signaled that it plans to build on the Affordable Care Act and expand the number of people who are eligible for subsidies under it. President Biden indicated that he intends to use executive orders to undo changes to the Affordable Care Act made by the former administration and would advocate for legislation to build on the Affordable Care Act.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1" w:name="page162"/>
    <w:bookmarkEnd w:id="16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w:t>
      </w:r>
    </w:p>
    <w:p>
      <w:pPr>
        <w:spacing w:after="0" w:line="96" w:lineRule="exact"/>
        <w:rPr>
          <w:sz w:val="20"/>
          <w:szCs w:val="20"/>
          <w:color w:val="auto"/>
        </w:rPr>
      </w:pPr>
    </w:p>
    <w:p>
      <w:pPr>
        <w:ind w:left="1220" w:right="1299"/>
        <w:spacing w:after="0" w:line="273" w:lineRule="auto"/>
        <w:rPr>
          <w:sz w:val="20"/>
          <w:szCs w:val="20"/>
          <w:color w:val="auto"/>
        </w:rPr>
      </w:pPr>
      <w:r>
        <w:rPr>
          <w:rFonts w:ascii="Arial" w:cs="Arial" w:eastAsia="Arial" w:hAnsi="Arial"/>
          <w:sz w:val="14"/>
          <w:szCs w:val="14"/>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w:t>
      </w:r>
    </w:p>
    <w:p>
      <w:pPr>
        <w:spacing w:after="0" w:line="3" w:lineRule="exact"/>
        <w:rPr>
          <w:sz w:val="20"/>
          <w:szCs w:val="20"/>
          <w:color w:val="auto"/>
        </w:rPr>
      </w:pPr>
    </w:p>
    <w:p>
      <w:pPr>
        <w:ind w:left="1220" w:right="1279" w:firstLine="4"/>
        <w:spacing w:after="0" w:line="290" w:lineRule="auto"/>
        <w:tabs>
          <w:tab w:leader="none" w:pos="1431" w:val="left"/>
        </w:tabs>
        <w:numPr>
          <w:ilvl w:val="0"/>
          <w:numId w:val="82"/>
        </w:numPr>
        <w:rPr>
          <w:rFonts w:ascii="Arial" w:cs="Arial" w:eastAsia="Arial" w:hAnsi="Arial"/>
          <w:sz w:val="14"/>
          <w:szCs w:val="14"/>
          <w:color w:val="auto"/>
        </w:rPr>
      </w:pPr>
      <w:r>
        <w:rPr>
          <w:rFonts w:ascii="Arial" w:cs="Arial" w:eastAsia="Arial" w:hAnsi="Arial"/>
          <w:sz w:val="14"/>
          <w:szCs w:val="14"/>
          <w:color w:val="auto"/>
        </w:rPr>
        <w:t>percent to 70 percent the point-of-sale discount that is owed by pharmaceutical manufacturers who participate in Medicare Part D.</w:t>
      </w:r>
    </w:p>
    <w:p>
      <w:pPr>
        <w:spacing w:after="0" w:line="96"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296" w:lineRule="exact"/>
        <w:rPr>
          <w:sz w:val="20"/>
          <w:szCs w:val="20"/>
          <w:color w:val="auto"/>
        </w:rPr>
      </w:pPr>
    </w:p>
    <w:p>
      <w:pPr>
        <w:ind w:left="1220" w:right="1359"/>
        <w:spacing w:after="0" w:line="277" w:lineRule="auto"/>
        <w:rPr>
          <w:sz w:val="20"/>
          <w:szCs w:val="20"/>
          <w:color w:val="auto"/>
        </w:rPr>
      </w:pPr>
      <w:r>
        <w:rPr>
          <w:rFonts w:ascii="Arial" w:cs="Arial" w:eastAsia="Arial" w:hAnsi="Arial"/>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6" w:lineRule="exact"/>
        <w:rPr>
          <w:sz w:val="20"/>
          <w:szCs w:val="20"/>
          <w:color w:val="auto"/>
        </w:rPr>
      </w:pPr>
    </w:p>
    <w:p>
      <w:pPr>
        <w:jc w:val="both"/>
        <w:ind w:left="1220" w:right="1319"/>
        <w:spacing w:after="0" w:line="278" w:lineRule="auto"/>
        <w:rPr>
          <w:sz w:val="20"/>
          <w:szCs w:val="20"/>
          <w:color w:val="auto"/>
        </w:rPr>
      </w:pPr>
      <w:r>
        <w:rPr>
          <w:rFonts w:ascii="Arial" w:cs="Arial" w:eastAsia="Arial" w:hAnsi="Arial"/>
          <w:sz w:val="14"/>
          <w:szCs w:val="14"/>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Human capital resources</w:t>
      </w:r>
    </w:p>
    <w:p>
      <w:pPr>
        <w:spacing w:after="0" w:line="144"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As of April 30, 2021, we had 97 full-time employees and ten part-time employees. Of our 107 full and part-time employees, 47 have Ph.D. or M.D. degrees and 69 are engaged in research and development activities. We consider our relationship with our employees to be good.</w:t>
      </w:r>
    </w:p>
    <w:p>
      <w:pPr>
        <w:spacing w:after="0" w:line="103" w:lineRule="exact"/>
        <w:rPr>
          <w:sz w:val="20"/>
          <w:szCs w:val="20"/>
          <w:color w:val="auto"/>
        </w:rPr>
      </w:pPr>
    </w:p>
    <w:p>
      <w:pPr>
        <w:ind w:left="1220" w:right="1259"/>
        <w:spacing w:after="0" w:line="280"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2" w:name="page163"/>
    <w:bookmarkEnd w:id="16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Facilities</w:t>
      </w:r>
    </w:p>
    <w:p>
      <w:pPr>
        <w:spacing w:after="0" w:line="133" w:lineRule="exact"/>
        <w:rPr>
          <w:sz w:val="20"/>
          <w:szCs w:val="20"/>
          <w:color w:val="auto"/>
        </w:rPr>
      </w:pPr>
    </w:p>
    <w:p>
      <w:pPr>
        <w:ind w:left="1220" w:right="1279"/>
        <w:spacing w:after="0" w:line="273" w:lineRule="auto"/>
        <w:rPr>
          <w:sz w:val="20"/>
          <w:szCs w:val="20"/>
          <w:color w:val="auto"/>
        </w:rPr>
      </w:pPr>
      <w:r>
        <w:rPr>
          <w:rFonts w:ascii="Arial" w:cs="Arial" w:eastAsia="Arial" w:hAnsi="Arial"/>
          <w:sz w:val="14"/>
          <w:szCs w:val="14"/>
          <w:color w:val="auto"/>
        </w:rPr>
        <w:t>Our principal executive offices are located in Philadelphia, Pennsylvania, pursuant to a lease that expires in March 2032. We operate in three laboratory spaces in Philadelphia pursuant to leases that expire in January 2026, January 2031 and July 2023. Additionally, we lease office and laboratory space in Seattle, Washington pursuant to leases expiring in January 2030 and</w:t>
      </w:r>
    </w:p>
    <w:p>
      <w:pPr>
        <w:spacing w:after="0" w:line="1"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May 2030, respectively. Century Canada’s operations are located in Hamilton, Ontario, pursuant to a lease that expires in October 2025. We are investing in the construction of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Legal proceedings</w:t>
      </w:r>
    </w:p>
    <w:p>
      <w:pPr>
        <w:spacing w:after="0" w:line="144" w:lineRule="exact"/>
        <w:rPr>
          <w:sz w:val="20"/>
          <w:szCs w:val="20"/>
          <w:color w:val="auto"/>
        </w:rPr>
      </w:pPr>
    </w:p>
    <w:p>
      <w:pPr>
        <w:jc w:val="both"/>
        <w:ind w:left="1220" w:right="1779"/>
        <w:spacing w:after="0" w:line="281" w:lineRule="auto"/>
        <w:rPr>
          <w:sz w:val="20"/>
          <w:szCs w:val="20"/>
          <w:color w:val="auto"/>
        </w:rPr>
      </w:pPr>
      <w:r>
        <w:rPr>
          <w:rFonts w:ascii="Arial" w:cs="Arial" w:eastAsia="Arial" w:hAnsi="Arial"/>
          <w:sz w:val="14"/>
          <w:szCs w:val="14"/>
          <w:color w:val="auto"/>
        </w:rPr>
        <w:t>We are not currently a party to any material legal proceedings. From time to time, we may become involved in other litigation or legal proceedings relating to claims arising from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3" w:name="page164"/>
    <w:bookmarkEnd w:id="16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Management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information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ind w:left="389"/>
              <w:spacing w:after="0"/>
              <w:rPr>
                <w:sz w:val="20"/>
                <w:szCs w:val="20"/>
                <w:color w:val="auto"/>
              </w:rPr>
            </w:pPr>
            <w:r>
              <w:rPr>
                <w:rFonts w:ascii="Arial" w:cs="Arial" w:eastAsia="Arial" w:hAnsi="Arial"/>
                <w:sz w:val="13"/>
                <w:szCs w:val="13"/>
                <w:b w:val="1"/>
                <w:bCs w:val="1"/>
                <w:color w:val="auto"/>
                <w:w w:val="97"/>
              </w:rPr>
              <w:t>Age</w:t>
            </w:r>
          </w:p>
        </w:tc>
        <w:tc>
          <w:tcPr>
            <w:tcW w:w="3200" w:type="dxa"/>
            <w:vAlign w:val="bottom"/>
          </w:tcPr>
          <w:p>
            <w:pPr>
              <w:ind w:left="60"/>
              <w:spacing w:after="0"/>
              <w:rPr>
                <w:sz w:val="20"/>
                <w:szCs w:val="20"/>
                <w:color w:val="auto"/>
              </w:rPr>
            </w:pPr>
            <w:r>
              <w:rPr>
                <w:rFonts w:ascii="Arial" w:cs="Arial" w:eastAsia="Arial" w:hAnsi="Arial"/>
                <w:sz w:val="13"/>
                <w:szCs w:val="13"/>
                <w:b w:val="1"/>
                <w:bCs w:val="1"/>
                <w:color w:val="auto"/>
              </w:rPr>
              <w:t>Position(s)</w:t>
            </w:r>
          </w:p>
        </w:tc>
      </w:tr>
      <w:tr>
        <w:trPr>
          <w:trHeight w:val="194"/>
        </w:trPr>
        <w:tc>
          <w:tcPr>
            <w:tcW w:w="20" w:type="dxa"/>
            <w:vAlign w:val="bottom"/>
          </w:tcPr>
          <w:p>
            <w:pPr>
              <w:spacing w:after="0"/>
              <w:rPr>
                <w:sz w:val="16"/>
                <w:szCs w:val="16"/>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rPr>
                <w:sz w:val="16"/>
                <w:szCs w:val="16"/>
                <w:color w:val="auto"/>
              </w:rPr>
            </w:pPr>
          </w:p>
        </w:tc>
      </w:tr>
      <w:tr>
        <w:trPr>
          <w:trHeight w:val="182"/>
        </w:trPr>
        <w:tc>
          <w:tcPr>
            <w:tcW w:w="2500" w:type="dxa"/>
            <w:vAlign w:val="bottom"/>
            <w:gridSpan w:val="2"/>
          </w:tcPr>
          <w:p>
            <w:pPr>
              <w:spacing w:after="0"/>
              <w:rPr>
                <w:sz w:val="20"/>
                <w:szCs w:val="20"/>
                <w:color w:val="auto"/>
              </w:rPr>
            </w:pPr>
            <w:r>
              <w:rPr>
                <w:rFonts w:ascii="Arial" w:cs="Arial" w:eastAsia="Arial" w:hAnsi="Arial"/>
                <w:sz w:val="14"/>
                <w:szCs w:val="14"/>
                <w:color w:val="auto"/>
              </w:rPr>
              <w:t>Osvaldo Flores, Ph.D.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58</w:t>
            </w:r>
          </w:p>
        </w:tc>
        <w:tc>
          <w:tcPr>
            <w:tcW w:w="320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r>
      <w:tr>
        <w:trPr>
          <w:trHeight w:val="23"/>
        </w:trPr>
        <w:tc>
          <w:tcPr>
            <w:tcW w:w="2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Luis Borges,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Scientific Officer</w:t>
            </w:r>
          </w:p>
        </w:tc>
      </w:tr>
      <w:tr>
        <w:trPr>
          <w:trHeight w:val="182"/>
        </w:trPr>
        <w:tc>
          <w:tcPr>
            <w:tcW w:w="250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51</w:t>
            </w:r>
          </w:p>
        </w:tc>
        <w:tc>
          <w:tcPr>
            <w:tcW w:w="3200" w:type="dxa"/>
            <w:vAlign w:val="bottom"/>
          </w:tcPr>
          <w:p>
            <w:pPr>
              <w:ind w:left="60"/>
              <w:spacing w:after="0"/>
              <w:rPr>
                <w:sz w:val="20"/>
                <w:szCs w:val="20"/>
                <w:color w:val="auto"/>
              </w:rPr>
            </w:pPr>
            <w:r>
              <w:rPr>
                <w:rFonts w:ascii="Arial" w:cs="Arial" w:eastAsia="Arial" w:hAnsi="Arial"/>
                <w:sz w:val="14"/>
                <w:szCs w:val="14"/>
                <w:color w:val="auto"/>
              </w:rPr>
              <w:t>Chief Business Officer</w:t>
            </w:r>
          </w:p>
        </w:tc>
      </w:tr>
      <w:tr>
        <w:trPr>
          <w:trHeight w:val="23"/>
        </w:trPr>
        <w:tc>
          <w:tcPr>
            <w:tcW w:w="2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Adrienne Farid,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59</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Operations Officer</w:t>
            </w:r>
          </w:p>
        </w:tc>
      </w:tr>
      <w:tr>
        <w:trPr>
          <w:trHeight w:val="182"/>
        </w:trPr>
        <w:tc>
          <w:tcPr>
            <w:tcW w:w="2500" w:type="dxa"/>
            <w:vAlign w:val="bottom"/>
            <w:gridSpan w:val="2"/>
          </w:tcPr>
          <w:p>
            <w:pPr>
              <w:spacing w:after="0"/>
              <w:rPr>
                <w:sz w:val="20"/>
                <w:szCs w:val="20"/>
                <w:color w:val="auto"/>
              </w:rPr>
            </w:pPr>
            <w:r>
              <w:rPr>
                <w:rFonts w:ascii="Arial" w:cs="Arial" w:eastAsia="Arial" w:hAnsi="Arial"/>
                <w:sz w:val="14"/>
                <w:szCs w:val="14"/>
                <w:color w:val="auto"/>
              </w:rPr>
              <w:t>Hyam Levitsky, M.D.</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63</w:t>
            </w:r>
          </w:p>
        </w:tc>
        <w:tc>
          <w:tcPr>
            <w:tcW w:w="3200" w:type="dxa"/>
            <w:vAlign w:val="bottom"/>
          </w:tcPr>
          <w:p>
            <w:pPr>
              <w:ind w:left="60"/>
              <w:spacing w:after="0"/>
              <w:rPr>
                <w:sz w:val="20"/>
                <w:szCs w:val="20"/>
                <w:color w:val="auto"/>
              </w:rPr>
            </w:pPr>
            <w:r>
              <w:rPr>
                <w:rFonts w:ascii="Arial" w:cs="Arial" w:eastAsia="Arial" w:hAnsi="Arial"/>
                <w:sz w:val="14"/>
                <w:szCs w:val="14"/>
                <w:color w:val="auto"/>
              </w:rPr>
              <w:t>President of Research and Development</w:t>
            </w:r>
          </w:p>
        </w:tc>
      </w:tr>
      <w:tr>
        <w:trPr>
          <w:trHeight w:val="23"/>
        </w:trPr>
        <w:tc>
          <w:tcPr>
            <w:tcW w:w="2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Gregory Russotti, Ph.D.</w:t>
            </w:r>
          </w:p>
        </w:tc>
        <w:tc>
          <w:tcPr>
            <w:tcW w:w="860" w:type="dxa"/>
            <w:vAlign w:val="bottom"/>
            <w:tcBorders>
              <w:bottom w:val="single" w:sz="8" w:color="CCEEFF"/>
            </w:tcBorders>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Technology Officer</w:t>
            </w:r>
          </w:p>
        </w:tc>
      </w:tr>
      <w:tr>
        <w:trPr>
          <w:trHeight w:val="190"/>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Arial" w:cs="Arial" w:eastAsia="Arial" w:hAnsi="Arial"/>
                <w:sz w:val="14"/>
                <w:szCs w:val="14"/>
                <w:b w:val="1"/>
                <w:bCs w:val="1"/>
                <w:color w:val="auto"/>
              </w:rPr>
              <w:t>Non-Employee Directors</w:t>
            </w:r>
          </w:p>
        </w:tc>
        <w:tc>
          <w:tcPr>
            <w:tcW w:w="8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2480" w:type="dxa"/>
            <w:vAlign w:val="bottom"/>
            <w:shd w:val="clear" w:color="auto" w:fill="CCEEFF"/>
          </w:tcPr>
          <w:p>
            <w:pPr>
              <w:spacing w:after="0" w:line="231" w:lineRule="exact"/>
              <w:rPr>
                <w:sz w:val="20"/>
                <w:szCs w:val="20"/>
                <w:color w:val="auto"/>
              </w:rPr>
            </w:pPr>
            <w:r>
              <w:rPr>
                <w:rFonts w:ascii="Arial" w:cs="Arial" w:eastAsia="Arial" w:hAnsi="Arial"/>
                <w:sz w:val="14"/>
                <w:szCs w:val="14"/>
                <w:color w:val="auto"/>
              </w:rPr>
              <w:t>Toshikazu Ban</w:t>
            </w:r>
            <w:r>
              <w:rPr>
                <w:rFonts w:ascii="Arial" w:cs="Arial" w:eastAsia="Arial" w:hAnsi="Arial"/>
                <w:sz w:val="21"/>
                <w:szCs w:val="21"/>
                <w:color w:val="auto"/>
                <w:vertAlign w:val="superscript"/>
              </w:rPr>
              <w:t>(4)</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6"/>
        </w:trPr>
        <w:tc>
          <w:tcPr>
            <w:tcW w:w="20" w:type="dxa"/>
            <w:vAlign w:val="bottom"/>
          </w:tcPr>
          <w:p>
            <w:pPr>
              <w:spacing w:after="0"/>
              <w:rPr>
                <w:sz w:val="18"/>
                <w:szCs w:val="18"/>
                <w:color w:val="auto"/>
              </w:rPr>
            </w:pPr>
          </w:p>
        </w:tc>
        <w:tc>
          <w:tcPr>
            <w:tcW w:w="2480" w:type="dxa"/>
            <w:vAlign w:val="bottom"/>
          </w:tcPr>
          <w:p>
            <w:pPr>
              <w:spacing w:after="0" w:line="216" w:lineRule="exact"/>
              <w:rPr>
                <w:sz w:val="20"/>
                <w:szCs w:val="20"/>
                <w:color w:val="auto"/>
              </w:rPr>
            </w:pPr>
            <w:r>
              <w:rPr>
                <w:rFonts w:ascii="Arial" w:cs="Arial" w:eastAsia="Arial" w:hAnsi="Arial"/>
                <w:sz w:val="14"/>
                <w:szCs w:val="14"/>
                <w:color w:val="auto"/>
              </w:rPr>
              <w:t>Kimberly Blackwell, M.D.</w:t>
            </w:r>
            <w:r>
              <w:rPr>
                <w:rFonts w:ascii="Arial" w:cs="Arial" w:eastAsia="Arial" w:hAnsi="Arial"/>
                <w:sz w:val="21"/>
                <w:szCs w:val="21"/>
                <w:color w:val="auto"/>
                <w:vertAlign w:val="superscript"/>
              </w:rPr>
              <w:t>(1)(3)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52</w:t>
            </w: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Cynthia Butitta</w:t>
            </w:r>
            <w:r>
              <w:rPr>
                <w:rFonts w:ascii="Arial" w:cs="Arial" w:eastAsia="Arial" w:hAnsi="Arial"/>
                <w:sz w:val="21"/>
                <w:szCs w:val="21"/>
                <w:color w:val="auto"/>
                <w:vertAlign w:val="superscript"/>
              </w:rPr>
              <w:t>(1)(2)</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66</w:t>
            </w:r>
          </w:p>
        </w:tc>
        <w:tc>
          <w:tcPr>
            <w:tcW w:w="3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6"/>
        </w:trPr>
        <w:tc>
          <w:tcPr>
            <w:tcW w:w="20" w:type="dxa"/>
            <w:vAlign w:val="bottom"/>
          </w:tcPr>
          <w:p>
            <w:pPr>
              <w:spacing w:after="0"/>
              <w:rPr>
                <w:sz w:val="18"/>
                <w:szCs w:val="18"/>
                <w:color w:val="auto"/>
              </w:rPr>
            </w:pPr>
          </w:p>
        </w:tc>
        <w:tc>
          <w:tcPr>
            <w:tcW w:w="2480" w:type="dxa"/>
            <w:vAlign w:val="bottom"/>
          </w:tcPr>
          <w:p>
            <w:pPr>
              <w:spacing w:after="0" w:line="216"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48</w:t>
            </w: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Juergen Eckhardt, M.D.</w:t>
            </w:r>
            <w:r>
              <w:rPr>
                <w:rFonts w:ascii="Arial" w:cs="Arial" w:eastAsia="Arial" w:hAnsi="Arial"/>
                <w:sz w:val="21"/>
                <w:szCs w:val="21"/>
                <w:color w:val="auto"/>
                <w:vertAlign w:val="superscript"/>
              </w:rPr>
              <w:t>(5)</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54</w:t>
            </w:r>
          </w:p>
        </w:tc>
        <w:tc>
          <w:tcPr>
            <w:tcW w:w="3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16"/>
        </w:trPr>
        <w:tc>
          <w:tcPr>
            <w:tcW w:w="20" w:type="dxa"/>
            <w:vAlign w:val="bottom"/>
          </w:tcPr>
          <w:p>
            <w:pPr>
              <w:spacing w:after="0"/>
              <w:rPr>
                <w:sz w:val="18"/>
                <w:szCs w:val="18"/>
                <w:color w:val="auto"/>
              </w:rPr>
            </w:pPr>
          </w:p>
        </w:tc>
        <w:tc>
          <w:tcPr>
            <w:tcW w:w="2480" w:type="dxa"/>
            <w:vAlign w:val="bottom"/>
          </w:tcPr>
          <w:p>
            <w:pPr>
              <w:spacing w:after="0" w:line="216" w:lineRule="exact"/>
              <w:rPr>
                <w:sz w:val="20"/>
                <w:szCs w:val="20"/>
                <w:color w:val="auto"/>
              </w:rPr>
            </w:pPr>
            <w:r>
              <w:rPr>
                <w:rFonts w:ascii="Arial" w:cs="Arial" w:eastAsia="Arial" w:hAnsi="Arial"/>
                <w:sz w:val="14"/>
                <w:szCs w:val="14"/>
                <w:color w:val="auto"/>
              </w:rPr>
              <w:t>Joseph Jimenez</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61</w:t>
            </w:r>
          </w:p>
        </w:tc>
        <w:tc>
          <w:tcPr>
            <w:tcW w:w="3200" w:type="dxa"/>
            <w:vAlign w:val="bottom"/>
          </w:tcPr>
          <w:p>
            <w:pPr>
              <w:ind w:left="60"/>
              <w:spacing w:after="0"/>
              <w:rPr>
                <w:sz w:val="20"/>
                <w:szCs w:val="20"/>
                <w:color w:val="auto"/>
              </w:rPr>
            </w:pPr>
            <w:r>
              <w:rPr>
                <w:rFonts w:ascii="Arial" w:cs="Arial" w:eastAsia="Arial" w:hAnsi="Arial"/>
                <w:sz w:val="14"/>
                <w:szCs w:val="14"/>
                <w:color w:val="auto"/>
              </w:rPr>
              <w:t>Director, Chairman of the Board</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Alessandro Riva, M.D.</w:t>
            </w:r>
            <w:r>
              <w:rPr>
                <w:rFonts w:ascii="Arial" w:cs="Arial" w:eastAsia="Arial" w:hAnsi="Arial"/>
                <w:sz w:val="21"/>
                <w:szCs w:val="21"/>
                <w:color w:val="auto"/>
                <w:vertAlign w:val="superscript"/>
              </w:rPr>
              <w:t>(1)</w:t>
            </w:r>
          </w:p>
        </w:tc>
        <w:tc>
          <w:tcPr>
            <w:tcW w:w="860" w:type="dxa"/>
            <w:vAlign w:val="bottom"/>
            <w:shd w:val="clear" w:color="auto" w:fill="CCEEFF"/>
          </w:tcPr>
          <w:p>
            <w:pPr>
              <w:jc w:val="center"/>
              <w:ind w:left="389"/>
              <w:spacing w:after="0"/>
              <w:rPr>
                <w:sz w:val="20"/>
                <w:szCs w:val="20"/>
                <w:color w:val="auto"/>
              </w:rPr>
            </w:pPr>
            <w:r>
              <w:rPr>
                <w:rFonts w:ascii="Arial" w:cs="Arial" w:eastAsia="Arial" w:hAnsi="Arial"/>
                <w:sz w:val="14"/>
                <w:szCs w:val="14"/>
                <w:color w:val="auto"/>
              </w:rPr>
              <w:t>60</w:t>
            </w:r>
          </w:p>
        </w:tc>
        <w:tc>
          <w:tcPr>
            <w:tcW w:w="32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276"/>
        </w:trPr>
        <w:tc>
          <w:tcPr>
            <w:tcW w:w="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Carlo Rizzuto, Ph.D.</w:t>
            </w:r>
            <w:r>
              <w:rPr>
                <w:rFonts w:ascii="Arial" w:cs="Arial" w:eastAsia="Arial" w:hAnsi="Arial"/>
                <w:sz w:val="21"/>
                <w:szCs w:val="21"/>
                <w:color w:val="auto"/>
                <w:vertAlign w:val="superscript"/>
              </w:rPr>
              <w:t>(2)(3)</w:t>
            </w:r>
          </w:p>
        </w:tc>
        <w:tc>
          <w:tcPr>
            <w:tcW w:w="860" w:type="dxa"/>
            <w:vAlign w:val="bottom"/>
          </w:tcPr>
          <w:p>
            <w:pPr>
              <w:jc w:val="center"/>
              <w:ind w:left="389"/>
              <w:spacing w:after="0"/>
              <w:rPr>
                <w:sz w:val="20"/>
                <w:szCs w:val="20"/>
                <w:color w:val="auto"/>
              </w:rPr>
            </w:pPr>
            <w:r>
              <w:rPr>
                <w:rFonts w:ascii="Arial" w:cs="Arial" w:eastAsia="Arial" w:hAnsi="Arial"/>
                <w:sz w:val="14"/>
                <w:szCs w:val="14"/>
                <w:color w:val="auto"/>
              </w:rPr>
              <w:t>51</w:t>
            </w: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-31115</wp:posOffset>
            </wp:positionV>
            <wp:extent cx="41656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ind w:left="1460" w:hanging="236"/>
        <w:spacing w:after="0"/>
        <w:tabs>
          <w:tab w:leader="none" w:pos="1460" w:val="left"/>
        </w:tabs>
        <w:numPr>
          <w:ilvl w:val="0"/>
          <w:numId w:val="83"/>
        </w:numPr>
        <w:rPr>
          <w:rFonts w:ascii="Arial" w:cs="Arial" w:eastAsia="Arial" w:hAnsi="Arial"/>
          <w:sz w:val="11"/>
          <w:szCs w:val="11"/>
          <w:color w:val="auto"/>
        </w:rPr>
      </w:pPr>
      <w:r>
        <w:rPr>
          <w:rFonts w:ascii="Arial" w:cs="Arial" w:eastAsia="Arial" w:hAnsi="Arial"/>
          <w:sz w:val="11"/>
          <w:szCs w:val="11"/>
          <w:color w:val="auto"/>
        </w:rPr>
        <w:t>Member of our audit committee upon effectiveness of the Registration Statement of which this prospectus forms a part.</w:t>
      </w:r>
    </w:p>
    <w:p>
      <w:pPr>
        <w:spacing w:after="0" w:line="56" w:lineRule="exact"/>
        <w:rPr>
          <w:rFonts w:ascii="Arial" w:cs="Arial" w:eastAsia="Arial" w:hAnsi="Arial"/>
          <w:sz w:val="11"/>
          <w:szCs w:val="11"/>
          <w:color w:val="auto"/>
        </w:rPr>
      </w:pPr>
    </w:p>
    <w:p>
      <w:pPr>
        <w:ind w:left="1460" w:hanging="236"/>
        <w:spacing w:after="0"/>
        <w:tabs>
          <w:tab w:leader="none" w:pos="1460" w:val="left"/>
        </w:tabs>
        <w:numPr>
          <w:ilvl w:val="0"/>
          <w:numId w:val="83"/>
        </w:numPr>
        <w:rPr>
          <w:rFonts w:ascii="Arial" w:cs="Arial" w:eastAsia="Arial" w:hAnsi="Arial"/>
          <w:sz w:val="11"/>
          <w:szCs w:val="11"/>
          <w:color w:val="auto"/>
        </w:rPr>
      </w:pPr>
      <w:r>
        <w:rPr>
          <w:rFonts w:ascii="Arial" w:cs="Arial" w:eastAsia="Arial" w:hAnsi="Arial"/>
          <w:sz w:val="11"/>
          <w:szCs w:val="11"/>
          <w:color w:val="auto"/>
        </w:rPr>
        <w:t>Member of our compensation committee upon effectiveness of the Registration Statement of which this prospectus forms a</w:t>
      </w:r>
    </w:p>
    <w:p>
      <w:pPr>
        <w:spacing w:after="0" w:line="2" w:lineRule="exact"/>
        <w:rPr>
          <w:rFonts w:ascii="Arial" w:cs="Arial" w:eastAsia="Arial" w:hAnsi="Arial"/>
          <w:sz w:val="11"/>
          <w:szCs w:val="11"/>
          <w:color w:val="auto"/>
        </w:rPr>
      </w:pPr>
    </w:p>
    <w:p>
      <w:pPr>
        <w:ind w:left="1220"/>
        <w:spacing w:after="0"/>
        <w:rPr>
          <w:rFonts w:ascii="Arial" w:cs="Arial" w:eastAsia="Arial" w:hAnsi="Arial"/>
          <w:sz w:val="11"/>
          <w:szCs w:val="11"/>
          <w:color w:val="auto"/>
        </w:rPr>
      </w:pPr>
      <w:r>
        <w:rPr>
          <w:rFonts w:ascii="Arial" w:cs="Arial" w:eastAsia="Arial" w:hAnsi="Arial"/>
          <w:sz w:val="11"/>
          <w:szCs w:val="11"/>
          <w:color w:val="auto"/>
        </w:rPr>
        <w:t>part.</w:t>
      </w:r>
    </w:p>
    <w:p>
      <w:pPr>
        <w:spacing w:after="0" w:line="67" w:lineRule="exact"/>
        <w:rPr>
          <w:rFonts w:ascii="Arial" w:cs="Arial" w:eastAsia="Arial" w:hAnsi="Arial"/>
          <w:sz w:val="11"/>
          <w:szCs w:val="11"/>
          <w:color w:val="auto"/>
        </w:rPr>
      </w:pPr>
    </w:p>
    <w:p>
      <w:pPr>
        <w:ind w:left="1220" w:right="1379" w:firstLine="4"/>
        <w:spacing w:after="0" w:line="251" w:lineRule="auto"/>
        <w:tabs>
          <w:tab w:leader="none" w:pos="1458" w:val="left"/>
        </w:tabs>
        <w:numPr>
          <w:ilvl w:val="0"/>
          <w:numId w:val="83"/>
        </w:numPr>
        <w:rPr>
          <w:rFonts w:ascii="Arial" w:cs="Arial" w:eastAsia="Arial" w:hAnsi="Arial"/>
          <w:sz w:val="11"/>
          <w:szCs w:val="11"/>
          <w:color w:val="auto"/>
        </w:rPr>
      </w:pPr>
      <w:r>
        <w:rPr>
          <w:rFonts w:ascii="Arial" w:cs="Arial" w:eastAsia="Arial" w:hAnsi="Arial"/>
          <w:sz w:val="11"/>
          <w:szCs w:val="11"/>
          <w:color w:val="auto"/>
        </w:rPr>
        <w:t>Member of our nominating and corporate governance committee upon effectiveness of the Registration Statement of which this prospectus forms a part.</w:t>
      </w:r>
    </w:p>
    <w:p>
      <w:pPr>
        <w:spacing w:after="0" w:line="48" w:lineRule="exact"/>
        <w:rPr>
          <w:rFonts w:ascii="Arial" w:cs="Arial" w:eastAsia="Arial" w:hAnsi="Arial"/>
          <w:sz w:val="11"/>
          <w:szCs w:val="11"/>
          <w:color w:val="auto"/>
        </w:rPr>
      </w:pPr>
    </w:p>
    <w:p>
      <w:pPr>
        <w:ind w:left="1220" w:right="1419" w:firstLine="4"/>
        <w:spacing w:after="0" w:line="251" w:lineRule="auto"/>
        <w:tabs>
          <w:tab w:leader="none" w:pos="1458" w:val="left"/>
        </w:tabs>
        <w:numPr>
          <w:ilvl w:val="0"/>
          <w:numId w:val="83"/>
        </w:numPr>
        <w:rPr>
          <w:rFonts w:ascii="Arial" w:cs="Arial" w:eastAsia="Arial" w:hAnsi="Arial"/>
          <w:sz w:val="11"/>
          <w:szCs w:val="11"/>
          <w:color w:val="auto"/>
        </w:rPr>
      </w:pPr>
      <w:r>
        <w:rPr>
          <w:rFonts w:ascii="Arial" w:cs="Arial" w:eastAsia="Arial" w:hAnsi="Arial"/>
          <w:sz w:val="11"/>
          <w:szCs w:val="11"/>
          <w:color w:val="auto"/>
        </w:rPr>
        <w:t>Mr. Ban has notified us that he will resign from our board of directors effective immediately prior to the effectiveness of the Registration Statement of which this prospectus forms a part.</w:t>
      </w:r>
    </w:p>
    <w:p>
      <w:pPr>
        <w:spacing w:after="0" w:line="48" w:lineRule="exact"/>
        <w:rPr>
          <w:rFonts w:ascii="Arial" w:cs="Arial" w:eastAsia="Arial" w:hAnsi="Arial"/>
          <w:sz w:val="11"/>
          <w:szCs w:val="11"/>
          <w:color w:val="auto"/>
        </w:rPr>
      </w:pPr>
    </w:p>
    <w:p>
      <w:pPr>
        <w:ind w:left="1220" w:right="1379" w:firstLine="4"/>
        <w:spacing w:after="0" w:line="251" w:lineRule="auto"/>
        <w:tabs>
          <w:tab w:leader="none" w:pos="1458" w:val="left"/>
        </w:tabs>
        <w:numPr>
          <w:ilvl w:val="0"/>
          <w:numId w:val="83"/>
        </w:numPr>
        <w:rPr>
          <w:rFonts w:ascii="Arial" w:cs="Arial" w:eastAsia="Arial" w:hAnsi="Arial"/>
          <w:sz w:val="11"/>
          <w:szCs w:val="11"/>
          <w:color w:val="auto"/>
        </w:rPr>
      </w:pPr>
      <w:r>
        <w:rPr>
          <w:rFonts w:ascii="Arial" w:cs="Arial" w:eastAsia="Arial" w:hAnsi="Arial"/>
          <w:sz w:val="11"/>
          <w:szCs w:val="11"/>
          <w:color w:val="auto"/>
        </w:rPr>
        <w:t>Dr. Eckhardt has notified us that he will resign from our board of directors effective immediately prior to the effectiveness of the Registration Statement of which this prospectus forms a part.</w:t>
      </w:r>
    </w:p>
    <w:p>
      <w:pPr>
        <w:spacing w:after="0" w:line="14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Executive officers</w:t>
      </w:r>
    </w:p>
    <w:p>
      <w:pPr>
        <w:spacing w:after="0" w:line="128" w:lineRule="exact"/>
        <w:rPr>
          <w:sz w:val="20"/>
          <w:szCs w:val="20"/>
          <w:color w:val="auto"/>
        </w:rPr>
      </w:pPr>
    </w:p>
    <w:p>
      <w:pPr>
        <w:ind w:left="1220" w:right="1379"/>
        <w:spacing w:after="0" w:line="276" w:lineRule="auto"/>
        <w:rPr>
          <w:sz w:val="20"/>
          <w:szCs w:val="20"/>
          <w:color w:val="auto"/>
        </w:rPr>
      </w:pPr>
      <w:r>
        <w:rPr>
          <w:rFonts w:ascii="Arial" w:cs="Arial" w:eastAsia="Arial" w:hAnsi="Arial"/>
          <w:sz w:val="14"/>
          <w:szCs w:val="14"/>
          <w:b w:val="1"/>
          <w:bCs w:val="1"/>
          <w:i w:val="1"/>
          <w:iCs w:val="1"/>
          <w:color w:val="auto"/>
        </w:rPr>
        <w:t xml:space="preserve">Osvaldo Flores,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Flores previously served as a member of the board of directors of Prior Century from September 2018 until the 2021 Reorganization in February 2021. Dr. Flores has served as our President and Chief Executive Officer since June 2019 and the President and Chief Executive Officer of Prior Century from September 10, 2018 until the 2021 Reorganization in</w:t>
      </w:r>
    </w:p>
    <w:p>
      <w:pPr>
        <w:spacing w:after="0" w:line="4"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February 2021. Dr. Flores was previously Vice President of R&amp;D from December 2015 until December 2017, and Entrepreneur-in-Residence from January 2018 until August 2018 with Janssen, a Johnson &amp; Johnson company. He founded and served as President and Chief Scientific Officer of Novira Therapeutics from January 2009 to December 2015. Prior to Novira, Dr. Flores was a department head at Merck &amp; Co., where he led drug discovery and development programs across diverse therapeutic areas including antiviral, oncology, and metabolic, from 1999 to 2008. Dr. Flores began his R&amp;D career at Tularik Inc., establishing key elements of the antiviral drug discovery platform. Dr. Flores received his Ph.D. in Biochemistry and Molecular Biology from Rutgers University and was a postdoctoral Fellow at the Salk Institute.</w:t>
      </w:r>
    </w:p>
    <w:p>
      <w:pPr>
        <w:spacing w:after="0" w:line="109"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We believe that Dr. Flores is qualified to serve on our board of directors due to the valuable experience he brings in his capacity as our President and Chief Officer along with his extensive experience and knowledge of our industry.</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4" w:name="page165"/>
    <w:bookmarkEnd w:id="16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20" w:right="1739"/>
        <w:spacing w:after="0" w:line="281" w:lineRule="auto"/>
        <w:rPr>
          <w:sz w:val="20"/>
          <w:szCs w:val="20"/>
          <w:color w:val="auto"/>
        </w:rPr>
      </w:pPr>
      <w:r>
        <w:rPr>
          <w:rFonts w:ascii="Arial" w:cs="Arial" w:eastAsia="Arial" w:hAnsi="Arial"/>
          <w:sz w:val="14"/>
          <w:szCs w:val="14"/>
          <w:b w:val="1"/>
          <w:bCs w:val="1"/>
          <w:i w:val="1"/>
          <w:iCs w:val="1"/>
          <w:color w:val="auto"/>
        </w:rPr>
        <w:t xml:space="preserve">Luis Borges, Ph.D. </w:t>
      </w:r>
      <w:r>
        <w:rPr>
          <w:rFonts w:ascii="Arial" w:cs="Arial" w:eastAsia="Arial" w:hAnsi="Arial"/>
          <w:sz w:val="14"/>
          <w:szCs w:val="14"/>
          <w:color w:val="auto"/>
        </w:rPr>
        <w:t>has served as our Chief Scientific Officer since April 2019. Dr. Borges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Scientific Officer of Cell Medica, a pharmaceutical company specializing in cellular immunotherapy, from August 2017 until March 2019. Prior to this,</w:t>
      </w:r>
    </w:p>
    <w:p>
      <w:pPr>
        <w:spacing w:after="0" w:line="1"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Dr. Borges served as Senior Vice President of Research from September 2016 until July 2017, and Vice President of Immuno-Oncology Research from July 2015 until September 2016 at Five Prime Therapeutics, Inc., a publicly-traded biotechnology company. Dr. Borges also served as Executive Director and Senior Director at Five Prime Therapeutics, Inc. from February 2015 until June 2015 and May 2014 until January 2015, respectively. Dr. Borges served in several positions at Amgen Inc., a publicly-traded biotechnology company from 2002 until 2014, most recently serving as Scientific Director from November 2011 until April 2014. Prior to this, Dr. Borges served at Immunex Corp., a publicly-traded biotechnology company, as a Postdoctoral Scientist from September 1996 until September 1999, and as a Staff Scientist from September 1999 until July 2002 when Amgen Inc. acquired Immunex Corp. Dr. Borges holds a Bachelor of Science in marine biology from the University of Lisbon and a Ph.D. in pathology from the University of Washington School of Medicine.</w:t>
      </w:r>
    </w:p>
    <w:p>
      <w:pPr>
        <w:spacing w:after="0" w:line="264" w:lineRule="exact"/>
        <w:rPr>
          <w:sz w:val="20"/>
          <w:szCs w:val="20"/>
          <w:color w:val="auto"/>
        </w:rPr>
      </w:pPr>
    </w:p>
    <w:p>
      <w:pPr>
        <w:ind w:left="1220" w:right="1499"/>
        <w:spacing w:after="0" w:line="281" w:lineRule="auto"/>
        <w:rPr>
          <w:sz w:val="20"/>
          <w:szCs w:val="20"/>
          <w:color w:val="auto"/>
        </w:rPr>
      </w:pPr>
      <w:r>
        <w:rPr>
          <w:rFonts w:ascii="Arial" w:cs="Arial" w:eastAsia="Arial" w:hAnsi="Arial"/>
          <w:sz w:val="14"/>
          <w:szCs w:val="14"/>
          <w:b w:val="1"/>
          <w:bCs w:val="1"/>
          <w:i w:val="1"/>
          <w:iCs w:val="1"/>
          <w:color w:val="auto"/>
        </w:rPr>
        <w:t xml:space="preserve">Michael Diem, M.D. </w:t>
      </w:r>
      <w:r>
        <w:rPr>
          <w:rFonts w:ascii="Arial" w:cs="Arial" w:eastAsia="Arial" w:hAnsi="Arial"/>
          <w:sz w:val="14"/>
          <w:szCs w:val="14"/>
          <w:color w:val="auto"/>
        </w:rPr>
        <w:t>has served as our Chief Business Officer since September 2020.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joining us, Dr. Diem was Senior Vice President of Business and Corporate Development at Amicus Therapeutics, a global biotechnology company, from September 2017 to</w:t>
      </w:r>
    </w:p>
    <w:p>
      <w:pPr>
        <w:spacing w:after="0" w:line="1" w:lineRule="exact"/>
        <w:rPr>
          <w:sz w:val="20"/>
          <w:szCs w:val="20"/>
          <w:color w:val="auto"/>
        </w:rPr>
      </w:pPr>
    </w:p>
    <w:p>
      <w:pPr>
        <w:ind w:left="1220" w:right="1259"/>
        <w:spacing w:after="0" w:line="273" w:lineRule="auto"/>
        <w:rPr>
          <w:sz w:val="20"/>
          <w:szCs w:val="20"/>
          <w:color w:val="auto"/>
        </w:rPr>
      </w:pPr>
      <w:r>
        <w:rPr>
          <w:rFonts w:ascii="Arial" w:cs="Arial" w:eastAsia="Arial" w:hAnsi="Arial"/>
          <w:sz w:val="14"/>
          <w:szCs w:val="14"/>
          <w:color w:val="auto"/>
        </w:rPr>
        <w:t>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w:t>
      </w:r>
    </w:p>
    <w:p>
      <w:pPr>
        <w:spacing w:after="0" w:line="2" w:lineRule="exact"/>
        <w:rPr>
          <w:sz w:val="20"/>
          <w:szCs w:val="20"/>
          <w:color w:val="auto"/>
        </w:rPr>
      </w:pPr>
    </w:p>
    <w:p>
      <w:pPr>
        <w:ind w:left="1220" w:right="1379"/>
        <w:spacing w:after="0" w:line="277" w:lineRule="auto"/>
        <w:rPr>
          <w:sz w:val="20"/>
          <w:szCs w:val="20"/>
          <w:color w:val="auto"/>
        </w:rPr>
      </w:pPr>
      <w:r>
        <w:rPr>
          <w:rFonts w:ascii="Arial" w:cs="Arial" w:eastAsia="Arial" w:hAnsi="Arial"/>
          <w:sz w:val="14"/>
          <w:szCs w:val="14"/>
          <w:color w:val="auto"/>
        </w:rPr>
        <w:t>December 2020. Additionally, he serves on the board of directors of Venatorx Pharmaceuticals and the Boys and Girls Clubs of Philadelphia. Dr. Diem holds a B.A. in biological sciences from Rutgers University, an M.D. from the Rutgers-Robert Wood Johnson Medical School, and an M.B.A. from Case Western Reserve University. Dr. Diem completed his medical training at Duke University and is a Kauffman Fellow.</w:t>
      </w:r>
    </w:p>
    <w:p>
      <w:pPr>
        <w:spacing w:after="0" w:line="91"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b w:val="1"/>
          <w:bCs w:val="1"/>
          <w:i w:val="1"/>
          <w:iCs w:val="1"/>
          <w:color w:val="auto"/>
        </w:rPr>
        <w:t xml:space="preserve">Adrienne Farid, Ph.D. </w:t>
      </w:r>
      <w:r>
        <w:rPr>
          <w:rFonts w:ascii="Arial" w:cs="Arial" w:eastAsia="Arial" w:hAnsi="Arial"/>
          <w:sz w:val="14"/>
          <w:szCs w:val="14"/>
          <w:color w:val="auto"/>
        </w:rPr>
        <w:t>has served as our Chief Operations Officer since April 2021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p>
    <w:p>
      <w:pPr>
        <w:spacing w:after="0" w:line="273" w:lineRule="exact"/>
        <w:rPr>
          <w:sz w:val="20"/>
          <w:szCs w:val="20"/>
          <w:color w:val="auto"/>
        </w:rPr>
      </w:pPr>
    </w:p>
    <w:p>
      <w:pPr>
        <w:jc w:val="both"/>
        <w:ind w:left="1220" w:right="1259"/>
        <w:spacing w:after="0" w:line="281" w:lineRule="auto"/>
        <w:rPr>
          <w:sz w:val="20"/>
          <w:szCs w:val="20"/>
          <w:color w:val="auto"/>
        </w:rPr>
      </w:pPr>
      <w:r>
        <w:rPr>
          <w:rFonts w:ascii="Arial" w:cs="Arial" w:eastAsia="Arial" w:hAnsi="Arial"/>
          <w:sz w:val="14"/>
          <w:szCs w:val="14"/>
          <w:b w:val="1"/>
          <w:bCs w:val="1"/>
          <w:i w:val="1"/>
          <w:iCs w:val="1"/>
          <w:color w:val="auto"/>
        </w:rPr>
        <w:t xml:space="preserve">Hyam Levitsky, M.D. </w:t>
      </w:r>
      <w:r>
        <w:rPr>
          <w:rFonts w:ascii="Arial" w:cs="Arial" w:eastAsia="Arial" w:hAnsi="Arial"/>
          <w:sz w:val="14"/>
          <w:szCs w:val="14"/>
          <w:color w:val="auto"/>
        </w:rPr>
        <w:t>has served as our President, Research and Development since May 2019.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Levitsky served as Executive Vice President and Chief Scientific Officer at Juno Therapeutics, Inc. from 2015 to 2018 and was Head of Cancer Immunotherapy Experimental Medicine at F.</w:t>
      </w:r>
    </w:p>
    <w:p>
      <w:pPr>
        <w:spacing w:after="0" w:line="1"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has served on the board of directors of Replimune Therapeutics, Inc. since May 2018. Dr. Levitsky received a B.S. from the University of Pennsylvania School of Engineering and Applied Science and an M.D. from The Johns Hopkins University School of Medicine.</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5" w:name="page166"/>
    <w:bookmarkEnd w:id="16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b w:val="1"/>
          <w:bCs w:val="1"/>
          <w:i w:val="1"/>
          <w:iCs w:val="1"/>
          <w:color w:val="auto"/>
        </w:rPr>
        <w:t xml:space="preserve">Gregory Russotti, Ph.D. </w:t>
      </w:r>
      <w:r>
        <w:rPr>
          <w:rFonts w:ascii="Arial" w:cs="Arial" w:eastAsia="Arial" w:hAnsi="Arial"/>
          <w:sz w:val="14"/>
          <w:szCs w:val="14"/>
          <w:color w:val="auto"/>
        </w:rPr>
        <w:t>has served as our Chief Technology Officer since January 2020. Prior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joining us, Dr. Russotti held multiple positions at Celgene Corporation, a Bristol Myers Squibb company, from 2006 until 2009, including, Vice President of Cell Therapy Technical Development from January 2018 to November 2019, Vice President of Cell Therapy Development and Operations from October 2016 to December 2017,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Non-employee directors</w:t>
      </w:r>
    </w:p>
    <w:p>
      <w:pPr>
        <w:spacing w:after="0" w:line="117"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b w:val="1"/>
          <w:bCs w:val="1"/>
          <w:i w:val="1"/>
          <w:iCs w:val="1"/>
          <w:color w:val="auto"/>
        </w:rPr>
        <w:t xml:space="preserve">Toshikazu Ban </w:t>
      </w:r>
      <w:r>
        <w:rPr>
          <w:rFonts w:ascii="Arial" w:cs="Arial" w:eastAsia="Arial" w:hAnsi="Arial"/>
          <w:sz w:val="14"/>
          <w:szCs w:val="14"/>
          <w:color w:val="auto"/>
        </w:rPr>
        <w:t>has served as a member of our board of directors since the 2021 Reorganization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February 2021, and previously served as a member of the board of managers of Century Therapeutics, LLC from June 2019 until the 2021 Reorganization in February 2021. Mr. Ban served on the board of directors of Prior Century from October 2018 until the 2021 Reorganization in February 2021. He has served as Corporate Vice President and Senior Deputy General Manager of the pharmaceutical product division at FUJIFILM Corporation since</w:t>
      </w:r>
    </w:p>
    <w:p>
      <w:pPr>
        <w:spacing w:after="0" w:line="2" w:lineRule="exact"/>
        <w:rPr>
          <w:sz w:val="20"/>
          <w:szCs w:val="20"/>
          <w:color w:val="auto"/>
        </w:rPr>
      </w:pPr>
    </w:p>
    <w:p>
      <w:pPr>
        <w:ind w:left="1220" w:right="1439"/>
        <w:spacing w:after="0" w:line="273" w:lineRule="auto"/>
        <w:rPr>
          <w:sz w:val="20"/>
          <w:szCs w:val="20"/>
          <w:color w:val="auto"/>
        </w:rPr>
      </w:pPr>
      <w:r>
        <w:rPr>
          <w:rFonts w:ascii="Arial" w:cs="Arial" w:eastAsia="Arial" w:hAnsi="Arial"/>
          <w:sz w:val="14"/>
          <w:szCs w:val="14"/>
          <w:color w:val="auto"/>
        </w:rPr>
        <w:t>July 2018. Mr. Ban joined FUJIFILM Corporation in April 2013, a conglomerate operating in the photography, optics, biotechnology, and chemical industries, and served as Corporate Vice President and General Manager of regenerative medicine business product division from</w:t>
      </w:r>
    </w:p>
    <w:p>
      <w:pPr>
        <w:spacing w:after="0" w:line="1"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June 2016. Prior to joining FUJIFILM Corporation, Mr. Ban served at Takeda Pharmaceutical Co. Ltd. from April 1985 to March 2013 in various R&amp;D management and Business Development roles of gradually increasing responsibility, including Senior Vice President, Global head of Business Development from January 2008 to January 2012. Mr. Ban is currently a Board Member of FUJIFILM Toyama Chemical and FUJIFILM Kyowa Kirin Biologics, Ltd. He has been a Director of Perseus Proteomics Inc. since June 2017. Mr. Ban earned his B.S. in Pharmaceutical Science from The University of Tokyo and M.S. from the Graduate School of Medical Science of Kyoto University.</w:t>
      </w:r>
    </w:p>
    <w:p>
      <w:pPr>
        <w:spacing w:after="0" w:line="290" w:lineRule="exact"/>
        <w:rPr>
          <w:sz w:val="20"/>
          <w:szCs w:val="20"/>
          <w:color w:val="auto"/>
        </w:rPr>
      </w:pPr>
    </w:p>
    <w:p>
      <w:pPr>
        <w:ind w:left="1220" w:right="1599"/>
        <w:spacing w:after="0" w:line="278" w:lineRule="auto"/>
        <w:rPr>
          <w:sz w:val="20"/>
          <w:szCs w:val="20"/>
          <w:color w:val="auto"/>
        </w:rPr>
      </w:pPr>
      <w:r>
        <w:rPr>
          <w:rFonts w:ascii="Arial" w:cs="Arial" w:eastAsia="Arial" w:hAnsi="Arial"/>
          <w:sz w:val="14"/>
          <w:szCs w:val="14"/>
          <w:color w:val="auto"/>
        </w:rPr>
        <w:t>We believe that Mr. Ban is qualified to serve on our board of directors due to his extensive management experience and deep understanding of the biotechnology industry. Mr. Ban has notified us that he will resign from our board of directors effective immediately prior to the effectiveness of the Registration Statement of which this prospectus forms a part.</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 xml:space="preserve">Kimberly Lynn Blackwell, M.D. </w:t>
      </w:r>
      <w:r>
        <w:rPr>
          <w:rFonts w:ascii="Arial" w:cs="Arial" w:eastAsia="Arial" w:hAnsi="Arial"/>
          <w:sz w:val="14"/>
          <w:szCs w:val="14"/>
          <w:color w:val="auto"/>
        </w:rPr>
        <w:t>has served as a member of our board of directors since</w:t>
      </w:r>
    </w:p>
    <w:p>
      <w:pPr>
        <w:spacing w:after="0" w:line="38" w:lineRule="exact"/>
        <w:rPr>
          <w:sz w:val="20"/>
          <w:szCs w:val="20"/>
          <w:color w:val="auto"/>
        </w:rPr>
      </w:pPr>
    </w:p>
    <w:p>
      <w:pPr>
        <w:ind w:left="1220" w:right="1359"/>
        <w:spacing w:after="0" w:line="273" w:lineRule="auto"/>
        <w:rPr>
          <w:sz w:val="20"/>
          <w:szCs w:val="20"/>
          <w:color w:val="auto"/>
        </w:rPr>
      </w:pPr>
      <w:r>
        <w:rPr>
          <w:rFonts w:ascii="Arial" w:cs="Arial" w:eastAsia="Arial" w:hAnsi="Arial"/>
          <w:sz w:val="14"/>
          <w:szCs w:val="14"/>
          <w:color w:val="auto"/>
        </w:rPr>
        <w:t>May 2021. Dr. Blackwell has been the Chief Medical Officer and Senior Vice President, Clinical Oncology Development at Tempus Labs, Inc., a biotechnology company, since March 2020. Previously, Dr. Blackwell was the Vice President of Early Phase Immunooncology at Eli Lilly and Company, a pharmaceutical company, from March 2018 to March 2020. Prior to Eli Lilly,</w:t>
      </w:r>
    </w:p>
    <w:p>
      <w:pPr>
        <w:spacing w:after="0" w:line="1"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Dr. Blackwell held positions at Duke Medical Center and Duke Cancer Institute as a Professor in the Department of Medicine from July 2012 to March 2018. Dr. Blackwell has served on the board of directors of Monte Rosa Therapeutics, Inc., a biotechnology company, and Zentalis Pharmaceuticals, Inc., a publicly-traded clinical-stage biopharmaceutical company, since June and July 2020, respectively. She has also served as a Steering Committee Member at the Duke Angel Network since February 2017 and on the Scientific Advisory Board for Artemis Women’s Health Fund since January 2021. Dr. Blackwell received her B.A. in bioethics from Duke University and her M.D. from the Mayo Clinic Medical School.</w:t>
      </w:r>
    </w:p>
    <w:p>
      <w:pPr>
        <w:spacing w:after="0" w:line="279" w:lineRule="exact"/>
        <w:rPr>
          <w:sz w:val="20"/>
          <w:szCs w:val="20"/>
          <w:color w:val="auto"/>
        </w:rPr>
      </w:pPr>
    </w:p>
    <w:p>
      <w:pPr>
        <w:ind w:left="1220" w:right="1279"/>
        <w:spacing w:after="0" w:line="281" w:lineRule="auto"/>
        <w:rPr>
          <w:sz w:val="20"/>
          <w:szCs w:val="20"/>
          <w:color w:val="auto"/>
        </w:rPr>
      </w:pPr>
      <w:r>
        <w:rPr>
          <w:rFonts w:ascii="Arial" w:cs="Arial" w:eastAsia="Arial" w:hAnsi="Arial"/>
          <w:sz w:val="14"/>
          <w:szCs w:val="14"/>
          <w:color w:val="auto"/>
        </w:rPr>
        <w:t>We believe that Dr. Blackwell is qualified to serve on our board of directors due to her experience on the board of pharmaceutical companies and her extensive knowledge of the biotechnology and pharmaceutical industries.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6" w:name="page167"/>
    <w:bookmarkEnd w:id="16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 xml:space="preserve">Cynthia Butitta </w:t>
      </w:r>
      <w:r>
        <w:rPr>
          <w:rFonts w:ascii="Arial" w:cs="Arial" w:eastAsia="Arial" w:hAnsi="Arial"/>
          <w:sz w:val="14"/>
          <w:szCs w:val="14"/>
          <w:color w:val="auto"/>
        </w:rPr>
        <w:t>has served as a member of our board of directors since February 2021.</w:t>
      </w:r>
    </w:p>
    <w:p>
      <w:pPr>
        <w:spacing w:after="0" w:line="28" w:lineRule="exact"/>
        <w:rPr>
          <w:sz w:val="20"/>
          <w:szCs w:val="20"/>
          <w:color w:val="auto"/>
        </w:rPr>
      </w:pPr>
    </w:p>
    <w:p>
      <w:pPr>
        <w:ind w:left="1220" w:right="1319"/>
        <w:spacing w:after="0" w:line="257" w:lineRule="auto"/>
        <w:rPr>
          <w:sz w:val="20"/>
          <w:szCs w:val="20"/>
          <w:color w:val="auto"/>
        </w:rPr>
      </w:pPr>
      <w:r>
        <w:rPr>
          <w:rFonts w:ascii="Arial" w:cs="Arial" w:eastAsia="Arial" w:hAnsi="Arial"/>
          <w:sz w:val="14"/>
          <w:szCs w:val="14"/>
          <w:color w:val="auto"/>
        </w:rPr>
        <w:t>Ms. Butitta has served as a member of the board of directors of Olema Pharmaceuticals, Autolus Therapeutics plc, and UroGen Pharma Ltd., publicly traded biopharmaceutical companies, since August 2020, March 2018 and October 2017, respectively. Ms. Butitta previously served as the Chief Operating Officer of Kite Pharma Inc., a biopharmaceutical company, from March 2014 to September 2017 and as its Executive Vice President and Chief Financial Officer from</w:t>
      </w:r>
    </w:p>
    <w:p>
      <w:pPr>
        <w:spacing w:after="0" w:line="1"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in Madison, Wisconsin and an M.B.A. in finance from the University of Wisconsin, Madison.</w:t>
      </w:r>
    </w:p>
    <w:p>
      <w:pPr>
        <w:spacing w:after="0" w:line="270" w:lineRule="exact"/>
        <w:rPr>
          <w:sz w:val="20"/>
          <w:szCs w:val="20"/>
          <w:color w:val="auto"/>
        </w:rPr>
      </w:pPr>
    </w:p>
    <w:p>
      <w:pPr>
        <w:jc w:val="both"/>
        <w:ind w:left="1220" w:right="1519"/>
        <w:spacing w:after="0" w:line="265" w:lineRule="auto"/>
        <w:rPr>
          <w:sz w:val="20"/>
          <w:szCs w:val="20"/>
          <w:color w:val="auto"/>
        </w:rPr>
      </w:pPr>
      <w:r>
        <w:rPr>
          <w:rFonts w:ascii="Arial" w:cs="Arial" w:eastAsia="Arial" w:hAnsi="Arial"/>
          <w:sz w:val="14"/>
          <w:szCs w:val="14"/>
          <w:color w:val="auto"/>
        </w:rPr>
        <w:t>We believe that Ms. Butitta is qualified to serve on our board of directors due to her extensive experience as a public company director, her knowledge of corporate finance and accounting, and her experience as a biopharmaceutical company executive.</w:t>
      </w:r>
    </w:p>
    <w:p>
      <w:pPr>
        <w:spacing w:after="0" w:line="87"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b w:val="1"/>
          <w:bCs w:val="1"/>
          <w:i w:val="1"/>
          <w:iCs w:val="1"/>
          <w:color w:val="auto"/>
        </w:rPr>
        <w:t xml:space="preserve">Eli Casdin </w:t>
      </w:r>
      <w:r>
        <w:rPr>
          <w:rFonts w:ascii="Arial" w:cs="Arial" w:eastAsia="Arial" w:hAnsi="Arial"/>
          <w:sz w:val="14"/>
          <w:szCs w:val="14"/>
          <w:color w:val="auto"/>
        </w:rPr>
        <w:t>has served as a member of our board of directors since February 2021. He founded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Casdin Capital, a venture capital firm specializing in life sciences, in 2011 and serves as Chief Investment Officer of Casdin Capital. Prior to founding Casdin Capital, Mr. Casdin was a Vice President and Analyst at Alliance Bernstein and a member of its “thematic” based investment group from 2007 until 2011. Mr. Casdin’s previously held positions at Bear Stearns, an investment bank and Cooper Hill Partners, a biotechnology-focused investment firm. Mr. Casdin has served on the board of directors of life-sciences-focused special purpose acquisition companies CM Life Sciences, Inc. and CM Life Sciences II, Inc., since September 2020 and February 2021, respectively. Mr. Casdin also serves on the board of directors of several other life science and biotechnology-focused entities, including, AbSci Corporation, C2i Genomics, Cedilla Therapeutics, DNA Script, Einstein Medical, EQRx, GeneMatters, Genomatica, Insitro, Maze Therapeutics, Mnemo Therapeutics, PACT Pharma, Inc., New York Genome Center, Prominex Inc., Sexton Biotechnologies, SomaLogic, Tango Therapeutics, Tenaya Therapeutics, Verana Health, Inc., Verve Therapeutics, and Vineti, Inc. Mr. Casdin also serves on the Columbia University School of General Studies board of directors. Mr. Casdin earned his B.S. from Columbia University and an M.B.A. from Columbia Business School.</w:t>
      </w:r>
    </w:p>
    <w:p>
      <w:pPr>
        <w:spacing w:after="0" w:line="281"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We believe that Mr. Casdin is qualified to serve on our board of directors due to his investment experience, knowledge of the biopharmaceutical industry, and extensive board experience on life sciences and biotechnology companies.</w:t>
      </w:r>
    </w:p>
    <w:p>
      <w:pPr>
        <w:spacing w:after="0" w:line="77"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b w:val="1"/>
          <w:bCs w:val="1"/>
          <w:i w:val="1"/>
          <w:iCs w:val="1"/>
          <w:color w:val="auto"/>
        </w:rPr>
        <w:t xml:space="preserve">Juergen Eckhardt, M.D.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September 2020 until the 2021 Reorganization in February 2021. Dr. Eckhardt served as Vice President, Head of Venture Investments at Bayer Consumer Care AG, or Bayer AG, a conglomerate operating in the field of pharmaceuticals, consumer health and agriculture, from September 2016 until February 2019 and has served as Senior Vice President, Head of Leaps by Bayer, the strategic venture capital unit of Bayer AG, since March 2019. Before joining Bayer AG in 2016, Dr. Eckhardt was head of the venture capital franchise at Bellevue Asset Management, an investment management firm, in Switzerland from November 2004 to August 2016. Previously, Dr. Eckhardt was a management consultant and Associate Partner with McKinsey &amp; Co. and a member of McKinsey’s Healthcare Leadership Team. Dr. Eckhardt currently serves as a member of the board of directors of Joyn Bio, Dewpoint, Khloris, Oerth Bio, Immunitas, eGenesis, and several other private companies. Dr. Eckhardt received his M.D. from the University of Basel and his M.B.A. from INSEAD in Fontainebleau, France.</w:t>
      </w:r>
    </w:p>
    <w:p>
      <w:pPr>
        <w:spacing w:after="0" w:line="283"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We believe that Dr. Eckhardt is qualified to serve on our board of directors due to his deep knowledge of the biopharmaceutical industry and his diverse board experience. Dr. Eckhardt has notified us that he will resign from our board of directors effective immediately prior to the effectiveness of the Registration Statement of which this prospectus forms a part.</w:t>
      </w:r>
    </w:p>
    <w:p>
      <w:pPr>
        <w:spacing w:after="0" w:line="90" w:lineRule="exact"/>
        <w:rPr>
          <w:sz w:val="20"/>
          <w:szCs w:val="20"/>
          <w:color w:val="auto"/>
        </w:rPr>
      </w:pPr>
    </w:p>
    <w:p>
      <w:pPr>
        <w:ind w:left="1220" w:right="1379"/>
        <w:spacing w:after="0" w:line="277" w:lineRule="auto"/>
        <w:rPr>
          <w:sz w:val="20"/>
          <w:szCs w:val="20"/>
          <w:color w:val="auto"/>
        </w:rPr>
      </w:pPr>
      <w:r>
        <w:rPr>
          <w:rFonts w:ascii="Arial" w:cs="Arial" w:eastAsia="Arial" w:hAnsi="Arial"/>
          <w:sz w:val="14"/>
          <w:szCs w:val="14"/>
          <w:b w:val="1"/>
          <w:bCs w:val="1"/>
          <w:i w:val="1"/>
          <w:iCs w:val="1"/>
          <w:color w:val="auto"/>
        </w:rPr>
        <w:t xml:space="preserve">Joseph Jimenez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August 2019</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7" w:name="page168"/>
    <w:bookmarkEnd w:id="16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659"/>
        <w:spacing w:after="0" w:line="257" w:lineRule="auto"/>
        <w:rPr>
          <w:sz w:val="20"/>
          <w:szCs w:val="20"/>
          <w:color w:val="auto"/>
        </w:rPr>
      </w:pPr>
      <w:r>
        <w:rPr>
          <w:rFonts w:ascii="Arial" w:cs="Arial" w:eastAsia="Arial" w:hAnsi="Arial"/>
          <w:sz w:val="14"/>
          <w:szCs w:val="14"/>
          <w:color w:val="auto"/>
        </w:rPr>
        <w:t>until the 2021 Reorganization in February 2021. Mr. Jimenez has served as chairman of our board of directors since February 2021. Mr. Jimenez is currently Co-Founder and Managing Director of Aditum Bio, a venture capital firm. He has held this position since July 2019.</w:t>
      </w:r>
    </w:p>
    <w:p>
      <w:pPr>
        <w:spacing w:after="0" w:line="1"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Mr. Jimenez served as CEO of Novartis AG, a pharmaceutical company, from 2010 until his retirement in 2018. He led Novartis’ Pharmaceuticals Division from October 2007 to 2010 and its Consumer Health Division in 2007. From 2006 to 2007, Mr. Jimenez served as Advisor to the Blackstone Group L.P. Mr. Jimenez was Executive Vice President, President and CEO of Heinz Europe from 2002 to 2006, and President and CEO of H.J. Heinz Company North America from 1999 to 2002. Mr. Jimenez is currently a member of the board of directors of General Motors Company, where he has served since 2015. Mr. Jimenez has also been a member of the board of The Proctor &amp; Gamble Company since March 2018 and Graphite Bio since June 2020. Additionally, Mr. Jimenez served on the board of directors of Colgate-Palmolive Company from 2009 to 2015, and of AstraZeneca PLC, from 2002 to 2007. Mr. Jimenez received his B.A. in marketing from Stanford University and an M.B.A. from the University of California, Berkeley.</w:t>
      </w:r>
    </w:p>
    <w:p>
      <w:pPr>
        <w:spacing w:after="0" w:line="96" w:lineRule="exact"/>
        <w:rPr>
          <w:sz w:val="20"/>
          <w:szCs w:val="20"/>
          <w:color w:val="auto"/>
        </w:rPr>
      </w:pPr>
    </w:p>
    <w:p>
      <w:pPr>
        <w:ind w:left="1220" w:right="1479"/>
        <w:spacing w:after="0" w:line="265" w:lineRule="auto"/>
        <w:rPr>
          <w:sz w:val="20"/>
          <w:szCs w:val="20"/>
          <w:color w:val="auto"/>
        </w:rPr>
      </w:pPr>
      <w:r>
        <w:rPr>
          <w:rFonts w:ascii="Arial" w:cs="Arial" w:eastAsia="Arial" w:hAnsi="Arial"/>
          <w:sz w:val="14"/>
          <w:szCs w:val="14"/>
          <w:color w:val="auto"/>
        </w:rPr>
        <w:t>We believe that Mr. Jimenez is qualified to serve on our board of directors due to his years of experience as a senior executive in the pharmaceutical industry, his extensive public company directorship experience, and his deep insights into our industry.</w:t>
      </w:r>
    </w:p>
    <w:p>
      <w:pPr>
        <w:spacing w:after="0" w:line="87" w:lineRule="exact"/>
        <w:rPr>
          <w:sz w:val="20"/>
          <w:szCs w:val="20"/>
          <w:color w:val="auto"/>
        </w:rPr>
      </w:pPr>
    </w:p>
    <w:p>
      <w:pPr>
        <w:ind w:left="1220" w:right="1379"/>
        <w:spacing w:after="0" w:line="263" w:lineRule="auto"/>
        <w:rPr>
          <w:sz w:val="20"/>
          <w:szCs w:val="20"/>
          <w:color w:val="auto"/>
        </w:rPr>
      </w:pPr>
      <w:r>
        <w:rPr>
          <w:rFonts w:ascii="Arial" w:cs="Arial" w:eastAsia="Arial" w:hAnsi="Arial"/>
          <w:sz w:val="14"/>
          <w:szCs w:val="14"/>
          <w:b w:val="1"/>
          <w:bCs w:val="1"/>
          <w:i w:val="1"/>
          <w:iCs w:val="1"/>
          <w:color w:val="auto"/>
        </w:rPr>
        <w:t xml:space="preserve">Alessandro Riva, M.D. </w:t>
      </w:r>
      <w:r>
        <w:rPr>
          <w:rFonts w:ascii="Arial" w:cs="Arial" w:eastAsia="Arial" w:hAnsi="Arial"/>
          <w:sz w:val="14"/>
          <w:szCs w:val="14"/>
          <w:color w:val="auto"/>
        </w:rPr>
        <w:t>has served as a member of our board of directors since May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Riva recently served as the Chief Executive Officer of Ichnos Sciences, a biotechnology company focusing on oncology therapies. Previously, Dr. Riva was the Executive Vice President and Global Head, Oncology Therapeutics and Cell Therapy at Gilead Sciences, Inc., a biotechnology company, from January 2017 to March 2019. Prior to Gilead, Dr. Riva served as the Executive Vice President and Global Head, Oncology Development and Medical Affairs at Novartis AG, a position he held from January 2005 until December 2016. Dr. Riva received his M.D. from Università degli Studi di Milano.</w:t>
      </w:r>
    </w:p>
    <w:p>
      <w:pPr>
        <w:spacing w:after="0" w:line="281" w:lineRule="exact"/>
        <w:rPr>
          <w:sz w:val="20"/>
          <w:szCs w:val="20"/>
          <w:color w:val="auto"/>
        </w:rPr>
      </w:pPr>
    </w:p>
    <w:p>
      <w:pPr>
        <w:ind w:left="1220" w:right="1739"/>
        <w:spacing w:after="0" w:line="274" w:lineRule="auto"/>
        <w:rPr>
          <w:sz w:val="20"/>
          <w:szCs w:val="20"/>
          <w:color w:val="auto"/>
        </w:rPr>
      </w:pPr>
      <w:r>
        <w:rPr>
          <w:rFonts w:ascii="Arial" w:cs="Arial" w:eastAsia="Arial" w:hAnsi="Arial"/>
          <w:sz w:val="14"/>
          <w:szCs w:val="14"/>
          <w:color w:val="auto"/>
        </w:rPr>
        <w:t>We believe that Dr. Riva is qualified to serve on our board of directors due to his extensive management experience at biotechnology companies.</w:t>
      </w:r>
    </w:p>
    <w:p>
      <w:pPr>
        <w:spacing w:after="0" w:line="70"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b w:val="1"/>
          <w:bCs w:val="1"/>
          <w:i w:val="1"/>
          <w:iCs w:val="1"/>
          <w:color w:val="auto"/>
        </w:rPr>
        <w:t xml:space="preserve">Carlo Rizzuto,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Rizzuto served on the board of directors of Prior Century from March 2018 until June 2019. From April 2018 until August 2018, Dr. Rizzuto was President, Secretary and Treasurer of Prior Century. Dr. Rizzuto joined Versant Ventures in November 2012 where he has served in a variety of roles including operating principal, venture partner and partner. Dr. Rizzuto has served as Chief Executive Officer of Highline Therapeutics, a biotech incubator established by Versant Ventures, since March 2015. Dr. Rizzuto previously served as Chief Business Officer of Anokion SA, a biopharmaceutical company, from January 2014 to January 2017. Prior to joining Versant Ventures, Dr. Rizzuto worked at Novartis AG, where he was a global program team director from 2010 to 2012. Dr. Rizzuto has served on the Pandion Therapeutics, Inc. board of directors since January 2018. Dr. Rizzuto received a Ph.D. in virology from Harvard University and a B.A. in biology from the University of Virginia.</w:t>
      </w:r>
    </w:p>
    <w:p>
      <w:pPr>
        <w:spacing w:after="0" w:line="284" w:lineRule="exact"/>
        <w:rPr>
          <w:sz w:val="20"/>
          <w:szCs w:val="20"/>
          <w:color w:val="auto"/>
        </w:rPr>
      </w:pPr>
    </w:p>
    <w:p>
      <w:pPr>
        <w:ind w:left="1220" w:right="1459"/>
        <w:spacing w:after="0" w:line="274" w:lineRule="auto"/>
        <w:rPr>
          <w:sz w:val="20"/>
          <w:szCs w:val="20"/>
          <w:color w:val="auto"/>
        </w:rPr>
      </w:pPr>
      <w:r>
        <w:rPr>
          <w:rFonts w:ascii="Arial" w:cs="Arial" w:eastAsia="Arial" w:hAnsi="Arial"/>
          <w:sz w:val="14"/>
          <w:szCs w:val="14"/>
          <w:color w:val="auto"/>
        </w:rPr>
        <w:t>We believe that Dr. Rizzuto is qualified to serve on our board of directors due to his knowledge and experience as an investor in the life sciences industry.</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Family relationships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There are no family relationships among our directors and executive officers.</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122"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Our board of directors is currently composed of nine members and following the resignation of Toshikazu Ban and Juergen Eckhardt upon the effectiveness of the Registration Statement of which this prospectus forms a part, will consist of seven members. Eight of our directors are independent within the meaning of the independent director guidelines of Nasdaq. Pursuant to our certificate of incorporation as in effect immediately prior to this offering and voting agreement, Mr. Ban and Dr. Rizzuto were designated by the holders of our Series A preferred</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8" w:name="page169"/>
    <w:bookmarkEnd w:id="16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stock; Dr. Eckhardt was designated by holders of our Series B preferred stock; Mr. Casdin was designated by the holders of our Series C preferred stock; and Dr. Flores was designated by the holders of our common stock, voting as a separate class. Mr. Jimenez, Ms. Butitta, Dr. Blackwell, and Dr. Riva were appointed as independent directors by our board of directors, and Mr. Jimenez was appointed as Chairman of our board of directors.</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125"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In accordance with our second amended and restated certificate of incorporation, which will become effective at the closing of this offering, our directors will be divided into three classes serving staggered three-year terms.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current directors will be divided among the three classes as follows:</w:t>
      </w:r>
    </w:p>
    <w:p>
      <w:pPr>
        <w:spacing w:after="0" w:line="259" w:lineRule="exact"/>
        <w:rPr>
          <w:sz w:val="20"/>
          <w:szCs w:val="20"/>
          <w:color w:val="auto"/>
        </w:rPr>
      </w:pPr>
    </w:p>
    <w:p>
      <w:pPr>
        <w:jc w:val="both"/>
        <w:ind w:left="1340" w:right="1619" w:hanging="116"/>
        <w:spacing w:after="0" w:line="290" w:lineRule="auto"/>
        <w:tabs>
          <w:tab w:leader="none" w:pos="1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Class I directors will be Carlo Rizzuto, Eli Casdin, and Lalo Flores, and their terms will expire at the first annual meeting of stockholders held following the closing of this offering;</w:t>
      </w:r>
    </w:p>
    <w:p>
      <w:pPr>
        <w:spacing w:after="0" w:line="64" w:lineRule="exact"/>
        <w:rPr>
          <w:rFonts w:ascii="Arial" w:cs="Arial" w:eastAsia="Arial" w:hAnsi="Arial"/>
          <w:sz w:val="14"/>
          <w:szCs w:val="14"/>
          <w:color w:val="auto"/>
        </w:rPr>
      </w:pPr>
    </w:p>
    <w:p>
      <w:pPr>
        <w:ind w:left="1340" w:right="1359" w:hanging="116"/>
        <w:spacing w:after="0" w:line="290" w:lineRule="auto"/>
        <w:tabs>
          <w:tab w:leader="none" w:pos="1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Class II directors will be Cynthia Butitta and Alessandro Riva, and their terms will expire at the second annual meeting of stockholders held following the closing of this offering; and</w:t>
      </w:r>
    </w:p>
    <w:p>
      <w:pPr>
        <w:spacing w:after="0" w:line="64" w:lineRule="exact"/>
        <w:rPr>
          <w:rFonts w:ascii="Arial" w:cs="Arial" w:eastAsia="Arial" w:hAnsi="Arial"/>
          <w:sz w:val="14"/>
          <w:szCs w:val="14"/>
          <w:color w:val="auto"/>
        </w:rPr>
      </w:pPr>
    </w:p>
    <w:p>
      <w:pPr>
        <w:ind w:left="1340" w:right="1579" w:hanging="116"/>
        <w:spacing w:after="0" w:line="290" w:lineRule="auto"/>
        <w:tabs>
          <w:tab w:leader="none" w:pos="1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Class III directors will be Joseph Jimenez and Kimberly Blackwell, and their terms will expire at the third annual meeting of stockholders held following the closing of this offering.</w:t>
      </w:r>
    </w:p>
    <w:p>
      <w:pPr>
        <w:spacing w:after="0" w:line="8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Each director’s term continues until the election and qualification of his or her successor, or his or her earlier death, resignation, or removal. Our second amended and restated certificate of incorporation and our amended and restated bylaws, which will become effective immediately prior to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The classification of our board of directors may have the effect of delaying or preventing a change in control or management. See “Description of capital stock—Anti-Takeover Provisions of Delaware Law and our Charter Documents” for a discussion of other anti-takeover provisions that will be included in our second amended and restated certificate of incorporation.</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Board leadership structure</w:t>
      </w:r>
    </w:p>
    <w:p>
      <w:pPr>
        <w:spacing w:after="0" w:line="13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Our board of directors does not have a formal policy with respect to the separation of the offices of Chief Executive Officer and Chairman of the board of directors.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of directors. Our board of directors believes that the separation of the positions of Chief Executive Officer and Chairman of the board of directors reinforces the independence of the board of directors from management, creates an environment that encourages objective oversight of management’s performance and enhances the effectiveness of our board of directors as a whole.</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Role of board in risk oversight</w:t>
      </w:r>
    </w:p>
    <w:p>
      <w:pPr>
        <w:spacing w:after="0" w:line="144"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9" w:name="page170"/>
    <w:bookmarkEnd w:id="16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While our board of directors is responsible for monitoring strategic risk exposure, our audit committee oversees management of financial reporting, compliance and litigation risks, as well as the steps management has taken to monitor and control such exposures. Our nominating and corporate governance committee manages risks associated with the independence of our board of directors, potential conflicts of interest and the effectiveness of our board of directors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Director independence</w:t>
      </w:r>
    </w:p>
    <w:p>
      <w:pPr>
        <w:spacing w:after="0" w:line="122"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connection with this offering, we have applied to list our common stock on the Nasdaq Global Select Market. Under the Nasdaq listing rules, or the Listing Rules, independent directors must comprise a majority of a listed company’s board of directors within a specified period following the closing of this offering. In addition, the Listing Rules require that, subject to specified exceptions, each member of a listed company’s audit, compensation, and nominating and governance committees be independent. Under the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83"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fees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279"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Additionally, compensation committee members must not have a relationship with us that is material to the director’s ability to be independent from management in connection with the duties of a compensation committee member. We intend to satisfy the compensation committee independence requirements of Rule 10A-3 as of the closing of this offering.</w:t>
      </w:r>
    </w:p>
    <w:p>
      <w:pPr>
        <w:spacing w:after="0" w:line="95"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Our board of directors has undertaken a review of the independence of each director and determined that all of our directors, other than Dr. Flores, qualify as “independent” directors in accordance with the Listing Rules. Dr. Flores is not considered independent by virtue of his position as our President and Chief Executive Officer. 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Board committees</w:t>
      </w:r>
    </w:p>
    <w:p>
      <w:pPr>
        <w:spacing w:after="0" w:line="13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each of which will have the composition and responsibilities described below as of upon effectiveness of the Registration Statement of which this prospectus forms a part. Our board of directors may establish other committees to facilitate the management of our business. Members will serve on these committees until their resignation or until otherwise determined by our board of directors. Each committee intends to adopt a written charter that satisfies the applicable rules and regulations of the SEC and Listing Rules, which we will post on our website at www.centurytx.com prior to the closing of this offering.</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36"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Our audit committee will consist of Kimberly Blackwell, Cynthia Butitta, and Alessandro Riva. Our board of directors has determined that each of Kimberly Blackwell, Cynthia Butitta, and Alessandro Riva is independent</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0" w:name="page171"/>
    <w:bookmarkEnd w:id="17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under the Listing Rules and Rule 10A-3(b)(1) of the Exchange Act. The chair of our audit committee will be Cynthia Butitta. Our board of directors has determined that each member of the audit committee can read and understand fundamental consolidated financial statements and that Cynthia Butitta is an “audit committee financial expert” as such term is currently defined in</w:t>
      </w:r>
    </w:p>
    <w:p>
      <w:pPr>
        <w:spacing w:after="0" w:line="1" w:lineRule="exact"/>
        <w:rPr>
          <w:sz w:val="20"/>
          <w:szCs w:val="20"/>
          <w:color w:val="auto"/>
        </w:rPr>
      </w:pPr>
    </w:p>
    <w:p>
      <w:pPr>
        <w:ind w:left="1220" w:right="1719"/>
        <w:spacing w:after="0" w:line="257" w:lineRule="auto"/>
        <w:rPr>
          <w:sz w:val="20"/>
          <w:szCs w:val="20"/>
          <w:color w:val="auto"/>
        </w:rPr>
      </w:pPr>
      <w:r>
        <w:rPr>
          <w:rFonts w:ascii="Arial" w:cs="Arial" w:eastAsia="Arial" w:hAnsi="Arial"/>
          <w:sz w:val="14"/>
          <w:szCs w:val="14"/>
          <w:color w:val="auto"/>
        </w:rPr>
        <w:t>Item 407(d)(5) of Regulation S-K. Our audit committee will be responsible for, among other things:</w:t>
      </w:r>
    </w:p>
    <w:p>
      <w:pPr>
        <w:spacing w:after="0" w:line="270" w:lineRule="exact"/>
        <w:rPr>
          <w:sz w:val="20"/>
          <w:szCs w:val="20"/>
          <w:color w:val="auto"/>
        </w:rPr>
      </w:pPr>
    </w:p>
    <w:p>
      <w:pPr>
        <w:ind w:left="1340" w:right="1579" w:hanging="116"/>
        <w:spacing w:after="0" w:line="290" w:lineRule="auto"/>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appointing, evaluating, and overseeing a firm to serve as the independent registered public accounting firm to audit our consolidated financial statements;</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ensuring the independence of the independent registered public accounting firm;</w:t>
      </w:r>
    </w:p>
    <w:p>
      <w:pPr>
        <w:spacing w:after="0" w:line="108" w:lineRule="exact"/>
        <w:rPr>
          <w:rFonts w:ascii="Arial" w:cs="Arial" w:eastAsia="Arial" w:hAnsi="Arial"/>
          <w:sz w:val="14"/>
          <w:szCs w:val="14"/>
          <w:color w:val="auto"/>
        </w:rPr>
      </w:pPr>
    </w:p>
    <w:p>
      <w:pPr>
        <w:jc w:val="both"/>
        <w:ind w:left="1340" w:right="1319" w:hanging="116"/>
        <w:spacing w:after="0" w:line="290" w:lineRule="auto"/>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and internal audit function;</w:t>
      </w:r>
    </w:p>
    <w:p>
      <w:pPr>
        <w:spacing w:after="0" w:line="108"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monitoring and reviewing legal, regulatory, and administrative compliance to the extent affecting our financial results;</w:t>
      </w:r>
    </w:p>
    <w:p>
      <w:pPr>
        <w:spacing w:after="0" w:line="64" w:lineRule="exact"/>
        <w:rPr>
          <w:rFonts w:ascii="Arial" w:cs="Arial" w:eastAsia="Arial" w:hAnsi="Arial"/>
          <w:sz w:val="14"/>
          <w:szCs w:val="14"/>
          <w:color w:val="auto"/>
        </w:rPr>
      </w:pPr>
    </w:p>
    <w:p>
      <w:pPr>
        <w:ind w:left="1340" w:right="1759" w:hanging="116"/>
        <w:spacing w:after="0" w:line="290" w:lineRule="auto"/>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proposed waivers of the code of business conduct and ethics for directors and executive officers;</w:t>
      </w:r>
    </w:p>
    <w:p>
      <w:pPr>
        <w:spacing w:after="0" w:line="64" w:lineRule="exact"/>
        <w:rPr>
          <w:rFonts w:ascii="Arial" w:cs="Arial" w:eastAsia="Arial" w:hAnsi="Arial"/>
          <w:sz w:val="14"/>
          <w:szCs w:val="14"/>
          <w:color w:val="auto"/>
        </w:rPr>
      </w:pPr>
    </w:p>
    <w:p>
      <w:pPr>
        <w:ind w:left="1340" w:right="1239" w:hanging="116"/>
        <w:spacing w:after="0" w:line="290" w:lineRule="auto"/>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and recommending and changes or amendments to the code of business and conduct and ethics;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reviewing material related party transactions or those that require disclosure;</w:t>
      </w:r>
    </w:p>
    <w:p>
      <w:pPr>
        <w:spacing w:after="0" w:line="141" w:lineRule="exact"/>
        <w:rPr>
          <w:sz w:val="20"/>
          <w:szCs w:val="20"/>
          <w:color w:val="auto"/>
        </w:rPr>
      </w:pPr>
    </w:p>
    <w:p>
      <w:pPr>
        <w:ind w:left="1220" w:right="1239"/>
        <w:spacing w:after="0" w:line="290" w:lineRule="auto"/>
        <w:rPr>
          <w:sz w:val="20"/>
          <w:szCs w:val="20"/>
          <w:color w:val="auto"/>
        </w:rPr>
      </w:pPr>
      <w:r>
        <w:rPr>
          <w:rFonts w:ascii="Arial" w:cs="Arial" w:eastAsia="Arial" w:hAnsi="Arial"/>
          <w:sz w:val="14"/>
          <w:szCs w:val="14"/>
          <w:color w:val="auto"/>
        </w:rPr>
        <w:t>•determining and reviewing risk assessment guidelines and policies, including cybersecurity risks, financial risk exposure, and internal controls regarding information security; and</w:t>
      </w:r>
    </w:p>
    <w:p>
      <w:pPr>
        <w:spacing w:after="0" w:line="64" w:lineRule="exact"/>
        <w:rPr>
          <w:sz w:val="20"/>
          <w:szCs w:val="20"/>
          <w:color w:val="auto"/>
        </w:rPr>
      </w:pPr>
    </w:p>
    <w:p>
      <w:pPr>
        <w:ind w:left="1340" w:right="1459" w:hanging="116"/>
        <w:spacing w:after="0" w:line="290" w:lineRule="auto"/>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3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Our compensation committee will consist of Cynthia Butitta, Eli Casdin, Joseph Jimenez, and Carlo Rizzuto. Our board of directors has determined that each member of this committee is a non-employee director, as defined by Rule 16b-3 promulgated under the Exchange Act and meets the requirements for independence under the Listing Rules. The chair of our compensation committee will be Carlo Rizzuto. The compensation committee will be responsible for, among other things:</w:t>
      </w:r>
    </w:p>
    <w:p>
      <w:pPr>
        <w:spacing w:after="0" w:line="254" w:lineRule="exact"/>
        <w:rPr>
          <w:sz w:val="20"/>
          <w:szCs w:val="20"/>
          <w:color w:val="auto"/>
        </w:rPr>
      </w:pPr>
    </w:p>
    <w:p>
      <w:pPr>
        <w:ind w:left="1340" w:right="1259" w:hanging="116"/>
        <w:spacing w:after="0" w:line="290" w:lineRule="auto"/>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and approving the compensation of our executive officers and recommending that our board of directors approve the compensation of our Chief Executive Officer;</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directors;</w:t>
      </w:r>
    </w:p>
    <w:p>
      <w:pPr>
        <w:spacing w:after="0" w:line="108" w:lineRule="exact"/>
        <w:rPr>
          <w:rFonts w:ascii="Arial" w:cs="Arial" w:eastAsia="Arial" w:hAnsi="Arial"/>
          <w:sz w:val="14"/>
          <w:szCs w:val="14"/>
          <w:color w:val="auto"/>
        </w:rPr>
      </w:pPr>
    </w:p>
    <w:p>
      <w:pPr>
        <w:ind w:left="1340" w:right="1719" w:hanging="116"/>
        <w:spacing w:after="0" w:line="290" w:lineRule="auto"/>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 and overseeing regulatory compliance related to such plans;</w:t>
      </w:r>
    </w:p>
    <w:p>
      <w:pPr>
        <w:spacing w:after="0" w:line="64"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 and</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our overall compensation philosophy.</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46" w:lineRule="exact"/>
        <w:rPr>
          <w:sz w:val="20"/>
          <w:szCs w:val="20"/>
          <w:color w:val="auto"/>
        </w:rPr>
      </w:pPr>
    </w:p>
    <w:p>
      <w:pPr>
        <w:ind w:left="1220" w:right="1359"/>
        <w:spacing w:after="0" w:line="276" w:lineRule="auto"/>
        <w:rPr>
          <w:sz w:val="20"/>
          <w:szCs w:val="20"/>
          <w:color w:val="auto"/>
        </w:rPr>
      </w:pPr>
      <w:r>
        <w:rPr>
          <w:rFonts w:ascii="Arial" w:cs="Arial" w:eastAsia="Arial" w:hAnsi="Arial"/>
          <w:sz w:val="14"/>
          <w:szCs w:val="14"/>
          <w:color w:val="auto"/>
        </w:rPr>
        <w:t>Our nominating and corporate governance committee will consist of Kimberly Blackwell, Eli Casdin, Joseph Jimenez, and Carlo Rizzuto. Our board of directors has determined that each member of the nominating and corporate governance committee meets the requirements for independence under the Listing Rules. The chair of our nominating and corporate governance committee will be Joseph Jimenez. The nominating and corporate governance committee will be responsible for, among other things: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1" w:name="page172"/>
    <w:bookmarkEnd w:id="17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developing and recommending selection criteria for new directors for our board of directors;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108" w:lineRule="exact"/>
        <w:rPr>
          <w:rFonts w:ascii="Arial" w:cs="Arial" w:eastAsia="Arial" w:hAnsi="Arial"/>
          <w:sz w:val="14"/>
          <w:szCs w:val="14"/>
          <w:color w:val="auto"/>
        </w:rPr>
      </w:pPr>
    </w:p>
    <w:p>
      <w:pPr>
        <w:ind w:left="1340" w:right="1379" w:hanging="116"/>
        <w:spacing w:after="0" w:line="290" w:lineRule="auto"/>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reviewing and determining board director independence annually and, as needed, as potential conflicts of interest arise;</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reviewing and recommending our corporate governance guidelines and policies;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 and</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assisting our board of directors on corporate governance matters.</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33" w:lineRule="exact"/>
        <w:rPr>
          <w:sz w:val="20"/>
          <w:szCs w:val="20"/>
          <w:color w:val="auto"/>
        </w:rPr>
      </w:pPr>
    </w:p>
    <w:p>
      <w:pPr>
        <w:ind w:left="1220" w:right="1239"/>
        <w:spacing w:after="0" w:line="262" w:lineRule="auto"/>
        <w:rPr>
          <w:sz w:val="20"/>
          <w:szCs w:val="20"/>
          <w:color w:val="auto"/>
        </w:rPr>
      </w:pPr>
      <w:r>
        <w:rPr>
          <w:rFonts w:ascii="Arial" w:cs="Arial" w:eastAsia="Arial" w:hAnsi="Arial"/>
          <w:sz w:val="14"/>
          <w:szCs w:val="14"/>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Non-employee director compensation</w:t>
      </w:r>
    </w:p>
    <w:p>
      <w:pPr>
        <w:spacing w:after="0" w:line="133"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color w:val="auto"/>
        </w:rPr>
        <w:t>Prior to 2021, we did not regularly provide compensation to our non-employee directors and, as shown in the table below, did not provide any compensation to our non-employee directors in 2020. Dr. Flores, our President and Chief Executive Officer, does not receive additional compensation for his services as a director. We do reimburse our non-employee directors for reasonable travel and out-of-pocket expenses incurred in connection with attending board of directors and committee meetings.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2020 director compensation table</w:t>
      </w:r>
    </w:p>
    <w:p>
      <w:pPr>
        <w:spacing w:after="0" w:line="125" w:lineRule="exact"/>
        <w:rPr>
          <w:sz w:val="20"/>
          <w:szCs w:val="20"/>
          <w:color w:val="auto"/>
        </w:rPr>
      </w:pPr>
    </w:p>
    <w:p>
      <w:pPr>
        <w:ind w:left="1220" w:right="1419"/>
        <w:spacing w:after="0" w:line="274" w:lineRule="auto"/>
        <w:rPr>
          <w:sz w:val="20"/>
          <w:szCs w:val="20"/>
          <w:color w:val="auto"/>
        </w:rPr>
      </w:pPr>
      <w:r>
        <w:rPr>
          <w:rFonts w:ascii="Arial" w:cs="Arial" w:eastAsia="Arial" w:hAnsi="Arial"/>
          <w:sz w:val="14"/>
          <w:szCs w:val="14"/>
          <w:color w:val="auto"/>
        </w:rPr>
        <w:t>The following table sets forth information regarding the compensation earned for service on our board of directors during the year ended December 31, 2020.</w:t>
      </w:r>
    </w:p>
    <w:p>
      <w:pPr>
        <w:spacing w:after="0" w:line="120"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Fees earned</w:t>
            </w:r>
          </w:p>
        </w:tc>
        <w:tc>
          <w:tcPr>
            <w:tcW w:w="6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tcPr>
          <w:p>
            <w:pPr>
              <w:jc w:val="right"/>
              <w:ind w:right="50"/>
              <w:spacing w:after="0"/>
              <w:rPr>
                <w:sz w:val="20"/>
                <w:szCs w:val="20"/>
                <w:color w:val="auto"/>
              </w:rPr>
            </w:pPr>
            <w:r>
              <w:rPr>
                <w:rFonts w:ascii="Arial" w:cs="Arial" w:eastAsia="Arial" w:hAnsi="Arial"/>
                <w:sz w:val="13"/>
                <w:szCs w:val="13"/>
                <w:b w:val="1"/>
                <w:bCs w:val="1"/>
                <w:color w:val="auto"/>
              </w:rPr>
              <w:t>or paid in</w:t>
            </w:r>
          </w:p>
        </w:tc>
        <w:tc>
          <w:tcPr>
            <w:tcW w:w="680" w:type="dxa"/>
            <w:vAlign w:val="bottom"/>
          </w:tcPr>
          <w:p>
            <w:pPr>
              <w:jc w:val="right"/>
              <w:ind w:right="70"/>
              <w:spacing w:after="0"/>
              <w:rPr>
                <w:sz w:val="20"/>
                <w:szCs w:val="20"/>
                <w:color w:val="auto"/>
              </w:rPr>
            </w:pPr>
            <w:r>
              <w:rPr>
                <w:rFonts w:ascii="Arial" w:cs="Arial" w:eastAsia="Arial" w:hAnsi="Arial"/>
                <w:sz w:val="13"/>
                <w:szCs w:val="13"/>
                <w:b w:val="1"/>
                <w:bCs w:val="1"/>
                <w:color w:val="auto"/>
              </w:rPr>
              <w:t>Option</w:t>
            </w:r>
          </w:p>
        </w:tc>
        <w:tc>
          <w:tcPr>
            <w:tcW w:w="1100" w:type="dxa"/>
            <w:vAlign w:val="bottom"/>
          </w:tcPr>
          <w:p>
            <w:pPr>
              <w:jc w:val="right"/>
              <w:ind w:right="50"/>
              <w:spacing w:after="0"/>
              <w:rPr>
                <w:sz w:val="20"/>
                <w:szCs w:val="20"/>
                <w:color w:val="auto"/>
              </w:rPr>
            </w:pPr>
            <w:r>
              <w:rPr>
                <w:rFonts w:ascii="Arial" w:cs="Arial" w:eastAsia="Arial" w:hAnsi="Arial"/>
                <w:sz w:val="13"/>
                <w:szCs w:val="13"/>
                <w:b w:val="1"/>
                <w:bCs w:val="1"/>
                <w:color w:val="auto"/>
              </w:rPr>
              <w:t>All other</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tcPr>
          <w:p>
            <w:pPr>
              <w:jc w:val="right"/>
              <w:ind w:right="50"/>
              <w:spacing w:after="0"/>
              <w:rPr>
                <w:sz w:val="20"/>
                <w:szCs w:val="20"/>
                <w:color w:val="auto"/>
              </w:rPr>
            </w:pPr>
            <w:r>
              <w:rPr>
                <w:rFonts w:ascii="Arial" w:cs="Arial" w:eastAsia="Arial" w:hAnsi="Arial"/>
                <w:sz w:val="13"/>
                <w:szCs w:val="13"/>
                <w:b w:val="1"/>
                <w:bCs w:val="1"/>
                <w:color w:val="auto"/>
              </w:rPr>
              <w:t>cash</w:t>
            </w:r>
          </w:p>
        </w:tc>
        <w:tc>
          <w:tcPr>
            <w:tcW w:w="680" w:type="dxa"/>
            <w:vAlign w:val="bottom"/>
          </w:tcPr>
          <w:p>
            <w:pPr>
              <w:jc w:val="right"/>
              <w:ind w:right="70"/>
              <w:spacing w:after="0"/>
              <w:rPr>
                <w:sz w:val="20"/>
                <w:szCs w:val="20"/>
                <w:color w:val="auto"/>
              </w:rPr>
            </w:pPr>
            <w:r>
              <w:rPr>
                <w:rFonts w:ascii="Arial" w:cs="Arial" w:eastAsia="Arial" w:hAnsi="Arial"/>
                <w:sz w:val="13"/>
                <w:szCs w:val="13"/>
                <w:b w:val="1"/>
                <w:bCs w:val="1"/>
                <w:color w:val="auto"/>
              </w:rPr>
              <w:t>awards</w:t>
            </w:r>
          </w:p>
        </w:tc>
        <w:tc>
          <w:tcPr>
            <w:tcW w:w="1100" w:type="dxa"/>
            <w:vAlign w:val="bottom"/>
          </w:tcPr>
          <w:p>
            <w:pPr>
              <w:jc w:val="right"/>
              <w:ind w:right="50"/>
              <w:spacing w:after="0"/>
              <w:rPr>
                <w:sz w:val="20"/>
                <w:szCs w:val="20"/>
                <w:color w:val="auto"/>
              </w:rPr>
            </w:pPr>
            <w:r>
              <w:rPr>
                <w:rFonts w:ascii="Arial" w:cs="Arial" w:eastAsia="Arial" w:hAnsi="Arial"/>
                <w:sz w:val="13"/>
                <w:szCs w:val="13"/>
                <w:b w:val="1"/>
                <w:bCs w:val="1"/>
                <w:color w:val="auto"/>
              </w:rPr>
              <w:t>compensation</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720" w:type="dxa"/>
            <w:vAlign w:val="bottom"/>
          </w:tcPr>
          <w:p>
            <w:pPr>
              <w:jc w:val="right"/>
              <w:ind w:right="1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1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line="216" w:lineRule="exact"/>
              <w:rPr>
                <w:sz w:val="20"/>
                <w:szCs w:val="20"/>
                <w:color w:val="auto"/>
              </w:rPr>
            </w:pPr>
            <w:r>
              <w:rPr>
                <w:rFonts w:ascii="Arial" w:cs="Arial" w:eastAsia="Arial" w:hAnsi="Arial"/>
                <w:sz w:val="14"/>
                <w:szCs w:val="14"/>
                <w:color w:val="auto"/>
              </w:rPr>
              <w:t>Kimberly Blackwell, M.D.</w:t>
            </w:r>
            <w:r>
              <w:rPr>
                <w:rFonts w:ascii="Arial" w:cs="Arial" w:eastAsia="Arial" w:hAnsi="Arial"/>
                <w:sz w:val="21"/>
                <w:szCs w:val="21"/>
                <w:color w:val="auto"/>
                <w:vertAlign w:val="superscript"/>
              </w:rPr>
              <w:t>(2)</w:t>
            </w:r>
          </w:p>
        </w:tc>
        <w:tc>
          <w:tcPr>
            <w:tcW w:w="1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Cynthia Butitta</w:t>
            </w:r>
            <w:r>
              <w:rPr>
                <w:rFonts w:ascii="Arial" w:cs="Arial" w:eastAsia="Arial" w:hAnsi="Arial"/>
                <w:sz w:val="21"/>
                <w:szCs w:val="21"/>
                <w:color w:val="auto"/>
                <w:vertAlign w:val="superscript"/>
              </w:rPr>
              <w:t>(1)</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line="216"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(1)</w:t>
            </w:r>
          </w:p>
        </w:tc>
        <w:tc>
          <w:tcPr>
            <w:tcW w:w="1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Juergen Eckhardt, M.D</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20" w:type="dxa"/>
            <w:vAlign w:val="bottom"/>
            <w:gridSpan w:val="2"/>
          </w:tcPr>
          <w:p>
            <w:pPr>
              <w:spacing w:after="0"/>
              <w:rPr>
                <w:sz w:val="20"/>
                <w:szCs w:val="20"/>
                <w:color w:val="auto"/>
              </w:rPr>
            </w:pPr>
            <w:r>
              <w:rPr>
                <w:rFonts w:ascii="Arial" w:cs="Arial" w:eastAsia="Arial" w:hAnsi="Arial"/>
                <w:sz w:val="14"/>
                <w:szCs w:val="14"/>
                <w:color w:val="auto"/>
              </w:rPr>
              <w:t>Joseph Jimenez</w:t>
            </w:r>
          </w:p>
        </w:tc>
        <w:tc>
          <w:tcPr>
            <w:tcW w:w="1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Alessandro Riva, M.D.</w:t>
            </w:r>
            <w:r>
              <w:rPr>
                <w:rFonts w:ascii="Arial" w:cs="Arial" w:eastAsia="Arial" w:hAnsi="Arial"/>
                <w:sz w:val="21"/>
                <w:szCs w:val="21"/>
                <w:color w:val="auto"/>
                <w:vertAlign w:val="superscript"/>
              </w:rPr>
              <w:t>(2)</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2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1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21590</wp:posOffset>
            </wp:positionV>
            <wp:extent cx="4165600"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78" w:lineRule="exact"/>
        <w:rPr>
          <w:sz w:val="20"/>
          <w:szCs w:val="20"/>
          <w:color w:val="auto"/>
        </w:rPr>
      </w:pPr>
    </w:p>
    <w:p>
      <w:pPr>
        <w:ind w:left="1460" w:hanging="236"/>
        <w:spacing w:after="0"/>
        <w:tabs>
          <w:tab w:leader="none" w:pos="1460" w:val="left"/>
        </w:tabs>
        <w:numPr>
          <w:ilvl w:val="0"/>
          <w:numId w:val="89"/>
        </w:numPr>
        <w:rPr>
          <w:rFonts w:ascii="Arial" w:cs="Arial" w:eastAsia="Arial" w:hAnsi="Arial"/>
          <w:sz w:val="11"/>
          <w:szCs w:val="11"/>
          <w:color w:val="auto"/>
        </w:rPr>
      </w:pPr>
      <w:r>
        <w:rPr>
          <w:rFonts w:ascii="Arial" w:cs="Arial" w:eastAsia="Arial" w:hAnsi="Arial"/>
          <w:sz w:val="11"/>
          <w:szCs w:val="11"/>
          <w:color w:val="auto"/>
        </w:rPr>
        <w:t>Cynthia Butitta and Eli Casdin joined our board of directors in February 2021.</w:t>
      </w:r>
    </w:p>
    <w:p>
      <w:pPr>
        <w:spacing w:after="0" w:line="67" w:lineRule="exact"/>
        <w:rPr>
          <w:rFonts w:ascii="Arial" w:cs="Arial" w:eastAsia="Arial" w:hAnsi="Arial"/>
          <w:sz w:val="11"/>
          <w:szCs w:val="11"/>
          <w:color w:val="auto"/>
        </w:rPr>
      </w:pPr>
    </w:p>
    <w:p>
      <w:pPr>
        <w:ind w:left="1460" w:hanging="236"/>
        <w:spacing w:after="0"/>
        <w:tabs>
          <w:tab w:leader="none" w:pos="1460" w:val="left"/>
        </w:tabs>
        <w:numPr>
          <w:ilvl w:val="0"/>
          <w:numId w:val="89"/>
        </w:numPr>
        <w:rPr>
          <w:rFonts w:ascii="Arial" w:cs="Arial" w:eastAsia="Arial" w:hAnsi="Arial"/>
          <w:sz w:val="11"/>
          <w:szCs w:val="11"/>
          <w:color w:val="auto"/>
        </w:rPr>
      </w:pPr>
      <w:r>
        <w:rPr>
          <w:rFonts w:ascii="Arial" w:cs="Arial" w:eastAsia="Arial" w:hAnsi="Arial"/>
          <w:sz w:val="11"/>
          <w:szCs w:val="11"/>
          <w:color w:val="auto"/>
        </w:rPr>
        <w:t>Kimberly Blackwell and Alessandro Riva joined our board of directors in May 2021.</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2021 Director letter agreements</w:t>
      </w:r>
    </w:p>
    <w:p>
      <w:pPr>
        <w:spacing w:after="0" w:line="122"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In February 2021, in connection with our Series C Financing, we entered into letter agreements with Ms. Butitta and Mr. Jimenez regarding their service as members of our board of directors and their compensation for that service. These letters each contemplate one-time stock option awards and annual cash retainers. The letter agreements provide for the issuance of stock options to purchase 375,465 and 683,601 shares of our common stock to Ms. Butitta and Mr. Jimenez, respectively. In each case, the exercise price of these options is equal to the fair market value per share of common stock on the grant date, as determined by our board of directors. Each</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2" w:name="page173"/>
    <w:bookmarkEnd w:id="17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79"/>
        <w:spacing w:after="0" w:line="295" w:lineRule="auto"/>
        <w:rPr>
          <w:sz w:val="20"/>
          <w:szCs w:val="20"/>
          <w:color w:val="auto"/>
        </w:rPr>
      </w:pPr>
      <w:r>
        <w:rPr>
          <w:rFonts w:ascii="Arial" w:cs="Arial" w:eastAsia="Arial" w:hAnsi="Arial"/>
          <w:sz w:val="14"/>
          <w:szCs w:val="14"/>
          <w:color w:val="auto"/>
        </w:rPr>
        <w:t>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93" w:lineRule="exact"/>
        <w:rPr>
          <w:sz w:val="20"/>
          <w:szCs w:val="20"/>
          <w:color w:val="auto"/>
        </w:rPr>
      </w:pPr>
    </w:p>
    <w:p>
      <w:pPr>
        <w:ind w:left="1220" w:right="1239"/>
        <w:spacing w:after="0" w:line="297" w:lineRule="auto"/>
        <w:rPr>
          <w:sz w:val="20"/>
          <w:szCs w:val="20"/>
          <w:color w:val="auto"/>
        </w:rPr>
      </w:pPr>
      <w:r>
        <w:rPr>
          <w:rFonts w:ascii="Arial" w:cs="Arial" w:eastAsia="Arial" w:hAnsi="Arial"/>
          <w:sz w:val="14"/>
          <w:szCs w:val="14"/>
          <w:color w:val="auto"/>
        </w:rPr>
        <w:t>The letter agreements also provide that we will pay annual cash retainers of $25,000 and $50,000 to Ms. Butitta and Mr. Jimenez, respectively. These annual retainers will be paid in quarterly installments. Following the completion of this offering, these annual cash retainers will be superseded by the compensation payable under the Non-Employee Director Compensation Policy described below.</w:t>
      </w:r>
    </w:p>
    <w:p>
      <w:pPr>
        <w:spacing w:after="0" w:line="293" w:lineRule="exact"/>
        <w:rPr>
          <w:sz w:val="20"/>
          <w:szCs w:val="20"/>
          <w:color w:val="auto"/>
        </w:rPr>
      </w:pPr>
    </w:p>
    <w:p>
      <w:pPr>
        <w:ind w:left="1220" w:right="1259"/>
        <w:spacing w:after="0" w:line="292" w:lineRule="auto"/>
        <w:rPr>
          <w:sz w:val="20"/>
          <w:szCs w:val="20"/>
          <w:color w:val="auto"/>
        </w:rPr>
      </w:pPr>
      <w:r>
        <w:rPr>
          <w:rFonts w:ascii="Arial" w:cs="Arial" w:eastAsia="Arial" w:hAnsi="Arial"/>
          <w:sz w:val="14"/>
          <w:szCs w:val="14"/>
          <w:color w:val="auto"/>
        </w:rPr>
        <w:t>In May 2021, we entered into letter agreements with Dr. Blackwell and Dr. Riva regarding their service as members of our board of directors and their compensation for that service. These letters contemplate one-time stock option awards and annual cash retainers. The letter agreements provide for the issuance of a stock option to purchase 250,310 shares of our common stock to each of Dr. Blackwell and Dr. Riva. The exercise price of these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200" w:lineRule="exact"/>
        <w:rPr>
          <w:sz w:val="20"/>
          <w:szCs w:val="20"/>
          <w:color w:val="auto"/>
        </w:rPr>
      </w:pPr>
    </w:p>
    <w:p>
      <w:pPr>
        <w:spacing w:after="0" w:line="292" w:lineRule="exact"/>
        <w:rPr>
          <w:sz w:val="20"/>
          <w:szCs w:val="20"/>
          <w:color w:val="auto"/>
        </w:rPr>
      </w:pPr>
    </w:p>
    <w:p>
      <w:pPr>
        <w:ind w:left="1220" w:right="1239"/>
        <w:spacing w:after="0" w:line="295" w:lineRule="auto"/>
        <w:rPr>
          <w:sz w:val="20"/>
          <w:szCs w:val="20"/>
          <w:color w:val="auto"/>
        </w:rPr>
      </w:pPr>
      <w:r>
        <w:rPr>
          <w:rFonts w:ascii="Arial" w:cs="Arial" w:eastAsia="Arial" w:hAnsi="Arial"/>
          <w:sz w:val="14"/>
          <w:szCs w:val="14"/>
          <w:color w:val="auto"/>
        </w:rPr>
        <w:t>The letter agreements also provide that we will pay an annual cash retainer of $25,000 to each of Dr. Blackwell and Dr. Riva. These annual retainers will be paid in quarterly installments. Following the completion of this offering, these annual cash retainers will be superseded by the compensation payable under the Non-Employee Director Compensation Policy described below.</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Non-employee director compensation policy</w:t>
      </w:r>
    </w:p>
    <w:p>
      <w:pPr>
        <w:spacing w:after="0" w:line="133" w:lineRule="exact"/>
        <w:rPr>
          <w:sz w:val="20"/>
          <w:szCs w:val="20"/>
          <w:color w:val="auto"/>
        </w:rPr>
      </w:pPr>
    </w:p>
    <w:p>
      <w:pPr>
        <w:ind w:left="1220" w:right="1459"/>
        <w:spacing w:after="0" w:line="297" w:lineRule="auto"/>
        <w:rPr>
          <w:sz w:val="20"/>
          <w:szCs w:val="20"/>
          <w:color w:val="auto"/>
        </w:rPr>
      </w:pPr>
      <w:r>
        <w:rPr>
          <w:rFonts w:ascii="Arial" w:cs="Arial" w:eastAsia="Arial" w:hAnsi="Arial"/>
          <w:sz w:val="14"/>
          <w:szCs w:val="14"/>
          <w:color w:val="auto"/>
        </w:rPr>
        <w:t>Our board of directors intends to adopt a non-employee director compensation policy, to be effective upon the effectiveness of the Registration Statement of which this prospectus forms a part. The below table depicts this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86995</wp:posOffset>
            </wp:positionV>
            <wp:extent cx="4165600"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45"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Compensation Elements: Non-Employee Director Compensation Policy</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w:t>
            </w:r>
          </w:p>
        </w:tc>
        <w:tc>
          <w:tcPr>
            <w:tcW w:w="3600" w:type="dxa"/>
            <w:vAlign w:val="bottom"/>
            <w:tcBorders>
              <w:top w:val="single" w:sz="8" w:color="auto"/>
            </w:tcBorders>
            <w:shd w:val="clear" w:color="auto" w:fill="CCEEFF"/>
          </w:tcPr>
          <w:p>
            <w:pPr>
              <w:spacing w:after="0"/>
              <w:rPr>
                <w:sz w:val="16"/>
                <w:szCs w:val="16"/>
                <w:color w:val="auto"/>
              </w:rPr>
            </w:pP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Member Annual Retainer</w:t>
            </w:r>
          </w:p>
        </w:tc>
        <w:tc>
          <w:tcPr>
            <w:tcW w:w="3600" w:type="dxa"/>
            <w:vAlign w:val="bottom"/>
          </w:tcPr>
          <w:p>
            <w:pPr>
              <w:ind w:left="1020"/>
              <w:spacing w:after="0"/>
              <w:rPr>
                <w:sz w:val="20"/>
                <w:szCs w:val="20"/>
                <w:color w:val="auto"/>
              </w:rPr>
            </w:pPr>
            <w:r>
              <w:rPr>
                <w:rFonts w:ascii="Arial" w:cs="Arial" w:eastAsia="Arial" w:hAnsi="Arial"/>
                <w:sz w:val="14"/>
                <w:szCs w:val="14"/>
                <w:color w:val="auto"/>
              </w:rPr>
              <w:t>$ 35,000</w:t>
            </w:r>
          </w:p>
        </w:tc>
        <w:tc>
          <w:tcPr>
            <w:tcW w:w="1000" w:type="dxa"/>
            <w:vAlign w:val="bottom"/>
          </w:tcPr>
          <w:p>
            <w:pPr>
              <w:spacing w:after="0"/>
              <w:rPr>
                <w:sz w:val="14"/>
                <w:szCs w:val="14"/>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Chairperson Annual Retainer</w:t>
            </w:r>
          </w:p>
        </w:tc>
        <w:tc>
          <w:tcPr>
            <w:tcW w:w="36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$ 30,000</w:t>
            </w:r>
          </w:p>
        </w:tc>
        <w:tc>
          <w:tcPr>
            <w:tcW w:w="1000" w:type="dxa"/>
            <w:vAlign w:val="bottom"/>
          </w:tcPr>
          <w:p>
            <w:pPr>
              <w:spacing w:after="0"/>
              <w:rPr>
                <w:sz w:val="15"/>
                <w:szCs w:val="15"/>
                <w:color w:val="auto"/>
              </w:rPr>
            </w:pPr>
          </w:p>
        </w:tc>
      </w:tr>
      <w:tr>
        <w:trPr>
          <w:trHeight w:val="173"/>
        </w:trPr>
        <w:tc>
          <w:tcPr>
            <w:tcW w:w="100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b w:val="1"/>
                <w:bCs w:val="1"/>
                <w:color w:val="auto"/>
              </w:rPr>
              <w:t>Annual Committee Chair Retainer</w:t>
            </w: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6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$ 15,000</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600" w:type="dxa"/>
            <w:vAlign w:val="bottom"/>
          </w:tcPr>
          <w:p>
            <w:pPr>
              <w:ind w:left="1020"/>
              <w:spacing w:after="0"/>
              <w:rPr>
                <w:sz w:val="20"/>
                <w:szCs w:val="20"/>
                <w:color w:val="auto"/>
              </w:rPr>
            </w:pPr>
            <w:r>
              <w:rPr>
                <w:rFonts w:ascii="Arial" w:cs="Arial" w:eastAsia="Arial" w:hAnsi="Arial"/>
                <w:sz w:val="14"/>
                <w:szCs w:val="14"/>
                <w:color w:val="auto"/>
              </w:rPr>
              <w:t>$ 10,000</w:t>
            </w:r>
          </w:p>
        </w:tc>
        <w:tc>
          <w:tcPr>
            <w:tcW w:w="1000" w:type="dxa"/>
            <w:vAlign w:val="bottom"/>
          </w:tcPr>
          <w:p>
            <w:pPr>
              <w:spacing w:after="0"/>
              <w:rPr>
                <w:sz w:val="14"/>
                <w:szCs w:val="14"/>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6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$ 8,000</w:t>
            </w:r>
          </w:p>
        </w:tc>
        <w:tc>
          <w:tcPr>
            <w:tcW w:w="1000" w:type="dxa"/>
            <w:vAlign w:val="bottom"/>
          </w:tcPr>
          <w:p>
            <w:pPr>
              <w:spacing w:after="0"/>
              <w:rPr>
                <w:sz w:val="15"/>
                <w:szCs w:val="15"/>
                <w:color w:val="auto"/>
              </w:rPr>
            </w:pPr>
          </w:p>
        </w:tc>
      </w:tr>
      <w:tr>
        <w:trPr>
          <w:trHeight w:val="173"/>
        </w:trPr>
        <w:tc>
          <w:tcPr>
            <w:tcW w:w="100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4"/>
                <w:szCs w:val="14"/>
                <w:b w:val="1"/>
                <w:bCs w:val="1"/>
                <w:color w:val="auto"/>
              </w:rPr>
              <w:t>Annual Committee Member Retainer</w:t>
            </w: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Audit</w:t>
            </w:r>
          </w:p>
        </w:tc>
        <w:tc>
          <w:tcPr>
            <w:tcW w:w="36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$ 7,500</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3600" w:type="dxa"/>
            <w:vAlign w:val="bottom"/>
          </w:tcPr>
          <w:p>
            <w:pPr>
              <w:ind w:left="1020"/>
              <w:spacing w:after="0"/>
              <w:rPr>
                <w:sz w:val="20"/>
                <w:szCs w:val="20"/>
                <w:color w:val="auto"/>
              </w:rPr>
            </w:pPr>
            <w:r>
              <w:rPr>
                <w:rFonts w:ascii="Arial" w:cs="Arial" w:eastAsia="Arial" w:hAnsi="Arial"/>
                <w:sz w:val="14"/>
                <w:szCs w:val="14"/>
                <w:color w:val="auto"/>
              </w:rPr>
              <w:t>$ 5,000</w:t>
            </w:r>
          </w:p>
        </w:tc>
        <w:tc>
          <w:tcPr>
            <w:tcW w:w="1000" w:type="dxa"/>
            <w:vAlign w:val="bottom"/>
          </w:tcPr>
          <w:p>
            <w:pPr>
              <w:spacing w:after="0"/>
              <w:rPr>
                <w:sz w:val="14"/>
                <w:szCs w:val="14"/>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Nominating and Corporate Governance</w:t>
            </w:r>
          </w:p>
        </w:tc>
        <w:tc>
          <w:tcPr>
            <w:tcW w:w="36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$ 4,000</w:t>
            </w:r>
          </w:p>
        </w:tc>
        <w:tc>
          <w:tcPr>
            <w:tcW w:w="1000" w:type="dxa"/>
            <w:vAlign w:val="bottom"/>
          </w:tcPr>
          <w:p>
            <w:pPr>
              <w:spacing w:after="0"/>
              <w:rPr>
                <w:sz w:val="15"/>
                <w:szCs w:val="15"/>
                <w:color w:val="auto"/>
              </w:rPr>
            </w:pPr>
          </w:p>
        </w:tc>
      </w:tr>
      <w:tr>
        <w:trPr>
          <w:trHeight w:val="162"/>
        </w:trPr>
        <w:tc>
          <w:tcPr>
            <w:tcW w:w="100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b w:val="1"/>
                <w:bCs w:val="1"/>
                <w:color w:val="auto"/>
              </w:rPr>
              <w:t>Equity</w:t>
            </w:r>
          </w:p>
        </w:tc>
        <w:tc>
          <w:tcPr>
            <w:tcW w:w="3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1000" w:type="dxa"/>
            <w:vAlign w:val="bottom"/>
          </w:tcPr>
          <w:p>
            <w:pPr>
              <w:spacing w:after="0"/>
              <w:rPr>
                <w:sz w:val="14"/>
                <w:szCs w:val="14"/>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Equity Grant</w:t>
            </w:r>
          </w:p>
        </w:tc>
        <w:tc>
          <w:tcPr>
            <w:tcW w:w="36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Option to purchase 100,000 shares of</w:t>
            </w:r>
          </w:p>
        </w:tc>
        <w:tc>
          <w:tcPr>
            <w:tcW w:w="1000" w:type="dxa"/>
            <w:vAlign w:val="bottom"/>
          </w:tcPr>
          <w:p>
            <w:pPr>
              <w:spacing w:after="0"/>
              <w:rPr>
                <w:sz w:val="14"/>
                <w:szCs w:val="14"/>
                <w:color w:val="auto"/>
              </w:rPr>
            </w:pPr>
          </w:p>
        </w:tc>
      </w:tr>
      <w:tr>
        <w:trPr>
          <w:trHeight w:val="172"/>
        </w:trPr>
        <w:tc>
          <w:tcPr>
            <w:tcW w:w="1000" w:type="dxa"/>
            <w:vAlign w:val="bottom"/>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360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Common Stock, made to directors</w:t>
            </w:r>
          </w:p>
        </w:tc>
        <w:tc>
          <w:tcPr>
            <w:tcW w:w="1000" w:type="dxa"/>
            <w:vAlign w:val="bottom"/>
          </w:tcPr>
          <w:p>
            <w:pPr>
              <w:spacing w:after="0"/>
              <w:rPr>
                <w:sz w:val="14"/>
                <w:szCs w:val="14"/>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360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at  the  commencement  of  their</w:t>
            </w:r>
          </w:p>
        </w:tc>
        <w:tc>
          <w:tcPr>
            <w:tcW w:w="1000" w:type="dxa"/>
            <w:vAlign w:val="bottom"/>
          </w:tcPr>
          <w:p>
            <w:pPr>
              <w:spacing w:after="0"/>
              <w:rPr>
                <w:sz w:val="15"/>
                <w:szCs w:val="15"/>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360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director  service,  vesting  monthly</w:t>
            </w:r>
          </w:p>
        </w:tc>
        <w:tc>
          <w:tcPr>
            <w:tcW w:w="1000" w:type="dxa"/>
            <w:vAlign w:val="bottom"/>
          </w:tcPr>
          <w:p>
            <w:pPr>
              <w:spacing w:after="0"/>
              <w:rPr>
                <w:sz w:val="15"/>
                <w:szCs w:val="15"/>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360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over a period of 36 months, subject</w:t>
            </w:r>
          </w:p>
        </w:tc>
        <w:tc>
          <w:tcPr>
            <w:tcW w:w="1000" w:type="dxa"/>
            <w:vAlign w:val="bottom"/>
          </w:tcPr>
          <w:p>
            <w:pPr>
              <w:spacing w:after="0"/>
              <w:rPr>
                <w:sz w:val="15"/>
                <w:szCs w:val="15"/>
                <w:color w:val="auto"/>
              </w:rPr>
            </w:pPr>
          </w:p>
        </w:tc>
      </w:tr>
      <w:tr>
        <w:trPr>
          <w:trHeight w:val="173"/>
        </w:trPr>
        <w:tc>
          <w:tcPr>
            <w:tcW w:w="1000" w:type="dxa"/>
            <w:vAlign w:val="bottom"/>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360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to   continued   service   with   the</w:t>
            </w:r>
          </w:p>
        </w:tc>
        <w:tc>
          <w:tcPr>
            <w:tcW w:w="1000" w:type="dxa"/>
            <w:vAlign w:val="bottom"/>
          </w:tcPr>
          <w:p>
            <w:pPr>
              <w:spacing w:after="0"/>
              <w:rPr>
                <w:sz w:val="15"/>
                <w:szCs w:val="15"/>
                <w:color w:val="auto"/>
              </w:rPr>
            </w:pPr>
          </w:p>
        </w:tc>
      </w:tr>
      <w:tr>
        <w:trPr>
          <w:trHeight w:val="233"/>
        </w:trPr>
        <w:tc>
          <w:tcPr>
            <w:tcW w:w="100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19"/>
                <w:szCs w:val="19"/>
                <w:color w:val="auto"/>
              </w:rPr>
            </w:pPr>
          </w:p>
        </w:tc>
        <w:tc>
          <w:tcPr>
            <w:tcW w:w="36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4"/>
                <w:szCs w:val="14"/>
                <w:color w:val="auto"/>
              </w:rPr>
              <w:t>Company</w:t>
            </w:r>
          </w:p>
        </w:tc>
        <w:tc>
          <w:tcPr>
            <w:tcW w:w="1000" w:type="dxa"/>
            <w:vAlign w:val="bottom"/>
          </w:tcPr>
          <w:p>
            <w:pPr>
              <w:spacing w:after="0"/>
              <w:rPr>
                <w:sz w:val="19"/>
                <w:szCs w:val="19"/>
                <w:color w:val="auto"/>
              </w:rPr>
            </w:pPr>
          </w:p>
        </w:tc>
      </w:tr>
      <w:tr>
        <w:trPr>
          <w:trHeight w:val="508"/>
        </w:trPr>
        <w:tc>
          <w:tcPr>
            <w:tcW w:w="1000" w:type="dxa"/>
            <w:vAlign w:val="bottom"/>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360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158</w:t>
            </w: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3" w:name="page174"/>
    <w:bookmarkEnd w:id="17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Compensation Elements: Non-Employee Director Compensation Policy</w:t>
      </w:r>
    </w:p>
    <w:p>
      <w:pPr>
        <w:spacing w:after="0" w:line="16" w:lineRule="exact"/>
        <w:rPr>
          <w:sz w:val="20"/>
          <w:szCs w:val="20"/>
          <w:color w:val="auto"/>
        </w:rPr>
      </w:pPr>
    </w:p>
    <w:tbl>
      <w:tblPr>
        <w:tblLayout w:type="fixed"/>
        <w:tblInd w:w="1220" w:type="dxa"/>
        <w:tblCellMar>
          <w:top w:w="0" w:type="dxa"/>
          <w:left w:w="0" w:type="dxa"/>
          <w:bottom w:w="0" w:type="dxa"/>
          <w:right w:w="0" w:type="dxa"/>
        </w:tblCellMar>
      </w:tblPr>
      <w:tr>
        <w:trPr>
          <w:trHeight w:val="163"/>
        </w:trPr>
        <w:tc>
          <w:tcPr>
            <w:tcW w:w="28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Annual Equity Retainer</w:t>
            </w:r>
          </w:p>
        </w:tc>
        <w:tc>
          <w:tcPr>
            <w:tcW w:w="3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Option to purchase 50,000 shares of</w:t>
            </w:r>
          </w:p>
        </w:tc>
      </w:tr>
      <w:tr>
        <w:trPr>
          <w:trHeight w:val="172"/>
        </w:trPr>
        <w:tc>
          <w:tcPr>
            <w:tcW w:w="2840" w:type="dxa"/>
            <w:vAlign w:val="bottom"/>
            <w:shd w:val="clear" w:color="auto" w:fill="CCEEFF"/>
          </w:tcPr>
          <w:p>
            <w:pPr>
              <w:spacing w:after="0"/>
              <w:rPr>
                <w:sz w:val="14"/>
                <w:szCs w:val="14"/>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Common Stock, vesting in full on</w:t>
            </w:r>
          </w:p>
        </w:tc>
      </w:tr>
      <w:tr>
        <w:trPr>
          <w:trHeight w:val="173"/>
        </w:trPr>
        <w:tc>
          <w:tcPr>
            <w:tcW w:w="2840" w:type="dxa"/>
            <w:vAlign w:val="bottom"/>
            <w:shd w:val="clear" w:color="auto" w:fill="CCEEFF"/>
          </w:tcPr>
          <w:p>
            <w:pPr>
              <w:spacing w:after="0"/>
              <w:rPr>
                <w:sz w:val="15"/>
                <w:szCs w:val="15"/>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the sooner of the first anniversary of</w:t>
            </w:r>
          </w:p>
        </w:tc>
      </w:tr>
      <w:tr>
        <w:trPr>
          <w:trHeight w:val="173"/>
        </w:trPr>
        <w:tc>
          <w:tcPr>
            <w:tcW w:w="2840" w:type="dxa"/>
            <w:vAlign w:val="bottom"/>
            <w:shd w:val="clear" w:color="auto" w:fill="CCEEFF"/>
          </w:tcPr>
          <w:p>
            <w:pPr>
              <w:spacing w:after="0"/>
              <w:rPr>
                <w:sz w:val="15"/>
                <w:szCs w:val="15"/>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the date of grant or the next annual</w:t>
            </w:r>
          </w:p>
        </w:tc>
      </w:tr>
      <w:tr>
        <w:trPr>
          <w:trHeight w:val="173"/>
        </w:trPr>
        <w:tc>
          <w:tcPr>
            <w:tcW w:w="2840" w:type="dxa"/>
            <w:vAlign w:val="bottom"/>
            <w:shd w:val="clear" w:color="auto" w:fill="CCEEFF"/>
          </w:tcPr>
          <w:p>
            <w:pPr>
              <w:spacing w:after="0"/>
              <w:rPr>
                <w:sz w:val="15"/>
                <w:szCs w:val="15"/>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shareholder  meeting,  subject  to</w:t>
            </w:r>
          </w:p>
        </w:tc>
      </w:tr>
      <w:tr>
        <w:trPr>
          <w:trHeight w:val="208"/>
        </w:trPr>
        <w:tc>
          <w:tcPr>
            <w:tcW w:w="2840" w:type="dxa"/>
            <w:vAlign w:val="bottom"/>
            <w:tcBorders>
              <w:bottom w:val="single" w:sz="8" w:color="CCEEFF"/>
            </w:tcBorders>
            <w:shd w:val="clear" w:color="auto" w:fill="CCEEFF"/>
          </w:tcPr>
          <w:p>
            <w:pPr>
              <w:spacing w:after="0"/>
              <w:rPr>
                <w:sz w:val="18"/>
                <w:szCs w:val="18"/>
                <w:color w:val="auto"/>
              </w:rPr>
            </w:pPr>
          </w:p>
        </w:tc>
        <w:tc>
          <w:tcPr>
            <w:tcW w:w="3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continued service with the Company</w:t>
            </w:r>
          </w:p>
        </w:tc>
      </w:tr>
      <w:tr>
        <w:trPr>
          <w:trHeight w:val="20"/>
        </w:trPr>
        <w:tc>
          <w:tcPr>
            <w:tcW w:w="28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220" w:right="1259"/>
        <w:spacing w:after="0" w:line="295" w:lineRule="auto"/>
        <w:rPr>
          <w:sz w:val="20"/>
          <w:szCs w:val="20"/>
          <w:color w:val="auto"/>
        </w:rPr>
      </w:pPr>
      <w:r>
        <w:rPr>
          <w:rFonts w:ascii="Arial" w:cs="Arial" w:eastAsia="Arial" w:hAnsi="Arial"/>
          <w:sz w:val="14"/>
          <w:szCs w:val="14"/>
          <w:color w:val="auto"/>
        </w:rPr>
        <w:t>Each annual cash retainer will be paid quarterly in arrears. All equity awards granted under the non-employee director compensation policy will be granted under, and subject to the terms of, the 2021 Plan.</w:t>
      </w:r>
    </w:p>
    <w:p>
      <w:pPr>
        <w:spacing w:after="0" w:line="29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Initial public offering option grant</w:t>
      </w:r>
    </w:p>
    <w:p>
      <w:pPr>
        <w:spacing w:after="0" w:line="144" w:lineRule="exact"/>
        <w:rPr>
          <w:sz w:val="20"/>
          <w:szCs w:val="20"/>
          <w:color w:val="auto"/>
        </w:rPr>
      </w:pPr>
    </w:p>
    <w:p>
      <w:pPr>
        <w:ind w:left="1220" w:right="1399"/>
        <w:spacing w:after="0" w:line="273" w:lineRule="auto"/>
        <w:rPr>
          <w:sz w:val="20"/>
          <w:szCs w:val="20"/>
          <w:color w:val="auto"/>
        </w:rPr>
      </w:pPr>
      <w:r>
        <w:rPr>
          <w:rFonts w:ascii="Arial" w:cs="Arial" w:eastAsia="Arial" w:hAnsi="Arial"/>
          <w:sz w:val="14"/>
          <w:szCs w:val="14"/>
          <w:color w:val="auto"/>
        </w:rPr>
        <w:t>In connection with this offering, each of our non-employee directors serving on the board of directors upon the closing of the offering will be granted an option to purchase 50,000 shares of</w:t>
      </w:r>
    </w:p>
    <w:p>
      <w:pPr>
        <w:spacing w:after="0" w:line="1"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our common stock at the initial public offering price of $ per share. Each of the foregoing director equity grants will be granted under, and subject to the terms of, the 2021 Plan and will fully vest and become exercisable on the sooner of the first anniversary of the closing of the offering or the next annual shareholder meeting, subject to continued service with the Company.</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Code of business conduct and ethics</w:t>
      </w:r>
    </w:p>
    <w:p>
      <w:pPr>
        <w:spacing w:after="0" w:line="79"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In connection with this offering, our board of directors will adopt a written code of business conduct and ethics that will apply to all of our directors, officers, and employees. The code of business conduct and ethics will cover fundamental ethics and compliance-related principles and practices such as accurate accounting records and financial reporting, avoiding conflicts of interest, the protection and use of our property and information, and compliance with legal and regulatory requirements. Our code of business conduct and ethics will be posted on the investor relations section of our website at www.centurytx.com. We intend to disclose any amendments to our code of business conduct and ethics, or waivers of its requirements, on our website to the extent required by the applicable rules and exchange requirements.</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79"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Our second amended and restated certificate of incorporation and our amended and restated bylaws, which will each become effective immediately prior to the closing of this offering, will limit our directors’ liability and may indemnify our directors and officers to the fullest extent permitted under the DGCL. The DGCL provides that directors of a corporation will not be personally liable for monetary damages for breach of their fiduciary duties as directors, except for liability for any:</w:t>
      </w:r>
    </w:p>
    <w:p>
      <w:pPr>
        <w:spacing w:after="0" w:line="64" w:lineRule="exact"/>
        <w:rPr>
          <w:sz w:val="20"/>
          <w:szCs w:val="20"/>
          <w:color w:val="auto"/>
        </w:rPr>
      </w:pPr>
    </w:p>
    <w:p>
      <w:pPr>
        <w:ind w:left="1340" w:hanging="116"/>
        <w:spacing w:after="0"/>
        <w:tabs>
          <w:tab w:leader="none" w:pos="1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97" w:lineRule="exact"/>
        <w:rPr>
          <w:rFonts w:ascii="Arial" w:cs="Arial" w:eastAsia="Arial" w:hAnsi="Arial"/>
          <w:sz w:val="14"/>
          <w:szCs w:val="14"/>
          <w:color w:val="auto"/>
        </w:rPr>
      </w:pPr>
    </w:p>
    <w:p>
      <w:pPr>
        <w:ind w:left="1340" w:right="1239" w:hanging="116"/>
        <w:spacing w:after="0" w:line="265" w:lineRule="auto"/>
        <w:tabs>
          <w:tab w:leader="none" w:pos="1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act or omission not in good faith or that involves intentional misconduct or a knowing violation of law;</w:t>
      </w:r>
    </w:p>
    <w:p>
      <w:pPr>
        <w:spacing w:after="0" w:line="264"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unlawful payment of dividends or unlawful stock repurchases or redemptions as provided in Section 174 of the DGCL; or</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benefit.</w:t>
      </w:r>
    </w:p>
    <w:p>
      <w:pPr>
        <w:spacing w:after="0" w:line="76" w:lineRule="exact"/>
        <w:rPr>
          <w:sz w:val="20"/>
          <w:szCs w:val="20"/>
          <w:color w:val="auto"/>
        </w:rPr>
      </w:pPr>
    </w:p>
    <w:p>
      <w:pPr>
        <w:ind w:left="1220" w:right="1319"/>
        <w:spacing w:after="0" w:line="281" w:lineRule="auto"/>
        <w:rPr>
          <w:sz w:val="20"/>
          <w:szCs w:val="20"/>
          <w:color w:val="auto"/>
        </w:rPr>
      </w:pPr>
      <w:r>
        <w:rPr>
          <w:rFonts w:ascii="Arial" w:cs="Arial" w:eastAsia="Arial" w:hAnsi="Arial"/>
          <w:sz w:val="14"/>
          <w:szCs w:val="14"/>
          <w:color w:val="auto"/>
        </w:rPr>
        <w:t>The DGCL and our amended and restated bylaws provide that we will, in certain situations, indemnify our directors and officers and may indemnify other employees and other agents, to the fullest extent permitted by law.</w:t>
      </w:r>
    </w:p>
    <w:p>
      <w:pPr>
        <w:spacing w:after="0" w:line="50"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penalties, fines, and settlement amounts incurred by a director or officer in any action or proceeding arising out of his or her service as one of our directors or officers, or any of our subsidiaries or any other company or enterprise to which the person provides services at our</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4" w:name="page175"/>
    <w:bookmarkEnd w:id="17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20" w:right="1279"/>
        <w:spacing w:after="0" w:line="281" w:lineRule="auto"/>
        <w:rPr>
          <w:sz w:val="20"/>
          <w:szCs w:val="20"/>
          <w:color w:val="auto"/>
        </w:rPr>
      </w:pPr>
      <w:r>
        <w:rPr>
          <w:rFonts w:ascii="Arial" w:cs="Arial" w:eastAsia="Arial" w:hAnsi="Arial"/>
          <w:sz w:val="14"/>
          <w:szCs w:val="14"/>
          <w:color w:val="auto"/>
        </w:rPr>
        <w:t>request. Subject to certain limitations, our indemnification agreements also require us to advance expenses incurred by our directors, officers, and key employees for the defense of any action for which indemnification is required or permitted.</w:t>
      </w:r>
    </w:p>
    <w:p>
      <w:pPr>
        <w:spacing w:after="0" w:line="39"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We maintain a directors’ and officers’ insurance policy pursuant to which our directors and officers are insured against liability for actions taken in their capacities as directors and officers. We believe that these provisions in our second amended and restated certificate of incorporation and amended and restated bylaws and these indemnification agreements are necessary to attract and retain qualified persons as directors and officers.</w:t>
      </w:r>
    </w:p>
    <w:p>
      <w:pPr>
        <w:spacing w:after="0" w:line="42"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directors and officers as required by these indemnification provisions.</w:t>
      </w:r>
    </w:p>
    <w:p>
      <w:pPr>
        <w:spacing w:after="0" w:line="53" w:lineRule="exact"/>
        <w:rPr>
          <w:sz w:val="20"/>
          <w:szCs w:val="20"/>
          <w:color w:val="auto"/>
        </w:rPr>
      </w:pPr>
    </w:p>
    <w:p>
      <w:pPr>
        <w:jc w:val="both"/>
        <w:ind w:left="1220" w:right="1379"/>
        <w:spacing w:after="0" w:line="281" w:lineRule="auto"/>
        <w:rPr>
          <w:sz w:val="20"/>
          <w:szCs w:val="20"/>
          <w:color w:val="auto"/>
        </w:rPr>
      </w:pPr>
      <w:r>
        <w:rPr>
          <w:rFonts w:ascii="Arial" w:cs="Arial" w:eastAsia="Arial" w:hAnsi="Arial"/>
          <w:sz w:val="14"/>
          <w:szCs w:val="14"/>
          <w:color w:val="auto"/>
        </w:rPr>
        <w:t>At present, there is no pending litigation or proceeding involving any of our directors, officers or employees for which indemnification is sought and we are not aware of any threatened litigation that may result in claims for indemnification.</w:t>
      </w:r>
    </w:p>
    <w:p>
      <w:pPr>
        <w:spacing w:after="0" w:line="39" w:lineRule="exact"/>
        <w:rPr>
          <w:sz w:val="20"/>
          <w:szCs w:val="20"/>
          <w:color w:val="auto"/>
        </w:rPr>
      </w:pPr>
    </w:p>
    <w:p>
      <w:pPr>
        <w:ind w:left="1220" w:right="1459"/>
        <w:spacing w:after="0" w:line="281"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5" w:name="page176"/>
    <w:bookmarkEnd w:id="17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Executive compensation</w:t>
      </w:r>
    </w:p>
    <w:p>
      <w:pPr>
        <w:spacing w:after="0" w:line="133" w:lineRule="exact"/>
        <w:rPr>
          <w:sz w:val="20"/>
          <w:szCs w:val="20"/>
          <w:color w:val="auto"/>
        </w:rPr>
      </w:pPr>
    </w:p>
    <w:p>
      <w:pPr>
        <w:ind w:left="1220" w:right="1319"/>
        <w:spacing w:after="0" w:line="290" w:lineRule="auto"/>
        <w:rPr>
          <w:sz w:val="20"/>
          <w:szCs w:val="20"/>
          <w:color w:val="auto"/>
        </w:rPr>
      </w:pPr>
      <w:r>
        <w:rPr>
          <w:rFonts w:ascii="Arial" w:cs="Arial" w:eastAsia="Arial" w:hAnsi="Arial"/>
          <w:sz w:val="14"/>
          <w:szCs w:val="14"/>
          <w:color w:val="auto"/>
        </w:rPr>
        <w:t>Our named executive officers, or NEOs, for the year ended December 31, 2020, which consist of our principal executive officer and our two most highly compensated executive officers, are:</w:t>
      </w:r>
    </w:p>
    <w:p>
      <w:pPr>
        <w:spacing w:after="0" w:line="64" w:lineRule="exact"/>
        <w:rPr>
          <w:sz w:val="20"/>
          <w:szCs w:val="20"/>
          <w:color w:val="auto"/>
        </w:rPr>
      </w:pPr>
    </w:p>
    <w:p>
      <w:pPr>
        <w:ind w:left="1340" w:hanging="116"/>
        <w:spacing w:after="0"/>
        <w:tabs>
          <w:tab w:leader="none" w:pos="1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Osvaldo Flores, our President and Chief Executive Officer;</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Hyam Levitsky, our President of Research and Development;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Michael Diem, our Chief Business Officer.</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Summary compensation table</w:t>
      </w:r>
    </w:p>
    <w:p>
      <w:pPr>
        <w:spacing w:after="0" w:line="133" w:lineRule="exact"/>
        <w:rPr>
          <w:sz w:val="20"/>
          <w:szCs w:val="20"/>
          <w:color w:val="auto"/>
        </w:rPr>
      </w:pPr>
    </w:p>
    <w:p>
      <w:pPr>
        <w:ind w:left="1220" w:right="1299"/>
        <w:spacing w:after="0" w:line="290" w:lineRule="auto"/>
        <w:rPr>
          <w:sz w:val="20"/>
          <w:szCs w:val="20"/>
          <w:color w:val="auto"/>
        </w:rPr>
      </w:pPr>
      <w:r>
        <w:rPr>
          <w:rFonts w:ascii="Arial" w:cs="Arial" w:eastAsia="Arial" w:hAnsi="Arial"/>
          <w:sz w:val="14"/>
          <w:szCs w:val="14"/>
          <w:color w:val="auto"/>
        </w:rPr>
        <w:t>The following table provides information regarding the compensation earned by our NEOs for the year ended December 31, 2020.</w:t>
      </w:r>
    </w:p>
    <w:p>
      <w:pPr>
        <w:spacing w:after="0" w:line="110"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16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Non-equity</w:t>
            </w:r>
          </w:p>
        </w:tc>
        <w:tc>
          <w:tcPr>
            <w:tcW w:w="9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151"/>
        </w:trPr>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Option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3"/>
                <w:szCs w:val="13"/>
                <w:color w:val="auto"/>
              </w:rPr>
            </w:pPr>
          </w:p>
        </w:tc>
      </w:tr>
      <w:tr>
        <w:trPr>
          <w:trHeight w:val="144"/>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Salary</w:t>
            </w:r>
          </w:p>
        </w:tc>
        <w:tc>
          <w:tcPr>
            <w:tcW w:w="5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Bonus</w:t>
            </w:r>
          </w:p>
        </w:tc>
        <w:tc>
          <w:tcPr>
            <w:tcW w:w="154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awards compensation</w:t>
            </w:r>
          </w:p>
        </w:tc>
        <w:tc>
          <w:tcPr>
            <w:tcW w:w="9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compensation</w:t>
            </w:r>
          </w:p>
        </w:tc>
        <w:tc>
          <w:tcPr>
            <w:tcW w:w="6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Total</w:t>
            </w:r>
          </w:p>
        </w:tc>
      </w:tr>
      <w:tr>
        <w:trPr>
          <w:trHeight w:val="205"/>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principal position Year</w:t>
            </w: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9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65"/>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Osvaldo Flores, Ph.D.</w:t>
            </w:r>
          </w:p>
        </w:tc>
        <w:tc>
          <w:tcPr>
            <w:tcW w:w="11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2020 461,250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741,750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185,400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1,390,650</w:t>
            </w:r>
          </w:p>
        </w:tc>
      </w:tr>
      <w:tr>
        <w:trPr>
          <w:trHeight w:val="158"/>
        </w:trPr>
        <w:tc>
          <w:tcPr>
            <w:tcW w:w="1660" w:type="dxa"/>
            <w:vAlign w:val="bottom"/>
          </w:tcPr>
          <w:p>
            <w:pPr>
              <w:ind w:left="140"/>
              <w:spacing w:after="0" w:line="158" w:lineRule="exact"/>
              <w:rPr>
                <w:sz w:val="20"/>
                <w:szCs w:val="20"/>
                <w:color w:val="auto"/>
              </w:rPr>
            </w:pPr>
            <w:r>
              <w:rPr>
                <w:rFonts w:ascii="Arial" w:cs="Arial" w:eastAsia="Arial" w:hAnsi="Arial"/>
                <w:sz w:val="14"/>
                <w:szCs w:val="14"/>
                <w:i w:val="1"/>
                <w:iCs w:val="1"/>
                <w:color w:val="auto"/>
              </w:rPr>
              <w:t>President and Chief</w:t>
            </w: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i w:val="1"/>
                <w:iCs w:val="1"/>
                <w:color w:val="auto"/>
              </w:rPr>
              <w:t>Executive Officer</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4"/>
        </w:trPr>
        <w:tc>
          <w:tcPr>
            <w:tcW w:w="16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5"/>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Hyam Levitsky, M.D.</w:t>
            </w:r>
          </w:p>
        </w:tc>
        <w:tc>
          <w:tcPr>
            <w:tcW w:w="11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2020 384,375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502,125</w:t>
            </w:r>
          </w:p>
        </w:tc>
      </w:tr>
      <w:tr>
        <w:trPr>
          <w:trHeight w:val="183"/>
        </w:trPr>
        <w:tc>
          <w:tcPr>
            <w:tcW w:w="1660" w:type="dxa"/>
            <w:vAlign w:val="bottom"/>
          </w:tcPr>
          <w:p>
            <w:pPr>
              <w:ind w:left="140"/>
              <w:spacing w:after="0"/>
              <w:rPr>
                <w:sz w:val="20"/>
                <w:szCs w:val="20"/>
                <w:color w:val="auto"/>
              </w:rPr>
            </w:pPr>
            <w:r>
              <w:rPr>
                <w:rFonts w:ascii="Arial" w:cs="Arial" w:eastAsia="Arial" w:hAnsi="Arial"/>
                <w:sz w:val="14"/>
                <w:szCs w:val="14"/>
                <w:i w:val="1"/>
                <w:iCs w:val="1"/>
                <w:color w:val="auto"/>
              </w:rPr>
              <w:t>President of R&amp;D</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7"/>
        </w:trPr>
        <w:tc>
          <w:tcPr>
            <w:tcW w:w="1660" w:type="dxa"/>
            <w:vAlign w:val="bottom"/>
          </w:tcPr>
          <w:p>
            <w:pPr>
              <w:spacing w:after="0"/>
              <w:rPr>
                <w:sz w:val="20"/>
                <w:szCs w:val="20"/>
                <w:color w:val="auto"/>
              </w:rPr>
            </w:pPr>
            <w:r>
              <w:rPr>
                <w:rFonts w:ascii="Arial" w:cs="Arial" w:eastAsia="Arial" w:hAnsi="Arial"/>
                <w:sz w:val="14"/>
                <w:szCs w:val="14"/>
                <w:color w:val="auto"/>
              </w:rPr>
              <w:t>Michael Diem, M.D.</w:t>
            </w:r>
          </w:p>
        </w:tc>
        <w:tc>
          <w:tcPr>
            <w:tcW w:w="2280" w:type="dxa"/>
            <w:vAlign w:val="bottom"/>
            <w:gridSpan w:val="4"/>
          </w:tcPr>
          <w:p>
            <w:pPr>
              <w:jc w:val="right"/>
              <w:spacing w:after="0" w:line="237" w:lineRule="exact"/>
              <w:rPr>
                <w:sz w:val="20"/>
                <w:szCs w:val="20"/>
                <w:color w:val="auto"/>
              </w:rPr>
            </w:pPr>
            <w:r>
              <w:rPr>
                <w:rFonts w:ascii="Arial" w:cs="Arial" w:eastAsia="Arial" w:hAnsi="Arial"/>
                <w:sz w:val="14"/>
                <w:szCs w:val="14"/>
                <w:color w:val="auto"/>
              </w:rPr>
              <w:t>2020 123,958 125,000</w:t>
            </w:r>
            <w:r>
              <w:rPr>
                <w:rFonts w:ascii="Arial" w:cs="Arial" w:eastAsia="Arial" w:hAnsi="Arial"/>
                <w:sz w:val="21"/>
                <w:szCs w:val="21"/>
                <w:color w:val="auto"/>
                <w:vertAlign w:val="superscript"/>
              </w:rPr>
              <w:t>(4)</w:t>
            </w:r>
            <w:r>
              <w:rPr>
                <w:rFonts w:ascii="Arial" w:cs="Arial" w:eastAsia="Arial" w:hAnsi="Arial"/>
                <w:sz w:val="14"/>
                <w:szCs w:val="14"/>
                <w:color w:val="auto"/>
              </w:rPr>
              <w:t>644,258</w:t>
            </w:r>
          </w:p>
        </w:tc>
        <w:tc>
          <w:tcPr>
            <w:tcW w:w="980" w:type="dxa"/>
            <w:vAlign w:val="bottom"/>
          </w:tcPr>
          <w:p>
            <w:pPr>
              <w:jc w:val="right"/>
              <w:spacing w:after="0"/>
              <w:rPr>
                <w:sz w:val="20"/>
                <w:szCs w:val="20"/>
                <w:color w:val="auto"/>
              </w:rPr>
            </w:pPr>
            <w:r>
              <w:rPr>
                <w:rFonts w:ascii="Arial" w:cs="Arial" w:eastAsia="Arial" w:hAnsi="Arial"/>
                <w:sz w:val="14"/>
                <w:szCs w:val="14"/>
                <w:color w:val="auto"/>
              </w:rPr>
              <w:t>49,583</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942,799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-135890</wp:posOffset>
            </wp:positionV>
            <wp:extent cx="416560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165600" cy="137160"/>
                    </a:xfrm>
                    <a:prstGeom prst="rect">
                      <a:avLst/>
                    </a:prstGeom>
                    <a:noFill/>
                  </pic:spPr>
                </pic:pic>
              </a:graphicData>
            </a:graphic>
          </wp:anchor>
        </w:drawing>
      </w:r>
    </w:p>
    <w:p>
      <w:pPr>
        <w:ind w:left="1360"/>
        <w:spacing w:after="0" w:line="209" w:lineRule="auto"/>
        <w:rPr>
          <w:sz w:val="20"/>
          <w:szCs w:val="20"/>
          <w:color w:val="auto"/>
        </w:rPr>
      </w:pPr>
      <w:r>
        <w:rPr>
          <w:rFonts w:ascii="Arial" w:cs="Arial" w:eastAsia="Arial" w:hAnsi="Arial"/>
          <w:sz w:val="14"/>
          <w:szCs w:val="14"/>
          <w:i w:val="1"/>
          <w:iCs w:val="1"/>
          <w:color w:val="auto"/>
        </w:rPr>
        <w:t>Chief Business</w:t>
      </w:r>
    </w:p>
    <w:p>
      <w:pPr>
        <w:ind w:left="136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1"/>
          <w:szCs w:val="21"/>
          <w:i w:val="1"/>
          <w:i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18415</wp:posOffset>
            </wp:positionV>
            <wp:extent cx="41656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73" w:lineRule="exact"/>
        <w:rPr>
          <w:sz w:val="20"/>
          <w:szCs w:val="20"/>
          <w:color w:val="auto"/>
        </w:rPr>
      </w:pPr>
    </w:p>
    <w:p>
      <w:pPr>
        <w:ind w:left="1220" w:right="1299" w:firstLine="4"/>
        <w:spacing w:after="0" w:line="246" w:lineRule="auto"/>
        <w:tabs>
          <w:tab w:leader="none" w:pos="1458" w:val="left"/>
        </w:tabs>
        <w:numPr>
          <w:ilvl w:val="0"/>
          <w:numId w:val="92"/>
        </w:numPr>
        <w:rPr>
          <w:rFonts w:ascii="Arial" w:cs="Arial" w:eastAsia="Arial" w:hAnsi="Arial"/>
          <w:sz w:val="11"/>
          <w:szCs w:val="11"/>
          <w:color w:val="auto"/>
        </w:rPr>
      </w:pPr>
      <w:r>
        <w:rPr>
          <w:rFonts w:ascii="Arial" w:cs="Arial" w:eastAsia="Arial" w:hAnsi="Arial"/>
          <w:sz w:val="11"/>
          <w:szCs w:val="11"/>
          <w:color w:val="auto"/>
        </w:rPr>
        <w:t>Represents the aggregate grant date fair value of the stock options awarded to the NEO in fiscal year 2020. These values have been determined under the principles used to calculate the value of equity awards for purposes of our financial statements. For a discussion of the assumptions and methodologies used to calculate the amounts referred to above, please see the discussion of option awards contained in Note 14, Stock Based Compensation, to our financial statements included elsewhere in this prospectus. The amounts reported in this column reflect the accounting cost for these stock options and do not correspond to the actual economic value that may be received by the NEO upon exercise of the stock options.</w:t>
      </w:r>
    </w:p>
    <w:p>
      <w:pPr>
        <w:spacing w:after="0" w:line="52" w:lineRule="exact"/>
        <w:rPr>
          <w:rFonts w:ascii="Arial" w:cs="Arial" w:eastAsia="Arial" w:hAnsi="Arial"/>
          <w:sz w:val="11"/>
          <w:szCs w:val="11"/>
          <w:color w:val="auto"/>
        </w:rPr>
      </w:pPr>
    </w:p>
    <w:p>
      <w:pPr>
        <w:ind w:left="1460" w:hanging="236"/>
        <w:spacing w:after="0"/>
        <w:tabs>
          <w:tab w:leader="none" w:pos="1460" w:val="left"/>
        </w:tabs>
        <w:numPr>
          <w:ilvl w:val="0"/>
          <w:numId w:val="92"/>
        </w:numPr>
        <w:rPr>
          <w:rFonts w:ascii="Arial" w:cs="Arial" w:eastAsia="Arial" w:hAnsi="Arial"/>
          <w:sz w:val="11"/>
          <w:szCs w:val="11"/>
          <w:color w:val="auto"/>
        </w:rPr>
      </w:pPr>
      <w:r>
        <w:rPr>
          <w:rFonts w:ascii="Arial" w:cs="Arial" w:eastAsia="Arial" w:hAnsi="Arial"/>
          <w:sz w:val="11"/>
          <w:szCs w:val="11"/>
          <w:color w:val="auto"/>
        </w:rPr>
        <w:t>Amounts shown are cash incentive payments earned in respect of 2020 performance and paid in the first quarter of 2021.</w:t>
      </w:r>
    </w:p>
    <w:p>
      <w:pPr>
        <w:spacing w:after="0" w:line="56" w:lineRule="exact"/>
        <w:rPr>
          <w:rFonts w:ascii="Arial" w:cs="Arial" w:eastAsia="Arial" w:hAnsi="Arial"/>
          <w:sz w:val="11"/>
          <w:szCs w:val="11"/>
          <w:color w:val="auto"/>
        </w:rPr>
      </w:pPr>
    </w:p>
    <w:p>
      <w:pPr>
        <w:ind w:left="1460" w:hanging="236"/>
        <w:spacing w:after="0"/>
        <w:tabs>
          <w:tab w:leader="none" w:pos="1460" w:val="left"/>
        </w:tabs>
        <w:numPr>
          <w:ilvl w:val="0"/>
          <w:numId w:val="92"/>
        </w:numPr>
        <w:rPr>
          <w:rFonts w:ascii="Arial" w:cs="Arial" w:eastAsia="Arial" w:hAnsi="Arial"/>
          <w:sz w:val="11"/>
          <w:szCs w:val="11"/>
          <w:color w:val="auto"/>
        </w:rPr>
      </w:pPr>
      <w:r>
        <w:rPr>
          <w:rFonts w:ascii="Arial" w:cs="Arial" w:eastAsia="Arial" w:hAnsi="Arial"/>
          <w:sz w:val="11"/>
          <w:szCs w:val="11"/>
          <w:color w:val="auto"/>
        </w:rPr>
        <w:t>Dr. Diem commenced employment with us in September 2020.</w:t>
      </w:r>
    </w:p>
    <w:p>
      <w:pPr>
        <w:spacing w:after="0" w:line="67" w:lineRule="exact"/>
        <w:rPr>
          <w:rFonts w:ascii="Arial" w:cs="Arial" w:eastAsia="Arial" w:hAnsi="Arial"/>
          <w:sz w:val="11"/>
          <w:szCs w:val="11"/>
          <w:color w:val="auto"/>
        </w:rPr>
      </w:pPr>
    </w:p>
    <w:p>
      <w:pPr>
        <w:ind w:left="1460" w:hanging="236"/>
        <w:spacing w:after="0"/>
        <w:tabs>
          <w:tab w:leader="none" w:pos="1460" w:val="left"/>
        </w:tabs>
        <w:numPr>
          <w:ilvl w:val="0"/>
          <w:numId w:val="92"/>
        </w:numPr>
        <w:rPr>
          <w:rFonts w:ascii="Arial" w:cs="Arial" w:eastAsia="Arial" w:hAnsi="Arial"/>
          <w:sz w:val="11"/>
          <w:szCs w:val="11"/>
          <w:color w:val="auto"/>
        </w:rPr>
      </w:pPr>
      <w:r>
        <w:rPr>
          <w:rFonts w:ascii="Arial" w:cs="Arial" w:eastAsia="Arial" w:hAnsi="Arial"/>
          <w:sz w:val="11"/>
          <w:szCs w:val="11"/>
          <w:color w:val="auto"/>
        </w:rPr>
        <w:t>Amount shown is a sign-on bonus paid to Dr. Diem upon his hire.</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Elements of compensation</w:t>
      </w:r>
    </w:p>
    <w:p>
      <w:pPr>
        <w:spacing w:after="0" w:line="136" w:lineRule="exact"/>
        <w:rPr>
          <w:sz w:val="20"/>
          <w:szCs w:val="20"/>
          <w:color w:val="auto"/>
        </w:rPr>
      </w:pPr>
    </w:p>
    <w:p>
      <w:pPr>
        <w:ind w:left="1220" w:right="1319"/>
        <w:spacing w:after="0" w:line="295" w:lineRule="auto"/>
        <w:rPr>
          <w:sz w:val="20"/>
          <w:szCs w:val="20"/>
          <w:color w:val="auto"/>
        </w:rPr>
      </w:pPr>
      <w:r>
        <w:rPr>
          <w:rFonts w:ascii="Arial" w:cs="Arial" w:eastAsia="Arial" w:hAnsi="Arial"/>
          <w:sz w:val="14"/>
          <w:szCs w:val="14"/>
          <w:color w:val="auto"/>
        </w:rPr>
        <w:t>The compensation of our NEOs generally consists of base salary, annual cash bonus opportunities, long term incentive compensation in the form of equity awards, and other benefits, as described below.</w:t>
      </w:r>
    </w:p>
    <w:p>
      <w:pPr>
        <w:spacing w:after="0" w:line="29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Base salary</w:t>
      </w:r>
    </w:p>
    <w:p>
      <w:pPr>
        <w:spacing w:after="0" w:line="144"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The base salary payable to each NEO is intended to provide a fixed component of compensation reflecting the executive’s skill set, experience, role, responsibilities, and contributions. Each NEO’s initial base salary was specified in his offer letter or employment agreement, as described below, and is reviewed (and, if applicable, adjusted) from time to time by our board of directors or compensation committee.</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NEOs’ current annual base salary rates are: $477,405 for Dr. Flores, $397,838 for</w:t>
      </w:r>
    </w:p>
    <w:p>
      <w:pPr>
        <w:spacing w:after="0" w:line="22" w:lineRule="exact"/>
        <w:rPr>
          <w:sz w:val="20"/>
          <w:szCs w:val="20"/>
          <w:color w:val="auto"/>
        </w:rPr>
      </w:pPr>
    </w:p>
    <w:p>
      <w:pPr>
        <w:ind w:left="1220" w:right="1399"/>
        <w:spacing w:after="0" w:line="280" w:lineRule="auto"/>
        <w:rPr>
          <w:sz w:val="20"/>
          <w:szCs w:val="20"/>
          <w:color w:val="auto"/>
        </w:rPr>
      </w:pPr>
      <w:r>
        <w:rPr>
          <w:rFonts w:ascii="Arial" w:cs="Arial" w:eastAsia="Arial" w:hAnsi="Arial"/>
          <w:sz w:val="14"/>
          <w:szCs w:val="14"/>
          <w:color w:val="auto"/>
        </w:rPr>
        <w:t>Dr. Levitsky, and $437,750 for Dr. Diem. These amounts reflect 3% increases to the executives’ annual base salary rates in effect at the end of 2020. Upon completion of this offering and in accordance with the terms of their new employment agreements described below, the NEOs annual base salary rates will increase to $557,000 for Dr. Flores, $430,700 for Dr. Levitsky, and $437,800 for Dr. Diem.</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6" w:name="page177"/>
    <w:bookmarkEnd w:id="17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Annual non-equity incentives</w:t>
      </w:r>
    </w:p>
    <w:p>
      <w:pPr>
        <w:spacing w:after="0" w:line="134"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Each of our NEOs’ annual non-equity incentive opportunity is expressed as a percentage of base salary that can be earned based on the achievement of predetermined corporate and individual performance objectives. The 2020 target bonus opportunities for Dr. Flores, Dr. Levitsky, and Dr. Diem were 40%, 30%, and 40% of their respective base salaries.</w:t>
      </w:r>
    </w:p>
    <w:p>
      <w:pPr>
        <w:spacing w:after="0" w:line="106" w:lineRule="exact"/>
        <w:rPr>
          <w:sz w:val="20"/>
          <w:szCs w:val="20"/>
          <w:color w:val="auto"/>
        </w:rPr>
      </w:pPr>
    </w:p>
    <w:p>
      <w:pPr>
        <w:ind w:left="1220" w:right="1399"/>
        <w:spacing w:after="0" w:line="276" w:lineRule="auto"/>
        <w:rPr>
          <w:sz w:val="20"/>
          <w:szCs w:val="20"/>
          <w:color w:val="auto"/>
        </w:rPr>
      </w:pPr>
      <w:r>
        <w:rPr>
          <w:rFonts w:ascii="Arial" w:cs="Arial" w:eastAsia="Arial" w:hAnsi="Arial"/>
          <w:sz w:val="14"/>
          <w:szCs w:val="14"/>
          <w:color w:val="auto"/>
        </w:rPr>
        <w:t>The goals applicable to the NEOs’ 2020 annual non-equity incentives related to certain clinical milestones, pipeline, platform and manufacturing development, operations, financing, corporate development, human resources, scientific leadership, and intellectual property. Following a review of 2020 performance, our compensation committee approved 2020 non-equity incentive payments to Dr. Flores, Dr. Levitsky and Dr. Diem equal to 100% of their respective target amounts (pro-rated in the case of Dr. Diem, to account for his mid-year hire).</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Long term equity incentives</w:t>
      </w:r>
    </w:p>
    <w:p>
      <w:pPr>
        <w:spacing w:after="0" w:line="144"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Our equity-based incentive awards are designed to align our interests and the interests of our stockholders with those of our employees and consultants, including our NEOs. Our board of directors or compensation committee approves equity grants. Dr. Flores and Dr. Diem each received options to purchase shares of our common stock in 2020 and 2021. See “—Outstanding Equity Awards at Fiscal Year-End” for more information regarding equity awards made in 2020 to our NEOs.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Employment arrangements with our NEOs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Osvaldo Flores, Ph.D.</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August 2018, we entered into an employment offer letter with Dr. Flores. The offer letter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provided for Dr. Flores’ at-will employment and set forth his initial annual base salary of $450,000</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and his initial target annual bonus opportunity at 30% of base salary. The offer letter also</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provided for the issuance of a restricted stock award to Dr. Flores, or the 2018 Restricted Shares,</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and for an opportunity for Dr. Flores to receive certain stock options in the future, upon</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achievement of certain performance conditions. The 2018 Restricted Shares were granted to</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Dr. Flores in September 2018. In lieu of the stock options discussed in the offer letter, we granted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stock options to Dr. Flores in October 2020. See “—Outstanding Equity Awards at Fiscal Year-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End” for additional details regarding the 2018 Restricted Shares and the 2020 stock options.</w:t>
      </w:r>
    </w:p>
    <w:p>
      <w:pPr>
        <w:spacing w:after="0" w:line="141"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20" w:right="1239" w:firstLine="4"/>
        <w:spacing w:after="0" w:line="276" w:lineRule="auto"/>
        <w:tabs>
          <w:tab w:leader="none" w:pos="1438" w:val="left"/>
        </w:tabs>
        <w:numPr>
          <w:ilvl w:val="0"/>
          <w:numId w:val="93"/>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90"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20" w:right="1239" w:firstLine="4"/>
        <w:spacing w:after="0" w:line="276" w:lineRule="auto"/>
        <w:tabs>
          <w:tab w:leader="none" w:pos="1438" w:val="left"/>
        </w:tabs>
        <w:numPr>
          <w:ilvl w:val="0"/>
          <w:numId w:val="94"/>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7" w:name="page178"/>
    <w:bookmarkEnd w:id="17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3" w:lineRule="exact"/>
        <w:rPr>
          <w:sz w:val="20"/>
          <w:szCs w:val="20"/>
          <w:color w:val="auto"/>
        </w:rPr>
      </w:pPr>
    </w:p>
    <w:p>
      <w:pPr>
        <w:ind w:left="1220" w:right="1239"/>
        <w:spacing w:after="0" w:line="292" w:lineRule="auto"/>
        <w:rPr>
          <w:rFonts w:ascii="Arial" w:cs="Arial" w:eastAsia="Arial" w:hAnsi="Arial"/>
          <w:sz w:val="14"/>
          <w:szCs w:val="14"/>
          <w:color w:val="auto"/>
        </w:rPr>
      </w:pPr>
      <w:r>
        <w:rPr>
          <w:rFonts w:ascii="Arial" w:cs="Arial" w:eastAsia="Arial" w:hAnsi="Arial"/>
          <w:sz w:val="14"/>
          <w:szCs w:val="14"/>
          <w:color w:val="auto"/>
        </w:rPr>
        <w:t xml:space="preserve">Dr. Flores, that will be effective upon closing of the offering, and replace his employment offer letter. The new employment agreement provides for Dr. Flores’ at-will employment and sets forth an annual base salary of $557,000, a target annual bonus opportunity at 50% of base salary, and eligibility to participate generally in our employee benefit plans. In addition, Dr. Flores has entered into a Proprietary Information and Assignment Agreement in connection with this offering, described below on page </w:t>
      </w:r>
      <w:hyperlink w:anchor="page178">
        <w:r>
          <w:rPr>
            <w:rFonts w:ascii="Arial" w:cs="Arial" w:eastAsia="Arial" w:hAnsi="Arial"/>
            <w:sz w:val="14"/>
            <w:szCs w:val="14"/>
            <w:u w:val="single" w:color="auto"/>
            <w:color w:val="0000EE"/>
          </w:rPr>
          <w:t>164</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greater detail.</w:t>
      </w:r>
    </w:p>
    <w:p>
      <w:pPr>
        <w:spacing w:after="0" w:line="98" w:lineRule="exact"/>
        <w:rPr>
          <w:sz w:val="20"/>
          <w:szCs w:val="20"/>
          <w:color w:val="auto"/>
        </w:rPr>
      </w:pPr>
    </w:p>
    <w:p>
      <w:pPr>
        <w:ind w:left="1220" w:right="1299"/>
        <w:spacing w:after="0" w:line="291" w:lineRule="auto"/>
        <w:rPr>
          <w:sz w:val="20"/>
          <w:szCs w:val="20"/>
          <w:color w:val="auto"/>
        </w:rPr>
      </w:pPr>
      <w:r>
        <w:rPr>
          <w:rFonts w:ascii="Arial" w:cs="Arial" w:eastAsia="Arial" w:hAnsi="Arial"/>
          <w:sz w:val="14"/>
          <w:szCs w:val="14"/>
          <w:color w:val="auto"/>
        </w:rPr>
        <w:t>Dr. Flores’ new employment agreement provides for severance benefits upon a termination of his employment by us without cause, or his resignation for good reason, subject to Dr. Flores’ execution of a general release of claims. The severance benefits are: (i) payment of all accrued and unpaid base salary, (ii) payment of any otherwise earned but unpaid annual bonus for the prior year, (iii) payment of pro-rata bonus for the year of termination, and (iv) continuation of his base salary and COBRA premiums paid by us for twelve (12) months. In addition, if such termination without “cause” or for “good reason” occurs within the three (3) month period prior to or the twelve (12) month period immediately following a change in control, then Dr. Flores’ salary and COBRA continuation period will be extended from twelve (12) months to eighteen (18) months, and he will receive a lump sum payment in an amount equal to his target annual bonus, and all outstanding equity awards subject to vesting solely based on the passage of time and Dr. Flores’ continued employment will become vested on the later of Dr. Flores’ termination date and the change in control.</w:t>
      </w:r>
    </w:p>
    <w:p>
      <w:pPr>
        <w:spacing w:after="0" w:line="3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Hyam Levitsky, M.D.</w:t>
      </w:r>
    </w:p>
    <w:p>
      <w:pPr>
        <w:spacing w:after="0" w:line="146" w:lineRule="exact"/>
        <w:rPr>
          <w:sz w:val="20"/>
          <w:szCs w:val="20"/>
          <w:color w:val="auto"/>
        </w:rPr>
      </w:pPr>
    </w:p>
    <w:p>
      <w:pPr>
        <w:ind w:left="1220" w:right="1619"/>
        <w:spacing w:after="0" w:line="289" w:lineRule="auto"/>
        <w:rPr>
          <w:sz w:val="20"/>
          <w:szCs w:val="20"/>
          <w:color w:val="auto"/>
        </w:rPr>
      </w:pPr>
      <w:r>
        <w:rPr>
          <w:rFonts w:ascii="Arial" w:cs="Arial" w:eastAsia="Arial" w:hAnsi="Arial"/>
          <w:sz w:val="14"/>
          <w:szCs w:val="14"/>
          <w:color w:val="auto"/>
        </w:rPr>
        <w:t>In March 2019, we entered into an employment agreement with Dr. Levitsky. The agreement provided for Dr. Levitsky’s at-will employment and set forth his initial annual base salary of:</w:t>
      </w:r>
    </w:p>
    <w:p>
      <w:pPr>
        <w:spacing w:after="0" w:line="1" w:lineRule="exact"/>
        <w:rPr>
          <w:sz w:val="20"/>
          <w:szCs w:val="20"/>
          <w:color w:val="auto"/>
        </w:rPr>
      </w:pPr>
    </w:p>
    <w:p>
      <w:pPr>
        <w:ind w:left="1220" w:right="1259" w:firstLine="4"/>
        <w:spacing w:after="0" w:line="291" w:lineRule="auto"/>
        <w:tabs>
          <w:tab w:leader="none" w:pos="1402" w:val="left"/>
        </w:tabs>
        <w:numPr>
          <w:ilvl w:val="0"/>
          <w:numId w:val="95"/>
        </w:numPr>
        <w:rPr>
          <w:rFonts w:ascii="Arial" w:cs="Arial" w:eastAsia="Arial" w:hAnsi="Arial"/>
          <w:sz w:val="14"/>
          <w:szCs w:val="14"/>
          <w:color w:val="auto"/>
        </w:rPr>
      </w:pPr>
      <w:r>
        <w:rPr>
          <w:rFonts w:ascii="Arial" w:cs="Arial" w:eastAsia="Arial" w:hAnsi="Arial"/>
          <w:sz w:val="14"/>
          <w:szCs w:val="14"/>
          <w:color w:val="auto"/>
        </w:rPr>
        <w:t>$500,000 if working at full-time capacity, or (ii) $375,000 if working at a 75% schedule, which requires an average minimum of 120 hours per month. The agreement also provides for an initial target annual bonus opportunity of up to 30% of base salary, a sign-on bonus of $100,000, equity incentive awards in the form of stock options to purchase shares of our common stock and eligibility to participate in our employee benefit plans. In lieu of the stock options discussed in the employment agreement, the Company sold to Dr. Levitsky an equivalent number of restricted shares in July 2019 at a price equal to what the option exercise price otherwise would have been. See “—Outstanding Equity Awards at Fiscal Year-End” for additional details regarding this restricted stock award. Dr. Levitsky’s employment agreement provides for a severance benefit of three (3) months of salary continuation following a termination of his employment by us without cause, subject to his execution of a general release of claims.</w:t>
      </w:r>
    </w:p>
    <w:p>
      <w:pPr>
        <w:spacing w:after="0" w:line="10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connection with this offering, we have entered into a new employment agreement with</w:t>
      </w:r>
    </w:p>
    <w:p>
      <w:pPr>
        <w:spacing w:after="0" w:line="33" w:lineRule="exact"/>
        <w:rPr>
          <w:sz w:val="20"/>
          <w:szCs w:val="20"/>
          <w:color w:val="auto"/>
        </w:rPr>
      </w:pPr>
    </w:p>
    <w:p>
      <w:pPr>
        <w:jc w:val="both"/>
        <w:ind w:left="1220" w:right="1379"/>
        <w:spacing w:after="0" w:line="289" w:lineRule="auto"/>
        <w:rPr>
          <w:sz w:val="20"/>
          <w:szCs w:val="20"/>
          <w:color w:val="auto"/>
        </w:rPr>
      </w:pPr>
      <w:r>
        <w:rPr>
          <w:rFonts w:ascii="Arial" w:cs="Arial" w:eastAsia="Arial" w:hAnsi="Arial"/>
          <w:sz w:val="14"/>
          <w:szCs w:val="14"/>
          <w:color w:val="auto"/>
        </w:rPr>
        <w:t>Dr. Levitsky, that will be effective upon closing of the offering and replace his prior employment agreement. The new employment agreement provides for Dr. Levitsky’s at-will employment and sets forth his annual base salary of $430,700, a target annual bonus opportunity at 40% of base salary, and eligibility to participate generally in our employee benefit plans. In addition, Dr.</w:t>
      </w:r>
    </w:p>
    <w:p>
      <w:pPr>
        <w:spacing w:after="0" w:line="1" w:lineRule="exact"/>
        <w:rPr>
          <w:sz w:val="20"/>
          <w:szCs w:val="20"/>
          <w:color w:val="auto"/>
        </w:rPr>
      </w:pPr>
    </w:p>
    <w:p>
      <w:pPr>
        <w:ind w:left="1220" w:right="1239"/>
        <w:spacing w:after="0" w:line="306" w:lineRule="auto"/>
        <w:rPr>
          <w:rFonts w:ascii="Arial" w:cs="Arial" w:eastAsia="Arial" w:hAnsi="Arial"/>
          <w:sz w:val="14"/>
          <w:szCs w:val="14"/>
          <w:color w:val="auto"/>
        </w:rPr>
      </w:pPr>
      <w:r>
        <w:rPr>
          <w:rFonts w:ascii="Arial" w:cs="Arial" w:eastAsia="Arial" w:hAnsi="Arial"/>
          <w:sz w:val="14"/>
          <w:szCs w:val="14"/>
          <w:color w:val="auto"/>
        </w:rPr>
        <w:t xml:space="preserve">Levitsky has entered into a new Proprietary Information and Assignment Agreement in connection with this offering, as described below on page </w:t>
      </w:r>
      <w:hyperlink w:anchor="page178">
        <w:r>
          <w:rPr>
            <w:rFonts w:ascii="Arial" w:cs="Arial" w:eastAsia="Arial" w:hAnsi="Arial"/>
            <w:sz w:val="14"/>
            <w:szCs w:val="14"/>
            <w:u w:val="single" w:color="auto"/>
            <w:color w:val="0000EE"/>
          </w:rPr>
          <w:t>164</w:t>
        </w:r>
      </w:hyperlink>
      <w:r>
        <w:rPr>
          <w:rFonts w:ascii="Arial" w:cs="Arial" w:eastAsia="Arial" w:hAnsi="Arial"/>
          <w:sz w:val="14"/>
          <w:szCs w:val="14"/>
          <w:color w:val="auto"/>
        </w:rPr>
        <w:t>.</w:t>
      </w:r>
    </w:p>
    <w:p>
      <w:pPr>
        <w:spacing w:after="0" w:line="86" w:lineRule="exact"/>
        <w:rPr>
          <w:sz w:val="20"/>
          <w:szCs w:val="20"/>
          <w:color w:val="auto"/>
        </w:rPr>
      </w:pPr>
    </w:p>
    <w:p>
      <w:pPr>
        <w:ind w:left="1220" w:right="1319"/>
        <w:spacing w:after="0" w:line="291" w:lineRule="auto"/>
        <w:rPr>
          <w:sz w:val="20"/>
          <w:szCs w:val="20"/>
          <w:color w:val="auto"/>
        </w:rPr>
      </w:pPr>
      <w:r>
        <w:rPr>
          <w:rFonts w:ascii="Arial" w:cs="Arial" w:eastAsia="Arial" w:hAnsi="Arial"/>
          <w:sz w:val="14"/>
          <w:szCs w:val="14"/>
          <w:color w:val="auto"/>
        </w:rPr>
        <w:t>Dr. Levitsky’s new employment agreement provides for severance benefits upon a termination of his employment by us without cause, or his resignation for good reason, subject to Dr. Levitsky’s execution of a general release of claims. The severance benefits are: (i) payment of all accrued and unpaid base salary, (ii) payment of any otherwise earned but unpaid annual bonus for the prior year, and (iii) payment of pro-rata bonus for the year of termination, and (iv) continuation of his base salary and COBRA premiums paid by us for nine (9) months. In addition, if such termination without “cause” or for “good reason” occurs within the three (3) month period prior to or twelve (12) month period immediately following a change in control, Dr. Levitsky’s salary and COBRA continuation period will be extended from nine (9) months to twelve (12) months, and he will receive a lump sum payment in an amount equal to his target annual bonus and all outstanding equity awards subject to vesting solely based on the passage of time and Dr. Levitsky’s continued employment will become vested on the later of Dr. Levitsky’s termination date and the change in control.</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8" w:name="page179"/>
    <w:bookmarkEnd w:id="17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Michael Diem, M.D.</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August 2020, we entered into an employment offer letter with Dr. Diem. The offer letter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provided for Dr. Diem’s at-will employment and set forth his initial annual base salary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$425,000, his initial target annual bonus opportunity of up to 40% of base salary (pro-rated for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any partial years of employment), and a sign-on bonus of $125,000; however, if terminated for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cause or if Dr. Diem resigns within 12 months of September 16, 2020, his start date, the sign-on</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bonus must be repaid in full (in the case of termination for cause) or on a pro-rata basis (in the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case of resignation) within 30 days of his termination date. The offer letter also provided for the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issuance of a stock option to purchase shares of our common stock and his eligibility to</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participate in our employee benefit plans. See “—Outstanding Equity Awards at Fiscal Year-End”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for additional details regarding the stock option granted to Dr. Diem in connection with his hire.</w:t>
      </w:r>
    </w:p>
    <w:p>
      <w:pPr>
        <w:spacing w:after="0" w:line="141" w:lineRule="exact"/>
        <w:rPr>
          <w:sz w:val="20"/>
          <w:szCs w:val="20"/>
          <w:color w:val="auto"/>
        </w:rPr>
      </w:pPr>
    </w:p>
    <w:p>
      <w:pPr>
        <w:ind w:left="1220" w:right="1259"/>
        <w:spacing w:after="0" w:line="275" w:lineRule="auto"/>
        <w:rPr>
          <w:rFonts w:ascii="Arial" w:cs="Arial" w:eastAsia="Arial" w:hAnsi="Arial"/>
          <w:sz w:val="14"/>
          <w:szCs w:val="14"/>
          <w:color w:val="auto"/>
        </w:rPr>
      </w:pPr>
      <w:r>
        <w:rPr>
          <w:rFonts w:ascii="Arial" w:cs="Arial" w:eastAsia="Arial" w:hAnsi="Arial"/>
          <w:sz w:val="14"/>
          <w:szCs w:val="14"/>
          <w:color w:val="auto"/>
        </w:rPr>
        <w:t xml:space="preserve">In connection with this offering, we have entered into a new employment agreement with Dr. Diem, that will be effective upon closing of the offering and replace his employment offer letter. The new employment agreement provides for Dr. Diem’s at-will employment and sets forth an annual base salary of $437,800, a target annual bonus opportunity at 40% of base salary, and eligibility to participate generally in employee benefit plans. The new employment agreement also provides that, if Dr. Diem is terminated for cause or if Dr. Diem resigns prior to September 16, 2021 (the first anniversary of his start date), the sign-on bonus repayment obligation described in the preceding paragraph will apply. Dr. Diem’s new employment agreement provides for the same severance benefits as those provided under Dr. Levitsky’s new employment agreement, described on page </w:t>
      </w:r>
      <w:hyperlink w:anchor="page177">
        <w:r>
          <w:rPr>
            <w:rFonts w:ascii="Arial" w:cs="Arial" w:eastAsia="Arial" w:hAnsi="Arial"/>
            <w:sz w:val="14"/>
            <w:szCs w:val="14"/>
            <w:u w:val="single" w:color="auto"/>
            <w:color w:val="0000EE"/>
          </w:rPr>
          <w:t>163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above. In addition, Dr. Diem has entered into a new Proprietary Information and Assignment Agreement in connection with this offering, as described immediately below.</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Proprietary information and assignment agreements</w:t>
      </w:r>
    </w:p>
    <w:p>
      <w:pPr>
        <w:spacing w:after="0" w:line="14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Each of Dr. Levitsky and Dr. Diem has previously entered into a Proprietary Information and Assignment Agreement with us that includes customary provisions regarding confidentiality and ownership of intellectual property, and certain restrictive covenants that apply for a period of one year following any cessation of employment. In connection with this offering and our entry into new employment agreements with the NEOs, each NEO entered into a new Proprietary Information and Assignment Agreement. These new Proprietary Information and Assignment Agreements include customary prohibitions against competition with us and solicitation of our customers and employees, both during employment and for one year following any cessation of employment for Dr. Flores and for nine months following cessation of employment for each of Dr. Levitsky and Dr. Diem. The Proprietary Information and Assignment Agreement are incorporated by reference into the new employment agreements and payment of any severance benefits under each executive’s new employment agreement is conditioned on continued compliance with his Proprietary Information and Assignment Agreement.</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provides information regarding the outstanding equity awards held by our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NEOs as of December 31, 2020. All awards were granted pursuant to the 2018 Plan. See “—</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Equity Incentive Plans—2018 Plan” below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9" w:name="page180"/>
    <w:bookmarkEnd w:id="17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417195</wp:posOffset>
            </wp:positionV>
            <wp:extent cx="5398770" cy="13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9877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20" w:type="dxa"/>
        <w:tblCellMar>
          <w:top w:w="0" w:type="dxa"/>
          <w:left w:w="0" w:type="dxa"/>
          <w:bottom w:w="0" w:type="dxa"/>
          <w:right w:w="0" w:type="dxa"/>
        </w:tblCellMar>
      </w:tblPr>
      <w:tr>
        <w:trPr>
          <w:trHeight w:val="179"/>
        </w:trPr>
        <w:tc>
          <w:tcPr>
            <w:tcW w:w="10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3"/>
                <w:szCs w:val="13"/>
                <w:b w:val="1"/>
                <w:bCs w:val="1"/>
                <w:color w:val="auto"/>
              </w:rPr>
              <w:t>Option awards</w:t>
            </w:r>
          </w:p>
        </w:tc>
        <w:tc>
          <w:tcPr>
            <w:tcW w:w="6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3"/>
                <w:szCs w:val="13"/>
                <w:b w:val="1"/>
                <w:bCs w:val="1"/>
                <w:color w:val="auto"/>
              </w:rPr>
              <w:t>Stock awards</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jc w:val="right"/>
              <w:ind w:right="55"/>
              <w:spacing w:after="0" w:line="136" w:lineRule="exact"/>
              <w:rPr>
                <w:sz w:val="20"/>
                <w:szCs w:val="20"/>
                <w:color w:val="auto"/>
              </w:rPr>
            </w:pPr>
            <w:r>
              <w:rPr>
                <w:rFonts w:ascii="Arial" w:cs="Arial" w:eastAsia="Arial" w:hAnsi="Arial"/>
                <w:sz w:val="13"/>
                <w:szCs w:val="13"/>
                <w:b w:val="1"/>
                <w:bCs w:val="1"/>
                <w:color w:val="auto"/>
              </w:rPr>
              <w:t>Equity</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right"/>
              <w:ind w:right="35"/>
              <w:spacing w:after="0" w:line="136" w:lineRule="exact"/>
              <w:rPr>
                <w:sz w:val="20"/>
                <w:szCs w:val="20"/>
                <w:color w:val="auto"/>
              </w:rPr>
            </w:pPr>
            <w:r>
              <w:rPr>
                <w:rFonts w:ascii="Arial" w:cs="Arial" w:eastAsia="Arial" w:hAnsi="Arial"/>
                <w:sz w:val="13"/>
                <w:szCs w:val="13"/>
                <w:b w:val="1"/>
                <w:bCs w:val="1"/>
                <w:color w:val="auto"/>
              </w:rPr>
              <w:t>Equity</w:t>
            </w:r>
          </w:p>
        </w:tc>
        <w:tc>
          <w:tcPr>
            <w:tcW w:w="102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b w:val="1"/>
                <w:bCs w:val="1"/>
                <w:color w:val="auto"/>
              </w:rPr>
              <w:t>incentive</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Market</w:t>
            </w:r>
          </w:p>
        </w:tc>
        <w:tc>
          <w:tcPr>
            <w:tcW w:w="1040" w:type="dxa"/>
            <w:vAlign w:val="bottom"/>
          </w:tcPr>
          <w:p>
            <w:pPr>
              <w:jc w:val="right"/>
              <w:ind w:right="35"/>
              <w:spacing w:after="0"/>
              <w:rPr>
                <w:sz w:val="20"/>
                <w:szCs w:val="20"/>
                <w:color w:val="auto"/>
              </w:rPr>
            </w:pPr>
            <w:r>
              <w:rPr>
                <w:rFonts w:ascii="Arial" w:cs="Arial" w:eastAsia="Arial" w:hAnsi="Arial"/>
                <w:sz w:val="13"/>
                <w:szCs w:val="13"/>
                <w:b w:val="1"/>
                <w:bCs w:val="1"/>
                <w:color w:val="auto"/>
              </w:rPr>
              <w:t>incentive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jc w:val="right"/>
              <w:ind w:right="55"/>
              <w:spacing w:after="0" w:line="141" w:lineRule="exact"/>
              <w:rPr>
                <w:sz w:val="20"/>
                <w:szCs w:val="20"/>
                <w:color w:val="auto"/>
              </w:rPr>
            </w:pPr>
            <w:r>
              <w:rPr>
                <w:rFonts w:ascii="Arial" w:cs="Arial" w:eastAsia="Arial" w:hAnsi="Arial"/>
                <w:sz w:val="13"/>
                <w:szCs w:val="13"/>
                <w:b w:val="1"/>
                <w:bCs w:val="1"/>
                <w:color w:val="auto"/>
              </w:rPr>
              <w:t>plan awards:</w:t>
            </w: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6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plan awards: awards: market</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960" w:type="dxa"/>
            <w:vAlign w:val="bottom"/>
          </w:tcPr>
          <w:p>
            <w:pPr>
              <w:jc w:val="right"/>
              <w:ind w:right="55"/>
              <w:spacing w:after="0"/>
              <w:rPr>
                <w:sz w:val="20"/>
                <w:szCs w:val="20"/>
                <w:color w:val="auto"/>
              </w:rPr>
            </w:pPr>
            <w:r>
              <w:rPr>
                <w:rFonts w:ascii="Arial" w:cs="Arial" w:eastAsia="Arial" w:hAnsi="Arial"/>
                <w:sz w:val="13"/>
                <w:szCs w:val="13"/>
                <w:b w:val="1"/>
                <w:bCs w:val="1"/>
                <w:color w:val="auto"/>
              </w:rPr>
              <w:t>number of</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rPr>
              <w:t>value of</w:t>
            </w:r>
          </w:p>
        </w:tc>
        <w:tc>
          <w:tcPr>
            <w:tcW w:w="2060" w:type="dxa"/>
            <w:vAlign w:val="bottom"/>
            <w:gridSpan w:val="2"/>
          </w:tcPr>
          <w:p>
            <w:pPr>
              <w:jc w:val="right"/>
              <w:spacing w:after="0"/>
              <w:rPr>
                <w:sz w:val="20"/>
                <w:szCs w:val="20"/>
                <w:color w:val="auto"/>
              </w:rPr>
            </w:pPr>
            <w:r>
              <w:rPr>
                <w:rFonts w:ascii="Arial" w:cs="Arial" w:eastAsia="Arial" w:hAnsi="Arial"/>
                <w:sz w:val="13"/>
                <w:szCs w:val="13"/>
                <w:b w:val="1"/>
                <w:bCs w:val="1"/>
                <w:color w:val="auto"/>
              </w:rPr>
              <w:t>number of or payout value</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securities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960" w:type="dxa"/>
            <w:vAlign w:val="bottom"/>
          </w:tcPr>
          <w:p>
            <w:pPr>
              <w:jc w:val="right"/>
              <w:ind w:right="55"/>
              <w:spacing w:after="0"/>
              <w:rPr>
                <w:sz w:val="20"/>
                <w:szCs w:val="20"/>
                <w:color w:val="auto"/>
              </w:rPr>
            </w:pPr>
            <w:r>
              <w:rPr>
                <w:rFonts w:ascii="Arial" w:cs="Arial" w:eastAsia="Arial" w:hAnsi="Arial"/>
                <w:sz w:val="13"/>
                <w:szCs w:val="13"/>
                <w:b w:val="1"/>
                <w:bCs w:val="1"/>
                <w:color w:val="auto"/>
              </w:rPr>
              <w:t>securities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rPr>
              <w:t>shares or</w:t>
            </w:r>
          </w:p>
        </w:tc>
        <w:tc>
          <w:tcPr>
            <w:tcW w:w="1040" w:type="dxa"/>
            <w:vAlign w:val="bottom"/>
          </w:tcPr>
          <w:p>
            <w:pPr>
              <w:jc w:val="right"/>
              <w:ind w:right="35"/>
              <w:spacing w:after="0"/>
              <w:rPr>
                <w:sz w:val="20"/>
                <w:szCs w:val="20"/>
                <w:color w:val="auto"/>
              </w:rPr>
            </w:pPr>
            <w:r>
              <w:rPr>
                <w:rFonts w:ascii="Arial" w:cs="Arial" w:eastAsia="Arial" w:hAnsi="Arial"/>
                <w:sz w:val="13"/>
                <w:szCs w:val="13"/>
                <w:b w:val="1"/>
                <w:bCs w:val="1"/>
                <w:color w:val="auto"/>
              </w:rPr>
              <w:t>unearned</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960" w:type="dxa"/>
            <w:vAlign w:val="bottom"/>
          </w:tcPr>
          <w:p>
            <w:pPr>
              <w:jc w:val="right"/>
              <w:ind w:right="55"/>
              <w:spacing w:after="0"/>
              <w:rPr>
                <w:sz w:val="20"/>
                <w:szCs w:val="20"/>
                <w:color w:val="auto"/>
              </w:rPr>
            </w:pPr>
            <w:r>
              <w:rPr>
                <w:rFonts w:ascii="Arial" w:cs="Arial" w:eastAsia="Arial" w:hAnsi="Arial"/>
                <w:sz w:val="13"/>
                <w:szCs w:val="13"/>
                <w:b w:val="1"/>
                <w:bCs w:val="1"/>
                <w:color w:val="auto"/>
              </w:rPr>
              <w:t>underlying</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or units of</w:t>
            </w:r>
          </w:p>
        </w:tc>
        <w:tc>
          <w:tcPr>
            <w:tcW w:w="2820" w:type="dxa"/>
            <w:vAlign w:val="bottom"/>
            <w:gridSpan w:val="3"/>
          </w:tcPr>
          <w:p>
            <w:pPr>
              <w:jc w:val="right"/>
              <w:spacing w:after="0"/>
              <w:rPr>
                <w:sz w:val="20"/>
                <w:szCs w:val="20"/>
                <w:color w:val="auto"/>
              </w:rPr>
            </w:pPr>
            <w:r>
              <w:rPr>
                <w:rFonts w:ascii="Arial" w:cs="Arial" w:eastAsia="Arial" w:hAnsi="Arial"/>
                <w:sz w:val="13"/>
                <w:szCs w:val="13"/>
                <w:b w:val="1"/>
                <w:bCs w:val="1"/>
                <w:color w:val="auto"/>
              </w:rPr>
              <w:t>units of shares, units or shares, units or</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unexercised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960" w:type="dxa"/>
            <w:vAlign w:val="bottom"/>
          </w:tcPr>
          <w:p>
            <w:pPr>
              <w:jc w:val="right"/>
              <w:ind w:right="55"/>
              <w:spacing w:after="0"/>
              <w:rPr>
                <w:sz w:val="20"/>
                <w:szCs w:val="20"/>
                <w:color w:val="auto"/>
              </w:rPr>
            </w:pPr>
            <w:r>
              <w:rPr>
                <w:rFonts w:ascii="Arial" w:cs="Arial" w:eastAsia="Arial" w:hAnsi="Arial"/>
                <w:sz w:val="13"/>
                <w:szCs w:val="13"/>
                <w:b w:val="1"/>
                <w:bCs w:val="1"/>
                <w:color w:val="auto"/>
              </w:rPr>
              <w:t>unexercised</w:t>
            </w:r>
          </w:p>
        </w:tc>
        <w:tc>
          <w:tcPr>
            <w:tcW w:w="620" w:type="dxa"/>
            <w:vAlign w:val="bottom"/>
          </w:tcPr>
          <w:p>
            <w:pPr>
              <w:jc w:val="right"/>
              <w:ind w:right="95"/>
              <w:spacing w:after="0"/>
              <w:rPr>
                <w:sz w:val="20"/>
                <w:szCs w:val="20"/>
                <w:color w:val="auto"/>
              </w:rPr>
            </w:pPr>
            <w:r>
              <w:rPr>
                <w:rFonts w:ascii="Arial" w:cs="Arial" w:eastAsia="Arial" w:hAnsi="Arial"/>
                <w:sz w:val="13"/>
                <w:szCs w:val="13"/>
                <w:b w:val="1"/>
                <w:bCs w:val="1"/>
                <w:color w:val="auto"/>
              </w:rPr>
              <w:t>Option</w:t>
            </w:r>
          </w:p>
        </w:tc>
        <w:tc>
          <w:tcPr>
            <w:tcW w:w="208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Option stock that stock that</w:t>
            </w:r>
          </w:p>
        </w:tc>
        <w:tc>
          <w:tcPr>
            <w:tcW w:w="1040" w:type="dxa"/>
            <w:vAlign w:val="bottom"/>
          </w:tcPr>
          <w:p>
            <w:pPr>
              <w:jc w:val="right"/>
              <w:ind w:right="35"/>
              <w:spacing w:after="0"/>
              <w:rPr>
                <w:sz w:val="20"/>
                <w:szCs w:val="20"/>
                <w:color w:val="auto"/>
              </w:rPr>
            </w:pPr>
            <w:r>
              <w:rPr>
                <w:rFonts w:ascii="Arial" w:cs="Arial" w:eastAsia="Arial" w:hAnsi="Arial"/>
                <w:sz w:val="13"/>
                <w:szCs w:val="13"/>
                <w:b w:val="1"/>
                <w:bCs w:val="1"/>
                <w:color w:val="auto"/>
              </w:rPr>
              <w:t>other rights</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51"/>
        </w:trPr>
        <w:tc>
          <w:tcPr>
            <w:tcW w:w="1000" w:type="dxa"/>
            <w:vAlign w:val="bottom"/>
          </w:tcPr>
          <w:p>
            <w:pPr>
              <w:spacing w:after="0"/>
              <w:rPr>
                <w:sz w:val="20"/>
                <w:szCs w:val="20"/>
                <w:color w:val="auto"/>
              </w:rPr>
            </w:pPr>
            <w:r>
              <w:rPr>
                <w:rFonts w:ascii="Arial" w:cs="Arial" w:eastAsia="Arial" w:hAnsi="Arial"/>
                <w:sz w:val="13"/>
                <w:szCs w:val="13"/>
                <w:b w:val="1"/>
                <w:bCs w:val="1"/>
                <w:color w:val="auto"/>
              </w:rPr>
              <w:t>Name and</w:t>
            </w: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2180" w:type="dxa"/>
            <w:vAlign w:val="bottom"/>
            <w:gridSpan w:val="3"/>
          </w:tcPr>
          <w:p>
            <w:pPr>
              <w:jc w:val="right"/>
              <w:spacing w:after="0"/>
              <w:rPr>
                <w:sz w:val="20"/>
                <w:szCs w:val="20"/>
                <w:color w:val="auto"/>
              </w:rPr>
            </w:pPr>
            <w:r>
              <w:rPr>
                <w:rFonts w:ascii="Arial" w:cs="Arial" w:eastAsia="Arial" w:hAnsi="Arial"/>
                <w:sz w:val="13"/>
                <w:szCs w:val="13"/>
                <w:b w:val="1"/>
                <w:bCs w:val="1"/>
                <w:color w:val="auto"/>
              </w:rPr>
              <w:t>unearned exercise expiration</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rPr>
              <w:t>have not</w:t>
            </w:r>
          </w:p>
        </w:tc>
        <w:tc>
          <w:tcPr>
            <w:tcW w:w="1040" w:type="dxa"/>
            <w:vAlign w:val="bottom"/>
          </w:tcPr>
          <w:p>
            <w:pPr>
              <w:jc w:val="right"/>
              <w:ind w:right="35"/>
              <w:spacing w:after="0"/>
              <w:rPr>
                <w:sz w:val="20"/>
                <w:szCs w:val="20"/>
                <w:color w:val="auto"/>
              </w:rPr>
            </w:pPr>
            <w:r>
              <w:rPr>
                <w:rFonts w:ascii="Arial" w:cs="Arial" w:eastAsia="Arial" w:hAnsi="Arial"/>
                <w:sz w:val="13"/>
                <w:szCs w:val="13"/>
                <w:b w:val="1"/>
                <w:bCs w:val="1"/>
                <w:color w:val="auto"/>
              </w:rPr>
              <w:t>that have not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144"/>
        </w:trPr>
        <w:tc>
          <w:tcPr>
            <w:tcW w:w="1000" w:type="dxa"/>
            <w:vAlign w:val="bottom"/>
          </w:tcPr>
          <w:p>
            <w:pPr>
              <w:spacing w:after="0" w:line="144" w:lineRule="exact"/>
              <w:rPr>
                <w:sz w:val="20"/>
                <w:szCs w:val="20"/>
                <w:color w:val="auto"/>
              </w:rPr>
            </w:pPr>
            <w:r>
              <w:rPr>
                <w:rFonts w:ascii="Arial" w:cs="Arial" w:eastAsia="Arial" w:hAnsi="Arial"/>
                <w:sz w:val="13"/>
                <w:szCs w:val="13"/>
                <w:b w:val="1"/>
                <w:bCs w:val="1"/>
                <w:color w:val="auto"/>
              </w:rPr>
              <w:t>principal</w:t>
            </w:r>
          </w:p>
        </w:tc>
        <w:tc>
          <w:tcPr>
            <w:tcW w:w="178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exercisable unexercisable</w:t>
            </w:r>
          </w:p>
        </w:tc>
        <w:tc>
          <w:tcPr>
            <w:tcW w:w="96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options</w:t>
            </w:r>
          </w:p>
        </w:tc>
        <w:tc>
          <w:tcPr>
            <w:tcW w:w="62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price</w:t>
            </w:r>
          </w:p>
        </w:tc>
        <w:tc>
          <w:tcPr>
            <w:tcW w:w="6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date</w:t>
            </w: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vested</w:t>
            </w:r>
          </w:p>
        </w:tc>
        <w:tc>
          <w:tcPr>
            <w:tcW w:w="760" w:type="dxa"/>
            <w:vAlign w:val="bottom"/>
          </w:tcPr>
          <w:p>
            <w:pPr>
              <w:jc w:val="right"/>
              <w:ind w:right="56"/>
              <w:spacing w:after="0" w:line="144" w:lineRule="exact"/>
              <w:rPr>
                <w:sz w:val="20"/>
                <w:szCs w:val="20"/>
                <w:color w:val="auto"/>
              </w:rPr>
            </w:pPr>
            <w:r>
              <w:rPr>
                <w:rFonts w:ascii="Arial" w:cs="Arial" w:eastAsia="Arial" w:hAnsi="Arial"/>
                <w:sz w:val="13"/>
                <w:szCs w:val="13"/>
                <w:b w:val="1"/>
                <w:bCs w:val="1"/>
                <w:color w:val="auto"/>
              </w:rPr>
              <w:t>vested</w:t>
            </w:r>
          </w:p>
        </w:tc>
        <w:tc>
          <w:tcPr>
            <w:tcW w:w="104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vested</w:t>
            </w:r>
          </w:p>
        </w:tc>
        <w:tc>
          <w:tcPr>
            <w:tcW w:w="10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95"/>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56"/>
              <w:spacing w:after="0" w:line="16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040" w:type="dxa"/>
            <w:vAlign w:val="bottom"/>
          </w:tcPr>
          <w:p>
            <w:pPr>
              <w:jc w:val="right"/>
              <w:ind w:right="35"/>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4"/>
        </w:trPr>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(b)</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(d)</w:t>
            </w: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(h)</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20"/>
                <w:szCs w:val="20"/>
                <w:color w:val="auto"/>
              </w:rPr>
            </w:pPr>
            <w:r>
              <w:rPr>
                <w:rFonts w:ascii="Arial" w:cs="Arial" w:eastAsia="Arial" w:hAnsi="Arial"/>
                <w:sz w:val="13"/>
                <w:szCs w:val="13"/>
                <w:color w:val="auto"/>
              </w:rPr>
              <w:t>Osvaldo Flores,</w:t>
            </w:r>
          </w:p>
        </w:tc>
        <w:tc>
          <w:tcPr>
            <w:tcW w:w="900" w:type="dxa"/>
            <w:vAlign w:val="bottom"/>
          </w:tcPr>
          <w:p>
            <w:pPr>
              <w:spacing w:after="0"/>
              <w:rPr>
                <w:sz w:val="13"/>
                <w:szCs w:val="13"/>
                <w:color w:val="auto"/>
              </w:rPr>
            </w:pPr>
          </w:p>
        </w:tc>
        <w:tc>
          <w:tcPr>
            <w:tcW w:w="1840" w:type="dxa"/>
            <w:vAlign w:val="bottom"/>
            <w:gridSpan w:val="2"/>
            <w:vMerge w:val="restart"/>
          </w:tcPr>
          <w:p>
            <w:pPr>
              <w:jc w:val="right"/>
              <w:ind w:right="855"/>
              <w:spacing w:after="0"/>
              <w:rPr>
                <w:sz w:val="20"/>
                <w:szCs w:val="20"/>
                <w:color w:val="auto"/>
              </w:rPr>
            </w:pPr>
            <w:r>
              <w:rPr>
                <w:rFonts w:ascii="Arial" w:cs="Arial" w:eastAsia="Arial" w:hAnsi="Arial"/>
                <w:sz w:val="13"/>
                <w:szCs w:val="13"/>
                <w:color w:val="auto"/>
              </w:rPr>
              <w:t>537,500</w:t>
            </w:r>
            <w:r>
              <w:rPr>
                <w:rFonts w:ascii="Arial" w:cs="Arial" w:eastAsia="Arial" w:hAnsi="Arial"/>
                <w:sz w:val="20"/>
                <w:szCs w:val="20"/>
                <w:color w:val="auto"/>
                <w:vertAlign w:val="superscript"/>
              </w:rPr>
              <w:t>(2)</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ind w:left="120"/>
              <w:spacing w:after="0"/>
              <w:rPr>
                <w:sz w:val="20"/>
                <w:szCs w:val="20"/>
                <w:color w:val="auto"/>
              </w:rPr>
            </w:pPr>
            <w:r>
              <w:rPr>
                <w:rFonts w:ascii="Arial" w:cs="Arial" w:eastAsia="Arial" w:hAnsi="Arial"/>
                <w:sz w:val="13"/>
                <w:szCs w:val="13"/>
                <w:color w:val="auto"/>
              </w:rPr>
              <w:t>Ph.D.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vMerge w:val="continue"/>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0.69 10/1/2030</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3"/>
                <w:szCs w:val="13"/>
                <w:color w:val="auto"/>
              </w:rPr>
              <w:t>537,500</w:t>
            </w:r>
            <w:r>
              <w:rPr>
                <w:rFonts w:ascii="Arial" w:cs="Arial" w:eastAsia="Arial" w:hAnsi="Arial"/>
                <w:sz w:val="20"/>
                <w:szCs w:val="20"/>
                <w:color w:val="auto"/>
                <w:vertAlign w:val="superscript"/>
              </w:rPr>
              <w:t>(3)</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0.69 10/1/2030</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000" w:type="dxa"/>
            <w:vAlign w:val="bottom"/>
            <w:vMerge w:val="restart"/>
          </w:tcPr>
          <w:p>
            <w:pPr>
              <w:spacing w:after="0"/>
              <w:rPr>
                <w:sz w:val="20"/>
                <w:szCs w:val="20"/>
                <w:color w:val="auto"/>
              </w:rPr>
            </w:pPr>
            <w:r>
              <w:rPr>
                <w:rFonts w:ascii="Arial" w:cs="Arial" w:eastAsia="Arial" w:hAnsi="Arial"/>
                <w:sz w:val="13"/>
                <w:szCs w:val="13"/>
                <w:color w:val="auto"/>
              </w:rPr>
              <w:t>Hyam Levitsky,</w:t>
            </w: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80" w:type="dxa"/>
            <w:vAlign w:val="bottom"/>
            <w:gridSpan w:val="2"/>
          </w:tcPr>
          <w:p>
            <w:pPr>
              <w:jc w:val="right"/>
              <w:ind w:right="16"/>
              <w:spacing w:after="0"/>
              <w:rPr>
                <w:sz w:val="20"/>
                <w:szCs w:val="20"/>
                <w:color w:val="auto"/>
              </w:rPr>
            </w:pPr>
            <w:r>
              <w:rPr>
                <w:rFonts w:ascii="Arial" w:cs="Arial" w:eastAsia="Arial" w:hAnsi="Arial"/>
                <w:sz w:val="13"/>
                <w:szCs w:val="13"/>
                <w:color w:val="auto"/>
                <w:w w:val="99"/>
              </w:rPr>
              <w:t>1,219,785</w:t>
            </w:r>
            <w:r>
              <w:rPr>
                <w:rFonts w:ascii="Arial" w:cs="Arial" w:eastAsia="Arial" w:hAnsi="Arial"/>
                <w:sz w:val="20"/>
                <w:szCs w:val="20"/>
                <w:color w:val="auto"/>
                <w:w w:val="99"/>
                <w:vertAlign w:val="superscript"/>
              </w:rPr>
              <w:t>(4)</w:t>
            </w:r>
            <w:r>
              <w:rPr>
                <w:rFonts w:ascii="Arial" w:cs="Arial" w:eastAsia="Arial" w:hAnsi="Arial"/>
                <w:sz w:val="13"/>
                <w:szCs w:val="13"/>
                <w:color w:val="auto"/>
                <w:w w:val="99"/>
              </w:rPr>
              <w:t>841,651.66</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0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rPr>
              <w:t>815,625</w:t>
            </w:r>
            <w:r>
              <w:rPr>
                <w:rFonts w:ascii="Arial" w:cs="Arial" w:eastAsia="Arial" w:hAnsi="Arial"/>
                <w:sz w:val="20"/>
                <w:szCs w:val="20"/>
                <w:color w:val="auto"/>
                <w:vertAlign w:val="superscript"/>
              </w:rPr>
              <w:t>(5)</w:t>
            </w:r>
            <w:r>
              <w:rPr>
                <w:rFonts w:ascii="Arial" w:cs="Arial" w:eastAsia="Arial" w:hAnsi="Arial"/>
                <w:sz w:val="13"/>
                <w:szCs w:val="13"/>
                <w:color w:val="auto"/>
              </w:rPr>
              <w:t>562,781.25</w:t>
            </w: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000" w:type="dxa"/>
            <w:vAlign w:val="bottom"/>
          </w:tcPr>
          <w:p>
            <w:pPr>
              <w:ind w:left="120"/>
              <w:spacing w:after="0"/>
              <w:rPr>
                <w:sz w:val="20"/>
                <w:szCs w:val="20"/>
                <w:color w:val="auto"/>
              </w:rPr>
            </w:pPr>
            <w:r>
              <w:rPr>
                <w:rFonts w:ascii="Arial" w:cs="Arial" w:eastAsia="Arial" w:hAnsi="Arial"/>
                <w:sz w:val="13"/>
                <w:szCs w:val="13"/>
                <w:color w:val="auto"/>
              </w:rPr>
              <w:t>M.D.</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Michael</w:t>
            </w: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933,707</w:t>
            </w:r>
            <w:r>
              <w:rPr>
                <w:rFonts w:ascii="Arial" w:cs="Arial" w:eastAsia="Arial" w:hAnsi="Arial"/>
                <w:sz w:val="20"/>
                <w:szCs w:val="20"/>
                <w:color w:val="auto"/>
                <w:vertAlign w:val="superscript"/>
              </w:rPr>
              <w:t>(6)</w:t>
            </w: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Diem, M.D.</w:t>
            </w:r>
          </w:p>
        </w:tc>
        <w:tc>
          <w:tcPr>
            <w:tcW w:w="9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0.69 9/30/2030</w:t>
            </w:r>
          </w:p>
        </w:tc>
        <w:tc>
          <w:tcPr>
            <w:tcW w:w="7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-986155</wp:posOffset>
            </wp:positionV>
            <wp:extent cx="5398770" cy="2400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98770" cy="240030"/>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-615950</wp:posOffset>
            </wp:positionV>
            <wp:extent cx="5398770" cy="1231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398770" cy="123190"/>
                    </a:xfrm>
                    <a:prstGeom prst="rect">
                      <a:avLst/>
                    </a:prstGeom>
                    <a:noFill/>
                  </pic:spPr>
                </pic:pic>
              </a:graphicData>
            </a:graphic>
          </wp:anchor>
        </w:drawing>
      </w:r>
    </w:p>
    <w:p>
      <w:pPr>
        <w:spacing w:after="0" w:line="152" w:lineRule="exact"/>
        <w:rPr>
          <w:sz w:val="20"/>
          <w:szCs w:val="20"/>
          <w:color w:val="auto"/>
        </w:rPr>
      </w:pPr>
    </w:p>
    <w:p>
      <w:pPr>
        <w:ind w:left="1220" w:right="1520" w:firstLine="4"/>
        <w:spacing w:after="0" w:line="235" w:lineRule="auto"/>
        <w:tabs>
          <w:tab w:leader="none" w:pos="1458" w:val="left"/>
        </w:tabs>
        <w:numPr>
          <w:ilvl w:val="0"/>
          <w:numId w:val="96"/>
        </w:numPr>
        <w:rPr>
          <w:rFonts w:ascii="Arial" w:cs="Arial" w:eastAsia="Arial" w:hAnsi="Arial"/>
          <w:sz w:val="11"/>
          <w:szCs w:val="11"/>
          <w:color w:val="auto"/>
        </w:rPr>
      </w:pPr>
      <w:r>
        <w:rPr>
          <w:rFonts w:ascii="Arial" w:cs="Arial" w:eastAsia="Arial" w:hAnsi="Arial"/>
          <w:sz w:val="11"/>
          <w:szCs w:val="11"/>
          <w:color w:val="auto"/>
        </w:rPr>
        <w:t>For this purpose, the value of each share of Restricted Stock on December 31, 2020 was estimated to be $0.69, based on the most recent independent valuation of our common stock prior to that date.</w:t>
      </w:r>
    </w:p>
    <w:p>
      <w:pPr>
        <w:spacing w:after="0" w:line="43" w:lineRule="exact"/>
        <w:rPr>
          <w:rFonts w:ascii="Arial" w:cs="Arial" w:eastAsia="Arial" w:hAnsi="Arial"/>
          <w:sz w:val="11"/>
          <w:szCs w:val="11"/>
          <w:color w:val="auto"/>
        </w:rPr>
      </w:pPr>
    </w:p>
    <w:p>
      <w:pPr>
        <w:ind w:left="1220" w:right="1460" w:firstLine="4"/>
        <w:spacing w:after="0" w:line="230" w:lineRule="auto"/>
        <w:tabs>
          <w:tab w:leader="none" w:pos="1456"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This option was granted on October 20, 2020 and vests as follows: 25% on the first anniversary of the grant date and the remaining 75% in 36 equal monthly installments thereafter. Vesting of the award requires continued employment through the applicable vesting date, provided that vesting will accelerate upon a termination without cause within 12 months following a sale event.</w:t>
      </w:r>
    </w:p>
    <w:p>
      <w:pPr>
        <w:spacing w:after="0" w:line="36" w:lineRule="exact"/>
        <w:rPr>
          <w:rFonts w:ascii="Arial" w:cs="Arial" w:eastAsia="Arial" w:hAnsi="Arial"/>
          <w:sz w:val="11"/>
          <w:szCs w:val="11"/>
          <w:color w:val="auto"/>
        </w:rPr>
      </w:pPr>
    </w:p>
    <w:p>
      <w:pPr>
        <w:ind w:left="1460" w:hanging="236"/>
        <w:spacing w:after="0"/>
        <w:tabs>
          <w:tab w:leader="none" w:pos="1460"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This option will vest upon the first to occur of (a) our closing of a business development transaction prior to June 30, 2021 or</w:t>
      </w:r>
    </w:p>
    <w:p>
      <w:pPr>
        <w:ind w:left="1220" w:right="1380"/>
        <w:spacing w:after="0"/>
        <w:rPr>
          <w:rFonts w:ascii="Arial" w:cs="Arial" w:eastAsia="Arial" w:hAnsi="Arial"/>
          <w:sz w:val="11"/>
          <w:szCs w:val="11"/>
          <w:color w:val="auto"/>
        </w:rPr>
      </w:pPr>
      <w:r>
        <w:rPr>
          <w:rFonts w:ascii="Arial" w:cs="Arial" w:eastAsia="Arial" w:hAnsi="Arial"/>
          <w:sz w:val="11"/>
          <w:szCs w:val="11"/>
          <w:color w:val="auto"/>
        </w:rPr>
        <w:t>(b) our closing of an initial public offering prior to August 13, 2021, in each case provided that specified financial metrics are achieved in connection with the closing. Vesting of the award requires continued employment through the applicable vesting date, provided that vesting will accelerate upon a termination without cause within 12 months following a sale event. If this offering is completed prior to August 13, 2021 and Dr. Flores remains in service through that time, this option will then become fully vested and exercisable.</w:t>
      </w:r>
    </w:p>
    <w:p>
      <w:pPr>
        <w:spacing w:after="0" w:line="152" w:lineRule="exact"/>
        <w:rPr>
          <w:rFonts w:ascii="Arial" w:cs="Arial" w:eastAsia="Arial" w:hAnsi="Arial"/>
          <w:sz w:val="11"/>
          <w:szCs w:val="11"/>
          <w:color w:val="auto"/>
        </w:rPr>
      </w:pPr>
    </w:p>
    <w:p>
      <w:pPr>
        <w:ind w:left="1220" w:right="1380" w:firstLine="4"/>
        <w:spacing w:after="0" w:line="230" w:lineRule="auto"/>
        <w:tabs>
          <w:tab w:leader="none" w:pos="1456"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This restricted stock award was granted on September 10, 2018 and vests as follows: 25% on the first anniversary of the grant date and the remaining 75% in 36 equal monthly installments thereafter. Vesting of the award requires continued employment through the applicable vesting date, provided that vesting will accelerate in full upon a termination without cause or a resignation with good reason within 12 months following a change in control.</w:t>
      </w:r>
    </w:p>
    <w:p>
      <w:pPr>
        <w:spacing w:after="0" w:line="43" w:lineRule="exact"/>
        <w:rPr>
          <w:rFonts w:ascii="Arial" w:cs="Arial" w:eastAsia="Arial" w:hAnsi="Arial"/>
          <w:sz w:val="11"/>
          <w:szCs w:val="11"/>
          <w:color w:val="auto"/>
        </w:rPr>
      </w:pPr>
    </w:p>
    <w:p>
      <w:pPr>
        <w:ind w:left="1220" w:right="1360" w:firstLine="4"/>
        <w:spacing w:after="0" w:line="229" w:lineRule="auto"/>
        <w:tabs>
          <w:tab w:leader="none" w:pos="1456"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This restricted stock award was granted on July 18, 2019 and vests as follows: 25% on May 1, 2020 and the remaining 75% in 36 equal monthly installments thereafter. Vesting of the award requires continued employment through the applicable vesting date. The shares subject to this restricted stock award are held by a trust for the benefit of Dr. Levitsky’s family. We authorized the transfer to facilitate Dr. Levitsky’s estate planning and that the shares remain subject to all the same transfer restrictions and vesting conditions as would have applied in the absence of such transfer.</w:t>
      </w:r>
    </w:p>
    <w:p>
      <w:pPr>
        <w:spacing w:after="0" w:line="43" w:lineRule="exact"/>
        <w:rPr>
          <w:rFonts w:ascii="Arial" w:cs="Arial" w:eastAsia="Arial" w:hAnsi="Arial"/>
          <w:sz w:val="11"/>
          <w:szCs w:val="11"/>
          <w:color w:val="auto"/>
        </w:rPr>
      </w:pPr>
    </w:p>
    <w:p>
      <w:pPr>
        <w:ind w:left="1220" w:right="1420" w:firstLine="4"/>
        <w:spacing w:after="0"/>
        <w:tabs>
          <w:tab w:leader="none" w:pos="1456"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This option was granted on October 1, 2020 and vests as follows: 25% on September 16, 2021 and the remaining 75% in 36 equal monthly installments thereafter. Vesting of the award requires continued employment through the applicable vesting date. On February 24, 2021, Dr. Diem utilized the early exercise feature of his stock option to purchase 200,000 restricted shares of common stock subject to the same vesting schedule as the original option, leaving 733,707 options outstanding under this option award.</w:t>
      </w:r>
    </w:p>
    <w:p>
      <w:pPr>
        <w:spacing w:after="0" w:line="206" w:lineRule="exact"/>
        <w:rPr>
          <w:sz w:val="20"/>
          <w:szCs w:val="20"/>
          <w:color w:val="auto"/>
        </w:rPr>
      </w:pPr>
    </w:p>
    <w:p>
      <w:pPr>
        <w:ind w:left="1220" w:right="1440"/>
        <w:spacing w:after="0" w:line="259" w:lineRule="auto"/>
        <w:rPr>
          <w:sz w:val="20"/>
          <w:szCs w:val="20"/>
          <w:color w:val="auto"/>
        </w:rPr>
      </w:pPr>
      <w:r>
        <w:rPr>
          <w:rFonts w:ascii="Arial" w:cs="Arial" w:eastAsia="Arial" w:hAnsi="Arial"/>
          <w:sz w:val="14"/>
          <w:szCs w:val="14"/>
          <w:color w:val="auto"/>
        </w:rPr>
        <w:t>In addition to the equity awards shown in the table above, we made stock option awards on April 14, 2021 to each of Dr. Flores, Dr. Levitsky and Dr. Diem with respect to 1,956,060, 50,000 and 320,000 shares of our common stock, respectively. The exercise price of each option is $2.89 per share. Each such stock option will vest 25% upon the one-year anniversary of the closing of this offering and 2.0833% per month for the following 36 months, subject to the optionee’s continued service through the applicable vesting date. Our compensation committee made these awards, with input from its independent compensation consultant, to align the NEOs total potential ownership interests with market data.</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Equity incentive plans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2021 Plan</w:t>
      </w:r>
    </w:p>
    <w:p>
      <w:pPr>
        <w:spacing w:after="0" w:line="136" w:lineRule="exact"/>
        <w:rPr>
          <w:sz w:val="20"/>
          <w:szCs w:val="20"/>
          <w:color w:val="auto"/>
        </w:rPr>
      </w:pPr>
    </w:p>
    <w:p>
      <w:pPr>
        <w:ind w:left="1220" w:right="1600"/>
        <w:spacing w:after="0" w:line="265" w:lineRule="auto"/>
        <w:rPr>
          <w:sz w:val="20"/>
          <w:szCs w:val="20"/>
          <w:color w:val="auto"/>
        </w:rPr>
      </w:pPr>
      <w:r>
        <w:rPr>
          <w:rFonts w:ascii="Arial" w:cs="Arial" w:eastAsia="Arial" w:hAnsi="Arial"/>
          <w:sz w:val="14"/>
          <w:szCs w:val="14"/>
          <w:color w:val="auto"/>
        </w:rPr>
        <w:t>Our 2021 Plan will become effective upon the execution of an underwriting agreement in connection with this offering. Upon the effectiveness of the 2021 Plan, we will cease granting awards under our 2018 Plan. A summary of the material terms of the 2021 Plan follows below.</w:t>
      </w: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120"/>
          </w:cols>
          <w:pgMar w:left="1440" w:top="133" w:right="1339" w:bottom="1440" w:gutter="0" w:footer="0" w:header="0"/>
        </w:sectPr>
      </w:pPr>
    </w:p>
    <w:bookmarkStart w:id="180" w:name="page181"/>
    <w:bookmarkEnd w:id="18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The 2021 Plan authorizes the award of both equity-based and cash-based incentive awards, including: (i) stock options (both incentive stock options and nonqualified stock options), (ii) stock appreciation rights, or SARs, (iii) restricted stock awards, or RSAs, (iv) restricted stock units, or RSUs, and (v) cash or other stock based awards. Incentive stock options may be granted only to employees. All other types of awards may be issued to employees, directors, consultants and other service providers.</w:t>
      </w:r>
    </w:p>
    <w:p>
      <w:pPr>
        <w:spacing w:after="0" w:line="262" w:lineRule="exact"/>
        <w:rPr>
          <w:sz w:val="20"/>
          <w:szCs w:val="20"/>
          <w:color w:val="auto"/>
        </w:rPr>
      </w:pPr>
    </w:p>
    <w:p>
      <w:pPr>
        <w:ind w:left="1220" w:right="1399"/>
        <w:spacing w:after="0" w:line="276" w:lineRule="auto"/>
        <w:rPr>
          <w:sz w:val="20"/>
          <w:szCs w:val="20"/>
          <w:color w:val="auto"/>
        </w:rPr>
      </w:pPr>
      <w:r>
        <w:rPr>
          <w:rFonts w:ascii="Arial" w:cs="Arial" w:eastAsia="Arial" w:hAnsi="Arial"/>
          <w:sz w:val="14"/>
          <w:szCs w:val="14"/>
          <w:i w:val="1"/>
          <w:iCs w:val="1"/>
          <w:color w:val="auto"/>
        </w:rPr>
        <w:t xml:space="preserve">Shares Subject to 2021 Plan. </w:t>
      </w:r>
      <w:r>
        <w:rPr>
          <w:rFonts w:ascii="Arial" w:cs="Arial" w:eastAsia="Arial" w:hAnsi="Arial"/>
          <w:sz w:val="14"/>
          <w:szCs w:val="14"/>
          <w:color w:val="auto"/>
        </w:rPr>
        <w:t>We will initially reserve shares of our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for issuance under our 2021 Plan. The number of shares reserved for issuance under our 2021 Plan will increase automatically on January 1, 2022 and each anniversary of such date prior to the termination of the 2021 Plan, equal to the lesser of (i) 5% of our shares of common stock issued and outstanding on the last day of the immediately preceding fiscal year and (ii) such smaller number of shares as determined by our board or compensation committee. No more</w:t>
      </w:r>
    </w:p>
    <w:p>
      <w:pPr>
        <w:spacing w:after="0" w:line="4" w:lineRule="exact"/>
        <w:rPr>
          <w:sz w:val="20"/>
          <w:szCs w:val="20"/>
          <w:color w:val="auto"/>
        </w:rPr>
      </w:pPr>
    </w:p>
    <w:p>
      <w:pPr>
        <w:ind w:left="1220" w:right="1739"/>
        <w:spacing w:after="0" w:line="290" w:lineRule="auto"/>
        <w:rPr>
          <w:sz w:val="20"/>
          <w:szCs w:val="20"/>
          <w:color w:val="auto"/>
        </w:rPr>
      </w:pPr>
      <w:r>
        <w:rPr>
          <w:rFonts w:ascii="Arial" w:cs="Arial" w:eastAsia="Arial" w:hAnsi="Arial"/>
          <w:sz w:val="14"/>
          <w:szCs w:val="14"/>
          <w:color w:val="auto"/>
        </w:rPr>
        <w:t>than shares of our common stock may be issued under the 2021 Plan through incentive stock options.</w:t>
      </w:r>
    </w:p>
    <w:p>
      <w:pPr>
        <w:spacing w:after="0" w:line="96"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The following shares will be added (or added back) to the shares available for issuance under the 2021 Plan:</w:t>
      </w:r>
    </w:p>
    <w:p>
      <w:pPr>
        <w:spacing w:after="0" w:line="64" w:lineRule="exact"/>
        <w:rPr>
          <w:sz w:val="20"/>
          <w:szCs w:val="20"/>
          <w:color w:val="auto"/>
        </w:rPr>
      </w:pPr>
    </w:p>
    <w:p>
      <w:pPr>
        <w:ind w:left="1340" w:right="1579" w:hanging="116"/>
        <w:spacing w:after="0" w:line="290" w:lineRule="auto"/>
        <w:tabs>
          <w:tab w:leader="none" w:pos="1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Shares subject to 2018 Plan or 2021 Plan awards that expire, terminate or are cancelled or forfeited for any reason after the effectiveness of the 2021 Plan;</w:t>
      </w:r>
    </w:p>
    <w:p>
      <w:pPr>
        <w:spacing w:after="0" w:line="64"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the exercise price of an option issued under our 2018 Plan or 2021 Plan; and</w:t>
      </w:r>
    </w:p>
    <w:p>
      <w:pPr>
        <w:spacing w:after="0" w:line="64" w:lineRule="exact"/>
        <w:rPr>
          <w:rFonts w:ascii="Arial" w:cs="Arial" w:eastAsia="Arial" w:hAnsi="Arial"/>
          <w:sz w:val="14"/>
          <w:szCs w:val="14"/>
          <w:color w:val="auto"/>
        </w:rPr>
      </w:pPr>
    </w:p>
    <w:p>
      <w:pPr>
        <w:ind w:left="1340" w:right="1679" w:hanging="116"/>
        <w:spacing w:after="0" w:line="290" w:lineRule="auto"/>
        <w:tabs>
          <w:tab w:leader="none" w:pos="1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tax withholding obligations related to any award under our 2018 Plan or 2021 Plan.</w:t>
      </w:r>
    </w:p>
    <w:p>
      <w:pPr>
        <w:spacing w:after="0" w:line="9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However, the total number of shares underlying 2018 Plan awards that may be recycled into the</w:t>
      </w:r>
    </w:p>
    <w:p>
      <w:pPr>
        <w:spacing w:after="0" w:line="22" w:lineRule="exact"/>
        <w:rPr>
          <w:sz w:val="20"/>
          <w:szCs w:val="20"/>
          <w:color w:val="auto"/>
        </w:rPr>
      </w:pPr>
    </w:p>
    <w:p>
      <w:pPr>
        <w:ind w:left="1220"/>
        <w:spacing w:after="0"/>
        <w:tabs>
          <w:tab w:leader="none" w:pos="5940" w:val="left"/>
        </w:tabs>
        <w:rPr>
          <w:sz w:val="20"/>
          <w:szCs w:val="20"/>
          <w:color w:val="auto"/>
        </w:rPr>
      </w:pPr>
      <w:r>
        <w:rPr>
          <w:rFonts w:ascii="Arial" w:cs="Arial" w:eastAsia="Arial" w:hAnsi="Arial"/>
          <w:sz w:val="14"/>
          <w:szCs w:val="14"/>
          <w:color w:val="auto"/>
        </w:rPr>
        <w:t>2021 Plan pursuant to the above-described rules will not exceed</w:t>
      </w:r>
      <w:r>
        <w:rPr>
          <w:sz w:val="20"/>
          <w:szCs w:val="20"/>
          <w:color w:val="auto"/>
        </w:rPr>
        <w:tab/>
      </w:r>
      <w:r>
        <w:rPr>
          <w:rFonts w:ascii="Arial" w:cs="Arial" w:eastAsia="Arial" w:hAnsi="Arial"/>
          <w:sz w:val="14"/>
          <w:szCs w:val="14"/>
          <w:color w:val="auto"/>
        </w:rPr>
        <w:t>shares.</w:t>
      </w:r>
    </w:p>
    <w:p>
      <w:pPr>
        <w:spacing w:after="0" w:line="141" w:lineRule="exact"/>
        <w:rPr>
          <w:sz w:val="20"/>
          <w:szCs w:val="20"/>
          <w:color w:val="auto"/>
        </w:rPr>
      </w:pPr>
    </w:p>
    <w:p>
      <w:pPr>
        <w:ind w:left="1220" w:right="1499"/>
        <w:spacing w:after="0" w:line="281" w:lineRule="auto"/>
        <w:rPr>
          <w:sz w:val="20"/>
          <w:szCs w:val="20"/>
          <w:color w:val="auto"/>
        </w:rPr>
      </w:pPr>
      <w:r>
        <w:rPr>
          <w:rFonts w:ascii="Arial" w:cs="Arial" w:eastAsia="Arial" w:hAnsi="Arial"/>
          <w:sz w:val="14"/>
          <w:szCs w:val="14"/>
          <w:color w:val="auto"/>
        </w:rPr>
        <w:t>Shares of our common stock issued by us through the assumption or substitution of awards in connection with a future acquisition of another entity will not reduce the shares available for issuance under the 2021 Plan.</w:t>
      </w:r>
    </w:p>
    <w:p>
      <w:pPr>
        <w:spacing w:after="0" w:line="79" w:lineRule="exact"/>
        <w:rPr>
          <w:sz w:val="20"/>
          <w:szCs w:val="20"/>
          <w:color w:val="auto"/>
        </w:rPr>
      </w:pPr>
    </w:p>
    <w:p>
      <w:pPr>
        <w:ind w:left="1220" w:right="1259"/>
        <w:spacing w:after="0" w:line="280"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We expect that our 2021 Plan will be administered by our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The administrator of the plan will have the authority to, among other things, interpret the plan and award agreements, select grantees, determine the vesting, payment and other terms of awards, and modify or amend awards. Our compensation committee may delegate to one or more of our officers the authority to issue awards under the 2021 Plan to grantees who are not executive officers, subject to parameters established by the compensation committee.</w:t>
      </w:r>
    </w:p>
    <w:p>
      <w:pPr>
        <w:spacing w:after="0" w:line="92" w:lineRule="exact"/>
        <w:rPr>
          <w:sz w:val="20"/>
          <w:szCs w:val="20"/>
          <w:color w:val="auto"/>
        </w:rPr>
      </w:pPr>
    </w:p>
    <w:p>
      <w:pPr>
        <w:ind w:left="1220" w:right="1239"/>
        <w:spacing w:after="0" w:line="279"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certain corporate events or transactions (such as a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consolidation, reorganization, recapitalization, stock split, reverse stock split, spin-off, stock dividend, or similar transaction or change in our capital structure), our compensation committee will make adjustments or substitutions to the number and kind of shares that may be issued under the 2021 Plan, the number and kind of shares subject to outstanding awards, the exercise price or base price of outstanding awards, and/or any other affected terms and conditions of the 2021 Plan or outstanding awards, in each case as it deems appropriate and equitable.</w:t>
      </w:r>
    </w:p>
    <w:p>
      <w:pPr>
        <w:spacing w:after="0" w:line="93" w:lineRule="exact"/>
        <w:rPr>
          <w:sz w:val="20"/>
          <w:szCs w:val="20"/>
          <w:color w:val="auto"/>
        </w:rPr>
      </w:pPr>
    </w:p>
    <w:p>
      <w:pPr>
        <w:ind w:left="1220" w:right="1439"/>
        <w:spacing w:after="0" w:line="282"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2021 Plan provides for the grant of both incentive stock options and non-qualified stock options to purchase shares of our common stock at a stated exercise price. The exercise price of stock options granted under the 2021 Plan must be at least equal to the fair market value of our common stock on the date of grant. The maximum term of options granted under our 2021 Plan is ten years.</w:t>
      </w:r>
    </w:p>
    <w:p>
      <w:pPr>
        <w:spacing w:after="0" w:line="93" w:lineRule="exact"/>
        <w:rPr>
          <w:sz w:val="20"/>
          <w:szCs w:val="20"/>
          <w:color w:val="auto"/>
        </w:rPr>
      </w:pPr>
    </w:p>
    <w:p>
      <w:pPr>
        <w:jc w:val="both"/>
        <w:ind w:left="1220" w:right="1439"/>
        <w:spacing w:after="0" w:line="281" w:lineRule="auto"/>
        <w:rPr>
          <w:sz w:val="20"/>
          <w:szCs w:val="20"/>
          <w:color w:val="auto"/>
        </w:rPr>
      </w:pPr>
      <w:r>
        <w:rPr>
          <w:rFonts w:ascii="Arial" w:cs="Arial" w:eastAsia="Arial" w:hAnsi="Arial"/>
          <w:sz w:val="14"/>
          <w:szCs w:val="14"/>
          <w:color w:val="auto"/>
        </w:rPr>
        <w:t>Our compensation committee may provide in the terms of the applicable award agreement that the participant may exercise an unvested portion in exchange for restricted stock subject to the same vesting terms as the option.</w:t>
      </w:r>
    </w:p>
    <w:p>
      <w:pPr>
        <w:spacing w:after="0" w:line="89" w:lineRule="exact"/>
        <w:rPr>
          <w:sz w:val="20"/>
          <w:szCs w:val="20"/>
          <w:color w:val="auto"/>
        </w:rPr>
      </w:pPr>
    </w:p>
    <w:p>
      <w:pPr>
        <w:ind w:left="1220" w:right="1259"/>
        <w:spacing w:after="0" w:line="285"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An SAR provides for a payment, in cash or shares of our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or a combination of both, to the holder based upon the difference between the fair market value of our common stock on the date of exercise and a predetermined exercise price, multiplied by the number of shares. The base price</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1" w:name="page182"/>
    <w:bookmarkEnd w:id="18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of a SAR must be at least the fair market value of a share of our common stock on the date of grant. SARs may not have a term that is longer than ten years from the date of grant.</w:t>
      </w:r>
    </w:p>
    <w:p>
      <w:pPr>
        <w:spacing w:after="0" w:line="72" w:lineRule="exact"/>
        <w:rPr>
          <w:sz w:val="20"/>
          <w:szCs w:val="20"/>
          <w:color w:val="auto"/>
        </w:rPr>
      </w:pPr>
    </w:p>
    <w:p>
      <w:pPr>
        <w:ind w:left="1220" w:right="1299"/>
        <w:spacing w:after="0" w:line="264" w:lineRule="auto"/>
        <w:rPr>
          <w:sz w:val="20"/>
          <w:szCs w:val="20"/>
          <w:color w:val="auto"/>
        </w:rPr>
      </w:pPr>
      <w:r>
        <w:rPr>
          <w:rFonts w:ascii="Arial" w:cs="Arial" w:eastAsia="Arial" w:hAnsi="Arial"/>
          <w:sz w:val="14"/>
          <w:szCs w:val="14"/>
          <w:i w:val="1"/>
          <w:iCs w:val="1"/>
          <w:color w:val="auto"/>
        </w:rPr>
        <w:t xml:space="preserve">Restricted stock awards. </w:t>
      </w:r>
      <w:r>
        <w:rPr>
          <w:rFonts w:ascii="Arial" w:cs="Arial" w:eastAsia="Arial" w:hAnsi="Arial"/>
          <w:sz w:val="14"/>
          <w:szCs w:val="14"/>
          <w:color w:val="auto"/>
        </w:rPr>
        <w:t>An RSA is an issuance of shares of our common stock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 restrictions that lapse based on the satisfaction of service and/or performance conditions. The price, if any, of each share subject to an RSA will be determined by the compensation committee. During the vesting period, a participant will have the right to vote and receive any dividends with respect to restricted stock, provided that our compensation committee may specify that any such dividends are subject to the same vesting schedule as the shares to which they relate.</w:t>
      </w:r>
    </w:p>
    <w:p>
      <w:pPr>
        <w:spacing w:after="0" w:line="265"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RSUs represent the right to receive shares of our common stock (or cash</w:t>
      </w:r>
      <w:r>
        <w:rPr>
          <w:rFonts w:ascii="Arial" w:cs="Arial" w:eastAsia="Arial" w:hAnsi="Arial"/>
          <w:sz w:val="14"/>
          <w:szCs w:val="14"/>
          <w:i w:val="1"/>
          <w:iCs w:val="1"/>
          <w:color w:val="auto"/>
        </w:rPr>
        <w:t xml:space="preserve"> </w:t>
      </w:r>
      <w:r>
        <w:rPr>
          <w:rFonts w:ascii="Arial" w:cs="Arial" w:eastAsia="Arial" w:hAnsi="Arial"/>
          <w:sz w:val="14"/>
          <w:szCs w:val="14"/>
          <w:color w:val="auto"/>
        </w:rPr>
        <w:t>equal to the value of such shares) at a specified time in the future, following the satisfaction of specified service and/or performance conditions.</w:t>
      </w:r>
    </w:p>
    <w:p>
      <w:pPr>
        <w:spacing w:after="0" w:line="81" w:lineRule="exact"/>
        <w:rPr>
          <w:sz w:val="20"/>
          <w:szCs w:val="20"/>
          <w:color w:val="auto"/>
        </w:rPr>
      </w:pPr>
    </w:p>
    <w:p>
      <w:pPr>
        <w:ind w:left="1220" w:right="1319"/>
        <w:spacing w:after="0" w:line="264" w:lineRule="auto"/>
        <w:rPr>
          <w:sz w:val="20"/>
          <w:szCs w:val="20"/>
          <w:color w:val="auto"/>
        </w:rPr>
      </w:pPr>
      <w:r>
        <w:rPr>
          <w:rFonts w:ascii="Arial" w:cs="Arial" w:eastAsia="Arial" w:hAnsi="Arial"/>
          <w:sz w:val="14"/>
          <w:szCs w:val="14"/>
          <w:i w:val="1"/>
          <w:iCs w:val="1"/>
          <w:color w:val="auto"/>
        </w:rPr>
        <w:t xml:space="preserve">Cash or other stock based awards. </w:t>
      </w:r>
      <w:r>
        <w:rPr>
          <w:rFonts w:ascii="Arial" w:cs="Arial" w:eastAsia="Arial" w:hAnsi="Arial"/>
          <w:sz w:val="14"/>
          <w:szCs w:val="14"/>
          <w:color w:val="auto"/>
        </w:rPr>
        <w:t>Cash or other stock based awards (including awards to</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unrestricted shares of our common stock or immediate cash payments) may be granted to participants. Our compensation committee will determine the terms and conditions of each such award, including, as applicable, the term, any exercise or purchase price, performance goals, vesting conditions, and other terms and conditions. Payment in respect of a cash or other stock based award may be made in cash, shares of our common stock, or a combination of both, at the discretion of our compensation committee.</w:t>
      </w:r>
    </w:p>
    <w:p>
      <w:pPr>
        <w:spacing w:after="0" w:line="254"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i w:val="1"/>
          <w:iCs w:val="1"/>
          <w:color w:val="auto"/>
        </w:rPr>
        <w:t xml:space="preserve">Change in control. </w:t>
      </w:r>
      <w:r>
        <w:rPr>
          <w:rFonts w:ascii="Arial" w:cs="Arial" w:eastAsia="Arial" w:hAnsi="Arial"/>
          <w:sz w:val="14"/>
          <w:szCs w:val="14"/>
          <w:color w:val="auto"/>
        </w:rPr>
        <w:t>Upon or in anticipation of a change in control (which includes certain merger,</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stock transactions, certain changes in our board composition and any other event deemed by our board of directors to constitute a change in control), our compensation committee may take such actions as it deems appropriate with respect to outstanding awards under the</w:t>
      </w:r>
    </w:p>
    <w:p>
      <w:pPr>
        <w:spacing w:after="0" w:line="2"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2021 Plan. Such actions may include (among other things) the acceleration of award vesting, the substitution of awards, the cancellation of unexercised or unvested awards and the redemption or cashout of awards. In the discretion of our compensation committee, any cash or other substitute consideration payable upon redemption or cashout of an award may be subjected to the same vesting terms that applied to the original award, or earn-out, escrow, holdback or similar arrangements comparable to those applicable to stockholders in connection with the change in control. The compensation committee need not treat all outstanding awards in an identical manner.</w:t>
      </w:r>
    </w:p>
    <w:p>
      <w:pPr>
        <w:spacing w:after="0" w:line="265" w:lineRule="exact"/>
        <w:rPr>
          <w:sz w:val="20"/>
          <w:szCs w:val="20"/>
          <w:color w:val="auto"/>
        </w:rPr>
      </w:pPr>
    </w:p>
    <w:p>
      <w:pPr>
        <w:ind w:left="1220" w:right="1239"/>
        <w:spacing w:after="0" w:line="264"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The compensation committee may in its discretion: (i) cancel options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rights outstanding under the 2021 Plan in exchange for new options or stock appreciation rights with a lower exercise or base price per share; (ii) cancel underwater options or stock appreciation rights outstanding under the 2021 Plan in exchange for consideration payable in our equity securities or cash; or (iii) otherwise directly reduce the exercise or base price of options or stock appreciation rights outstanding under the 2021 Plan.</w:t>
      </w:r>
    </w:p>
    <w:p>
      <w:pPr>
        <w:spacing w:after="0" w:line="92"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i w:val="1"/>
          <w:iCs w:val="1"/>
          <w:color w:val="auto"/>
        </w:rPr>
        <w:t xml:space="preserve">Director Compensation Limits. </w:t>
      </w:r>
      <w:r>
        <w:rPr>
          <w:rFonts w:ascii="Arial" w:cs="Arial" w:eastAsia="Arial" w:hAnsi="Arial"/>
          <w:sz w:val="14"/>
          <w:szCs w:val="14"/>
          <w:color w:val="auto"/>
        </w:rPr>
        <w:t>Beginning with the 2022 calendar year, the aggregate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equity and cash compensation payable to a non-employee director with respect to a calendar year for his or her service as a director may not exceed $750,000 (or $1,000,000, in the case of a newly appointed or newly elected non-employee director’s first year of service with us. This director compensation limit will not apply to (i) compensation earned by a non-employee director solely in his or her capacity as chairman of the Board or lead independent director,</w:t>
      </w:r>
    </w:p>
    <w:p>
      <w:pPr>
        <w:spacing w:after="0" w:line="3" w:lineRule="exact"/>
        <w:rPr>
          <w:sz w:val="20"/>
          <w:szCs w:val="20"/>
          <w:color w:val="auto"/>
        </w:rPr>
      </w:pPr>
    </w:p>
    <w:p>
      <w:pPr>
        <w:ind w:left="1220" w:right="1319" w:firstLine="4"/>
        <w:spacing w:after="0" w:line="261" w:lineRule="auto"/>
        <w:tabs>
          <w:tab w:leader="none" w:pos="1438"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compensation earned by a non-employee director for services he or she performs outside of his or her role as a non-employee director (i.e. as an advisor or consultant), or (iii) compensation awarded by the Board to a non-employee director in extraordinary circumstances, as determined by the Board in its discretion, so long as, in each case, the non-employee director does not participate in the decision to award him- or herself the additional compensation.</w:t>
      </w:r>
    </w:p>
    <w:p>
      <w:pPr>
        <w:spacing w:after="0" w:line="82" w:lineRule="exact"/>
        <w:rPr>
          <w:sz w:val="20"/>
          <w:szCs w:val="20"/>
          <w:color w:val="auto"/>
        </w:rPr>
      </w:pPr>
    </w:p>
    <w:p>
      <w:pPr>
        <w:ind w:left="1220" w:right="1419"/>
        <w:spacing w:after="0" w:line="294"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under the 2021 Plan will be subject to clawback or recoupment pursuant to</w:t>
      </w:r>
      <w:r>
        <w:rPr>
          <w:rFonts w:ascii="Arial" w:cs="Arial" w:eastAsia="Arial" w:hAnsi="Arial"/>
          <w:sz w:val="14"/>
          <w:szCs w:val="14"/>
          <w:i w:val="1"/>
          <w:iCs w:val="1"/>
          <w:color w:val="auto"/>
        </w:rPr>
        <w:t xml:space="preserve"> </w:t>
      </w:r>
      <w:r>
        <w:rPr>
          <w:rFonts w:ascii="Arial" w:cs="Arial" w:eastAsia="Arial" w:hAnsi="Arial"/>
          <w:sz w:val="14"/>
          <w:szCs w:val="14"/>
          <w:color w:val="auto"/>
        </w:rPr>
        <w:t>any applicable policy, law or exchange listing requirement in effect from time to time.</w:t>
      </w:r>
    </w:p>
    <w:p>
      <w:pPr>
        <w:spacing w:after="0" w:line="70" w:lineRule="exact"/>
        <w:rPr>
          <w:sz w:val="20"/>
          <w:szCs w:val="20"/>
          <w:color w:val="auto"/>
        </w:rPr>
      </w:pPr>
    </w:p>
    <w:p>
      <w:pPr>
        <w:ind w:left="1220" w:right="1419"/>
        <w:spacing w:after="0" w:line="276"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Except for certain estate planning transfers authorized by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awards granted under the 2021 Plan are generally nontransferable except by will or by the laws of descent and distribution.</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2" w:name="page183"/>
    <w:bookmarkEnd w:id="18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i w:val="1"/>
          <w:iCs w:val="1"/>
          <w:color w:val="auto"/>
        </w:rPr>
        <w:t xml:space="preserve">Amendment and termination. </w:t>
      </w:r>
      <w:r>
        <w:rPr>
          <w:rFonts w:ascii="Arial" w:cs="Arial" w:eastAsia="Arial" w:hAnsi="Arial"/>
          <w:sz w:val="14"/>
          <w:szCs w:val="14"/>
          <w:color w:val="auto"/>
        </w:rPr>
        <w:t>Our board of directors may amend our 2021 Plan at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stockholder approval if required by applicable law or exchange listing requirement. The 2021 Plan will terminate ten years after it becomes effective.</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2018 Plan</w:t>
      </w:r>
    </w:p>
    <w:p>
      <w:pPr>
        <w:spacing w:after="0" w:line="125"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The 2018 Plan was originally adopted on June 1, 2018 to enable the issuance of stock options, restricted stock awards, unrestricted stock awards, restricted stock units, and other awards to our employees, officers, directors, and consultants.</w:t>
      </w:r>
    </w:p>
    <w:p>
      <w:pPr>
        <w:spacing w:after="0" w:line="103" w:lineRule="exact"/>
        <w:rPr>
          <w:sz w:val="20"/>
          <w:szCs w:val="20"/>
          <w:color w:val="auto"/>
        </w:rPr>
      </w:pPr>
    </w:p>
    <w:p>
      <w:pPr>
        <w:ind w:left="1220" w:right="1259"/>
        <w:spacing w:after="0" w:line="265" w:lineRule="auto"/>
        <w:rPr>
          <w:sz w:val="20"/>
          <w:szCs w:val="20"/>
          <w:color w:val="auto"/>
        </w:rPr>
      </w:pPr>
      <w:r>
        <w:rPr>
          <w:rFonts w:ascii="Arial" w:cs="Arial" w:eastAsia="Arial" w:hAnsi="Arial"/>
          <w:sz w:val="14"/>
          <w:szCs w:val="14"/>
          <w:color w:val="auto"/>
        </w:rPr>
        <w:t>As noted above, we will cease granting awards under the 2018 Plan immediately prior to this offering. Any outstanding awards will continue to be subject to the terms of the 2018 Plan and the applicable award agreements.</w:t>
      </w:r>
    </w:p>
    <w:p>
      <w:pPr>
        <w:spacing w:after="0" w:line="11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 summary of the material terms of the 2018 Plan follows below.</w:t>
      </w:r>
    </w:p>
    <w:p>
      <w:pPr>
        <w:spacing w:after="0" w:line="106" w:lineRule="exact"/>
        <w:rPr>
          <w:sz w:val="20"/>
          <w:szCs w:val="20"/>
          <w:color w:val="auto"/>
        </w:rPr>
      </w:pPr>
    </w:p>
    <w:p>
      <w:pPr>
        <w:ind w:left="1220" w:right="1239"/>
        <w:spacing w:after="0" w:line="263"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Our board of directors, or a committee of our board of directors, is authorized to</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administer our 2018 Plan and is referred to as the ‘‘plan administrator’’ herein. Under our 2018 Plan, the plan administrator has the authority to determine award recipients, dates of grant, the numbers and types of awards to be granted, the applicable fair market value and the provisions of each award, including the period of their exercisability and the vesting schedule applicable to an award, among other powers under the 2018 Plan. We expect that our compensation committee will administer the 2018 Plan following the date of this offering.</w:t>
      </w:r>
    </w:p>
    <w:p>
      <w:pPr>
        <w:spacing w:after="0" w:line="92" w:lineRule="exact"/>
        <w:rPr>
          <w:sz w:val="20"/>
          <w:szCs w:val="20"/>
          <w:color w:val="auto"/>
        </w:rPr>
      </w:pPr>
    </w:p>
    <w:p>
      <w:pPr>
        <w:ind w:left="1220" w:right="1479"/>
        <w:spacing w:after="0" w:line="294" w:lineRule="auto"/>
        <w:rPr>
          <w:sz w:val="20"/>
          <w:szCs w:val="20"/>
          <w:color w:val="auto"/>
        </w:rPr>
      </w:pPr>
      <w:r>
        <w:rPr>
          <w:rFonts w:ascii="Arial" w:cs="Arial" w:eastAsia="Arial" w:hAnsi="Arial"/>
          <w:sz w:val="14"/>
          <w:szCs w:val="14"/>
          <w:i w:val="1"/>
          <w:iCs w:val="1"/>
          <w:color w:val="auto"/>
        </w:rPr>
        <w:t xml:space="preserve">Shares subject to 2018 Plan. </w:t>
      </w:r>
      <w:r>
        <w:rPr>
          <w:rFonts w:ascii="Arial" w:cs="Arial" w:eastAsia="Arial" w:hAnsi="Arial"/>
          <w:sz w:val="14"/>
          <w:szCs w:val="14"/>
          <w:color w:val="auto"/>
        </w:rPr>
        <w:t>The maximum number of shares that may be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2018 Plan is 23,498,781.</w:t>
      </w:r>
    </w:p>
    <w:p>
      <w:pPr>
        <w:spacing w:after="0" w:line="84" w:lineRule="exact"/>
        <w:rPr>
          <w:sz w:val="20"/>
          <w:szCs w:val="20"/>
          <w:color w:val="auto"/>
        </w:rPr>
      </w:pPr>
    </w:p>
    <w:p>
      <w:pPr>
        <w:ind w:left="1220" w:right="1459"/>
        <w:spacing w:after="0" w:line="257" w:lineRule="auto"/>
        <w:rPr>
          <w:sz w:val="20"/>
          <w:szCs w:val="20"/>
          <w:color w:val="auto"/>
        </w:rPr>
      </w:pPr>
      <w:r>
        <w:rPr>
          <w:rFonts w:ascii="Arial" w:cs="Arial" w:eastAsia="Arial" w:hAnsi="Arial"/>
          <w:sz w:val="14"/>
          <w:szCs w:val="14"/>
          <w:color w:val="auto"/>
        </w:rPr>
        <w:t>As of March 31, 2021, there were (i) 6,169,655 shares available for issuance in respect of new awards under the 2018 Plan, (ii) options outstanding under the 2018 Plan with respect to</w:t>
      </w:r>
    </w:p>
    <w:p>
      <w:pPr>
        <w:ind w:left="1220" w:right="1499" w:firstLine="923"/>
        <w:spacing w:after="0" w:line="274" w:lineRule="auto"/>
        <w:rPr>
          <w:sz w:val="20"/>
          <w:szCs w:val="20"/>
          <w:color w:val="auto"/>
        </w:rPr>
      </w:pPr>
      <w:r>
        <w:rPr>
          <w:rFonts w:ascii="Arial" w:cs="Arial" w:eastAsia="Arial" w:hAnsi="Arial"/>
          <w:sz w:val="14"/>
          <w:szCs w:val="14"/>
          <w:color w:val="auto"/>
        </w:rPr>
        <w:t>shares of our common stock, and (iii) shares of restricted common stock outstanding under the 2018 Plan (some of which were acquired upon early exercise of stock options).</w:t>
      </w:r>
    </w:p>
    <w:p>
      <w:pPr>
        <w:spacing w:after="0" w:line="244" w:lineRule="exact"/>
        <w:rPr>
          <w:sz w:val="20"/>
          <w:szCs w:val="20"/>
          <w:color w:val="auto"/>
        </w:rPr>
      </w:pPr>
    </w:p>
    <w:p>
      <w:pPr>
        <w:ind w:left="1220" w:right="1339"/>
        <w:spacing w:after="0" w:line="264" w:lineRule="auto"/>
        <w:rPr>
          <w:sz w:val="20"/>
          <w:szCs w:val="20"/>
          <w:color w:val="auto"/>
        </w:rPr>
      </w:pPr>
      <w:r>
        <w:rPr>
          <w:rFonts w:ascii="Arial" w:cs="Arial" w:eastAsia="Arial" w:hAnsi="Arial"/>
          <w:sz w:val="14"/>
          <w:szCs w:val="14"/>
          <w:i w:val="1"/>
          <w:iCs w:val="1"/>
          <w:color w:val="auto"/>
        </w:rPr>
        <w:t xml:space="preserve">Share recycling. </w:t>
      </w:r>
      <w:r>
        <w:rPr>
          <w:rFonts w:ascii="Arial" w:cs="Arial" w:eastAsia="Arial" w:hAnsi="Arial"/>
          <w:sz w:val="14"/>
          <w:szCs w:val="14"/>
          <w:color w:val="auto"/>
        </w:rPr>
        <w:t>Under the terms of the 2018 Plan, shares underlying awards that are forfeited,</w:t>
      </w:r>
      <w:r>
        <w:rPr>
          <w:rFonts w:ascii="Arial" w:cs="Arial" w:eastAsia="Arial" w:hAnsi="Arial"/>
          <w:sz w:val="14"/>
          <w:szCs w:val="14"/>
          <w:i w:val="1"/>
          <w:iCs w:val="1"/>
          <w:color w:val="auto"/>
        </w:rPr>
        <w:t xml:space="preserve"> </w:t>
      </w:r>
      <w:r>
        <w:rPr>
          <w:rFonts w:ascii="Arial" w:cs="Arial" w:eastAsia="Arial" w:hAnsi="Arial"/>
          <w:sz w:val="14"/>
          <w:szCs w:val="14"/>
          <w:color w:val="auto"/>
        </w:rPr>
        <w:t>canceled, reacquired by the company prior to vesting, satisfied in cash or otherwise terminated, and shares that are withheld in settlement of a tax withholding obligation associated with an award or in satisfaction of the exercise price of an award, will again become available for grant under the 2018 Plan. However, as noted above, following the effectiveness of the 2021 Plan, such shares will instead become available for grant under the 2021 Plan.</w:t>
      </w:r>
    </w:p>
    <w:p>
      <w:pPr>
        <w:spacing w:after="0" w:line="92" w:lineRule="exact"/>
        <w:rPr>
          <w:sz w:val="20"/>
          <w:szCs w:val="20"/>
          <w:color w:val="auto"/>
        </w:rPr>
      </w:pPr>
    </w:p>
    <w:p>
      <w:pPr>
        <w:ind w:left="1220" w:right="1279"/>
        <w:spacing w:after="0" w:line="268"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2018 Plan provides for the grant of both incentive stock options and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to purchase shares of our common stock at a stated exercise price. The exercise price of stock options granted under the 2018 Plan must be at least equal to the fair market value of our common stock on the date of grant. The maximum term of options granted under our 2018 Plan is ten years.</w:t>
      </w:r>
    </w:p>
    <w:p>
      <w:pPr>
        <w:spacing w:after="0" w:line="277" w:lineRule="exact"/>
        <w:rPr>
          <w:sz w:val="20"/>
          <w:szCs w:val="20"/>
          <w:color w:val="auto"/>
        </w:rPr>
      </w:pPr>
    </w:p>
    <w:p>
      <w:pPr>
        <w:ind w:left="1220" w:right="1239"/>
        <w:spacing w:after="0" w:line="265" w:lineRule="auto"/>
        <w:rPr>
          <w:sz w:val="20"/>
          <w:szCs w:val="20"/>
          <w:color w:val="auto"/>
        </w:rPr>
      </w:pPr>
      <w:r>
        <w:rPr>
          <w:rFonts w:ascii="Arial" w:cs="Arial" w:eastAsia="Arial" w:hAnsi="Arial"/>
          <w:sz w:val="14"/>
          <w:szCs w:val="14"/>
          <w:color w:val="auto"/>
        </w:rPr>
        <w:t>Certain stock options issued under the 2018 Plan allow for exercise prior to vesting in exchange for restricted shares of common stock subject to the same vesting schedule as the original option, and several optionees utilized this early exercise feature.</w:t>
      </w:r>
    </w:p>
    <w:p>
      <w:pPr>
        <w:spacing w:after="0" w:line="79" w:lineRule="exact"/>
        <w:rPr>
          <w:sz w:val="20"/>
          <w:szCs w:val="20"/>
          <w:color w:val="auto"/>
        </w:rPr>
      </w:pPr>
    </w:p>
    <w:p>
      <w:pPr>
        <w:ind w:left="1220" w:right="1239"/>
        <w:spacing w:after="0" w:line="266"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2018 Plan also allows for the grant or sale of RSAs. The price, if any,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share subject to an RSA will be determined by the plan administrator. During the vesting period, a participant will have the right to vote and receive any dividends with respect to restricted stock, provided that the plan administrator may specify that any such dividends are subject to the same vesting schedule as the shares to which they relate.</w:t>
      </w:r>
    </w:p>
    <w:p>
      <w:pPr>
        <w:spacing w:after="0" w:line="90" w:lineRule="exact"/>
        <w:rPr>
          <w:sz w:val="20"/>
          <w:szCs w:val="20"/>
          <w:color w:val="auto"/>
        </w:rPr>
      </w:pPr>
    </w:p>
    <w:p>
      <w:pPr>
        <w:ind w:left="1220" w:right="1259"/>
        <w:spacing w:after="0" w:line="269" w:lineRule="auto"/>
        <w:rPr>
          <w:sz w:val="20"/>
          <w:szCs w:val="20"/>
          <w:color w:val="auto"/>
        </w:rPr>
      </w:pPr>
      <w:r>
        <w:rPr>
          <w:rFonts w:ascii="Arial" w:cs="Arial" w:eastAsia="Arial" w:hAnsi="Arial"/>
          <w:sz w:val="14"/>
          <w:szCs w:val="14"/>
          <w:i w:val="1"/>
          <w:iCs w:val="1"/>
          <w:color w:val="auto"/>
        </w:rPr>
        <w:t xml:space="preserve">Stock appreciation rights, restricted stock units, unrestricted stock awards. </w:t>
      </w:r>
      <w:r>
        <w:rPr>
          <w:rFonts w:ascii="Arial" w:cs="Arial" w:eastAsia="Arial" w:hAnsi="Arial"/>
          <w:sz w:val="14"/>
          <w:szCs w:val="14"/>
          <w:color w:val="auto"/>
        </w:rPr>
        <w:t>In addition, the 2018</w:t>
      </w:r>
      <w:r>
        <w:rPr>
          <w:rFonts w:ascii="Arial" w:cs="Arial" w:eastAsia="Arial" w:hAnsi="Arial"/>
          <w:sz w:val="14"/>
          <w:szCs w:val="14"/>
          <w:i w:val="1"/>
          <w:iCs w:val="1"/>
          <w:color w:val="auto"/>
        </w:rPr>
        <w:t xml:space="preserve"> </w:t>
      </w:r>
      <w:r>
        <w:rPr>
          <w:rFonts w:ascii="Arial" w:cs="Arial" w:eastAsia="Arial" w:hAnsi="Arial"/>
          <w:sz w:val="14"/>
          <w:szCs w:val="14"/>
          <w:color w:val="auto"/>
        </w:rPr>
        <w:t>Plan allows for the grant of SARs, RSUs and unrestricted stock awards, with terms as determined by the board in accordance with the 2018 Plan. However, as noted above, we have not granted any SARs, RSUs or unrestricted stock awards under the 2018 Plan.</w:t>
      </w:r>
    </w:p>
    <w:p>
      <w:pPr>
        <w:spacing w:after="0" w:line="87" w:lineRule="exact"/>
        <w:rPr>
          <w:sz w:val="20"/>
          <w:szCs w:val="20"/>
          <w:color w:val="auto"/>
        </w:rPr>
      </w:pPr>
    </w:p>
    <w:p>
      <w:pPr>
        <w:ind w:left="1220" w:right="1479"/>
        <w:spacing w:after="0" w:line="276" w:lineRule="auto"/>
        <w:rPr>
          <w:sz w:val="20"/>
          <w:szCs w:val="20"/>
          <w:color w:val="auto"/>
        </w:rPr>
      </w:pPr>
      <w:r>
        <w:rPr>
          <w:rFonts w:ascii="Arial" w:cs="Arial" w:eastAsia="Arial" w:hAnsi="Arial"/>
          <w:sz w:val="14"/>
          <w:szCs w:val="14"/>
          <w:i w:val="1"/>
          <w:iCs w:val="1"/>
          <w:color w:val="auto"/>
        </w:rPr>
        <w:t xml:space="preserve">Sale event. </w:t>
      </w:r>
      <w:r>
        <w:rPr>
          <w:rFonts w:ascii="Arial" w:cs="Arial" w:eastAsia="Arial" w:hAnsi="Arial"/>
          <w:sz w:val="14"/>
          <w:szCs w:val="14"/>
          <w:color w:val="auto"/>
        </w:rPr>
        <w:t>If we are subject to a “sale event” (including certain dissolution, liquidation, asset</w:t>
      </w:r>
      <w:r>
        <w:rPr>
          <w:rFonts w:ascii="Arial" w:cs="Arial" w:eastAsia="Arial" w:hAnsi="Arial"/>
          <w:sz w:val="14"/>
          <w:szCs w:val="14"/>
          <w:i w:val="1"/>
          <w:iCs w:val="1"/>
          <w:color w:val="auto"/>
        </w:rPr>
        <w:t xml:space="preserve"> </w:t>
      </w:r>
      <w:r>
        <w:rPr>
          <w:rFonts w:ascii="Arial" w:cs="Arial" w:eastAsia="Arial" w:hAnsi="Arial"/>
          <w:sz w:val="14"/>
          <w:szCs w:val="14"/>
          <w:color w:val="auto"/>
        </w:rPr>
        <w:t>sale or merger transactions), the plan administrator will determine how to treat outstanding awards under our 2018 Plan. This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3" w:name="page184"/>
    <w:bookmarkEnd w:id="18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57" w:lineRule="auto"/>
        <w:rPr>
          <w:sz w:val="20"/>
          <w:szCs w:val="20"/>
          <w:color w:val="auto"/>
        </w:rPr>
      </w:pPr>
      <w:r>
        <w:rPr>
          <w:rFonts w:ascii="Arial" w:cs="Arial" w:eastAsia="Arial" w:hAnsi="Arial"/>
          <w:sz w:val="14"/>
          <w:szCs w:val="14"/>
          <w:color w:val="auto"/>
        </w:rPr>
        <w:t>may include: (i) the cancellation and/or forfeiture of outstanding awards, unless exercised prior to the sale event or assumed, substituted or continued by the surviving entity or its parent; or</w:t>
      </w:r>
    </w:p>
    <w:p>
      <w:pPr>
        <w:ind w:left="1220" w:right="1779" w:firstLine="4"/>
        <w:spacing w:after="0" w:line="274" w:lineRule="auto"/>
        <w:tabs>
          <w:tab w:leader="none" w:pos="1438" w:val="left"/>
        </w:tabs>
        <w:numPr>
          <w:ilvl w:val="0"/>
          <w:numId w:val="99"/>
        </w:numPr>
        <w:rPr>
          <w:rFonts w:ascii="Arial" w:cs="Arial" w:eastAsia="Arial" w:hAnsi="Arial"/>
          <w:sz w:val="14"/>
          <w:szCs w:val="14"/>
          <w:color w:val="auto"/>
        </w:rPr>
      </w:pPr>
      <w:r>
        <w:rPr>
          <w:rFonts w:ascii="Arial" w:cs="Arial" w:eastAsia="Arial" w:hAnsi="Arial"/>
          <w:sz w:val="14"/>
          <w:szCs w:val="14"/>
          <w:color w:val="auto"/>
        </w:rPr>
        <w:t>cashout or redemption of outstanding awards. The plan administrator need not treat all outstanding awards in an identical manner.</w:t>
      </w:r>
    </w:p>
    <w:p>
      <w:pPr>
        <w:spacing w:after="0" w:line="72"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a stock dividend, reorganization, recapitalization,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reverse stock split, subdivision, combination, reclassification, merger, asset sale, or other similar event or transaction affecting our common stock, proportional adjustments will be made to the number of shares reserved for issuance under our 2018 Plan; the number and class of shares subject to outstanding awards; and the exercise or repurchase price applicable to outstanding awards.</w:t>
      </w:r>
    </w:p>
    <w:p>
      <w:pPr>
        <w:spacing w:after="0" w:line="266" w:lineRule="exact"/>
        <w:rPr>
          <w:sz w:val="20"/>
          <w:szCs w:val="20"/>
          <w:color w:val="auto"/>
        </w:rPr>
      </w:pPr>
    </w:p>
    <w:p>
      <w:pPr>
        <w:ind w:left="1220" w:right="1579"/>
        <w:spacing w:after="0" w:line="276"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Without approval of stockholders, the plan administrator may reprice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under the 2018 Plan by reducing the exercise price of such options or cancelling such options in exchange for new awards.</w:t>
      </w:r>
    </w:p>
    <w:p>
      <w:pPr>
        <w:spacing w:after="0" w:line="81" w:lineRule="exact"/>
        <w:rPr>
          <w:sz w:val="20"/>
          <w:szCs w:val="20"/>
          <w:color w:val="auto"/>
        </w:rPr>
      </w:pPr>
    </w:p>
    <w:p>
      <w:pPr>
        <w:jc w:val="both"/>
        <w:ind w:left="1220" w:right="1419"/>
        <w:spacing w:after="0" w:line="269"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Unless otherwise determined by the plan administrator and/or specified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award agreement, 2018 Plan awards generally may not be sold, pledged, assigned, hypothecated, transferred, or disposed of in any manner other than by will, the laws of descent, and distribution.</w:t>
      </w:r>
    </w:p>
    <w:p>
      <w:pPr>
        <w:spacing w:after="0" w:line="77" w:lineRule="exact"/>
        <w:rPr>
          <w:sz w:val="20"/>
          <w:szCs w:val="20"/>
          <w:color w:val="auto"/>
        </w:rPr>
      </w:pPr>
    </w:p>
    <w:p>
      <w:pPr>
        <w:ind w:left="1220" w:right="1339"/>
        <w:spacing w:after="0" w:line="264"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Our board of directors may amend or terminate our 2018 Plan at</w:t>
      </w:r>
      <w:r>
        <w:rPr>
          <w:rFonts w:ascii="Arial" w:cs="Arial" w:eastAsia="Arial" w:hAnsi="Arial"/>
          <w:sz w:val="14"/>
          <w:szCs w:val="14"/>
          <w:i w:val="1"/>
          <w:iCs w:val="1"/>
          <w:color w:val="auto"/>
        </w:rPr>
        <w:t xml:space="preserve"> </w:t>
      </w:r>
      <w:r>
        <w:rPr>
          <w:rFonts w:ascii="Arial" w:cs="Arial" w:eastAsia="Arial" w:hAnsi="Arial"/>
          <w:sz w:val="14"/>
          <w:szCs w:val="14"/>
          <w:color w:val="auto"/>
        </w:rPr>
        <w:t>any time; provided, however, our committee may condition any other amendment or modification on the approval of stockholders for any reason, including by reason of such approval being necessary or deemed advisable to satisfy any other tax, securities or other applicable laws, policies or regulations. As noted above, we will cease granting awards under the 2018 Plan immediately prior to this offering, although outstanding 2018 Plan awards will remain in effect in accordance with their terms.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ESPP</w:t>
      </w:r>
    </w:p>
    <w:p>
      <w:pPr>
        <w:spacing w:after="0" w:line="136"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Our board of directors intends to adopt the Employee Stock Purchase Plan, or ESPP, prior to closing of this offering, under which we may provide our employees and employees of our participating subsidiaries with an opportunity to purchase shares of our common stock at a discounted purchase price. The ESPP will first become effective when our common stock begins trading publicly, although our compensation committee has not yet determined when the first purchase period under the ESPP will commence. The material terms of the ESPP are summarized below. The ESPP is intended to qualify as an “employee stock purchase plan” meeting the requirements of Section 423 of the Code.</w:t>
      </w:r>
    </w:p>
    <w:p>
      <w:pPr>
        <w:spacing w:after="0" w:line="265" w:lineRule="exact"/>
        <w:rPr>
          <w:sz w:val="20"/>
          <w:szCs w:val="20"/>
          <w:color w:val="auto"/>
        </w:rPr>
      </w:pPr>
    </w:p>
    <w:p>
      <w:pPr>
        <w:ind w:left="1220" w:right="1299"/>
        <w:spacing w:after="0" w:line="268"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Subject to the express provisions of the ESPP, our compensation committee will</w:t>
      </w:r>
      <w:r>
        <w:rPr>
          <w:rFonts w:ascii="Arial" w:cs="Arial" w:eastAsia="Arial" w:hAnsi="Arial"/>
          <w:sz w:val="14"/>
          <w:szCs w:val="14"/>
          <w:i w:val="1"/>
          <w:iCs w:val="1"/>
          <w:color w:val="auto"/>
        </w:rPr>
        <w:t xml:space="preserve"> </w:t>
      </w:r>
      <w:r>
        <w:rPr>
          <w:rFonts w:ascii="Arial" w:cs="Arial" w:eastAsia="Arial" w:hAnsi="Arial"/>
          <w:sz w:val="14"/>
          <w:szCs w:val="14"/>
          <w:color w:val="auto"/>
        </w:rPr>
        <w:t>have the authority to construe and interpret the ESPP, prescribe, amend, and rescind rules relating to the ESPP’s administration and take any other actions necessary or desirable for the administration of the ESPP and to facilitate compliance with Section 423 of the Code and other applicable law.</w:t>
      </w:r>
    </w:p>
    <w:p>
      <w:pPr>
        <w:spacing w:after="0" w:line="252" w:lineRule="exact"/>
        <w:rPr>
          <w:sz w:val="20"/>
          <w:szCs w:val="20"/>
          <w:color w:val="auto"/>
        </w:rPr>
      </w:pPr>
    </w:p>
    <w:p>
      <w:pPr>
        <w:ind w:left="1220"/>
        <w:spacing w:after="0"/>
        <w:tabs>
          <w:tab w:leader="none" w:pos="3160" w:val="left"/>
        </w:tabs>
        <w:rPr>
          <w:sz w:val="20"/>
          <w:szCs w:val="20"/>
          <w:color w:val="auto"/>
        </w:rPr>
      </w:pPr>
      <w:r>
        <w:rPr>
          <w:rFonts w:ascii="Arial" w:cs="Arial" w:eastAsia="Arial" w:hAnsi="Arial"/>
          <w:sz w:val="14"/>
          <w:szCs w:val="14"/>
          <w:i w:val="1"/>
          <w:iCs w:val="1"/>
          <w:color w:val="auto"/>
        </w:rPr>
        <w:t>Stock Subject to the ESPP.</w:t>
      </w:r>
      <w:r>
        <w:rPr>
          <w:sz w:val="20"/>
          <w:szCs w:val="20"/>
          <w:color w:val="auto"/>
        </w:rPr>
        <w:tab/>
      </w:r>
      <w:r>
        <w:rPr>
          <w:rFonts w:ascii="Arial" w:cs="Arial" w:eastAsia="Arial" w:hAnsi="Arial"/>
          <w:sz w:val="14"/>
          <w:szCs w:val="14"/>
          <w:color w:val="auto"/>
        </w:rPr>
        <w:t>Subject to adjustment as provided in the ESPP, a total of</w:t>
      </w:r>
    </w:p>
    <w:p>
      <w:pPr>
        <w:spacing w:after="0" w:line="26" w:lineRule="exact"/>
        <w:rPr>
          <w:sz w:val="20"/>
          <w:szCs w:val="20"/>
          <w:color w:val="auto"/>
        </w:rPr>
      </w:pPr>
    </w:p>
    <w:p>
      <w:pPr>
        <w:ind w:left="1220" w:right="1339" w:firstLine="211"/>
        <w:spacing w:after="0" w:line="257" w:lineRule="auto"/>
        <w:rPr>
          <w:sz w:val="20"/>
          <w:szCs w:val="20"/>
          <w:color w:val="auto"/>
        </w:rPr>
      </w:pPr>
      <w:r>
        <w:rPr>
          <w:rFonts w:ascii="Arial" w:cs="Arial" w:eastAsia="Arial" w:hAnsi="Arial"/>
          <w:sz w:val="14"/>
          <w:szCs w:val="14"/>
          <w:color w:val="auto"/>
        </w:rPr>
        <w:t>will be authorized and reserved for issuance under the ESPP. In addition, subject to prior approval by our board of directors in each instance, on or about January 1, 2022 and each anniversary of such date thereafter prior to the termination of the ESPP, the number of shares of our common stock authorized and reserved for issuance under the ESPP will be increased by a</w:t>
      </w:r>
    </w:p>
    <w:p>
      <w:pPr>
        <w:spacing w:after="0" w:line="1"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number of shares of our common stock equal to the least of (i) shares of our common stock, (ii) 1% of the shares of our common stock outstanding on the final day of the immediately preceding calendar year, and (iii) such smaller number of shares of our common stock as determined by our board of directors. Such shares of our common stock may be newly issued shares, treasury shares or shares acquired on the open market. In the event that any dividend or other distribution (whether in the form of cash, our common stock, or other property), recapitalization, stock split, reverse stock split, reorganization, merger, consolidation, split-up, spin-off, or exchange of our common stock or our other securities, or other change in our structure affecting our common stock occurs, then in order to prevent dilution or enlargement of the benefits or potential benefits intended to be made available under the ESPP, our compensation committee will, in such manner as it deems equitable, adjust the number of shares and class of common stock that may be delivered under the ESPP, the purchase price per share and the number of shares covered by each outstanding option under the ESPP, and the numerical limits described 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4" w:name="page185"/>
    <w:bookmarkEnd w:id="18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Generally, our employees and employees of our participating subsidiaries who</w:t>
      </w:r>
      <w:r>
        <w:rPr>
          <w:rFonts w:ascii="Arial" w:cs="Arial" w:eastAsia="Arial" w:hAnsi="Arial"/>
          <w:sz w:val="14"/>
          <w:szCs w:val="14"/>
          <w:i w:val="1"/>
          <w:iCs w:val="1"/>
          <w:color w:val="auto"/>
        </w:rPr>
        <w:t xml:space="preserve"> </w:t>
      </w:r>
      <w:r>
        <w:rPr>
          <w:rFonts w:ascii="Arial" w:cs="Arial" w:eastAsia="Arial" w:hAnsi="Arial"/>
          <w:sz w:val="14"/>
          <w:szCs w:val="14"/>
          <w:color w:val="auto"/>
        </w:rPr>
        <w:t>customarily are employed for at least twenty (20) hours per week will be eligible to participate in the ESPP. Notwithstanding the foregoing, our compensation committee may exclude from participation in the ESPP or any offering period employees who are (i) “highly compensated employees” within the meaning of Section 414(q) of the Code, or (ii) citizens or residents of a foreign jurisdiction where the grant of an option under the ESPP to such employee would be prohibited under the laws of such foreign jurisdiction or the grant of an option under the ESPP to such employee in compliance with the laws of such foreign jurisdiction would cause the ESPP to violate the requirements of Section 423 of the Code. No employee may be granted options to purchase shares of our common stock under the ESPP if such employee (x) immediately after the grant would own capital stock possessing 5% or more of the total combined voting power or value of all classes of our capital stock, or (y) holds rights to purchase shares of our common stock under all of our employee stock purchase plans (in accordance with Section 423(b)(8) of the Code) that accrue at a rate exceeding $25,000 (determined as of the option grant date) for each calendar year in which such rights are outstanding.</w:t>
      </w:r>
    </w:p>
    <w:p>
      <w:pPr>
        <w:spacing w:after="0" w:line="256"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i w:val="1"/>
          <w:iCs w:val="1"/>
          <w:color w:val="auto"/>
        </w:rPr>
        <w:t xml:space="preserve">Grant and exercise of options. </w:t>
      </w:r>
      <w:r>
        <w:rPr>
          <w:rFonts w:ascii="Arial" w:cs="Arial" w:eastAsia="Arial" w:hAnsi="Arial"/>
          <w:sz w:val="14"/>
          <w:szCs w:val="14"/>
          <w:color w:val="auto"/>
        </w:rPr>
        <w:t>The ESPP provides for six (6) month offering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commencing on January 1st and July 1st of each year, unless specified otherwise by our compensation committee. Eligible employees may elect to become a participant in the ESPP by submitting an enrollment form, pursuant to which an employee may elect to enroll in the ESPP, authorize a new level of payroll deductions, or stop payroll deductions and withdraw from an</w:t>
      </w:r>
    </w:p>
    <w:p>
      <w:pPr>
        <w:spacing w:after="0" w:line="2" w:lineRule="exact"/>
        <w:rPr>
          <w:sz w:val="20"/>
          <w:szCs w:val="20"/>
          <w:color w:val="auto"/>
        </w:rPr>
      </w:pPr>
    </w:p>
    <w:p>
      <w:pPr>
        <w:ind w:left="1220" w:right="1419"/>
        <w:spacing w:after="0" w:line="274" w:lineRule="auto"/>
        <w:rPr>
          <w:sz w:val="20"/>
          <w:szCs w:val="20"/>
          <w:color w:val="auto"/>
        </w:rPr>
      </w:pPr>
      <w:r>
        <w:rPr>
          <w:rFonts w:ascii="Arial" w:cs="Arial" w:eastAsia="Arial" w:hAnsi="Arial"/>
          <w:sz w:val="14"/>
          <w:szCs w:val="14"/>
          <w:color w:val="auto"/>
        </w:rPr>
        <w:t>offering period. However, a participant may not purchase more than shares of our common stock during each offering period.</w:t>
      </w:r>
    </w:p>
    <w:p>
      <w:pPr>
        <w:spacing w:after="0" w:line="9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During each offering period for which a participant has enrolled, the participant may contribute through payroll deductions in an amount equal to (i) between 1% and 15%, in whole percentages, of his or her compensation, or (ii) a fixed dollar amount, in each case, on each pay day occurring during such offering period. A participant’s compensation for purposes of the ESPP includes base salary and base wages (including overtime). No interest shall accrue on or be payable with respect to the payroll deductions of a participant in the ESPP. Payroll deductions would be made before deduction for any salary deferral contributions made by the employee to any tax-qualified or nonqualified deferred compensation plan, cafeteria plan, or similar arrangement.</w:t>
      </w:r>
    </w:p>
    <w:p>
      <w:pPr>
        <w:spacing w:after="0" w:line="110" w:lineRule="exact"/>
        <w:rPr>
          <w:sz w:val="20"/>
          <w:szCs w:val="20"/>
          <w:color w:val="auto"/>
        </w:rPr>
      </w:pPr>
    </w:p>
    <w:p>
      <w:pPr>
        <w:ind w:left="1220" w:right="1339"/>
        <w:spacing w:after="0" w:line="257" w:lineRule="auto"/>
        <w:rPr>
          <w:sz w:val="20"/>
          <w:szCs w:val="20"/>
          <w:color w:val="auto"/>
        </w:rPr>
      </w:pPr>
      <w:r>
        <w:rPr>
          <w:rFonts w:ascii="Arial" w:cs="Arial" w:eastAsia="Arial" w:hAnsi="Arial"/>
          <w:sz w:val="14"/>
          <w:szCs w:val="14"/>
          <w:color w:val="auto"/>
        </w:rPr>
        <w:t>On the last trading day of each offering period, a participant’s option to purchase shares of our common stock will be exercised automatically. The per-share purchase price will be the lesser of</w:t>
      </w:r>
    </w:p>
    <w:p>
      <w:pPr>
        <w:ind w:left="1220" w:right="1239" w:firstLine="4"/>
        <w:spacing w:after="0" w:line="259" w:lineRule="auto"/>
        <w:tabs>
          <w:tab w:leader="none" w:pos="140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eighty-five percent (85%) of the fair market value of one share of our common stock on the first trading day of the applicable offering period and (ii) eighty-five percent (85%) of the fair market value of one share of our common stock on the last trading day of the applicable offering period. As soon as reasonably practicable after the last day of each offering period, we will arrange for the delivery to each participant of the shares of our common stock purchased upon exercise of his or her option. We may require that the shares of our common stock be deposited and/or retained for a specified period of time with a financial services firm or other agent it designates as broker. Neither payroll deductions nor rights with respect to the exercise of an option or to receive shares of our common stock are transferable, other than by will, by the laws of descent and distribution, or by written designation of a beneficiary with our compensation committee.</w:t>
      </w:r>
    </w:p>
    <w:p>
      <w:pPr>
        <w:spacing w:after="0" w:line="83"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i w:val="1"/>
          <w:iCs w:val="1"/>
          <w:color w:val="auto"/>
        </w:rPr>
        <w:t xml:space="preserve">Termination of Employment and Withdrawal from the ESPP. </w:t>
      </w:r>
      <w:r>
        <w:rPr>
          <w:rFonts w:ascii="Arial" w:cs="Arial" w:eastAsia="Arial" w:hAnsi="Arial"/>
          <w:sz w:val="14"/>
          <w:szCs w:val="14"/>
          <w:color w:val="auto"/>
        </w:rPr>
        <w:t>Participants may elect to withdraw</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ESPP at any time and receive back any of their contributions, without interest, not used to purchase shares of our common stock; provided that if a participant wishes to withdraw his or her funds prior to purchase, he or she must submit a revised enrollment form to our compensation committee at least fifteen (15) days prior to the end of the then-current offering period. Participants who terminate employment before the end of an offering period will be deemed to have withdrawn from the ESPP and the payroll deductions in the participant’s notional account that have not been used to purchase shares of our common stock will be returned to the participant.</w:t>
      </w:r>
    </w:p>
    <w:p>
      <w:pPr>
        <w:spacing w:after="0" w:line="266" w:lineRule="exact"/>
        <w:rPr>
          <w:sz w:val="20"/>
          <w:szCs w:val="20"/>
          <w:color w:val="auto"/>
        </w:rPr>
      </w:pPr>
    </w:p>
    <w:p>
      <w:pPr>
        <w:ind w:left="1220" w:right="1419"/>
        <w:spacing w:after="0" w:line="264" w:lineRule="auto"/>
        <w:rPr>
          <w:sz w:val="20"/>
          <w:szCs w:val="20"/>
          <w:color w:val="auto"/>
        </w:rPr>
      </w:pPr>
      <w:r>
        <w:rPr>
          <w:rFonts w:ascii="Arial" w:cs="Arial" w:eastAsia="Arial" w:hAnsi="Arial"/>
          <w:sz w:val="14"/>
          <w:szCs w:val="14"/>
          <w:i w:val="1"/>
          <w:iCs w:val="1"/>
          <w:color w:val="auto"/>
        </w:rPr>
        <w:t xml:space="preserve">Amendment and Termination of the ESPP. </w:t>
      </w:r>
      <w:r>
        <w:rPr>
          <w:rFonts w:ascii="Arial" w:cs="Arial" w:eastAsia="Arial" w:hAnsi="Arial"/>
          <w:sz w:val="14"/>
          <w:szCs w:val="14"/>
          <w:color w:val="auto"/>
        </w:rPr>
        <w:t>Our compensation committee may amend or</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 the ESPP at any time for any reason. If the ESPP is terminated, our compensation committee may elect to terminate the outstanding offering period either immediately, or after shares of our common stock have been purchased on the last trading day of the offering period (which may, in the discretion of our compensation committee, be accelerated) and all amounts that have not been used to purchase shares of our common stock will then be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5" w:name="page186"/>
    <w:bookmarkEnd w:id="18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returned to participants as soon as administratively practicable. In the event of a merger, consolidation, acquisition of property or stock, separation, reorganization, or other corporate event described in Section 424 of the Code,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that occurs before the date of the applicable transaction. Unless terminated earlier pursuant to the terms of the ESPP, the ESPP will have a term of 10 years following the ESPP’s effective date.</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Other benefits</w:t>
      </w:r>
    </w:p>
    <w:p>
      <w:pPr>
        <w:spacing w:after="0" w:line="133" w:lineRule="exact"/>
        <w:rPr>
          <w:sz w:val="20"/>
          <w:szCs w:val="20"/>
          <w:color w:val="auto"/>
        </w:rPr>
      </w:pPr>
    </w:p>
    <w:p>
      <w:pPr>
        <w:ind w:left="1220" w:right="1579"/>
        <w:spacing w:after="0" w:line="290" w:lineRule="auto"/>
        <w:rPr>
          <w:sz w:val="20"/>
          <w:szCs w:val="20"/>
          <w:color w:val="auto"/>
        </w:rPr>
      </w:pPr>
      <w:r>
        <w:rPr>
          <w:rFonts w:ascii="Arial" w:cs="Arial" w:eastAsia="Arial" w:hAnsi="Arial"/>
          <w:sz w:val="14"/>
          <w:szCs w:val="14"/>
          <w:color w:val="auto"/>
        </w:rPr>
        <w:t>We currently provide welfare benefits that are available to all of our employees, including our NEOs, including health, dental, life, vision, and disability insurance.</w:t>
      </w:r>
    </w:p>
    <w:p>
      <w:pPr>
        <w:spacing w:after="0" w:line="96" w:lineRule="exact"/>
        <w:rPr>
          <w:sz w:val="20"/>
          <w:szCs w:val="20"/>
          <w:color w:val="auto"/>
        </w:rPr>
      </w:pPr>
    </w:p>
    <w:p>
      <w:pPr>
        <w:ind w:left="1220" w:right="1379"/>
        <w:spacing w:after="0" w:line="275" w:lineRule="auto"/>
        <w:rPr>
          <w:sz w:val="20"/>
          <w:szCs w:val="20"/>
          <w:color w:val="auto"/>
        </w:rPr>
      </w:pPr>
      <w:r>
        <w:rPr>
          <w:rFonts w:ascii="Arial" w:cs="Arial" w:eastAsia="Arial" w:hAnsi="Arial"/>
          <w:sz w:val="14"/>
          <w:szCs w:val="14"/>
          <w:color w:val="auto"/>
        </w:rPr>
        <w:t>In addition, we maintain, and the NEOs participate in, a 401(k) plan that provides eligible employees with an opportunity to save for retirement on a tax advantage basis and under which we make safe harbor matching employer contributions. We match 100% of the first 3% of the participating employee’s contributions and 50% of the next 2% of the participating employee’s contributions, and participants are always fully vested in their safe harbor matching employer contributions. Employees’ pre-tax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10" w:lineRule="exact"/>
        <w:rPr>
          <w:sz w:val="20"/>
          <w:szCs w:val="20"/>
          <w:color w:val="auto"/>
        </w:rPr>
      </w:pPr>
    </w:p>
    <w:p>
      <w:pPr>
        <w:ind w:left="1220" w:right="1559"/>
        <w:spacing w:after="0" w:line="265" w:lineRule="auto"/>
        <w:rPr>
          <w:sz w:val="20"/>
          <w:szCs w:val="20"/>
          <w:color w:val="auto"/>
        </w:rPr>
      </w:pPr>
      <w:r>
        <w:rPr>
          <w:rFonts w:ascii="Arial" w:cs="Arial" w:eastAsia="Arial" w:hAnsi="Arial"/>
          <w:sz w:val="14"/>
          <w:szCs w:val="14"/>
          <w:color w:val="auto"/>
        </w:rPr>
        <w:t>We do not maintain any defined benefit pension plans or nonqualified deferred compensation plans.</w:t>
      </w:r>
    </w:p>
    <w:p>
      <w:pPr>
        <w:spacing w:after="0" w:line="3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Rule 10b5-1 sales plans</w:t>
      </w:r>
    </w:p>
    <w:p>
      <w:pPr>
        <w:spacing w:after="0" w:line="133" w:lineRule="exact"/>
        <w:rPr>
          <w:sz w:val="20"/>
          <w:szCs w:val="20"/>
          <w:color w:val="auto"/>
        </w:rPr>
      </w:pPr>
    </w:p>
    <w:p>
      <w:pPr>
        <w:ind w:left="1220" w:right="1299"/>
        <w:spacing w:after="0" w:line="273" w:lineRule="auto"/>
        <w:rPr>
          <w:sz w:val="20"/>
          <w:szCs w:val="20"/>
          <w:color w:val="auto"/>
        </w:rPr>
      </w:pPr>
      <w:r>
        <w:rPr>
          <w:rFonts w:ascii="Arial" w:cs="Arial" w:eastAsia="Arial" w:hAnsi="Arial"/>
          <w:sz w:val="14"/>
          <w:szCs w:val="14"/>
          <w:color w:val="auto"/>
        </w:rPr>
        <w:t>Our directors and executive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 The director or officer may amend or terminate a Rule 10b5-1 plan subject to compliance with our insider trading policy. Our directors and executive officers also may buy or sell additional shares outside of a</w:t>
      </w:r>
    </w:p>
    <w:p>
      <w:pPr>
        <w:spacing w:after="0" w:line="2"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Rule 10b5-1 plan when they are not in possession of material nonpublic information subject to compliance with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6" w:name="page187"/>
    <w:bookmarkEnd w:id="18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Certain relationships and related party transactions</w:t>
      </w:r>
    </w:p>
    <w:p>
      <w:pPr>
        <w:spacing w:after="0" w:line="122" w:lineRule="exact"/>
        <w:rPr>
          <w:sz w:val="20"/>
          <w:szCs w:val="20"/>
          <w:color w:val="auto"/>
        </w:rPr>
      </w:pPr>
    </w:p>
    <w:p>
      <w:pPr>
        <w:ind w:left="1220" w:right="1419"/>
        <w:spacing w:after="0" w:line="259" w:lineRule="auto"/>
        <w:rPr>
          <w:sz w:val="20"/>
          <w:szCs w:val="20"/>
          <w:color w:val="auto"/>
        </w:rPr>
      </w:pPr>
      <w:r>
        <w:rPr>
          <w:rFonts w:ascii="Arial" w:cs="Arial" w:eastAsia="Arial" w:hAnsi="Arial"/>
          <w:sz w:val="14"/>
          <w:szCs w:val="14"/>
          <w:color w:val="auto"/>
        </w:rPr>
        <w:t>The following includes a summary of transactions since January 1, 2019 and any currently proposed transactions to which we were or are expected to be a participant in which (1) the amount involved exceeded or will exceed the lesser of $120,000 or one percent of our average total assets at year end for the last two completed fiscal years,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 and “Management—Non-employee director compensation.”</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Bayer HealthCare LLC</w:t>
      </w:r>
    </w:p>
    <w:p>
      <w:pPr>
        <w:spacing w:after="0" w:line="133"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Bayer is a holder of greater than 5% of our securities. Below is a summary of the transactions entered into between Bayer and us since January 1, 2019.</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Commitment agreement and option agreement</w:t>
      </w:r>
    </w:p>
    <w:p>
      <w:pPr>
        <w:spacing w:after="0" w:line="13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In June 2019, we entered into a Commitment Agreement by and among Prior Century, Bayer and us, or the Commitment Agreement, pursuant to which Bayer agreed to make an aggregate capital contribution of up to $215 million, upon the achievement of certain milestones. In June 2019, Bayer invested $75 million in consideration for 26,143,709 units in Century Therapeutics, LLC. Bayer invested an additional $70 million in 2020 and 2021, for no additional consideration. The Commitment Agreement terminated on February 25, 2021 in connection with the Series C Financing and Bayer has no continuing obligation to invest any additional amounts under the Commitment Agreement.</w:t>
      </w:r>
    </w:p>
    <w:p>
      <w:pPr>
        <w:spacing w:after="0" w:line="268"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In June 2019, we entered into an Option Agreement by and among Prior Century, Bayer and us, which, following the 2021 Reorganization, was subsequently amended and restated in February 2021, or the Option Agreement. For a description of the Option Agreement, see “Business—Licensing, Partnerships and Collaborations—Bayer Option Agreement.” No payments were made under the Option Agreement in 2019 or 2020.</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Series C Financing</w:t>
      </w:r>
    </w:p>
    <w:p>
      <w:pPr>
        <w:spacing w:after="0" w:line="136" w:lineRule="exact"/>
        <w:rPr>
          <w:sz w:val="20"/>
          <w:szCs w:val="20"/>
          <w:color w:val="auto"/>
        </w:rPr>
      </w:pPr>
    </w:p>
    <w:p>
      <w:pPr>
        <w:ind w:left="1220" w:right="1379"/>
        <w:spacing w:after="0" w:line="274" w:lineRule="auto"/>
        <w:rPr>
          <w:sz w:val="20"/>
          <w:szCs w:val="20"/>
          <w:color w:val="auto"/>
        </w:rPr>
      </w:pPr>
      <w:r>
        <w:rPr>
          <w:rFonts w:ascii="Arial" w:cs="Arial" w:eastAsia="Arial" w:hAnsi="Arial"/>
          <w:sz w:val="14"/>
          <w:szCs w:val="14"/>
          <w:color w:val="auto"/>
        </w:rPr>
        <w:t>Bayer participated in our Series C Financing in February 2021. For a description of the Series C Financing and Bayer’s participation therein, see “—Series C Financing.”</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FUJIFILM Cellular Dynamics, Inc.</w:t>
      </w:r>
    </w:p>
    <w:p>
      <w:pPr>
        <w:spacing w:after="0" w:line="133" w:lineRule="exact"/>
        <w:rPr>
          <w:sz w:val="20"/>
          <w:szCs w:val="20"/>
          <w:color w:val="auto"/>
        </w:rPr>
      </w:pPr>
    </w:p>
    <w:p>
      <w:pPr>
        <w:ind w:left="1220" w:right="1579"/>
        <w:spacing w:after="0" w:line="274" w:lineRule="auto"/>
        <w:rPr>
          <w:sz w:val="20"/>
          <w:szCs w:val="20"/>
          <w:color w:val="auto"/>
        </w:rPr>
      </w:pPr>
      <w:r>
        <w:rPr>
          <w:rFonts w:ascii="Arial" w:cs="Arial" w:eastAsia="Arial" w:hAnsi="Arial"/>
          <w:sz w:val="14"/>
          <w:szCs w:val="14"/>
          <w:color w:val="auto"/>
        </w:rPr>
        <w:t>FCDI is a holder of greater than 5% of our securities. Below are the transactions entered into between FCDI and us since January 1, 2019.</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Reprogramming license agreement</w:t>
      </w:r>
    </w:p>
    <w:p>
      <w:pPr>
        <w:spacing w:after="0" w:line="125"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In September 2018, we entered into a License Agreement, or the Reprogramming License, with FCDI pursuant to which FCDI granted us a non-exclusive, sublicensable, worldwide (excluding Japan) license under certain patents and know-how related to the reprogramming of human cells to iPSCs. For a description of the Reprogramming License, see “Business—Licensing, Partnerships and Collaborations—FUJIFILM Cellular Dynamics.” No payments were made under the Reprogramming License in 2019 or 2020.</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Differentiation license agreement</w:t>
      </w:r>
    </w:p>
    <w:p>
      <w:pPr>
        <w:spacing w:after="0" w:line="13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In September 2018, we entered into a License Agreement, or the Differentiation License, with FCDI pursuant to which FCDI granted us an exclusive, sublicensable, worldwide (excluding Japan) license under certain patents and know-how for the research, development and commercialization of certain cancer immunotherapy products consisting of cells that are, or are modifications of, NK cells, T cells, dendritic cells, and macrophages derived from human iPSCs for cancer immunotherapeutic use. As consideration for the Differentiation License, Prior Century issued FCDI 7,500,000 shares of its common stock, which converted into an equivalent number of shares of our</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7" w:name="page188"/>
    <w:bookmarkEnd w:id="18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619"/>
        <w:spacing w:after="0" w:line="281" w:lineRule="auto"/>
        <w:rPr>
          <w:sz w:val="20"/>
          <w:szCs w:val="20"/>
          <w:color w:val="auto"/>
        </w:rPr>
      </w:pPr>
      <w:r>
        <w:rPr>
          <w:rFonts w:ascii="Arial" w:cs="Arial" w:eastAsia="Arial" w:hAnsi="Arial"/>
          <w:sz w:val="14"/>
          <w:szCs w:val="14"/>
          <w:color w:val="auto"/>
        </w:rPr>
        <w:t>common stock in the 2021 Reorganization. For a description of the Differentiation License Agreement, see “Business—Licensing, Partnerships and Collaborations—FUJIFILM Cellular Dynamics.” No payments were made under the Differentiation License in 2019 or 2020.</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Master collaboration agreement</w:t>
      </w:r>
    </w:p>
    <w:p>
      <w:pPr>
        <w:spacing w:after="0" w:line="13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In October 2019, we entered into a Master Collaboration Agreement, or the Collaboration Agreement, with FCDI pursuant to which FCDI agreed to provide certain development, testing, and manufacturing services to us with respect to our sale of certain licensed products pursuant to the Reprogramming License and Differentiation License. For a description of the Master Collaboration Agreement, see “Business—Licensing, Partnerships and Collaborations—FUJIFILM Cellular Dynamics.” We have made payments to FCDI under the Master Collaboration Agreement totaling $4.8 million in 2019 and $5.3 million in 2020.</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Manufacturing agreement</w:t>
      </w:r>
    </w:p>
    <w:p>
      <w:pPr>
        <w:spacing w:after="0" w:line="146"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For a description of the Manufacturing Agreement, see “Business— Licensing, Partnerships and Collaborations—FUJIFILM Cellular Dynamics.”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Series C Financing</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Following the 2021 Reorganization, on February 25, 2021, we completed the Series C Financing.</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Certain holders of more than 5% of our capital stock (or their affiliates) participated in the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Series C Financing. Versant Vantage II, L.P. invested $10 million for a total of 1,545,125 shares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Series C preferred stock and Bayer invested $25 million for a total of 3,862,813 shares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Series C preferred stock, each at a price of approximately $6.472 per share.</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Investors’ rights agreement</w:t>
      </w:r>
    </w:p>
    <w:p>
      <w:pPr>
        <w:spacing w:after="0" w:line="136"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In connection with the Series C Financing, we entered into an investors’ rights agreement, or the investors’ rights agreement, with certain holders of our common stock and each holder of our preferred stock, which includes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 See the section titled “Description of capital stock— Registration Rights” for additional information. Certain provisions of the investors’ rights agreement, including our affirmative obligations and the right of first offer rights will terminate immediately prior to the closing of this offering, while the registration rights set forth in the investors’ rights agreement will continue in effect after the closing of this offering until they expire in accordance with their terms.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Voting agreement</w:t>
      </w:r>
    </w:p>
    <w:p>
      <w:pPr>
        <w:spacing w:after="0" w:line="146"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In connection with the Series C Financing, we entered into a voting agreement with certain holders of our common stock and each holder of our preferred stock, which includes each holder of more than 5% of our capital stock. The voting agreement, including all rights thereunder, will automatically terminate upon the closing of this offering.</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Right of first refusal and co-sale agreement</w:t>
      </w:r>
    </w:p>
    <w:p>
      <w:pPr>
        <w:spacing w:after="0" w:line="146" w:lineRule="exact"/>
        <w:rPr>
          <w:sz w:val="20"/>
          <w:szCs w:val="20"/>
          <w:color w:val="auto"/>
        </w:rPr>
      </w:pPr>
    </w:p>
    <w:p>
      <w:pPr>
        <w:jc w:val="both"/>
        <w:ind w:left="1220" w:right="1619"/>
        <w:spacing w:after="0" w:line="281" w:lineRule="auto"/>
        <w:rPr>
          <w:sz w:val="20"/>
          <w:szCs w:val="20"/>
          <w:color w:val="auto"/>
        </w:rPr>
      </w:pPr>
      <w:r>
        <w:rPr>
          <w:rFonts w:ascii="Arial" w:cs="Arial" w:eastAsia="Arial" w:hAnsi="Arial"/>
          <w:sz w:val="14"/>
          <w:szCs w:val="14"/>
          <w:color w:val="auto"/>
        </w:rPr>
        <w:t>In connection with the Series C Financing, we entered into a right of first refusal and co-sale agreement with certain holders of our common stock and each holder of our preferred stock, which includes each holder of more</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8" w:name="page189"/>
    <w:bookmarkEnd w:id="18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than 5% of our capital stock. The right of first refusal and co-sale agreement, including all rights thereunder, will automatically terminate immediately prior to the closing of this offering.</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133" w:lineRule="exact"/>
        <w:rPr>
          <w:sz w:val="20"/>
          <w:szCs w:val="20"/>
          <w:color w:val="auto"/>
        </w:rPr>
      </w:pPr>
    </w:p>
    <w:p>
      <w:pPr>
        <w:ind w:left="1220" w:right="1299"/>
        <w:spacing w:after="0" w:line="290" w:lineRule="auto"/>
        <w:rPr>
          <w:sz w:val="20"/>
          <w:szCs w:val="20"/>
          <w:color w:val="auto"/>
        </w:rPr>
      </w:pPr>
      <w:r>
        <w:rPr>
          <w:rFonts w:ascii="Arial" w:cs="Arial" w:eastAsia="Arial" w:hAnsi="Arial"/>
          <w:sz w:val="14"/>
          <w:szCs w:val="14"/>
          <w:color w:val="auto"/>
        </w:rPr>
        <w:t>Please see “Executive compensation” and “Management—Non-employee director compensation” for information regarding the compensation of our directors and executive officers.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Employment agreements</w:t>
      </w:r>
    </w:p>
    <w:p>
      <w:pPr>
        <w:spacing w:after="0" w:line="144" w:lineRule="exact"/>
        <w:rPr>
          <w:sz w:val="20"/>
          <w:szCs w:val="20"/>
          <w:color w:val="auto"/>
        </w:rPr>
      </w:pPr>
    </w:p>
    <w:p>
      <w:pPr>
        <w:ind w:left="1220" w:right="1479"/>
        <w:spacing w:after="0" w:line="280" w:lineRule="auto"/>
        <w:rPr>
          <w:sz w:val="20"/>
          <w:szCs w:val="20"/>
          <w:color w:val="auto"/>
        </w:rPr>
      </w:pPr>
      <w:r>
        <w:rPr>
          <w:rFonts w:ascii="Arial" w:cs="Arial" w:eastAsia="Arial" w:hAnsi="Arial"/>
          <w:sz w:val="14"/>
          <w:szCs w:val="14"/>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Arrangements with our NEOs.”</w:t>
      </w:r>
    </w:p>
    <w:p>
      <w:pPr>
        <w:spacing w:after="0" w:line="30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Indemnification agreements</w:t>
      </w:r>
    </w:p>
    <w:p>
      <w:pPr>
        <w:spacing w:after="0" w:line="144"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have entered and intend to continue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For more information regarding these indemnification agreements, see “Management—Limitation on liability and indemnification matters.”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1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Our board of directors will adopt a written related party transaction policy, which will become effective upon the effectiveness of the Registration Statement, setting forth the policies and procedures for the review and approval or ratification of related-party transactions. This policy will cover any transaction, arrangement or relationship, or any series of similar transactions, arrangements or relationships, in which we were or are to be a participant and a related party had or will have a direct or indirect material interest, as determined by the audit committee of our board of directors, including, without limitation, purchases of goods or services by or from the related party or entities in which the related party has a material interest, and indebtedness, guarantees of indebtedness or employment by us of a related party.</w:t>
      </w:r>
    </w:p>
    <w:p>
      <w:pPr>
        <w:spacing w:after="0" w:line="288"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All related party transactions described in this section occurred prior to adoption of this policy and as such, these transactions were not subject to the approval and review procedures set forth in the policy. However, these transactions were reviewed and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9" w:name="page190"/>
    <w:bookmarkEnd w:id="18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Principal stockholders</w:t>
      </w:r>
    </w:p>
    <w:p>
      <w:pPr>
        <w:spacing w:after="0" w:line="133" w:lineRule="exact"/>
        <w:rPr>
          <w:sz w:val="20"/>
          <w:szCs w:val="20"/>
          <w:color w:val="auto"/>
        </w:rPr>
      </w:pPr>
    </w:p>
    <w:p>
      <w:pPr>
        <w:ind w:left="1220" w:right="1379"/>
        <w:spacing w:after="0" w:line="306" w:lineRule="auto"/>
        <w:rPr>
          <w:sz w:val="20"/>
          <w:szCs w:val="20"/>
          <w:color w:val="auto"/>
        </w:rPr>
      </w:pPr>
      <w:r>
        <w:rPr>
          <w:rFonts w:ascii="Arial" w:cs="Arial" w:eastAsia="Arial" w:hAnsi="Arial"/>
          <w:sz w:val="14"/>
          <w:szCs w:val="14"/>
          <w:color w:val="auto"/>
        </w:rPr>
        <w:t>The following table sets forth, as of May 24, 2021, information regarding beneficial ownership of our capital stock by:</w:t>
      </w:r>
    </w:p>
    <w:p>
      <w:pPr>
        <w:spacing w:after="0" w:line="86" w:lineRule="exact"/>
        <w:rPr>
          <w:sz w:val="20"/>
          <w:szCs w:val="20"/>
          <w:color w:val="auto"/>
        </w:rPr>
      </w:pPr>
    </w:p>
    <w:p>
      <w:pPr>
        <w:ind w:left="1340" w:right="1479" w:hanging="116"/>
        <w:spacing w:after="0" w:line="290" w:lineRule="auto"/>
        <w:tabs>
          <w:tab w:leader="none" w:pos="1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person, or group of affiliated persons, known by us to beneficially own more than 5% of our common stock;</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of our NEOs;</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all of our May 24, 2021 executive officers and directors as a group.</w:t>
      </w:r>
    </w:p>
    <w:p>
      <w:pPr>
        <w:spacing w:after="0" w:line="130" w:lineRule="exact"/>
        <w:rPr>
          <w:sz w:val="20"/>
          <w:szCs w:val="20"/>
          <w:color w:val="auto"/>
        </w:rPr>
      </w:pPr>
    </w:p>
    <w:p>
      <w:pPr>
        <w:ind w:left="1220" w:right="1339"/>
        <w:spacing w:after="0" w:line="289" w:lineRule="auto"/>
        <w:rPr>
          <w:sz w:val="20"/>
          <w:szCs w:val="20"/>
          <w:color w:val="auto"/>
        </w:rPr>
      </w:pPr>
      <w:r>
        <w:rPr>
          <w:rFonts w:ascii="Arial" w:cs="Arial" w:eastAsia="Arial" w:hAnsi="Arial"/>
          <w:sz w:val="14"/>
          <w:szCs w:val="14"/>
          <w:color w:val="auto"/>
        </w:rPr>
        <w:t>The percentage ownership information under the column titled “Beneficial ownership prior to this offering” is based on 110,371,553 shares of common stock outstanding as of May 24, 2021, assuming the automatic conversion of all outstanding shares of our convertible preferred stock into an aggregate of 85,865,789 shares of common stock upon the closing of this offering.</w:t>
      </w:r>
    </w:p>
    <w:p>
      <w:pPr>
        <w:spacing w:after="0" w:line="1" w:lineRule="exact"/>
        <w:rPr>
          <w:sz w:val="20"/>
          <w:szCs w:val="20"/>
          <w:color w:val="auto"/>
        </w:rPr>
      </w:pPr>
    </w:p>
    <w:p>
      <w:pPr>
        <w:ind w:left="1220" w:right="1399"/>
        <w:spacing w:after="0" w:line="289" w:lineRule="auto"/>
        <w:rPr>
          <w:sz w:val="20"/>
          <w:szCs w:val="20"/>
          <w:color w:val="auto"/>
        </w:rPr>
      </w:pPr>
      <w:r>
        <w:rPr>
          <w:rFonts w:ascii="Arial" w:cs="Arial" w:eastAsia="Arial" w:hAnsi="Arial"/>
          <w:sz w:val="14"/>
          <w:szCs w:val="14"/>
          <w:color w:val="auto"/>
        </w:rPr>
        <w:t>The percentage ownership information under the column titled “After Offering” is based on the sale of shares of common stock in this offering (assuming an initial public offering price of $ per share, the midpoint of the price range set forth on the cover page of this prospectus).</w:t>
      </w:r>
    </w:p>
    <w:p>
      <w:pPr>
        <w:spacing w:after="0" w:line="1" w:lineRule="exact"/>
        <w:rPr>
          <w:sz w:val="20"/>
          <w:szCs w:val="20"/>
          <w:color w:val="auto"/>
        </w:rPr>
      </w:pPr>
    </w:p>
    <w:p>
      <w:pPr>
        <w:ind w:left="1220" w:right="1779"/>
        <w:spacing w:after="0" w:line="306" w:lineRule="auto"/>
        <w:rPr>
          <w:sz w:val="20"/>
          <w:szCs w:val="20"/>
          <w:color w:val="auto"/>
        </w:rPr>
      </w:pPr>
      <w:r>
        <w:rPr>
          <w:rFonts w:ascii="Arial" w:cs="Arial" w:eastAsia="Arial" w:hAnsi="Arial"/>
          <w:sz w:val="14"/>
          <w:szCs w:val="14"/>
          <w:color w:val="auto"/>
        </w:rPr>
        <w:t>The percentage ownership information assumes no exercise of the underwriters’ option to purchase additional shares.</w:t>
      </w:r>
    </w:p>
    <w:p>
      <w:pPr>
        <w:spacing w:after="0" w:line="97" w:lineRule="exact"/>
        <w:rPr>
          <w:sz w:val="20"/>
          <w:szCs w:val="20"/>
          <w:color w:val="auto"/>
        </w:rPr>
      </w:pPr>
    </w:p>
    <w:p>
      <w:pPr>
        <w:ind w:left="1220" w:right="1319"/>
        <w:spacing w:after="0" w:line="291" w:lineRule="auto"/>
        <w:rPr>
          <w:sz w:val="20"/>
          <w:szCs w:val="20"/>
          <w:color w:val="auto"/>
        </w:rPr>
      </w:pPr>
      <w:r>
        <w:rPr>
          <w:rFonts w:ascii="Arial" w:cs="Arial" w:eastAsia="Arial" w:hAnsi="Arial"/>
          <w:sz w:val="14"/>
          <w:szCs w:val="14"/>
          <w:color w:val="auto"/>
        </w:rPr>
        <w:t>Beneficial ownership is determined according to the rules of the SEC and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May 24, 2021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302" w:lineRule="exact"/>
        <w:rPr>
          <w:sz w:val="20"/>
          <w:szCs w:val="20"/>
          <w:color w:val="auto"/>
        </w:rPr>
      </w:pPr>
    </w:p>
    <w:p>
      <w:pPr>
        <w:ind w:left="1220" w:right="1399"/>
        <w:spacing w:after="0" w:line="306" w:lineRule="auto"/>
        <w:rPr>
          <w:sz w:val="20"/>
          <w:szCs w:val="20"/>
          <w:color w:val="auto"/>
        </w:rPr>
      </w:pPr>
      <w:r>
        <w:rPr>
          <w:rFonts w:ascii="Arial" w:cs="Arial" w:eastAsia="Arial" w:hAnsi="Arial"/>
          <w:sz w:val="14"/>
          <w:szCs w:val="14"/>
          <w:color w:val="auto"/>
        </w:rPr>
        <w:t>Unless otherwise noted below, the address for each beneficial owner listed in the table below is c/o Century Therapeutics, Inc., 3675 Market Street,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0" w:name="page191"/>
    <w:bookmarkEnd w:id="19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370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Beneficial ownership prior to Beneficial ownership after</w:t>
            </w:r>
          </w:p>
        </w:tc>
      </w:tr>
      <w:tr>
        <w:trPr>
          <w:trHeight w:val="179"/>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this offering</w:t>
            </w: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this offering</w:t>
            </w: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0" w:type="dxa"/>
            <w:vAlign w:val="bottom"/>
          </w:tcPr>
          <w:p>
            <w:pPr>
              <w:jc w:val="right"/>
              <w:ind w:right="110"/>
              <w:spacing w:after="0" w:line="136" w:lineRule="exact"/>
              <w:rPr>
                <w:sz w:val="20"/>
                <w:szCs w:val="20"/>
                <w:color w:val="auto"/>
              </w:rPr>
            </w:pPr>
            <w:r>
              <w:rPr>
                <w:rFonts w:ascii="Arial" w:cs="Arial" w:eastAsia="Arial" w:hAnsi="Arial"/>
                <w:sz w:val="13"/>
                <w:szCs w:val="13"/>
                <w:b w:val="1"/>
                <w:bCs w:val="1"/>
                <w:color w:val="auto"/>
              </w:rPr>
              <w:t>Number of</w:t>
            </w:r>
          </w:p>
        </w:tc>
        <w:tc>
          <w:tcPr>
            <w:tcW w:w="960" w:type="dxa"/>
            <w:vAlign w:val="bottom"/>
          </w:tcPr>
          <w:p>
            <w:pPr>
              <w:jc w:val="right"/>
              <w:ind w:right="10"/>
              <w:spacing w:after="0" w:line="136"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jc w:val="right"/>
              <w:ind w:right="55"/>
              <w:spacing w:after="0" w:line="136" w:lineRule="exact"/>
              <w:rPr>
                <w:sz w:val="20"/>
                <w:szCs w:val="20"/>
                <w:color w:val="auto"/>
              </w:rPr>
            </w:pPr>
            <w:r>
              <w:rPr>
                <w:rFonts w:ascii="Arial" w:cs="Arial" w:eastAsia="Arial" w:hAnsi="Arial"/>
                <w:sz w:val="13"/>
                <w:szCs w:val="13"/>
                <w:b w:val="1"/>
                <w:bCs w:val="1"/>
                <w:color w:val="auto"/>
              </w:rPr>
              <w:t>Number of</w:t>
            </w:r>
          </w:p>
        </w:tc>
        <w:tc>
          <w:tcPr>
            <w:tcW w:w="9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Percentage</w:t>
            </w:r>
          </w:p>
        </w:tc>
      </w:tr>
      <w:tr>
        <w:trPr>
          <w:trHeight w:val="15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10"/>
              <w:spacing w:after="0"/>
              <w:rPr>
                <w:sz w:val="20"/>
                <w:szCs w:val="20"/>
                <w:color w:val="auto"/>
              </w:rPr>
            </w:pPr>
            <w:r>
              <w:rPr>
                <w:rFonts w:ascii="Arial" w:cs="Arial" w:eastAsia="Arial" w:hAnsi="Arial"/>
                <w:sz w:val="13"/>
                <w:szCs w:val="13"/>
                <w:b w:val="1"/>
                <w:bCs w:val="1"/>
                <w:color w:val="auto"/>
              </w:rPr>
              <w:t>of</w:t>
            </w:r>
          </w:p>
        </w:tc>
        <w:tc>
          <w:tcPr>
            <w:tcW w:w="840" w:type="dxa"/>
            <w:vAlign w:val="bottom"/>
          </w:tcPr>
          <w:p>
            <w:pPr>
              <w:jc w:val="right"/>
              <w:ind w:right="55"/>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of</w:t>
            </w:r>
          </w:p>
        </w:tc>
      </w:tr>
      <w:tr>
        <w:trPr>
          <w:trHeight w:val="15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beneficially</w:t>
            </w:r>
          </w:p>
        </w:tc>
        <w:tc>
          <w:tcPr>
            <w:tcW w:w="1800" w:type="dxa"/>
            <w:vAlign w:val="bottom"/>
            <w:gridSpan w:val="2"/>
          </w:tcPr>
          <w:p>
            <w:pPr>
              <w:jc w:val="right"/>
              <w:ind w:right="55"/>
              <w:spacing w:after="0"/>
              <w:rPr>
                <w:sz w:val="20"/>
                <w:szCs w:val="20"/>
                <w:color w:val="auto"/>
              </w:rPr>
            </w:pPr>
            <w:r>
              <w:rPr>
                <w:rFonts w:ascii="Arial" w:cs="Arial" w:eastAsia="Arial" w:hAnsi="Arial"/>
                <w:sz w:val="13"/>
                <w:szCs w:val="13"/>
                <w:b w:val="1"/>
                <w:bCs w:val="1"/>
                <w:color w:val="auto"/>
              </w:rPr>
              <w:t>beneficial beneficially</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beneficial</w:t>
            </w:r>
          </w:p>
        </w:tc>
      </w:tr>
      <w:tr>
        <w:trPr>
          <w:trHeight w:val="178"/>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000" w:type="dxa"/>
            <w:vAlign w:val="bottom"/>
          </w:tcPr>
          <w:p>
            <w:pPr>
              <w:jc w:val="right"/>
              <w:ind w:right="70"/>
              <w:spacing w:after="0"/>
              <w:rPr>
                <w:sz w:val="20"/>
                <w:szCs w:val="20"/>
                <w:color w:val="auto"/>
              </w:rPr>
            </w:pPr>
            <w:r>
              <w:rPr>
                <w:rFonts w:ascii="Arial" w:cs="Arial" w:eastAsia="Arial" w:hAnsi="Arial"/>
                <w:sz w:val="13"/>
                <w:szCs w:val="13"/>
                <w:b w:val="1"/>
                <w:bCs w:val="1"/>
                <w:color w:val="auto"/>
              </w:rPr>
              <w:t>owned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owned</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r>
      <w:tr>
        <w:trPr>
          <w:trHeight w:val="194"/>
        </w:trPr>
        <w:tc>
          <w:tcPr>
            <w:tcW w:w="20" w:type="dxa"/>
            <w:vAlign w:val="bottom"/>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5% and Greater Stockholders:</w:t>
            </w:r>
          </w:p>
        </w:tc>
        <w:tc>
          <w:tcPr>
            <w:tcW w:w="10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Versant Entities</w:t>
            </w:r>
            <w:r>
              <w:rPr>
                <w:rFonts w:ascii="Arial" w:cs="Arial" w:eastAsia="Arial" w:hAnsi="Arial"/>
                <w:sz w:val="21"/>
                <w:szCs w:val="21"/>
                <w:color w:val="auto"/>
                <w:vertAlign w:val="superscript"/>
              </w:rPr>
              <w:t>(1)</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34,045,125</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30.8%</w:t>
            </w: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FUJIFILM Cellular Dynamics, Inc.</w:t>
            </w:r>
            <w:r>
              <w:rPr>
                <w:rFonts w:ascii="Arial" w:cs="Arial" w:eastAsia="Arial" w:hAnsi="Arial"/>
                <w:sz w:val="21"/>
                <w:szCs w:val="21"/>
                <w:color w:val="auto"/>
                <w:vertAlign w:val="superscript"/>
              </w:rPr>
              <w:t>(2)</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17,500,000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15.9%</w:t>
            </w: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Bayer World Investments B.V.</w:t>
            </w:r>
            <w:r>
              <w:rPr>
                <w:rFonts w:ascii="Arial" w:cs="Arial" w:eastAsia="Arial" w:hAnsi="Arial"/>
                <w:sz w:val="21"/>
                <w:szCs w:val="21"/>
                <w:color w:val="auto"/>
                <w:vertAlign w:val="superscript"/>
              </w:rPr>
              <w:t>(3)</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30,006,603</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27.2%</w:t>
            </w: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Casdin Entities</w:t>
            </w:r>
            <w:r>
              <w:rPr>
                <w:rFonts w:ascii="Arial" w:cs="Arial" w:eastAsia="Arial" w:hAnsi="Arial"/>
                <w:sz w:val="21"/>
                <w:szCs w:val="21"/>
                <w:color w:val="auto"/>
                <w:vertAlign w:val="superscript"/>
              </w:rPr>
              <w:t>(4)</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6,180,500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5.6%</w:t>
            </w:r>
          </w:p>
        </w:tc>
        <w:tc>
          <w:tcPr>
            <w:tcW w:w="900" w:type="dxa"/>
            <w:vAlign w:val="bottom"/>
            <w:shd w:val="clear" w:color="auto" w:fill="CCEEFF"/>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2920" w:type="dxa"/>
            <w:vAlign w:val="bottom"/>
            <w:shd w:val="clear" w:color="auto" w:fill="CCEEFF"/>
          </w:tcPr>
          <w:p>
            <w:pPr>
              <w:spacing w:after="0" w:line="231" w:lineRule="exact"/>
              <w:rPr>
                <w:sz w:val="20"/>
                <w:szCs w:val="20"/>
                <w:color w:val="auto"/>
              </w:rPr>
            </w:pPr>
            <w:r>
              <w:rPr>
                <w:rFonts w:ascii="Arial" w:cs="Arial" w:eastAsia="Arial" w:hAnsi="Arial"/>
                <w:sz w:val="14"/>
                <w:szCs w:val="14"/>
                <w:color w:val="auto"/>
              </w:rPr>
              <w:t>Osvaldo Flores, Ph.D.</w:t>
            </w:r>
            <w:r>
              <w:rPr>
                <w:rFonts w:ascii="Arial" w:cs="Arial" w:eastAsia="Arial" w:hAnsi="Arial"/>
                <w:sz w:val="21"/>
                <w:szCs w:val="21"/>
                <w:color w:val="auto"/>
                <w:vertAlign w:val="superscript"/>
              </w:rPr>
              <w:t>(5)</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3,863,080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3.5%</w:t>
            </w:r>
          </w:p>
        </w:tc>
        <w:tc>
          <w:tcPr>
            <w:tcW w:w="9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Michael Diem, M.D.</w:t>
            </w:r>
            <w:r>
              <w:rPr>
                <w:rFonts w:ascii="Arial" w:cs="Arial" w:eastAsia="Arial" w:hAnsi="Arial"/>
                <w:sz w:val="21"/>
                <w:szCs w:val="21"/>
                <w:color w:val="auto"/>
                <w:vertAlign w:val="superscript"/>
              </w:rPr>
              <w:t>(6)</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933,707</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Hyam Levitsky, M.D.</w:t>
            </w:r>
            <w:r>
              <w:rPr>
                <w:rFonts w:ascii="Arial" w:cs="Arial" w:eastAsia="Arial" w:hAnsi="Arial"/>
                <w:sz w:val="21"/>
                <w:szCs w:val="21"/>
                <w:color w:val="auto"/>
                <w:vertAlign w:val="superscript"/>
              </w:rPr>
              <w:t>(7)</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1,350,000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1.2%</w:t>
            </w:r>
          </w:p>
        </w:tc>
        <w:tc>
          <w:tcPr>
            <w:tcW w:w="900" w:type="dxa"/>
            <w:vAlign w:val="bottom"/>
            <w:shd w:val="clear" w:color="auto" w:fill="CCEEFF"/>
          </w:tcPr>
          <w:p>
            <w:pPr>
              <w:spacing w:after="0"/>
              <w:rPr>
                <w:sz w:val="18"/>
                <w:szCs w:val="18"/>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29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Joseph Jimenez</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1,243,825</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5"/>
                <w:szCs w:val="15"/>
                <w:color w:val="auto"/>
              </w:rPr>
            </w:pPr>
          </w:p>
        </w:tc>
      </w:tr>
      <w:tr>
        <w:trPr>
          <w:trHeight w:val="23"/>
        </w:trPr>
        <w:tc>
          <w:tcPr>
            <w:tcW w:w="29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Juergen Eckhart, M.D.</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(4)</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6,180,500</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5.6%</w:t>
            </w:r>
          </w:p>
        </w:tc>
        <w:tc>
          <w:tcPr>
            <w:tcW w:w="90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Cynthia Butitta</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Kimberly Blackwell, M.D.</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29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Alessandro Riva, M.D.</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color w:val="auto"/>
              </w:rPr>
              <w:t>All current directors and executive officers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as a group (14 persons)</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15,468,357</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14.0%</w:t>
            </w:r>
          </w:p>
        </w:tc>
        <w:tc>
          <w:tcPr>
            <w:tcW w:w="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34925</wp:posOffset>
            </wp:positionV>
            <wp:extent cx="4206875" cy="139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206875" cy="13970"/>
                    </a:xfrm>
                    <a:prstGeom prst="rect">
                      <a:avLst/>
                    </a:prstGeom>
                    <a:noFill/>
                  </pic:spPr>
                </pic:pic>
              </a:graphicData>
            </a:graphic>
          </wp:anchor>
        </w:drawing>
      </w:r>
    </w:p>
    <w:p>
      <w:pPr>
        <w:spacing w:after="0" w:line="99" w:lineRule="exact"/>
        <w:rPr>
          <w:sz w:val="20"/>
          <w:szCs w:val="20"/>
          <w:color w:val="auto"/>
        </w:rPr>
      </w:pPr>
    </w:p>
    <w:p>
      <w:pPr>
        <w:ind w:left="1220" w:right="1259" w:firstLine="4"/>
        <w:spacing w:after="0" w:line="226" w:lineRule="auto"/>
        <w:tabs>
          <w:tab w:leader="none" w:pos="145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Consists of (i) 25,000,000 shares of common stock issuable upon conversion of 25,000,000 shares of Series A preferred stock upon the closing of this offering held by Versant Venture Capital VI, L.P., or Versant VI, (ii) 7,500,000 shares of common stock held by Versant VI and (iii) 1,545,125 shares of common stock issuable upon conversion of 1,545,125 shares of Series C preferred stock upon the closing of this offering held by Versant Vantage II, L.P.,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46" w:lineRule="exact"/>
        <w:rPr>
          <w:rFonts w:ascii="Arial" w:cs="Arial" w:eastAsia="Arial" w:hAnsi="Arial"/>
          <w:sz w:val="11"/>
          <w:szCs w:val="11"/>
          <w:color w:val="auto"/>
        </w:rPr>
      </w:pPr>
    </w:p>
    <w:p>
      <w:pPr>
        <w:jc w:val="both"/>
        <w:ind w:left="1220" w:right="1279" w:firstLine="4"/>
        <w:spacing w:after="0" w:line="230" w:lineRule="auto"/>
        <w:tabs>
          <w:tab w:leader="none" w:pos="145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Consists of (i) 10,000,000 shares of common stock issuable upon the conversion of 10,000,000 shares of Series A preferred stock upon the closing of this offering held by FCDI and (ii) 7,500,000 shares of common stock held by FCDI. FCDI is an indirect, wholly owned subsidiary of FUJIFILM Holdings Corporation, which has sole voting and investment power over the Century shares held by FCDI. The address for FUJIFILM Holdings Corporation is 7-3, Akasaka 9-chome, Minato-ku, Tokyo 107-0052, Japan.</w:t>
      </w:r>
    </w:p>
    <w:p>
      <w:pPr>
        <w:spacing w:after="0" w:line="54" w:lineRule="exact"/>
        <w:rPr>
          <w:rFonts w:ascii="Arial" w:cs="Arial" w:eastAsia="Arial" w:hAnsi="Arial"/>
          <w:sz w:val="11"/>
          <w:szCs w:val="11"/>
          <w:color w:val="auto"/>
        </w:rPr>
      </w:pPr>
    </w:p>
    <w:p>
      <w:pPr>
        <w:ind w:left="1220" w:right="1279" w:firstLine="4"/>
        <w:spacing w:after="0" w:line="227" w:lineRule="auto"/>
        <w:tabs>
          <w:tab w:leader="none" w:pos="1491"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Consists of (i) 26,143,790 shares of common stock issuable upon the conversion of 26,143,790 shares of Series B preferred stock upon the closing of this offering, and (ii) 3,862,813 shares of common stock issuable upon the conversion of 3,862,813 shares of Series C preferred stock upon the closing of this offering held by Bayer World Investments B.V.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46" w:lineRule="exact"/>
        <w:rPr>
          <w:rFonts w:ascii="Arial" w:cs="Arial" w:eastAsia="Arial" w:hAnsi="Arial"/>
          <w:sz w:val="11"/>
          <w:szCs w:val="11"/>
          <w:color w:val="auto"/>
        </w:rPr>
      </w:pPr>
    </w:p>
    <w:p>
      <w:pPr>
        <w:ind w:left="1220" w:right="1259" w:firstLine="4"/>
        <w:spacing w:after="0" w:line="227" w:lineRule="auto"/>
        <w:tabs>
          <w:tab w:leader="none" w:pos="145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Consists of (i) 3,090,250 shares of common stock issuable upon the conversion of 3,090,250 shares of Series C preferred stock upon the closing of this offering held by Casdin Partners Master Fund, L.P., or Casdin PMF, and (ii) 3,090,250 shares of common stock issuable upon the conversion of 3,090,250 shares of Series C preferred stock upon the closing of this offering held by Casdin Private Growth Equity Fund, L.P., or Casdin PGEF. Casdin Capital, LLC is the investment adviser to each of Casdin PMF and Casdin PGEF. Casdin Partners GP, LLC, or Casdin GP, is the general partner of Casdin PMF and Casdin Private Growth Equity Fund GP, LLC, or Casdin PGEF GP, is the general partner of Casdin PGEF. Mr. Casdin is the managing member of Casdin Capital, LLC and Casdin Partners GP, LLC. As such, each of Casdin Capital, LLC, Casdin Partners GP, LLC, and Mr. Casdin may be deemed to beneficially own the securities held by Casdin PMF by virtue of their shared voting and investment control over Casdin PMF and each of Casdin Capital, LLC, Casdin PGEF GP, and Mr. Casdin may be deemed to beneficially own the securities held by Casdin PGEF by virtue of their shared voting and investment</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1" w:name="page192"/>
    <w:bookmarkEnd w:id="19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30" w:lineRule="auto"/>
        <w:rPr>
          <w:sz w:val="20"/>
          <w:szCs w:val="20"/>
          <w:color w:val="auto"/>
        </w:rPr>
      </w:pPr>
      <w:r>
        <w:rPr>
          <w:rFonts w:ascii="Arial" w:cs="Arial" w:eastAsia="Arial" w:hAnsi="Arial"/>
          <w:sz w:val="11"/>
          <w:szCs w:val="11"/>
          <w:color w:val="auto"/>
        </w:rPr>
        <w:t>control over Casdin PGEF. Each of Casdin Capital, LLC, Casdin Partners GP, Casdin PGEF GP, and Mr. Casdin disclaims beneficial ownership of such securities except to the extent of their respective pecuniary interest therein. The address of each of Casdin PMF, Casdin PGEF, Casdin Capital, LLC, Casdin GP, Casdin PGEF GP, and Mr. Casdin is 1350 Avenue of the Americas, Suite 2600, New York, New York 10019.</w:t>
      </w:r>
    </w:p>
    <w:p>
      <w:pPr>
        <w:spacing w:after="0" w:line="44" w:lineRule="exact"/>
        <w:rPr>
          <w:sz w:val="20"/>
          <w:szCs w:val="20"/>
          <w:color w:val="auto"/>
        </w:rPr>
      </w:pPr>
    </w:p>
    <w:p>
      <w:pPr>
        <w:ind w:left="1220" w:right="1239" w:firstLine="4"/>
        <w:spacing w:after="0"/>
        <w:tabs>
          <w:tab w:leader="none" w:pos="145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Consists of (i) 1,325,580 shares of common stock; and (ii) 537,500 shares of common stock issuable pursuant to options that are exercisable within 60 days of May 24, 2021 assuming the achievement of the milestones applicable to the Performance Option by virtue of this offering held by Dr. Flores, 1,000,000 shares of common stock held by Nancy Stone, Dr. Flores’ wife, and 1,000,000 shares of common stock held by the Flores Family Trust for Gabriel O. Flores dated October 27, 2016, or the Flores Trust. Ms. Stone is trustee of the Flores Trust. Dr. Flores disclaims beneficial ownership of the shares held by each of Ms. Stone and the Flores Trust.</w:t>
      </w:r>
    </w:p>
    <w:p>
      <w:pPr>
        <w:spacing w:after="0" w:line="133" w:lineRule="exact"/>
        <w:rPr>
          <w:rFonts w:ascii="Arial" w:cs="Arial" w:eastAsia="Arial" w:hAnsi="Arial"/>
          <w:sz w:val="11"/>
          <w:szCs w:val="11"/>
          <w:color w:val="auto"/>
        </w:rPr>
      </w:pPr>
    </w:p>
    <w:p>
      <w:pPr>
        <w:ind w:left="1220" w:right="1519" w:firstLine="4"/>
        <w:spacing w:after="0" w:line="235" w:lineRule="auto"/>
        <w:tabs>
          <w:tab w:leader="none" w:pos="145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Consists of (i) 200,000 shares of common stock; and (ii) 733,707 shares of common stock that are issuable as shares of restricted stock pursuant to options that are exercisable within 60 days of May 24, 2021.</w:t>
      </w:r>
    </w:p>
    <w:p>
      <w:pPr>
        <w:spacing w:after="0" w:line="54" w:lineRule="exact"/>
        <w:rPr>
          <w:rFonts w:ascii="Arial" w:cs="Arial" w:eastAsia="Arial" w:hAnsi="Arial"/>
          <w:sz w:val="11"/>
          <w:szCs w:val="11"/>
          <w:color w:val="auto"/>
        </w:rPr>
      </w:pPr>
    </w:p>
    <w:p>
      <w:pPr>
        <w:ind w:left="1220" w:right="1379" w:firstLine="4"/>
        <w:spacing w:after="0" w:line="232" w:lineRule="auto"/>
        <w:tabs>
          <w:tab w:leader="none" w:pos="145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Consists of 1,350,000 shares of common stock held by the Irrevocable Spousal Trust for Rhonda L. Zuckerman dated December 22, 2020, or the Trust. Dr. Levitsky’s daughter, Abby Miller, serves as Trustee of the Trust and the shares are held by the Trust for the benefit of Dr. Levitsky’s family. Dr. Levitsky disclaims beneficial ownership over the shares held by the Trust.</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Description of capital stock</w:t>
      </w:r>
    </w:p>
    <w:p>
      <w:pPr>
        <w:spacing w:after="0" w:line="162" w:lineRule="exact"/>
        <w:rPr>
          <w:sz w:val="20"/>
          <w:szCs w:val="20"/>
          <w:color w:val="auto"/>
        </w:rPr>
      </w:pPr>
    </w:p>
    <w:p>
      <w:pPr>
        <w:ind w:left="1220" w:right="1299"/>
        <w:spacing w:after="0" w:line="232" w:lineRule="auto"/>
        <w:rPr>
          <w:sz w:val="20"/>
          <w:szCs w:val="20"/>
          <w:color w:val="auto"/>
        </w:rPr>
      </w:pPr>
      <w:r>
        <w:rPr>
          <w:rFonts w:ascii="Arial" w:cs="Arial" w:eastAsia="Arial" w:hAnsi="Arial"/>
          <w:sz w:val="14"/>
          <w:szCs w:val="14"/>
          <w:i w:val="1"/>
          <w:iCs w:val="1"/>
          <w:color w:val="auto"/>
        </w:rPr>
        <w:t>The following descriptions are summaries of the material terms of our second amended and restated certificate of incorporation, amended and restated bylaws, the investor rights agreement to which we and certain of our stockholders are parties and of the DGCL. Because the following is only a summary, it does not contain all of the information that may be important to you. For a complete description, you should refer to our form of second amended and restated certificate of incorporation, form of amended and restated bylaws, and investors’ rights agreement, copies of which have been filed as exhibits to the registration statement of which this prospectus is part.</w:t>
      </w:r>
    </w:p>
    <w:p>
      <w:pPr>
        <w:spacing w:after="0" w:line="13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General</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Upon the closing of this offering and the filing of our second amended and restated certificate of</w:t>
      </w:r>
    </w:p>
    <w:p>
      <w:pPr>
        <w:sectPr>
          <w:pgSz w:w="11900" w:h="16838" w:orient="portrait"/>
          <w:cols w:equalWidth="0" w:num="1">
            <w:col w:w="9019"/>
          </w:cols>
          <w:pgMar w:left="1440" w:top="133" w:right="1440" w:bottom="1440" w:gutter="0" w:footer="0" w:header="0"/>
        </w:sectPr>
      </w:pP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incorporation, our authorized capital stock will consist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of common stock,</w:t>
      </w:r>
    </w:p>
    <w:p>
      <w:pPr>
        <w:spacing w:after="0" w:line="12" w:lineRule="exact"/>
        <w:rPr>
          <w:sz w:val="20"/>
          <w:szCs w:val="20"/>
          <w:color w:val="auto"/>
        </w:rPr>
      </w:pPr>
    </w:p>
    <w:p>
      <w:pPr>
        <w:sectPr>
          <w:pgSz w:w="11900" w:h="16838" w:orient="portrait"/>
          <w:cols w:equalWidth="0" w:num="2">
            <w:col w:w="5140" w:space="720"/>
            <w:col w:w="3159"/>
          </w:cols>
          <w:pgMar w:left="1440" w:top="133" w:right="1440" w:bottom="1440" w:gutter="0" w:footer="0" w:header="0"/>
          <w:type w:val="continuous"/>
        </w:sectPr>
      </w:pPr>
    </w:p>
    <w:p>
      <w:pPr>
        <w:ind w:left="1220"/>
        <w:spacing w:after="0"/>
        <w:rPr>
          <w:sz w:val="20"/>
          <w:szCs w:val="20"/>
          <w:color w:val="auto"/>
        </w:rPr>
      </w:pPr>
      <w:r>
        <w:rPr>
          <w:rFonts w:ascii="Arial" w:cs="Arial" w:eastAsia="Arial" w:hAnsi="Arial"/>
          <w:sz w:val="14"/>
          <w:szCs w:val="14"/>
          <w:color w:val="auto"/>
        </w:rPr>
        <w:t>par value $0.0001 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of preferred stock, par value $0.0001 per</w:t>
      </w:r>
    </w:p>
    <w:p>
      <w:pPr>
        <w:spacing w:after="0" w:line="12" w:lineRule="exact"/>
        <w:rPr>
          <w:sz w:val="20"/>
          <w:szCs w:val="20"/>
          <w:color w:val="auto"/>
        </w:rPr>
      </w:pPr>
    </w:p>
    <w:p>
      <w:pPr>
        <w:sectPr>
          <w:pgSz w:w="11900" w:h="16838" w:orient="portrait"/>
          <w:cols w:equalWidth="0" w:num="2">
            <w:col w:w="3620" w:space="720"/>
            <w:col w:w="4679"/>
          </w:cols>
          <w:pgMar w:left="1440" w:top="133" w:right="1440" w:bottom="1440" w:gutter="0" w:footer="0" w:header="0"/>
          <w:type w:val="continuous"/>
        </w:sectPr>
      </w:pPr>
    </w:p>
    <w:p>
      <w:pPr>
        <w:ind w:left="1220" w:right="1299"/>
        <w:spacing w:after="0" w:line="274" w:lineRule="auto"/>
        <w:rPr>
          <w:sz w:val="20"/>
          <w:szCs w:val="20"/>
          <w:color w:val="auto"/>
        </w:rPr>
      </w:pPr>
      <w:r>
        <w:rPr>
          <w:rFonts w:ascii="Arial" w:cs="Arial" w:eastAsia="Arial" w:hAnsi="Arial"/>
          <w:sz w:val="14"/>
          <w:szCs w:val="14"/>
          <w:color w:val="auto"/>
        </w:rPr>
        <w:t>share. All of our outstanding shares of common stock are, and the shares of common stock to be issued in this offering will be, fully paid and nonassessable.</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Common stock</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Outstanding shares</w:t>
      </w:r>
    </w:p>
    <w:p>
      <w:pPr>
        <w:spacing w:after="0" w:line="13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As of May 24, 2021, there would have been 110,367,274 shares of common stock outstanding, held by stockholders of record, after giving effect to the automatic conversion of all our preferred stock outstanding into an aggregate of 85,865,789 shares of our common stock immediately upon the closing of this offering.</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Voting rights</w:t>
      </w:r>
    </w:p>
    <w:p>
      <w:pPr>
        <w:spacing w:after="0" w:line="136" w:lineRule="exact"/>
        <w:rPr>
          <w:sz w:val="20"/>
          <w:szCs w:val="20"/>
          <w:color w:val="auto"/>
        </w:rPr>
      </w:pPr>
    </w:p>
    <w:p>
      <w:pPr>
        <w:ind w:left="1220" w:right="1399"/>
        <w:spacing w:after="0" w:line="246" w:lineRule="auto"/>
        <w:rPr>
          <w:sz w:val="20"/>
          <w:szCs w:val="20"/>
          <w:color w:val="auto"/>
        </w:rPr>
      </w:pPr>
      <w:r>
        <w:rPr>
          <w:rFonts w:ascii="Arial" w:cs="Arial" w:eastAsia="Arial" w:hAnsi="Arial"/>
          <w:sz w:val="14"/>
          <w:szCs w:val="14"/>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w:t>
      </w:r>
      <w:r>
        <w:rPr>
          <w:rFonts w:ascii="Arial" w:cs="Arial" w:eastAsia="Arial" w:hAnsi="Arial"/>
          <w:sz w:val="20"/>
          <w:szCs w:val="20"/>
          <w:color w:val="auto"/>
          <w:vertAlign w:val="superscript"/>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voting power of all of the then outstanding voting stock will be required to take certain actions, including amending certain provisions of our second amended and restated certificate of incorporation, such as the provisions relating to amending our amended and restated bylaws, procedures for our stockholder meetings, the classified board, director liability, and exclusive forum for proceedings.</w:t>
      </w:r>
    </w:p>
    <w:p>
      <w:pPr>
        <w:spacing w:after="0" w:line="3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Dividends</w:t>
      </w:r>
    </w:p>
    <w:p>
      <w:pPr>
        <w:spacing w:after="0" w:line="125" w:lineRule="exact"/>
        <w:rPr>
          <w:sz w:val="20"/>
          <w:szCs w:val="20"/>
          <w:color w:val="auto"/>
        </w:rPr>
      </w:pPr>
    </w:p>
    <w:p>
      <w:pPr>
        <w:jc w:val="both"/>
        <w:ind w:left="1220" w:right="1279"/>
        <w:spacing w:after="0" w:line="265" w:lineRule="auto"/>
        <w:rPr>
          <w:sz w:val="20"/>
          <w:szCs w:val="20"/>
          <w:color w:val="auto"/>
        </w:rPr>
      </w:pPr>
      <w:r>
        <w:rPr>
          <w:rFonts w:ascii="Arial" w:cs="Arial" w:eastAsia="Arial" w:hAnsi="Arial"/>
          <w:sz w:val="14"/>
          <w:szCs w:val="14"/>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Liquidation</w:t>
      </w:r>
    </w:p>
    <w:p>
      <w:pPr>
        <w:spacing w:after="0" w:line="136"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In the event of our liquidation, dissolution or winding up, holders of our common stock will be entitled to share ratably in the net assets legally available for distribution to stockholders after the payment of all of our debts and</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192" w:name="page193"/>
    <w:bookmarkEnd w:id="19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539"/>
        <w:spacing w:after="0" w:line="290" w:lineRule="auto"/>
        <w:rPr>
          <w:sz w:val="20"/>
          <w:szCs w:val="20"/>
          <w:color w:val="auto"/>
        </w:rPr>
      </w:pPr>
      <w:r>
        <w:rPr>
          <w:rFonts w:ascii="Arial" w:cs="Arial" w:eastAsia="Arial" w:hAnsi="Arial"/>
          <w:sz w:val="14"/>
          <w:szCs w:val="14"/>
          <w:color w:val="auto"/>
        </w:rPr>
        <w:t>other liabilities and the satisfaction of any liquidation preference granted to the holders of any then outstanding shares of preferred stock.</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Rights and preferences</w:t>
      </w:r>
    </w:p>
    <w:p>
      <w:pPr>
        <w:spacing w:after="0" w:line="136" w:lineRule="exact"/>
        <w:rPr>
          <w:sz w:val="20"/>
          <w:szCs w:val="20"/>
          <w:color w:val="auto"/>
        </w:rPr>
      </w:pPr>
    </w:p>
    <w:p>
      <w:pPr>
        <w:ind w:left="1220" w:right="1379"/>
        <w:spacing w:after="0" w:line="280" w:lineRule="auto"/>
        <w:rPr>
          <w:sz w:val="20"/>
          <w:szCs w:val="20"/>
          <w:color w:val="auto"/>
        </w:rPr>
      </w:pPr>
      <w:r>
        <w:rPr>
          <w:rFonts w:ascii="Arial" w:cs="Arial" w:eastAsia="Arial" w:hAnsi="Arial"/>
          <w:sz w:val="14"/>
          <w:szCs w:val="14"/>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0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Preferred stock</w:t>
      </w:r>
    </w:p>
    <w:p>
      <w:pPr>
        <w:spacing w:after="0" w:line="144"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Upon the closing of this offering, all outstanding shares of our preferred stock will be automatically converted into an aggregate of 85,865,789 shares of common stock. Under the terms of our second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90"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Warrants</w:t>
      </w:r>
    </w:p>
    <w:p>
      <w:pPr>
        <w:spacing w:after="0" w:line="133"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Pursuant to our warrant agreement between us and Hercules Technology Management Co II, Inc., or Hercules, as of April 30, 2021, Hercules held warrants to purchase an aggregate of 40,540 shares of our common stock at an exercise price of $5.55 per share, subject to customary adjustments provided in the warrant agreement. These warrants may be exercised at any time and from time to time, in whole or in part, prior to September 14, 2030.</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Stock options and grant plan shares</w:t>
      </w:r>
    </w:p>
    <w:p>
      <w:pPr>
        <w:spacing w:after="0" w:line="144"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As of May 24, 2021, 10,118,185 shares of common stock were issuable upon the exercise of outstanding stock options, at a weighted average exercise price of $0.82 per share. For additional information regarding terms of our equity incentive plans, see the section titled “Executive compensation—Equity incentive plans.”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Registration rights</w:t>
      </w:r>
    </w:p>
    <w:p>
      <w:pPr>
        <w:spacing w:after="0" w:line="144"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The investors’ rights agreement grants certain of the holders of our capital stock party thereto certain registration rights in respect of the “registrable securities” held by them, which securities include (1) the shares of our common stock issued upon the conversion of shares of our preferred stock, (2) the shares of common stock issued upon the conversion of any other security,</w:t>
      </w:r>
    </w:p>
    <w:p>
      <w:pPr>
        <w:spacing w:after="0" w:line="1" w:lineRule="exact"/>
        <w:rPr>
          <w:sz w:val="20"/>
          <w:szCs w:val="20"/>
          <w:color w:val="auto"/>
        </w:rPr>
      </w:pPr>
    </w:p>
    <w:p>
      <w:pPr>
        <w:jc w:val="both"/>
        <w:ind w:left="1220" w:right="1339" w:firstLine="4"/>
        <w:spacing w:after="0" w:line="273" w:lineRule="auto"/>
        <w:tabs>
          <w:tab w:leader="none" w:pos="145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of common stock held by certain of the holders of our capital stock party thereto as of the date of the investors’ rights agreement, and (4) any shares of our common stock issued as a dividend or other distribution with respect to the shares described in the foregoing clause (1),</w:t>
      </w:r>
    </w:p>
    <w:p>
      <w:pPr>
        <w:ind w:left="1220" w:right="1419" w:firstLine="4"/>
        <w:spacing w:after="0" w:line="281" w:lineRule="auto"/>
        <w:tabs>
          <w:tab w:leader="none" w:pos="140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and (3). The registration of shares of our common stock pursuant to the exercise of these registration rights would enable the holders thereof to sell such shares without restriction under the Securities Act when the applicable registration statement is declared effective.</w:t>
      </w:r>
    </w:p>
    <w:p>
      <w:pPr>
        <w:spacing w:after="0" w:line="93" w:lineRule="exact"/>
        <w:rPr>
          <w:sz w:val="20"/>
          <w:szCs w:val="20"/>
          <w:color w:val="auto"/>
        </w:rPr>
      </w:pPr>
    </w:p>
    <w:p>
      <w:pPr>
        <w:jc w:val="both"/>
        <w:ind w:left="1220" w:right="1899"/>
        <w:spacing w:after="0" w:line="281" w:lineRule="auto"/>
        <w:rPr>
          <w:sz w:val="20"/>
          <w:szCs w:val="20"/>
          <w:color w:val="auto"/>
        </w:rPr>
      </w:pPr>
      <w:r>
        <w:rPr>
          <w:rFonts w:ascii="Arial" w:cs="Arial" w:eastAsia="Arial" w:hAnsi="Arial"/>
          <w:sz w:val="14"/>
          <w:szCs w:val="14"/>
          <w:color w:val="auto"/>
        </w:rPr>
        <w:t>Holders of shares of our common stock (including shares issuable upon the conversion of our preferred stock) are entitled to such registration rights pursuant to the investors’ rights agreement.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3" w:name="page194"/>
    <w:bookmarkEnd w:id="19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Expenses of registration</w:t>
      </w:r>
    </w:p>
    <w:p>
      <w:pPr>
        <w:spacing w:after="0" w:line="136" w:lineRule="exact"/>
        <w:rPr>
          <w:sz w:val="20"/>
          <w:szCs w:val="20"/>
          <w:color w:val="auto"/>
        </w:rPr>
      </w:pPr>
    </w:p>
    <w:p>
      <w:pPr>
        <w:ind w:left="1220" w:right="1299"/>
        <w:spacing w:after="0" w:line="281" w:lineRule="auto"/>
        <w:rPr>
          <w:sz w:val="20"/>
          <w:szCs w:val="20"/>
          <w:color w:val="auto"/>
        </w:rPr>
      </w:pPr>
      <w:r>
        <w:rPr>
          <w:rFonts w:ascii="Arial" w:cs="Arial" w:eastAsia="Arial" w:hAnsi="Arial"/>
          <w:sz w:val="14"/>
          <w:szCs w:val="14"/>
          <w:color w:val="auto"/>
        </w:rPr>
        <w:t>Subject to specified conditions and limitations, we are required to pay all expenses, other than underwriting discounts and commissions and stock transfer taxes incurred in connection with any exercise of these registration rights.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Expiration of registration rights</w:t>
      </w:r>
    </w:p>
    <w:p>
      <w:pPr>
        <w:spacing w:after="0" w:line="146" w:lineRule="exact"/>
        <w:rPr>
          <w:sz w:val="20"/>
          <w:szCs w:val="20"/>
          <w:color w:val="auto"/>
        </w:rPr>
      </w:pPr>
    </w:p>
    <w:p>
      <w:pPr>
        <w:ind w:left="1220" w:right="1359"/>
        <w:spacing w:after="0" w:line="283" w:lineRule="auto"/>
        <w:rPr>
          <w:sz w:val="20"/>
          <w:szCs w:val="20"/>
          <w:color w:val="auto"/>
        </w:rPr>
      </w:pPr>
      <w:r>
        <w:rPr>
          <w:rFonts w:ascii="Arial" w:cs="Arial" w:eastAsia="Arial" w:hAnsi="Arial"/>
          <w:sz w:val="14"/>
          <w:szCs w:val="14"/>
          <w:color w:val="auto"/>
        </w:rPr>
        <w:t>These registration rights will expire on the earlier to occur of (1) such time after the consummation of this offering in which all of such holders registrable shares can be sold without limitation during a three-month period without registration, and (2) the third anniversary of the closing of this offering.</w:t>
      </w: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146"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At any time beginning six months after the closing of this offering, the holders of a majority of the common stock issued or issuable upon conversion of our preferred stock then outstanding may, on not more than two occasions, request that we prepare, file, and maintain a registration statement on Form S-1 to register the sale of their registrable securities, provided such registrable securities represent at least 40% of all registrable securities then outstanding. Once we are eligible to use a registration statement on Form S-3, the stockholders party to the investors’ rights agreement representing at least 30% of the registrable securities then outstanding may, not more than twice in any twelve-month period, request that we prepare, file, and maintain a registration statement on Form S-3 covering the sale of their registrable securities, but only if the anticipated offering price, net of underwriting discounts and commissions, would exceed $5.0 million.</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Piggyback registration rights</w:t>
      </w:r>
    </w:p>
    <w:p>
      <w:pPr>
        <w:spacing w:after="0" w:line="13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S-8, these holders will be entitled to notice of the registration and will have the right to include their registrable securities in the registration subject to certain limitations.</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Indemnification</w:t>
      </w:r>
    </w:p>
    <w:p>
      <w:pPr>
        <w:spacing w:after="0" w:line="14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The investors’ rights agreement contains customary cross-indemnification provisions, pursuant to which we are obligated to indemnify the selling holders of registrable securities in the event of either material misstatements or omissions in the applicable registration statement attributable to us or our violation of the Securities Act, and the selling stockholders are obligated to indemnify us for material misstatements or omission in the registration statement attributable to them, subject to certain limitations.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Anti-Takeover Provisions of Delaware law and our charter documents</w:t>
      </w:r>
    </w:p>
    <w:p>
      <w:pPr>
        <w:spacing w:after="0" w:line="144"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Some provisions of Delaware law and our second amended and restated certificate of incorporation and our amended and restated bylaws that will become effective immediately prior to the closing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0"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4" w:name="page195"/>
    <w:bookmarkEnd w:id="19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Section 203 of the Delaware General Corporation Law</w:t>
      </w:r>
    </w:p>
    <w:p>
      <w:pPr>
        <w:spacing w:after="0" w:line="136" w:lineRule="exact"/>
        <w:rPr>
          <w:sz w:val="20"/>
          <w:szCs w:val="20"/>
          <w:color w:val="auto"/>
        </w:rPr>
      </w:pPr>
    </w:p>
    <w:p>
      <w:pPr>
        <w:ind w:left="1220" w:right="1339"/>
        <w:spacing w:after="0" w:line="274" w:lineRule="auto"/>
        <w:rPr>
          <w:sz w:val="20"/>
          <w:szCs w:val="20"/>
          <w:color w:val="auto"/>
        </w:rPr>
      </w:pPr>
      <w:r>
        <w:rPr>
          <w:rFonts w:ascii="Arial" w:cs="Arial" w:eastAsia="Arial" w:hAnsi="Arial"/>
          <w:sz w:val="14"/>
          <w:szCs w:val="14"/>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Elimination of stockholder action by written consent</w:t>
      </w:r>
    </w:p>
    <w:p>
      <w:pPr>
        <w:spacing w:after="0" w:line="14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Our second amended and restated certificate of incorporation, which will be in effect immediately prior to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Undesignated preferred stock</w:t>
      </w:r>
    </w:p>
    <w:p>
      <w:pPr>
        <w:spacing w:after="0" w:line="146"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Amendment of charter provisions</w:t>
      </w:r>
    </w:p>
    <w:p>
      <w:pPr>
        <w:spacing w:after="0" w:line="136" w:lineRule="exact"/>
        <w:rPr>
          <w:sz w:val="20"/>
          <w:szCs w:val="20"/>
          <w:color w:val="auto"/>
        </w:rPr>
      </w:pPr>
    </w:p>
    <w:p>
      <w:pPr>
        <w:ind w:left="1220" w:right="1299"/>
        <w:spacing w:after="0" w:line="284" w:lineRule="auto"/>
        <w:rPr>
          <w:sz w:val="20"/>
          <w:szCs w:val="20"/>
          <w:color w:val="auto"/>
        </w:rPr>
      </w:pPr>
      <w:r>
        <w:rPr>
          <w:rFonts w:ascii="Arial" w:cs="Arial" w:eastAsia="Arial" w:hAnsi="Arial"/>
          <w:sz w:val="14"/>
          <w:szCs w:val="14"/>
          <w:color w:val="auto"/>
        </w:rPr>
        <w:t>Our second amended and restated certificate of incorporation will further provide that the affirmative vote of holders of at least 66</w:t>
      </w:r>
      <w:r>
        <w:rPr>
          <w:rFonts w:ascii="Arial" w:cs="Arial" w:eastAsia="Arial" w:hAnsi="Arial"/>
          <w:sz w:val="10"/>
          <w:szCs w:val="10"/>
          <w:color w:val="auto"/>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voting power of all of the then outstanding shares of voting stock, voting as a single class, will be required to amend certain provisions of our second amended and restated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10"/>
          <w:szCs w:val="10"/>
          <w:color w:val="auto"/>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voting power of all of the then outstanding shares of voting stock, voting as a single class, will be required to amend or repeal our amended and restated bylaws, although our amended and restated bylaws may be amended by a simple majority vote of our board of directors.</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Classified board; election and removal of directors</w:t>
      </w:r>
    </w:p>
    <w:p>
      <w:pPr>
        <w:spacing w:after="0" w:line="14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Our second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Choice of forum</w:t>
      </w:r>
    </w:p>
    <w:p>
      <w:pPr>
        <w:spacing w:after="0" w:line="14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Our second amended and restated certificate of incorporation will provide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5" w:name="page196"/>
    <w:bookmarkEnd w:id="19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second amended and restated certificate of incorporation or our amended and restated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278"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In addition, our second amended and restated certificate of incorporation will further provide that, unless we consent in writing to the selection of an alternative forum (which consent may be given at any time, including during the pendency of litigation), the federal district courts of the United States of America shall be the sole and exclusive forum for the resolution of any complaint asserting a cause of action arising under the Securities Act. Any person or entity purchasing or otherwise acquiring or holding any interest in any of our securities will be deemed to have notice of and consented to this provision.</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144"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For a discussion of liability and indemnification, see “Management—Limitation on Liability and Indemnification Matters.”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Listing</w:t>
      </w:r>
    </w:p>
    <w:p>
      <w:pPr>
        <w:spacing w:after="0" w:line="144" w:lineRule="exact"/>
        <w:rPr>
          <w:sz w:val="20"/>
          <w:szCs w:val="20"/>
          <w:color w:val="auto"/>
        </w:rPr>
      </w:pPr>
    </w:p>
    <w:p>
      <w:pPr>
        <w:ind w:left="1220" w:right="1279"/>
        <w:spacing w:after="0" w:line="290"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Transfer agent and registrar</w:t>
      </w:r>
    </w:p>
    <w:p>
      <w:pPr>
        <w:spacing w:after="0" w:line="133" w:lineRule="exact"/>
        <w:rPr>
          <w:sz w:val="20"/>
          <w:szCs w:val="20"/>
          <w:color w:val="auto"/>
        </w:rPr>
      </w:pPr>
    </w:p>
    <w:p>
      <w:pPr>
        <w:ind w:left="1220"/>
        <w:spacing w:after="0"/>
        <w:tabs>
          <w:tab w:leader="none" w:pos="5880" w:val="left"/>
        </w:tabs>
        <w:rPr>
          <w:sz w:val="20"/>
          <w:szCs w:val="20"/>
          <w:color w:val="auto"/>
        </w:rPr>
      </w:pPr>
      <w:r>
        <w:rPr>
          <w:rFonts w:ascii="Arial" w:cs="Arial" w:eastAsia="Arial" w:hAnsi="Arial"/>
          <w:sz w:val="14"/>
          <w:szCs w:val="14"/>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6" w:name="page197"/>
    <w:bookmarkEnd w:id="19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Shares eligible for future sale</w:t>
      </w:r>
    </w:p>
    <w:p>
      <w:pPr>
        <w:spacing w:after="0" w:line="122"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closing of this offering, or the perception that those sales may occur, could adversely affect the prevailing market price for our common stock from time to time or impair our ability to raise equity capital in the future.</w:t>
      </w:r>
    </w:p>
    <w:p>
      <w:pPr>
        <w:spacing w:after="0" w:line="108"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Based on the number of shares of common stock outstanding as of December 31, 2020, upon the closing of this offering and assuming (i) the completion of the 2021 Reorganization,</w:t>
      </w:r>
    </w:p>
    <w:p>
      <w:pPr>
        <w:ind w:left="1220" w:right="1239" w:firstLine="4"/>
        <w:spacing w:after="0" w:line="258" w:lineRule="auto"/>
        <w:tabs>
          <w:tab w:leader="none" w:pos="143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completion of the Series C Financing, (iii) the automatic conversion of all our preferred stock outstanding as of May 24, 2021 into an aggregate of 85,865,789 shares of our common stock upon the closing of this offering, (iv) no exercise of the underwriters’ option to purchase additional shares of common stock, and (v) no exercise of outstanding options or warrants, we will have outstanding an aggregate of approximately 110,247,171 shares of common stock. All of the shares sold in this offering will be freely tradable unless purchased by our “affiliates” as such term is defined in Rule 144 or purchased by existing stockholders and their affiliated entities that are subject to lock-up agreements. All remaining shares of common stock held by existing stockholders immediately prior to the consummation of this offering will be “restricted securities,” as such term is defined in Rule 144. These restricted securities were issued and sold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9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As a result of the lock-up agreements referred to below and the provisions of Rule 144 and</w:t>
      </w:r>
    </w:p>
    <w:p>
      <w:pPr>
        <w:spacing w:after="0" w:line="22"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Rule 701, based on the number of shares of our common stock outstanding as of , 2021, the remaining shares of our common stock will generally become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494530" cy="139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494530" cy="13970"/>
                    </a:xfrm>
                    <a:prstGeom prst="rect">
                      <a:avLst/>
                    </a:prstGeom>
                    <a:noFill/>
                  </pic:spPr>
                </pic:pic>
              </a:graphicData>
            </a:graphic>
          </wp:anchor>
        </w:drawing>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Approximate number of sharesFirst date available for sale on the public markets</w:t>
      </w:r>
    </w:p>
    <w:p>
      <w:pPr>
        <w:spacing w:after="0" w:line="2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15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shares</w:t>
            </w:r>
          </w:p>
        </w:tc>
        <w:tc>
          <w:tcPr>
            <w:tcW w:w="55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181 days after the date of this prospectus, upon expiration of the lock-up</w:t>
            </w:r>
          </w:p>
        </w:tc>
      </w:tr>
      <w:tr>
        <w:trPr>
          <w:trHeight w:val="172"/>
        </w:trPr>
        <w:tc>
          <w:tcPr>
            <w:tcW w:w="1500" w:type="dxa"/>
            <w:vAlign w:val="bottom"/>
            <w:shd w:val="clear" w:color="auto" w:fill="CCEEFF"/>
          </w:tcPr>
          <w:p>
            <w:pPr>
              <w:spacing w:after="0"/>
              <w:rPr>
                <w:sz w:val="14"/>
                <w:szCs w:val="14"/>
                <w:color w:val="auto"/>
              </w:rPr>
            </w:pPr>
          </w:p>
        </w:tc>
        <w:tc>
          <w:tcPr>
            <w:tcW w:w="5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agreements referred to below, subject in some cases to applicable volume,</w:t>
            </w:r>
          </w:p>
        </w:tc>
      </w:tr>
      <w:tr>
        <w:trPr>
          <w:trHeight w:val="186"/>
        </w:trPr>
        <w:tc>
          <w:tcPr>
            <w:tcW w:w="15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manner of sale and other limitations under Rule 144 and Rule 701.</w:t>
            </w:r>
          </w:p>
        </w:tc>
      </w:tr>
      <w:tr>
        <w:trPr>
          <w:trHeight w:val="20"/>
        </w:trPr>
        <w:tc>
          <w:tcPr>
            <w:tcW w:w="1500" w:type="dxa"/>
            <w:vAlign w:val="bottom"/>
            <w:shd w:val="clear" w:color="auto" w:fill="000000"/>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220" w:right="1319"/>
        <w:spacing w:after="0" w:line="290" w:lineRule="auto"/>
        <w:rPr>
          <w:sz w:val="20"/>
          <w:szCs w:val="20"/>
          <w:color w:val="auto"/>
        </w:rPr>
      </w:pPr>
      <w:r>
        <w:rPr>
          <w:rFonts w:ascii="Arial" w:cs="Arial" w:eastAsia="Arial" w:hAnsi="Arial"/>
          <w:sz w:val="14"/>
          <w:szCs w:val="14"/>
          <w:color w:val="auto"/>
        </w:rPr>
        <w:t>We may issue shares of common stock from time to time as consideration for future acquisitions, investments, or other corporate purposes.</w:t>
      </w:r>
    </w:p>
    <w:p>
      <w:pPr>
        <w:spacing w:after="0" w:line="96"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6" w:lineRule="exact"/>
        <w:rPr>
          <w:sz w:val="20"/>
          <w:szCs w:val="20"/>
          <w:color w:val="auto"/>
        </w:rPr>
      </w:pPr>
    </w:p>
    <w:p>
      <w:pPr>
        <w:ind w:left="1220" w:right="1399"/>
        <w:spacing w:after="0" w:line="278" w:lineRule="auto"/>
        <w:rPr>
          <w:sz w:val="20"/>
          <w:szCs w:val="20"/>
          <w:color w:val="auto"/>
        </w:rPr>
      </w:pPr>
      <w:r>
        <w:rPr>
          <w:rFonts w:ascii="Arial" w:cs="Arial" w:eastAsia="Arial" w:hAnsi="Arial"/>
          <w:sz w:val="14"/>
          <w:szCs w:val="14"/>
          <w:color w:val="auto"/>
        </w:rPr>
        <w:t>In addition, the shares of common stock reserved for future issuance under the 2018 Plan and 2021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Rule 144</w:t>
      </w:r>
    </w:p>
    <w:p>
      <w:pPr>
        <w:spacing w:after="0" w:line="133"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7" w:name="page198"/>
    <w:bookmarkEnd w:id="19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including the holding period of any prior owner other than “affiliates,” then such person is entitled to sell such shares in the public market without complying with any of the requirements of Rule 144 (subject to the lock-up agreement referred to below, if applicable).</w:t>
      </w:r>
    </w:p>
    <w:p>
      <w:pPr>
        <w:spacing w:after="0" w:line="93" w:lineRule="exact"/>
        <w:rPr>
          <w:sz w:val="20"/>
          <w:szCs w:val="20"/>
          <w:color w:val="auto"/>
        </w:rPr>
      </w:pPr>
    </w:p>
    <w:p>
      <w:pPr>
        <w:ind w:left="1220" w:right="1419"/>
        <w:spacing w:after="0" w:line="261"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258" w:lineRule="exact"/>
        <w:rPr>
          <w:sz w:val="20"/>
          <w:szCs w:val="20"/>
          <w:color w:val="auto"/>
        </w:rPr>
      </w:pPr>
    </w:p>
    <w:p>
      <w:pPr>
        <w:ind w:left="1840" w:right="1339" w:hanging="616"/>
        <w:spacing w:after="0" w:line="273" w:lineRule="auto"/>
        <w:tabs>
          <w:tab w:leader="none" w:pos="133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1% of the number of shares of common stock then outstanding, which will equal approximately shares of common stock immediately upon the closing of this offering (calculated as</w:t>
      </w:r>
    </w:p>
    <w:p>
      <w:pPr>
        <w:spacing w:after="0" w:line="1" w:lineRule="exact"/>
        <w:rPr>
          <w:sz w:val="20"/>
          <w:szCs w:val="20"/>
          <w:color w:val="auto"/>
        </w:rPr>
      </w:pPr>
    </w:p>
    <w:p>
      <w:pPr>
        <w:ind w:left="1340" w:right="1739"/>
        <w:spacing w:after="0" w:line="273" w:lineRule="auto"/>
        <w:rPr>
          <w:sz w:val="20"/>
          <w:szCs w:val="20"/>
          <w:color w:val="auto"/>
        </w:rPr>
      </w:pPr>
      <w:r>
        <w:rPr>
          <w:rFonts w:ascii="Arial" w:cs="Arial" w:eastAsia="Arial" w:hAnsi="Arial"/>
          <w:sz w:val="14"/>
          <w:szCs w:val="14"/>
          <w:color w:val="auto"/>
        </w:rPr>
        <w:t>of , 2021 on the basis of the assumptions described above and assuming no exercise of the underwriter’s option to purchase additional shares and no exercise of</w:t>
      </w:r>
    </w:p>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3540" w:type="dxa"/>
            <w:vAlign w:val="bottom"/>
          </w:tcPr>
          <w:p>
            <w:pPr>
              <w:spacing w:after="0"/>
              <w:rPr>
                <w:sz w:val="20"/>
                <w:szCs w:val="20"/>
                <w:color w:val="auto"/>
              </w:rPr>
            </w:pPr>
            <w:r>
              <w:rPr>
                <w:rFonts w:ascii="Arial" w:cs="Arial" w:eastAsia="Arial" w:hAnsi="Arial"/>
                <w:sz w:val="14"/>
                <w:szCs w:val="14"/>
                <w:color w:val="auto"/>
              </w:rPr>
              <w:t>outstanding options or warrants subsequent to</w:t>
            </w:r>
          </w:p>
        </w:tc>
        <w:tc>
          <w:tcPr>
            <w:tcW w:w="1140" w:type="dxa"/>
            <w:vAlign w:val="bottom"/>
          </w:tcPr>
          <w:p>
            <w:pPr>
              <w:ind w:left="460"/>
              <w:spacing w:after="0"/>
              <w:rPr>
                <w:sz w:val="20"/>
                <w:szCs w:val="20"/>
                <w:color w:val="auto"/>
              </w:rPr>
            </w:pPr>
            <w:r>
              <w:rPr>
                <w:rFonts w:ascii="Arial" w:cs="Arial" w:eastAsia="Arial" w:hAnsi="Arial"/>
                <w:sz w:val="14"/>
                <w:szCs w:val="14"/>
                <w:color w:val="auto"/>
              </w:rPr>
              <w:t>, 2021); or</w:t>
            </w:r>
          </w:p>
        </w:tc>
      </w:tr>
    </w:tbl>
    <w:p>
      <w:pPr>
        <w:spacing w:after="0" w:line="98" w:lineRule="exact"/>
        <w:rPr>
          <w:sz w:val="20"/>
          <w:szCs w:val="20"/>
          <w:color w:val="auto"/>
        </w:rPr>
      </w:pPr>
    </w:p>
    <w:p>
      <w:pPr>
        <w:ind w:left="1340" w:right="1779" w:hanging="116"/>
        <w:spacing w:after="0" w:line="290" w:lineRule="auto"/>
        <w:tabs>
          <w:tab w:leader="none" w:pos="1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such sale.</w:t>
      </w:r>
    </w:p>
    <w:p>
      <w:pPr>
        <w:spacing w:after="0" w:line="75"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Such sales under Rule 144 by our “affiliates” or persons selling shares on behalf of our “affiliates” are also subject to certain manner of sale provisions, notice requirements and requirements related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Rule 701</w:t>
      </w:r>
    </w:p>
    <w:p>
      <w:pPr>
        <w:spacing w:after="0" w:line="133" w:lineRule="exact"/>
        <w:rPr>
          <w:sz w:val="20"/>
          <w:szCs w:val="20"/>
          <w:color w:val="auto"/>
        </w:rPr>
      </w:pPr>
    </w:p>
    <w:p>
      <w:pPr>
        <w:ind w:left="1220" w:right="1279"/>
        <w:spacing w:after="0" w:line="257" w:lineRule="auto"/>
        <w:rPr>
          <w:sz w:val="20"/>
          <w:szCs w:val="20"/>
          <w:color w:val="auto"/>
        </w:rPr>
      </w:pPr>
      <w:r>
        <w:rPr>
          <w:rFonts w:ascii="Arial" w:cs="Arial" w:eastAsia="Arial" w:hAnsi="Arial"/>
          <w:sz w:val="14"/>
          <w:szCs w:val="14"/>
          <w:color w:val="auto"/>
        </w:rPr>
        <w:t>In general, under Rule 701,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w:t>
      </w:r>
    </w:p>
    <w:p>
      <w:pPr>
        <w:spacing w:after="0" w:line="1" w:lineRule="exact"/>
        <w:rPr>
          <w:sz w:val="20"/>
          <w:szCs w:val="20"/>
          <w:color w:val="auto"/>
        </w:rPr>
      </w:pPr>
    </w:p>
    <w:p>
      <w:pPr>
        <w:ind w:left="1220" w:right="1379"/>
        <w:spacing w:after="0" w:line="261" w:lineRule="auto"/>
        <w:rPr>
          <w:sz w:val="20"/>
          <w:szCs w:val="20"/>
          <w:color w:val="auto"/>
        </w:rPr>
      </w:pPr>
      <w:r>
        <w:rPr>
          <w:rFonts w:ascii="Arial" w:cs="Arial" w:eastAsia="Arial" w:hAnsi="Arial"/>
          <w:sz w:val="14"/>
          <w:szCs w:val="14"/>
          <w:color w:val="auto"/>
        </w:rPr>
        <w:t>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Lock-up agreements</w:t>
      </w:r>
    </w:p>
    <w:p>
      <w:pPr>
        <w:spacing w:after="0" w:line="13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connection with this offering, we, our directors, our executive officers, and the holders of substantially all of our common stock, stock options, and other securities convertible into, exercisable or exchangeable for our common stock, have agreed, subject to certain exceptions, with the underwriters not to directly or indirectly offer, pledge, sell, contract to sell, sell any option or contract to purchase, purchase any option or contract to sell, grant any option, right or warrant to purchase, lend, or otherwise transfer or dispose of, directly or indirectly, or enter into any hedging, swap or other agreement or transaction that transfers any of the economic consequences of ownership of shares of our common stock, or any options to purchase shares of our common stock, or any securities convertible into or exchangeable for shares of common stock, during the period from the date of this prospectus continuing through the date 180 days after the date of this prospectus, except with the prior written consent of the representatives of the underwriters, and certain other limited exceptions. These agreements are described in the section titled “Underwriting.”</w:t>
      </w:r>
    </w:p>
    <w:p>
      <w:pPr>
        <w:spacing w:after="0" w:line="200" w:lineRule="exact"/>
        <w:rPr>
          <w:sz w:val="20"/>
          <w:szCs w:val="20"/>
          <w:color w:val="auto"/>
        </w:rPr>
      </w:pPr>
    </w:p>
    <w:p>
      <w:pPr>
        <w:spacing w:after="0" w:line="241" w:lineRule="exact"/>
        <w:rPr>
          <w:sz w:val="20"/>
          <w:szCs w:val="20"/>
          <w:color w:val="auto"/>
        </w:rPr>
      </w:pPr>
    </w:p>
    <w:p>
      <w:pPr>
        <w:ind w:left="1220" w:right="1599"/>
        <w:spacing w:after="0" w:line="262" w:lineRule="auto"/>
        <w:rPr>
          <w:sz w:val="20"/>
          <w:szCs w:val="20"/>
          <w:color w:val="auto"/>
        </w:rPr>
      </w:pPr>
      <w:r>
        <w:rPr>
          <w:rFonts w:ascii="Arial" w:cs="Arial" w:eastAsia="Arial" w:hAnsi="Arial"/>
          <w:sz w:val="14"/>
          <w:szCs w:val="14"/>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8" w:name="page199"/>
    <w:bookmarkEnd w:id="19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39"/>
        <w:spacing w:after="0" w:line="278" w:lineRule="auto"/>
        <w:rPr>
          <w:sz w:val="20"/>
          <w:szCs w:val="20"/>
          <w:color w:val="auto"/>
        </w:rPr>
      </w:pPr>
      <w:r>
        <w:rPr>
          <w:rFonts w:ascii="Arial" w:cs="Arial" w:eastAsia="Arial" w:hAnsi="Arial"/>
          <w:sz w:val="14"/>
          <w:szCs w:val="14"/>
          <w:color w:val="auto"/>
        </w:rPr>
        <w:t>restricted stock purchase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96"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Registration rights</w:t>
      </w:r>
    </w:p>
    <w:p>
      <w:pPr>
        <w:spacing w:after="0" w:line="14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Upon the closing of this offering, the holders of up to approximately million shares of our common stock (which includes all of the shares of common stock issuable upon the automatic conversion of our preferred stock upon the closing of this offering), or their transferees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immediately upon the effectiveness of the registration statement registering such shares, except for shares purchased by affiliates.</w:t>
      </w:r>
    </w:p>
    <w:p>
      <w:pPr>
        <w:spacing w:after="0" w:line="110" w:lineRule="exact"/>
        <w:rPr>
          <w:sz w:val="20"/>
          <w:szCs w:val="20"/>
          <w:color w:val="auto"/>
        </w:rPr>
      </w:pPr>
    </w:p>
    <w:p>
      <w:pPr>
        <w:ind w:left="1220" w:right="1379"/>
        <w:spacing w:after="0" w:line="280" w:lineRule="auto"/>
        <w:rPr>
          <w:sz w:val="20"/>
          <w:szCs w:val="20"/>
          <w:color w:val="auto"/>
        </w:rPr>
      </w:pPr>
      <w:r>
        <w:rPr>
          <w:rFonts w:ascii="Arial" w:cs="Arial" w:eastAsia="Arial" w:hAnsi="Arial"/>
          <w:sz w:val="14"/>
          <w:szCs w:val="14"/>
          <w:color w:val="auto"/>
        </w:rPr>
        <w:t>Following the closing of our initial public offering, we intend to enter into a registration rights agreement with Hercules Capital, Inc. granting Hercules Capital, Inc. rights with respect to the registration of their shares under the Securities Act in connection with the common stock issued in connection with the exercise of warrants to purchase shares of our common stock held by Hercules Capital, Inc.</w:t>
      </w:r>
    </w:p>
    <w:p>
      <w:pPr>
        <w:spacing w:after="0" w:line="274" w:lineRule="exact"/>
        <w:rPr>
          <w:sz w:val="20"/>
          <w:szCs w:val="20"/>
          <w:color w:val="auto"/>
        </w:rPr>
      </w:pPr>
    </w:p>
    <w:p>
      <w:pPr>
        <w:jc w:val="both"/>
        <w:ind w:left="1220" w:right="1279"/>
        <w:spacing w:after="0" w:line="283" w:lineRule="auto"/>
        <w:rPr>
          <w:sz w:val="20"/>
          <w:szCs w:val="20"/>
          <w:color w:val="auto"/>
        </w:rPr>
      </w:pPr>
      <w:r>
        <w:rPr>
          <w:rFonts w:ascii="Arial" w:cs="Arial" w:eastAsia="Arial" w:hAnsi="Arial"/>
          <w:sz w:val="14"/>
          <w:szCs w:val="14"/>
          <w:color w:val="auto"/>
        </w:rPr>
        <w:t>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w:t>
      </w:r>
    </w:p>
    <w:p>
      <w:pPr>
        <w:spacing w:after="0" w:line="283" w:lineRule="exact"/>
        <w:rPr>
          <w:sz w:val="20"/>
          <w:szCs w:val="20"/>
          <w:color w:val="auto"/>
        </w:rPr>
      </w:pPr>
    </w:p>
    <w:p>
      <w:pPr>
        <w:jc w:val="both"/>
        <w:ind w:left="1220" w:right="1299"/>
        <w:spacing w:after="0" w:line="281" w:lineRule="auto"/>
        <w:rPr>
          <w:sz w:val="20"/>
          <w:szCs w:val="20"/>
          <w:color w:val="auto"/>
        </w:rPr>
      </w:pPr>
      <w:r>
        <w:rPr>
          <w:rFonts w:ascii="Arial" w:cs="Arial" w:eastAsia="Arial" w:hAnsi="Arial"/>
          <w:sz w:val="14"/>
          <w:szCs w:val="14"/>
          <w:color w:val="auto"/>
        </w:rPr>
        <w:t>See the section titled “Description of capital stock—Registration rights” for additional information. Shares covered by a registration statement will be eligible for sale on the public market upon the expiration or release from the terms of any applicable lock-up agreement.</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Equity incentive plans</w:t>
      </w:r>
    </w:p>
    <w:p>
      <w:pPr>
        <w:spacing w:after="0" w:line="144"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intend to file with the SEC a registration statement on Form S-8 under the Securities Act covering the shares of common stock reserved for issuance under the 2018 Plan, the 2021 Plan, and the ESPP.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9" w:name="page200"/>
    <w:bookmarkEnd w:id="19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1499"/>
        <w:spacing w:after="0" w:line="251" w:lineRule="auto"/>
        <w:rPr>
          <w:sz w:val="20"/>
          <w:szCs w:val="20"/>
          <w:color w:val="auto"/>
        </w:rPr>
      </w:pPr>
      <w:r>
        <w:rPr>
          <w:rFonts w:ascii="Arial" w:cs="Arial" w:eastAsia="Arial" w:hAnsi="Arial"/>
          <w:sz w:val="23"/>
          <w:szCs w:val="23"/>
          <w:b w:val="1"/>
          <w:bCs w:val="1"/>
          <w:color w:val="auto"/>
        </w:rPr>
        <w:t>Material U.S. federal income tax consequences to Non-U.S. holders</w:t>
      </w:r>
    </w:p>
    <w:p>
      <w:pPr>
        <w:spacing w:after="0" w:line="71"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86" w:lineRule="exact"/>
        <w:rPr>
          <w:sz w:val="20"/>
          <w:szCs w:val="20"/>
          <w:color w:val="auto"/>
        </w:rPr>
      </w:pPr>
    </w:p>
    <w:p>
      <w:pPr>
        <w:ind w:left="1220" w:right="1379"/>
        <w:spacing w:after="0" w:line="260" w:lineRule="auto"/>
        <w:rPr>
          <w:sz w:val="20"/>
          <w:szCs w:val="20"/>
          <w:color w:val="auto"/>
        </w:rPr>
      </w:pPr>
      <w:r>
        <w:rPr>
          <w:rFonts w:ascii="Arial" w:cs="Arial" w:eastAsia="Arial" w:hAnsi="Arial"/>
          <w:sz w:val="14"/>
          <w:szCs w:val="14"/>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In addition, it does not address consequences relevant to Non-U.S. Holders subject to special rules, including, without limitation:</w:t>
      </w:r>
    </w:p>
    <w:p>
      <w:pPr>
        <w:spacing w:after="0" w:line="86" w:lineRule="exact"/>
        <w:rPr>
          <w:sz w:val="20"/>
          <w:szCs w:val="20"/>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subject to the alternative minimum tax;</w:t>
      </w:r>
    </w:p>
    <w:p>
      <w:pPr>
        <w:spacing w:after="0" w:line="108"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holding our common stock as part of a hedge, straddle or other risk reduction strategy or as part of a conversion transaction, or other integrated investment;</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97"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6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partnerships, other entities, or arrangements treated as partnerships for U.S. federal income tax purposes (and investors therein);</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deemed to sell our common stock under the constructive sale provisions of the Code;</w:t>
      </w:r>
    </w:p>
    <w:p>
      <w:pPr>
        <w:spacing w:after="0" w:line="108" w:lineRule="exact"/>
        <w:rPr>
          <w:rFonts w:ascii="Arial" w:cs="Arial" w:eastAsia="Arial" w:hAnsi="Arial"/>
          <w:sz w:val="14"/>
          <w:szCs w:val="14"/>
          <w:color w:val="auto"/>
        </w:rPr>
      </w:pPr>
    </w:p>
    <w:p>
      <w:pPr>
        <w:ind w:left="1340" w:right="129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who hold or receive our common stock pursuant to the exercise of any employee stock option or otherwise as compensation;</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tax-qualified retirement plans;</w:t>
      </w:r>
    </w:p>
    <w:p>
      <w:pPr>
        <w:spacing w:after="0" w:line="108" w:lineRule="exact"/>
        <w:rPr>
          <w:rFonts w:ascii="Arial" w:cs="Arial" w:eastAsia="Arial" w:hAnsi="Arial"/>
          <w:sz w:val="14"/>
          <w:szCs w:val="14"/>
          <w:color w:val="auto"/>
        </w:rPr>
      </w:pPr>
    </w:p>
    <w:p>
      <w:pPr>
        <w:ind w:left="1340" w:right="139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“qualified foreign pension funds” and entities, all of the interests of which are held by qualified foreign pension funds; and</w:t>
      </w:r>
    </w:p>
    <w:p>
      <w:pPr>
        <w:spacing w:after="0" w:line="64" w:lineRule="exact"/>
        <w:rPr>
          <w:rFonts w:ascii="Arial" w:cs="Arial" w:eastAsia="Arial" w:hAnsi="Arial"/>
          <w:sz w:val="14"/>
          <w:szCs w:val="14"/>
          <w:color w:val="auto"/>
        </w:rPr>
      </w:pPr>
    </w:p>
    <w:p>
      <w:pPr>
        <w:jc w:val="both"/>
        <w:ind w:left="1340" w:right="157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our common stock being taken into account in an applicable financial statement.</w:t>
      </w:r>
    </w:p>
    <w:p>
      <w:pPr>
        <w:spacing w:after="0" w:line="8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78" w:lineRule="exact"/>
        <w:rPr>
          <w:sz w:val="20"/>
          <w:szCs w:val="20"/>
          <w:color w:val="auto"/>
        </w:rPr>
      </w:pPr>
    </w:p>
    <w:p>
      <w:pPr>
        <w:ind w:left="1220" w:right="1439"/>
        <w:spacing w:after="0" w:line="279"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0" w:name="page201"/>
    <w:bookmarkEnd w:id="20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20" w:right="1399"/>
        <w:spacing w:after="0" w:line="304" w:lineRule="auto"/>
        <w:rPr>
          <w:sz w:val="20"/>
          <w:szCs w:val="20"/>
          <w:color w:val="auto"/>
        </w:rPr>
      </w:pPr>
      <w:r>
        <w:rPr>
          <w:rFonts w:ascii="Arial" w:cs="Arial" w:eastAsia="Arial" w:hAnsi="Arial"/>
          <w:sz w:val="14"/>
          <w:szCs w:val="14"/>
          <w:b w:val="1"/>
          <w:bCs w:val="1"/>
          <w:color w:val="auto"/>
        </w:rPr>
        <w:t>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Definition of a Non-U.S. holder</w:t>
      </w:r>
    </w:p>
    <w:p>
      <w:pPr>
        <w:spacing w:after="0" w:line="133" w:lineRule="exact"/>
        <w:rPr>
          <w:sz w:val="20"/>
          <w:szCs w:val="20"/>
          <w:color w:val="auto"/>
        </w:rPr>
      </w:pPr>
    </w:p>
    <w:p>
      <w:pPr>
        <w:ind w:left="1220" w:right="1259"/>
        <w:spacing w:after="0" w:line="301"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68" w:lineRule="exact"/>
        <w:rPr>
          <w:sz w:val="20"/>
          <w:szCs w:val="20"/>
          <w:color w:val="auto"/>
        </w:rPr>
      </w:pPr>
    </w:p>
    <w:p>
      <w:pPr>
        <w:ind w:left="1340" w:hanging="116"/>
        <w:spacing w:after="0"/>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19"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 corporation or entity treated as a corporation that is created or organized under the laws of the United States, any state thereof, or the District of Columbia;</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19" w:lineRule="exact"/>
        <w:rPr>
          <w:rFonts w:ascii="Arial" w:cs="Arial" w:eastAsia="Arial" w:hAnsi="Arial"/>
          <w:sz w:val="14"/>
          <w:szCs w:val="14"/>
          <w:color w:val="auto"/>
        </w:rPr>
      </w:pPr>
    </w:p>
    <w:p>
      <w:pPr>
        <w:ind w:left="1340" w:right="1599" w:hanging="116"/>
        <w:spacing w:after="0" w:line="273" w:lineRule="auto"/>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 trust that (i) is subject to the primary supervision of a U.S. court and the control of one or more “United States persons” (within the meaning of Section 7701(a)(30) of the Code), or</w:t>
      </w:r>
    </w:p>
    <w:p>
      <w:pPr>
        <w:ind w:left="1340" w:right="1319"/>
        <w:spacing w:after="0" w:line="290" w:lineRule="auto"/>
        <w:rPr>
          <w:rFonts w:ascii="Arial" w:cs="Arial" w:eastAsia="Arial" w:hAnsi="Arial"/>
          <w:sz w:val="14"/>
          <w:szCs w:val="14"/>
          <w:color w:val="auto"/>
        </w:rPr>
      </w:pPr>
      <w:r>
        <w:rPr>
          <w:rFonts w:ascii="Arial" w:cs="Arial" w:eastAsia="Arial" w:hAnsi="Arial"/>
          <w:sz w:val="14"/>
          <w:szCs w:val="14"/>
          <w:color w:val="auto"/>
        </w:rPr>
        <w:t>(ii) has a valid election in effect to be treated as a United States person for U.S. federal income tax purposes.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Distributions</w:t>
      </w:r>
    </w:p>
    <w:p>
      <w:pPr>
        <w:spacing w:after="0" w:line="144" w:lineRule="exact"/>
        <w:rPr>
          <w:sz w:val="20"/>
          <w:szCs w:val="20"/>
          <w:color w:val="auto"/>
        </w:rPr>
      </w:pPr>
    </w:p>
    <w:p>
      <w:pPr>
        <w:ind w:left="1220" w:right="1239"/>
        <w:spacing w:after="0" w:line="292" w:lineRule="auto"/>
        <w:rPr>
          <w:sz w:val="20"/>
          <w:szCs w:val="20"/>
          <w:color w:val="auto"/>
        </w:rPr>
      </w:pPr>
      <w:r>
        <w:rPr>
          <w:rFonts w:ascii="Arial" w:cs="Arial" w:eastAsia="Arial" w:hAnsi="Arial"/>
          <w:sz w:val="14"/>
          <w:szCs w:val="14"/>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89"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Subject to the discussions below on effectively connected income, backup withholding and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9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90"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Any such effectively connected dividends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1" w:name="page202"/>
    <w:bookmarkEnd w:id="20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Sale or other taxable disposition</w:t>
      </w:r>
    </w:p>
    <w:p>
      <w:pPr>
        <w:spacing w:after="0" w:line="13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71" w:lineRule="exact"/>
        <w:rPr>
          <w:sz w:val="20"/>
          <w:szCs w:val="20"/>
          <w:color w:val="auto"/>
        </w:rPr>
      </w:pPr>
    </w:p>
    <w:p>
      <w:pPr>
        <w:ind w:left="1340" w:right="1439" w:hanging="116"/>
        <w:spacing w:after="0" w:line="283" w:lineRule="auto"/>
        <w:tabs>
          <w:tab w:leader="none" w:pos="1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261" w:lineRule="exact"/>
        <w:rPr>
          <w:rFonts w:ascii="Arial" w:cs="Arial" w:eastAsia="Arial" w:hAnsi="Arial"/>
          <w:sz w:val="14"/>
          <w:szCs w:val="14"/>
          <w:color w:val="auto"/>
        </w:rPr>
      </w:pPr>
    </w:p>
    <w:p>
      <w:pPr>
        <w:ind w:left="1340" w:right="1359" w:hanging="116"/>
        <w:spacing w:after="0" w:line="290" w:lineRule="auto"/>
        <w:tabs>
          <w:tab w:leader="none" w:pos="1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64"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our common stock constitutes a U.S. real property interest, or USRPI, by reason of our status as a U.S. real property holding corporation, or USRPHC, for U.S. federal income tax purposes.</w:t>
      </w:r>
    </w:p>
    <w:p>
      <w:pPr>
        <w:spacing w:after="0" w:line="86" w:lineRule="exact"/>
        <w:rPr>
          <w:sz w:val="20"/>
          <w:szCs w:val="20"/>
          <w:color w:val="auto"/>
        </w:rPr>
      </w:pPr>
    </w:p>
    <w:p>
      <w:pPr>
        <w:ind w:left="1220" w:right="1279"/>
        <w:spacing w:after="0" w:line="280"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285"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7"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286" w:lineRule="exact"/>
        <w:rPr>
          <w:sz w:val="20"/>
          <w:szCs w:val="20"/>
          <w:color w:val="auto"/>
        </w:rPr>
      </w:pPr>
    </w:p>
    <w:p>
      <w:pPr>
        <w:ind w:left="1220" w:right="1399"/>
        <w:spacing w:after="0" w:line="290" w:lineRule="auto"/>
        <w:rPr>
          <w:sz w:val="20"/>
          <w:szCs w:val="20"/>
          <w:color w:val="auto"/>
        </w:rPr>
      </w:pPr>
      <w:r>
        <w:rPr>
          <w:rFonts w:ascii="Arial" w:cs="Arial" w:eastAsia="Arial" w:hAnsi="Arial"/>
          <w:sz w:val="14"/>
          <w:szCs w:val="14"/>
          <w:color w:val="auto"/>
        </w:rPr>
        <w:t>Non-U.S. Holders should consult their tax advisors regarding any applicable income tax treaties that may provide for different rules.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44"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Payments of dividends on our common stock will not be subject to backup withholding, provided the holder either certifies its non-U.S. status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2" w:name="page203"/>
    <w:bookmarkEnd w:id="20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Copies of information returns that are filed with the IRS also may be made available under the provisions of an applicable treaty or agreement to the tax authorities of the country in which the Non-U.S. Holder resides or is established.</w:t>
      </w:r>
    </w:p>
    <w:p>
      <w:pPr>
        <w:spacing w:after="0" w:line="93" w:lineRule="exact"/>
        <w:rPr>
          <w:sz w:val="20"/>
          <w:szCs w:val="20"/>
          <w:color w:val="auto"/>
        </w:rPr>
      </w:pPr>
    </w:p>
    <w:p>
      <w:pPr>
        <w:jc w:val="both"/>
        <w:ind w:left="1220" w:right="1299"/>
        <w:spacing w:after="0" w:line="281"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44"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Withholding taxes may be imposed under Sections 1471 to 1474 of the Code (commonly referred to as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96"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currently to payments of dividends on our common stock. While withholding under FATCA would have applied also to payments of gross proceeds from the sale or other disposition of our common stock on or after January 1, 2021, proposed Treasury Regulations eliminate FATCA withholding on payments of gross proceeds entirely. Taxpayers generally may rely on these proposed Treasury Regulations until final Treasury Regulations are issued.</w:t>
      </w:r>
    </w:p>
    <w:p>
      <w:pPr>
        <w:spacing w:after="0" w:line="277" w:lineRule="exact"/>
        <w:rPr>
          <w:sz w:val="20"/>
          <w:szCs w:val="20"/>
          <w:color w:val="auto"/>
        </w:rPr>
      </w:pPr>
    </w:p>
    <w:p>
      <w:pPr>
        <w:ind w:left="1220" w:right="1639"/>
        <w:spacing w:after="0" w:line="290" w:lineRule="auto"/>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3" w:name="page204"/>
    <w:bookmarkEnd w:id="20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Underwriting</w:t>
      </w:r>
    </w:p>
    <w:p>
      <w:pPr>
        <w:spacing w:after="0" w:line="122"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are offering the shares of common stock described in this prospectus through a number of underwriters. J.P. Morgan Securities LLC, BofA Securities, Inc., SVB Leerink LLC, and Piper Sandler &amp; Co. are acting as joint book-running managers of the offering and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3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8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Number of</w:t>
            </w:r>
          </w:p>
        </w:tc>
      </w:tr>
      <w:tr>
        <w:trPr>
          <w:trHeight w:val="151"/>
        </w:trPr>
        <w:tc>
          <w:tcPr>
            <w:tcW w:w="2980" w:type="dxa"/>
            <w:vAlign w:val="bottom"/>
          </w:tcPr>
          <w:p>
            <w:pPr>
              <w:spacing w:after="0"/>
              <w:rPr>
                <w:sz w:val="13"/>
                <w:szCs w:val="13"/>
                <w:color w:val="auto"/>
              </w:rPr>
            </w:pPr>
          </w:p>
        </w:tc>
        <w:tc>
          <w:tcPr>
            <w:tcW w:w="358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r>
      <w:tr>
        <w:trPr>
          <w:trHeight w:val="171"/>
        </w:trPr>
        <w:tc>
          <w:tcPr>
            <w:tcW w:w="29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580" w:type="dxa"/>
            <w:vAlign w:val="bottom"/>
          </w:tcPr>
          <w:p>
            <w:pPr>
              <w:jc w:val="right"/>
              <w:spacing w:after="0"/>
              <w:rPr>
                <w:sz w:val="20"/>
                <w:szCs w:val="20"/>
                <w:color w:val="auto"/>
              </w:rPr>
            </w:pPr>
            <w:r>
              <w:rPr>
                <w:rFonts w:ascii="Arial" w:cs="Arial" w:eastAsia="Arial" w:hAnsi="Arial"/>
                <w:sz w:val="13"/>
                <w:szCs w:val="13"/>
                <w:b w:val="1"/>
                <w:bCs w:val="1"/>
                <w:color w:val="auto"/>
              </w:rPr>
              <w:t>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10160</wp:posOffset>
            </wp:positionV>
            <wp:extent cx="4165600" cy="1301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165600" cy="130175"/>
                    </a:xfrm>
                    <a:prstGeom prst="rect">
                      <a:avLst/>
                    </a:prstGeom>
                    <a:noFill/>
                  </pic:spPr>
                </pic:pic>
              </a:graphicData>
            </a:graphic>
          </wp:anchor>
        </w:drawing>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J.P. Morgan Securities LLC</w:t>
      </w:r>
    </w:p>
    <w:p>
      <w:pPr>
        <w:spacing w:after="0" w:line="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21590</wp:posOffset>
            </wp:positionV>
            <wp:extent cx="4165600" cy="1301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165600" cy="130175"/>
                    </a:xfrm>
                    <a:prstGeom prst="rect">
                      <a:avLst/>
                    </a:prstGeom>
                    <a:noFill/>
                  </pic:spPr>
                </pic:pic>
              </a:graphicData>
            </a:graphic>
          </wp:anchor>
        </w:drawing>
      </w:r>
    </w:p>
    <w:p>
      <w:pPr>
        <w:spacing w:after="0" w:line="2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SVB Leerink LLC</w:t>
      </w:r>
    </w:p>
    <w:p>
      <w:pPr>
        <w:spacing w:after="0" w:line="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14605</wp:posOffset>
            </wp:positionV>
            <wp:extent cx="416560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165600" cy="13716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28575</wp:posOffset>
            </wp:positionV>
            <wp:extent cx="416560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143"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ind w:left="1220" w:right="1399"/>
        <w:spacing w:after="0" w:line="257" w:lineRule="auto"/>
        <w:rPr>
          <w:sz w:val="20"/>
          <w:szCs w:val="20"/>
          <w:color w:val="auto"/>
        </w:rPr>
      </w:pPr>
      <w:r>
        <w:rPr>
          <w:rFonts w:ascii="Arial" w:cs="Arial" w:eastAsia="Arial" w:hAnsi="Arial"/>
          <w:sz w:val="14"/>
          <w:szCs w:val="14"/>
          <w:color w:val="auto"/>
        </w:rPr>
        <w:t>The underwriters propose to offer the shares of common stock directly to the public at the initial public offering price set forth on the cover page of this prospectus and to certain dealers at that</w:t>
      </w:r>
    </w:p>
    <w:p>
      <w:pPr>
        <w:ind w:left="1220" w:right="1339"/>
        <w:spacing w:after="0" w:line="262" w:lineRule="auto"/>
        <w:rPr>
          <w:sz w:val="20"/>
          <w:szCs w:val="20"/>
          <w:color w:val="auto"/>
        </w:rPr>
      </w:pPr>
      <w:r>
        <w:rPr>
          <w:rFonts w:ascii="Arial" w:cs="Arial" w:eastAsia="Arial" w:hAnsi="Arial"/>
          <w:sz w:val="14"/>
          <w:szCs w:val="14"/>
          <w:color w:val="auto"/>
        </w:rPr>
        <w:t>price less a concession not in excess of $ per share. After the initial offering of the shares of common stock to the public, if all of the shares of common stock are not sold at the initial public offering price, the underwriters may change the offering price and the other selling terms. Sales of any shares of common stock made outside of the United States may be made by affiliates of the underwriters.</w:t>
      </w:r>
    </w:p>
    <w:p>
      <w:pPr>
        <w:spacing w:after="0" w:line="279"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underwriters have an option to buy up to additional shares of common stock from us to cover sales of shares of common stock by the underwriters which exceed the number of shares of common stock specified in the table above. The underwriters have 30 days from the date of this prospectus to exercise this option to purchase additional shares of common stock. If any shares of common stock are purchased with this option to purchase additional shares of common stock, the underwriters will purchase shares of common stock in approximately the same proportion as shown in the table above. If any additional shares of common stock are purchased, the underwriters will offer the additional shares of common stock on the same terms as those on which the shares of common stock are being offered.</w:t>
      </w:r>
    </w:p>
    <w:p>
      <w:pPr>
        <w:spacing w:after="0" w:line="29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underwriting fee is equal to the public offering price per common share less the amount paid</w:t>
      </w:r>
    </w:p>
    <w:p>
      <w:pPr>
        <w:spacing w:after="0" w:line="22"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by the underwriters to us per common share. The underwriting fee is $ per share. The following table shows the per share and total underwriting discounts and commissions to be paid to the underwriters assuming both no exercise and full exercise of the underwriters’ option to purchase additional shares of common stock.</w:t>
      </w:r>
    </w:p>
    <w:p>
      <w:pPr>
        <w:spacing w:after="0" w:line="10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Without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With full</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option to</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option to</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purchase</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purchase</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additional</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shares of</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common stock</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exercise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0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Total</w:t>
            </w:r>
          </w:p>
        </w:tc>
        <w:tc>
          <w:tcPr>
            <w:tcW w:w="3240" w:type="dxa"/>
            <w:vAlign w:val="bottom"/>
            <w:gridSpan w:val="2"/>
          </w:tcPr>
          <w:p>
            <w:pPr>
              <w:jc w:val="right"/>
              <w:ind w:right="854"/>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8"/>
        </w:trPr>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80" w:type="dxa"/>
            <w:vAlign w:val="bottom"/>
          </w:tcPr>
          <w:p>
            <w:pPr>
              <w:jc w:val="right"/>
              <w:ind w:right="868"/>
              <w:spacing w:after="0"/>
              <w:rPr>
                <w:sz w:val="20"/>
                <w:szCs w:val="20"/>
                <w:color w:val="auto"/>
              </w:rPr>
            </w:pPr>
            <w:r>
              <w:rPr>
                <w:rFonts w:ascii="Arial" w:cs="Arial" w:eastAsia="Arial" w:hAnsi="Arial"/>
                <w:sz w:val="14"/>
                <w:szCs w:val="14"/>
                <w:color w:val="auto"/>
              </w:rPr>
              <w:t>189</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6"/>
        </w:trPr>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-800735</wp:posOffset>
            </wp:positionV>
            <wp:extent cx="273367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3367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4" w:name="page205"/>
    <w:bookmarkEnd w:id="20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57"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w:t>
      </w:r>
    </w:p>
    <w:p>
      <w:pPr>
        <w:ind w:left="1220"/>
        <w:spacing w:after="0"/>
        <w:tabs>
          <w:tab w:leader="none" w:pos="4320" w:val="left"/>
        </w:tabs>
        <w:rPr>
          <w:sz w:val="20"/>
          <w:szCs w:val="20"/>
          <w:color w:val="auto"/>
        </w:rPr>
      </w:pPr>
      <w:r>
        <w:rPr>
          <w:rFonts w:ascii="Arial" w:cs="Arial" w:eastAsia="Arial" w:hAnsi="Arial"/>
          <w:sz w:val="14"/>
          <w:szCs w:val="14"/>
          <w:color w:val="auto"/>
        </w:rPr>
        <w:t>commissions, will be approximately $</w:t>
      </w:r>
      <w:r>
        <w:rPr>
          <w:sz w:val="20"/>
          <w:szCs w:val="20"/>
          <w:color w:val="auto"/>
        </w:rPr>
        <w:tab/>
      </w:r>
      <w:r>
        <w:rPr>
          <w:rFonts w:ascii="Arial" w:cs="Arial" w:eastAsia="Arial" w:hAnsi="Arial"/>
          <w:sz w:val="14"/>
          <w:szCs w:val="14"/>
          <w:color w:val="auto"/>
        </w:rPr>
        <w:t>million.</w:t>
      </w:r>
    </w:p>
    <w:p>
      <w:pPr>
        <w:spacing w:after="0" w:line="120"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of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also agreed to reimburse the</w:t>
      </w:r>
    </w:p>
    <w:p>
      <w:pPr>
        <w:spacing w:after="0" w:line="1" w:lineRule="exact"/>
        <w:rPr>
          <w:sz w:val="20"/>
          <w:szCs w:val="20"/>
          <w:color w:val="auto"/>
        </w:rPr>
      </w:pPr>
    </w:p>
    <w:p>
      <w:pPr>
        <w:ind w:left="1220"/>
        <w:spacing w:after="0"/>
        <w:tabs>
          <w:tab w:leader="none" w:pos="6060" w:val="left"/>
        </w:tabs>
        <w:rPr>
          <w:sz w:val="20"/>
          <w:szCs w:val="20"/>
          <w:color w:val="auto"/>
        </w:rPr>
      </w:pPr>
      <w:r>
        <w:rPr>
          <w:rFonts w:ascii="Arial" w:cs="Arial" w:eastAsia="Arial" w:hAnsi="Arial"/>
          <w:sz w:val="14"/>
          <w:szCs w:val="14"/>
          <w:color w:val="auto"/>
        </w:rPr>
        <w:t>underwriters for certain of their expenses in an amount of up to $</w:t>
      </w:r>
      <w:r>
        <w:rPr>
          <w:sz w:val="20"/>
          <w:szCs w:val="20"/>
          <w:color w:val="auto"/>
        </w:rPr>
        <w:tab/>
      </w:r>
      <w:r>
        <w:rPr>
          <w:rFonts w:ascii="Arial" w:cs="Arial" w:eastAsia="Arial" w:hAnsi="Arial"/>
          <w:sz w:val="14"/>
          <w:szCs w:val="14"/>
          <w:color w:val="auto"/>
        </w:rPr>
        <w:t>.</w:t>
      </w:r>
    </w:p>
    <w:p>
      <w:pPr>
        <w:spacing w:after="0" w:line="130"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Our directors and executive officers, and substantially all of our stockholders (such persons, “lock-up parties”) will enter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BofA Securities, Inc., SVB Leerink LLC, and Piper Sandler &amp; Co., (i)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(including without limitation,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(and, for the avoidance of doubt, the lock-up party has waived any and all notice requirements and rights with respect to the registration of any securities pursuant to any agreement, instrument, understanding or otherwise, including any stockholders or registration rights agreement or similar agreement, to which the lock-up party is a party or under which the lock-up party is entitled to any right or benefit; provided, however, that such waiver shall apply only to this offering).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Each lock-up party will further confirm that it will furnish the representatives with the details of any transaction the lock-up party, or any of its affiliates, is a party to as of the date hereof, which transaction would have been restricted by the lock-up agreement if it had been entered into by the lock-up party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to be entered into between the underwriters and the lock-up parties do not apply, subject in certain cases to various conditions, to certain transactions, including (a) transfer the lock-up party’s Lock-Up Securities: (i) as a bona fide gift or gifts, or for bona fide estate planning purposes, (ii) by will, other testamentary document or intestacy, (iii) to an immediate family member (as defined in the lock-up agreement) of the lock-up party or any trust for the direct or indirect benefit of the lock-up party or the immediate family of the lock-up party, or if the lock-up party is a trust, to a trustor or beneficiary of the trust or to the estate of a beneficiary of such trust,</w:t>
      </w:r>
    </w:p>
    <w:p>
      <w:pPr>
        <w:spacing w:after="0" w:line="2" w:lineRule="exact"/>
        <w:rPr>
          <w:sz w:val="20"/>
          <w:szCs w:val="20"/>
          <w:color w:val="auto"/>
        </w:rPr>
      </w:pPr>
    </w:p>
    <w:p>
      <w:pPr>
        <w:ind w:left="1220" w:right="1239" w:firstLine="4"/>
        <w:spacing w:after="0" w:line="262" w:lineRule="auto"/>
        <w:tabs>
          <w:tab w:leader="none" w:pos="147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a partnership, limited liability company, or other entity of which the lock-up party and/or the immediate family of the lock-up party are the legal and beneficial owner of all of the outstanding equity securities or similar interests, (v) to a nominee or custodian of a person or entity to whom a disposition or transfer would be permissible under clauses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5" w:name="page206"/>
    <w:bookmarkEnd w:id="20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firstLine="4"/>
        <w:spacing w:after="0" w:line="258" w:lineRule="auto"/>
        <w:tabs>
          <w:tab w:leader="none" w:pos="140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partners, stockholders, or other equity holders of the lock-up party, (vii) by operation of law, such as pursuant to a qualified domestic order, divorce settlement, divorce decree, separation agreement, or other court order, (viii) to the Company from an employee or other service provider of the Company upon death, disability or termination of employment or service, in each case, of such employee or service provider, (ix) in connection with a sale of the lock-up party’s Lock-Up Securities after the closing date of this offering acquired (A) in open market transactions after the closing date of this offering or (B) from the underwriters in this offering; (x) to the Company in connection with the vesting, settlement, or exercise of restricted stock units, options, warrants, or other rights to purchase shares of common stock (including, in each case, by way of “net” or “cashless” exercise), including for the payment of exercise price and tax withholdings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or</w:t>
      </w:r>
    </w:p>
    <w:p>
      <w:pPr>
        <w:spacing w:after="0" w:line="335" w:lineRule="exact"/>
        <w:rPr>
          <w:rFonts w:ascii="Arial" w:cs="Arial" w:eastAsia="Arial" w:hAnsi="Arial"/>
          <w:sz w:val="14"/>
          <w:szCs w:val="14"/>
          <w:color w:val="auto"/>
        </w:rPr>
      </w:pPr>
    </w:p>
    <w:p>
      <w:pPr>
        <w:ind w:left="1220" w:right="1259" w:firstLine="4"/>
        <w:spacing w:after="0" w:line="257" w:lineRule="auto"/>
        <w:tabs>
          <w:tab w:leader="none" w:pos="147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 provided that (A) in the case of any transfer, distribution, or other distribution pursuant to clause (a)(i), (ii), (iii), (iv), (v), (vi) , and (vii), such transfer shall not involve a disposition for value and each donee, devisee, transferee, or distributee shall execute and deliver to the representatives a lock-up letter in the form of the lock-up agreement, (B) in the case of any transfer or distribution pursuant to clause (a) (i), (ii), (iii), (iv), (v), and (vi),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(viii), (ix) ,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(b) exercise options, settled restricted stock units, or other equity awards or exercise warrants pursuant to plans described in this prospectus; provided that any Lock-Up Securities received upon such exercise, vesting, or settlement shall be subject to the terms of the lock-up agreement; (c)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the lock-up agreement;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1479" w:firstLine="4"/>
        <w:spacing w:after="0" w:line="261" w:lineRule="auto"/>
        <w:tabs>
          <w:tab w:leader="none" w:pos="145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establish trading plans pursuant to Rule 10b5-1 under the Exchange Act for the transfer or disposition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6" w:name="page207"/>
    <w:bookmarkEnd w:id="20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279"/>
        <w:spacing w:after="0" w:line="265" w:lineRule="auto"/>
        <w:rPr>
          <w:sz w:val="20"/>
          <w:szCs w:val="20"/>
          <w:color w:val="auto"/>
        </w:rPr>
      </w:pPr>
      <w:r>
        <w:rPr>
          <w:rFonts w:ascii="Arial" w:cs="Arial" w:eastAsia="Arial" w:hAnsi="Arial"/>
          <w:sz w:val="14"/>
          <w:szCs w:val="14"/>
          <w:color w:val="auto"/>
        </w:rPr>
        <w:t>J.P. Morgan Securities LLC, BofA Securities, Inc., SVB Leerink LLC, and Piper Sandler &amp; Co., in their sole discretion, may release the securities subject to any of the lock-up agreements with the underwriters described above, in whole or in part at any time.</w:t>
      </w:r>
    </w:p>
    <w:p>
      <w:pPr>
        <w:spacing w:after="0" w:line="93" w:lineRule="exact"/>
        <w:rPr>
          <w:sz w:val="20"/>
          <w:szCs w:val="20"/>
          <w:color w:val="auto"/>
        </w:rPr>
      </w:pPr>
    </w:p>
    <w:p>
      <w:pPr>
        <w:jc w:val="both"/>
        <w:ind w:left="1220" w:right="1299"/>
        <w:spacing w:after="0" w:line="274"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07" w:lineRule="exact"/>
        <w:rPr>
          <w:sz w:val="20"/>
          <w:szCs w:val="20"/>
          <w:color w:val="auto"/>
        </w:rPr>
      </w:pPr>
    </w:p>
    <w:p>
      <w:pPr>
        <w:ind w:left="1220" w:right="1399"/>
        <w:spacing w:after="0" w:line="290" w:lineRule="auto"/>
        <w:rPr>
          <w:sz w:val="20"/>
          <w:szCs w:val="20"/>
          <w:color w:val="auto"/>
        </w:rPr>
      </w:pPr>
      <w:r>
        <w:rPr>
          <w:rFonts w:ascii="Arial" w:cs="Arial" w:eastAsia="Arial" w:hAnsi="Arial"/>
          <w:sz w:val="14"/>
          <w:szCs w:val="14"/>
          <w:color w:val="auto"/>
        </w:rPr>
        <w:t>We have applied to have our shares of common stock approved for listing on Nasdaq under the symbol “IPSC”.</w:t>
      </w:r>
    </w:p>
    <w:p>
      <w:pPr>
        <w:spacing w:after="0" w:line="8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shares of common stock while this offering is in progress. These stabilizing transactions may include making short sales of shares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of common stock, in whole or in part, or by purchasing shares of common stock in the open market. In making this determination, the underwriters will consider, among other things, the price of shares of common stock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shares of common stock in the open market that could adversely affect investors who purchase in this offering. To the extent that the underwriters create a naked short position, they will purchase shares of common stock in the open market to cover the position.</w:t>
      </w:r>
    </w:p>
    <w:p>
      <w:pPr>
        <w:spacing w:after="0" w:line="200" w:lineRule="exact"/>
        <w:rPr>
          <w:sz w:val="20"/>
          <w:szCs w:val="20"/>
          <w:color w:val="auto"/>
        </w:rPr>
      </w:pPr>
    </w:p>
    <w:p>
      <w:pPr>
        <w:spacing w:after="0" w:line="245"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The underwriters have advised us that, pursuant to Regulation M of the Securities Act, they may also engage in other activities that stabilize, maintain, or otherwise affect the price of the shares of common stock, including the imposition of penalty bids. This means that if the representatives of the underwriters purchase shares of common stock in the open market in stabilizing transactions or to cover short sales, the representatives can require the underwriters that sold those shares of common stock as part of this offering to repay the underwriting discount received by them.</w:t>
      </w:r>
    </w:p>
    <w:p>
      <w:pPr>
        <w:spacing w:after="0" w:line="281"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These activities may have the effect of raising or maintaining the market price of the shares of common stock or preventing or retarding a decline in the market price of the shares of common stock, and, as a result, the price of the shares of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08"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Prior to this offering, there has been no public market for our shares of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4" w:lineRule="exact"/>
        <w:rPr>
          <w:sz w:val="20"/>
          <w:szCs w:val="20"/>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information set forth in this prospectus and otherwise available to the representatives;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our prospects and the history and prospects for the industry in which we compete;</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our prospects for future earnings;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08"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recent market prices of, and demand for, publicly traded common stock of generally comparable companies; and</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other factors deemed relevant by the underwriters and us.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7" w:name="page208"/>
    <w:bookmarkEnd w:id="20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59"/>
        <w:spacing w:after="0" w:line="281" w:lineRule="auto"/>
        <w:rPr>
          <w:sz w:val="20"/>
          <w:szCs w:val="20"/>
          <w:color w:val="auto"/>
        </w:rPr>
      </w:pPr>
      <w:r>
        <w:rPr>
          <w:rFonts w:ascii="Arial" w:cs="Arial" w:eastAsia="Arial" w:hAnsi="Arial"/>
          <w:sz w:val="14"/>
          <w:szCs w:val="14"/>
          <w:color w:val="auto"/>
        </w:rPr>
        <w:t>Neither we nor the underwriters can assure investors that an active trading market will develop for our shares of common stock, or that the shares of common stock will trade in the public market at or above the initial public offering price.</w:t>
      </w:r>
    </w:p>
    <w:p>
      <w:pPr>
        <w:spacing w:after="0" w:line="9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2" w:lineRule="exact"/>
        <w:rPr>
          <w:sz w:val="20"/>
          <w:szCs w:val="20"/>
          <w:color w:val="auto"/>
        </w:rPr>
      </w:pPr>
    </w:p>
    <w:p>
      <w:pPr>
        <w:ind w:left="1220" w:right="1459"/>
        <w:spacing w:after="0" w:line="276"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44"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79" w:lineRule="exact"/>
        <w:rPr>
          <w:sz w:val="20"/>
          <w:szCs w:val="20"/>
          <w:color w:val="auto"/>
        </w:rPr>
      </w:pPr>
    </w:p>
    <w:p>
      <w:pPr>
        <w:ind w:left="1400" w:hanging="176"/>
        <w:spacing w:after="0"/>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Prospectus Regulation;</w:t>
      </w:r>
    </w:p>
    <w:p>
      <w:pPr>
        <w:spacing w:after="0" w:line="141" w:lineRule="exact"/>
        <w:rPr>
          <w:rFonts w:ascii="Arial" w:cs="Arial" w:eastAsia="Arial" w:hAnsi="Arial"/>
          <w:sz w:val="14"/>
          <w:szCs w:val="14"/>
          <w:color w:val="auto"/>
        </w:rPr>
      </w:pPr>
    </w:p>
    <w:p>
      <w:pPr>
        <w:ind w:left="1220" w:right="1339" w:firstLine="4"/>
        <w:spacing w:after="0" w:line="295" w:lineRule="auto"/>
        <w:tabs>
          <w:tab w:leader="none" w:pos="1399"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Prospectus Regulation), subject to obtaining the prior consent of the underwriters for any such offer; or</w:t>
      </w:r>
    </w:p>
    <w:p>
      <w:pPr>
        <w:spacing w:after="0" w:line="273" w:lineRule="exact"/>
        <w:rPr>
          <w:rFonts w:ascii="Arial" w:cs="Arial" w:eastAsia="Arial" w:hAnsi="Arial"/>
          <w:sz w:val="14"/>
          <w:szCs w:val="14"/>
          <w:color w:val="auto"/>
        </w:rPr>
      </w:pPr>
    </w:p>
    <w:p>
      <w:pPr>
        <w:ind w:left="1400" w:hanging="176"/>
        <w:spacing w:after="0"/>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30" w:lineRule="exact"/>
        <w:rPr>
          <w:sz w:val="20"/>
          <w:szCs w:val="20"/>
          <w:color w:val="auto"/>
        </w:rPr>
      </w:pPr>
    </w:p>
    <w:p>
      <w:pPr>
        <w:ind w:left="1220" w:right="1299"/>
        <w:spacing w:after="0" w:line="281"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103" w:lineRule="exact"/>
        <w:rPr>
          <w:sz w:val="20"/>
          <w:szCs w:val="20"/>
          <w:color w:val="auto"/>
        </w:rPr>
      </w:pPr>
    </w:p>
    <w:p>
      <w:pPr>
        <w:ind w:left="1220" w:right="1299"/>
        <w:spacing w:after="0" w:line="283" w:lineRule="auto"/>
        <w:rPr>
          <w:sz w:val="20"/>
          <w:szCs w:val="20"/>
          <w:color w:val="auto"/>
        </w:rPr>
      </w:pPr>
      <w:r>
        <w:rPr>
          <w:rFonts w:ascii="Arial" w:cs="Arial" w:eastAsia="Arial" w:hAnsi="Arial"/>
          <w:sz w:val="14"/>
          <w:szCs w:val="14"/>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283" w:lineRule="exact"/>
        <w:rPr>
          <w:sz w:val="20"/>
          <w:szCs w:val="20"/>
          <w:color w:val="auto"/>
        </w:rPr>
      </w:pPr>
    </w:p>
    <w:p>
      <w:pPr>
        <w:ind w:left="1220" w:right="1359"/>
        <w:spacing w:after="0" w:line="276"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8" w:name="page209"/>
    <w:bookmarkEnd w:id="20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6"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33" w:lineRule="exact"/>
        <w:rPr>
          <w:sz w:val="20"/>
          <w:szCs w:val="20"/>
          <w:color w:val="auto"/>
        </w:rPr>
      </w:pPr>
    </w:p>
    <w:p>
      <w:pPr>
        <w:ind w:left="1220" w:right="1379"/>
        <w:spacing w:after="0" w:line="260" w:lineRule="auto"/>
        <w:rPr>
          <w:sz w:val="20"/>
          <w:szCs w:val="20"/>
          <w:color w:val="auto"/>
        </w:rPr>
      </w:pPr>
      <w:r>
        <w:rPr>
          <w:rFonts w:ascii="Arial" w:cs="Arial" w:eastAsia="Arial" w:hAnsi="Arial"/>
          <w:sz w:val="14"/>
          <w:szCs w:val="14"/>
          <w:color w:val="auto"/>
        </w:rPr>
        <w:t>In relation to the United Kingdom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19" w:lineRule="exact"/>
        <w:rPr>
          <w:sz w:val="20"/>
          <w:szCs w:val="20"/>
          <w:color w:val="auto"/>
        </w:rPr>
      </w:pPr>
    </w:p>
    <w:p>
      <w:pPr>
        <w:ind w:left="1400" w:hanging="176"/>
        <w:spacing w:after="0"/>
        <w:tabs>
          <w:tab w:leader="none" w:pos="14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UK Prospectus Regulation;</w:t>
      </w:r>
    </w:p>
    <w:p>
      <w:pPr>
        <w:spacing w:after="0" w:line="119" w:lineRule="exact"/>
        <w:rPr>
          <w:rFonts w:ascii="Arial" w:cs="Arial" w:eastAsia="Arial" w:hAnsi="Arial"/>
          <w:sz w:val="14"/>
          <w:szCs w:val="14"/>
          <w:color w:val="auto"/>
        </w:rPr>
      </w:pPr>
    </w:p>
    <w:p>
      <w:pPr>
        <w:ind w:left="1220" w:right="1339" w:firstLine="4"/>
        <w:spacing w:after="0" w:line="274" w:lineRule="auto"/>
        <w:tabs>
          <w:tab w:leader="none" w:pos="1399"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UK Prospectus Regulation), subject to obtaining the prior consent of the underwriters for any such offer; or</w:t>
      </w:r>
    </w:p>
    <w:p>
      <w:pPr>
        <w:spacing w:after="0" w:line="279" w:lineRule="exact"/>
        <w:rPr>
          <w:rFonts w:ascii="Arial" w:cs="Arial" w:eastAsia="Arial" w:hAnsi="Arial"/>
          <w:sz w:val="14"/>
          <w:szCs w:val="14"/>
          <w:color w:val="auto"/>
        </w:rPr>
      </w:pPr>
    </w:p>
    <w:p>
      <w:pPr>
        <w:ind w:left="1400" w:hanging="176"/>
        <w:spacing w:after="0"/>
        <w:tabs>
          <w:tab w:leader="none" w:pos="14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at any time in other circumstances falling within section 86 of the FSMA,</w:t>
      </w:r>
    </w:p>
    <w:p>
      <w:pPr>
        <w:spacing w:after="0" w:line="130"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93"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27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279"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06" w:lineRule="exact"/>
        <w:rPr>
          <w:sz w:val="20"/>
          <w:szCs w:val="20"/>
          <w:color w:val="auto"/>
        </w:rPr>
      </w:pPr>
    </w:p>
    <w:p>
      <w:pPr>
        <w:ind w:left="1220" w:right="1359"/>
        <w:spacing w:after="0" w:line="257" w:lineRule="auto"/>
        <w:rPr>
          <w:sz w:val="20"/>
          <w:szCs w:val="20"/>
          <w:color w:val="auto"/>
        </w:rPr>
      </w:pPr>
      <w:r>
        <w:rPr>
          <w:rFonts w:ascii="Arial" w:cs="Arial" w:eastAsia="Arial" w:hAnsi="Arial"/>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w:t>
      </w:r>
    </w:p>
    <w:p>
      <w:pPr>
        <w:spacing w:after="0" w:line="1" w:lineRule="exact"/>
        <w:rPr>
          <w:sz w:val="20"/>
          <w:szCs w:val="20"/>
          <w:color w:val="auto"/>
        </w:rPr>
      </w:pPr>
    </w:p>
    <w:p>
      <w:pPr>
        <w:ind w:left="1220" w:right="1479" w:firstLine="4"/>
        <w:spacing w:after="0" w:line="262" w:lineRule="auto"/>
        <w:tabs>
          <w:tab w:leader="none" w:pos="145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9" w:name="page210"/>
    <w:bookmarkEnd w:id="20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22" w:lineRule="exact"/>
        <w:rPr>
          <w:sz w:val="20"/>
          <w:szCs w:val="20"/>
          <w:color w:val="auto"/>
        </w:rPr>
      </w:pPr>
    </w:p>
    <w:p>
      <w:pPr>
        <w:ind w:left="1220" w:right="1419"/>
        <w:spacing w:after="0" w:line="260" w:lineRule="auto"/>
        <w:rPr>
          <w:sz w:val="20"/>
          <w:szCs w:val="20"/>
          <w:color w:val="auto"/>
        </w:rPr>
      </w:pPr>
      <w:r>
        <w:rPr>
          <w:rFonts w:ascii="Arial" w:cs="Arial" w:eastAsia="Arial" w:hAnsi="Arial"/>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0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81"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22"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 shares of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29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44"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The shares of common stock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0" w:name="page211"/>
    <w:bookmarkEnd w:id="21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79"/>
        <w:spacing w:after="0" w:line="278" w:lineRule="auto"/>
        <w:rPr>
          <w:sz w:val="20"/>
          <w:szCs w:val="20"/>
          <w:color w:val="auto"/>
        </w:rPr>
      </w:pPr>
      <w:r>
        <w:rPr>
          <w:rFonts w:ascii="Arial" w:cs="Arial" w:eastAsia="Arial" w:hAnsi="Arial"/>
          <w:sz w:val="14"/>
          <w:szCs w:val="14"/>
          <w:color w:val="auto"/>
        </w:rPr>
        <w:t>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33"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09" w:lineRule="exact"/>
        <w:rPr>
          <w:sz w:val="20"/>
          <w:szCs w:val="20"/>
          <w:color w:val="auto"/>
        </w:rPr>
      </w:pPr>
    </w:p>
    <w:p>
      <w:pPr>
        <w:ind w:left="1220" w:right="1419" w:firstLine="4"/>
        <w:spacing w:after="0" w:line="281" w:lineRule="auto"/>
        <w:tabs>
          <w:tab w:leader="none" w:pos="145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or the SFA) pursuant to Section 274 of the SFA;</w:t>
      </w:r>
    </w:p>
    <w:p>
      <w:pPr>
        <w:spacing w:after="0" w:line="103" w:lineRule="exact"/>
        <w:rPr>
          <w:rFonts w:ascii="Arial" w:cs="Arial" w:eastAsia="Arial" w:hAnsi="Arial"/>
          <w:sz w:val="14"/>
          <w:szCs w:val="14"/>
          <w:color w:val="auto"/>
        </w:rPr>
      </w:pPr>
    </w:p>
    <w:p>
      <w:pPr>
        <w:ind w:left="1220" w:right="1439" w:firstLine="4"/>
        <w:spacing w:after="0" w:line="281" w:lineRule="auto"/>
        <w:tabs>
          <w:tab w:leader="none" w:pos="145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2" w:lineRule="exact"/>
        <w:rPr>
          <w:rFonts w:ascii="Arial" w:cs="Arial" w:eastAsia="Arial" w:hAnsi="Arial"/>
          <w:sz w:val="14"/>
          <w:szCs w:val="14"/>
          <w:color w:val="auto"/>
        </w:rPr>
      </w:pPr>
    </w:p>
    <w:p>
      <w:pPr>
        <w:ind w:left="1220" w:right="1239" w:firstLine="4"/>
        <w:spacing w:after="0" w:line="290" w:lineRule="auto"/>
        <w:tabs>
          <w:tab w:leader="none" w:pos="1442"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96" w:lineRule="exact"/>
        <w:rPr>
          <w:sz w:val="20"/>
          <w:szCs w:val="20"/>
          <w:color w:val="auto"/>
        </w:rPr>
      </w:pPr>
    </w:p>
    <w:p>
      <w:pPr>
        <w:ind w:left="1220" w:right="1439"/>
        <w:spacing w:after="0" w:line="290" w:lineRule="auto"/>
        <w:rPr>
          <w:sz w:val="20"/>
          <w:szCs w:val="20"/>
          <w:color w:val="auto"/>
        </w:rPr>
      </w:pPr>
      <w:r>
        <w:rPr>
          <w:rFonts w:ascii="Arial" w:cs="Arial" w:eastAsia="Arial" w:hAnsi="Arial"/>
          <w:sz w:val="14"/>
          <w:szCs w:val="14"/>
          <w:color w:val="auto"/>
        </w:rPr>
        <w:t>Where the shares of common stock are subscribed or purchased under Section 275 of the SFA by a relevant person which is:</w:t>
      </w:r>
    </w:p>
    <w:p>
      <w:pPr>
        <w:spacing w:after="0" w:line="96" w:lineRule="exact"/>
        <w:rPr>
          <w:sz w:val="20"/>
          <w:szCs w:val="20"/>
          <w:color w:val="auto"/>
        </w:rPr>
      </w:pPr>
    </w:p>
    <w:p>
      <w:pPr>
        <w:jc w:val="both"/>
        <w:ind w:left="1220" w:right="1419" w:firstLine="4"/>
        <w:spacing w:after="0" w:line="281" w:lineRule="auto"/>
        <w:tabs>
          <w:tab w:leader="none" w:pos="145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2" w:lineRule="exact"/>
        <w:rPr>
          <w:rFonts w:ascii="Arial" w:cs="Arial" w:eastAsia="Arial" w:hAnsi="Arial"/>
          <w:sz w:val="14"/>
          <w:szCs w:val="14"/>
          <w:color w:val="auto"/>
        </w:rPr>
      </w:pPr>
    </w:p>
    <w:p>
      <w:pPr>
        <w:ind w:left="1220" w:right="1259" w:firstLine="4"/>
        <w:spacing w:after="0" w:line="276" w:lineRule="auto"/>
        <w:tabs>
          <w:tab w:leader="none" w:pos="145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8" w:lineRule="exact"/>
        <w:rPr>
          <w:rFonts w:ascii="Arial" w:cs="Arial" w:eastAsia="Arial" w:hAnsi="Arial"/>
          <w:sz w:val="14"/>
          <w:szCs w:val="14"/>
          <w:color w:val="auto"/>
        </w:rPr>
      </w:pPr>
    </w:p>
    <w:p>
      <w:pPr>
        <w:ind w:left="1480" w:right="1499" w:firstLine="3"/>
        <w:spacing w:after="0" w:line="290" w:lineRule="auto"/>
        <w:tabs>
          <w:tab w:leader="none" w:pos="166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276(4)(i)(B) of the SFA;</w:t>
      </w:r>
    </w:p>
    <w:p>
      <w:pPr>
        <w:spacing w:after="0" w:line="96" w:lineRule="exact"/>
        <w:rPr>
          <w:rFonts w:ascii="Arial" w:cs="Arial" w:eastAsia="Arial" w:hAnsi="Arial"/>
          <w:sz w:val="14"/>
          <w:szCs w:val="14"/>
          <w:color w:val="auto"/>
        </w:rPr>
      </w:pPr>
    </w:p>
    <w:p>
      <w:pPr>
        <w:ind w:left="1700" w:hanging="217"/>
        <w:spacing w:after="0"/>
        <w:tabs>
          <w:tab w:leader="none" w:pos="170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30" w:lineRule="exact"/>
        <w:rPr>
          <w:rFonts w:ascii="Arial" w:cs="Arial" w:eastAsia="Arial" w:hAnsi="Arial"/>
          <w:sz w:val="14"/>
          <w:szCs w:val="14"/>
          <w:color w:val="auto"/>
        </w:rPr>
      </w:pPr>
    </w:p>
    <w:p>
      <w:pPr>
        <w:ind w:left="1740" w:hanging="257"/>
        <w:spacing w:after="0"/>
        <w:tabs>
          <w:tab w:leader="none" w:pos="174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41" w:lineRule="exact"/>
        <w:rPr>
          <w:rFonts w:ascii="Arial" w:cs="Arial" w:eastAsia="Arial" w:hAnsi="Arial"/>
          <w:sz w:val="14"/>
          <w:szCs w:val="14"/>
          <w:color w:val="auto"/>
        </w:rPr>
      </w:pPr>
    </w:p>
    <w:p>
      <w:pPr>
        <w:ind w:left="1740" w:hanging="257"/>
        <w:spacing w:after="0"/>
        <w:tabs>
          <w:tab w:leader="none" w:pos="174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41" w:lineRule="exact"/>
        <w:rPr>
          <w:rFonts w:ascii="Arial" w:cs="Arial" w:eastAsia="Arial" w:hAnsi="Arial"/>
          <w:sz w:val="14"/>
          <w:szCs w:val="14"/>
          <w:color w:val="auto"/>
        </w:rPr>
      </w:pPr>
    </w:p>
    <w:p>
      <w:pPr>
        <w:ind w:left="1480" w:right="1699" w:firstLine="3"/>
        <w:spacing w:after="0" w:line="290" w:lineRule="auto"/>
        <w:tabs>
          <w:tab w:leader="none" w:pos="170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8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1" w:name="page212"/>
    <w:bookmarkEnd w:id="21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2"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the United Arab Emirates</w:t>
      </w:r>
    </w:p>
    <w:p>
      <w:pPr>
        <w:spacing w:after="0" w:line="133"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Israel</w:t>
      </w:r>
    </w:p>
    <w:p>
      <w:pPr>
        <w:spacing w:after="0" w:line="133" w:lineRule="exact"/>
        <w:rPr>
          <w:sz w:val="20"/>
          <w:szCs w:val="20"/>
          <w:color w:val="auto"/>
        </w:rPr>
      </w:pPr>
    </w:p>
    <w:p>
      <w:pPr>
        <w:ind w:left="1220" w:right="1419"/>
        <w:spacing w:after="0" w:line="257" w:lineRule="auto"/>
        <w:rPr>
          <w:sz w:val="20"/>
          <w:szCs w:val="20"/>
          <w:color w:val="auto"/>
        </w:rPr>
      </w:pPr>
      <w:r>
        <w:rPr>
          <w:rFonts w:ascii="Arial" w:cs="Arial" w:eastAsia="Arial" w:hAnsi="Arial"/>
          <w:sz w:val="14"/>
          <w:szCs w:val="14"/>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w:t>
      </w:r>
    </w:p>
    <w:p>
      <w:pPr>
        <w:spacing w:after="0" w:line="1" w:lineRule="exact"/>
        <w:rPr>
          <w:sz w:val="20"/>
          <w:szCs w:val="20"/>
          <w:color w:val="auto"/>
        </w:rPr>
      </w:pPr>
    </w:p>
    <w:p>
      <w:pPr>
        <w:ind w:left="1220" w:right="1259" w:firstLine="4"/>
        <w:spacing w:after="0" w:line="259" w:lineRule="auto"/>
        <w:tabs>
          <w:tab w:leader="none" w:pos="140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271"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This prospectus: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2" w:name="page213"/>
    <w:bookmarkEnd w:id="21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899" w:firstLine="4"/>
        <w:spacing w:after="0" w:line="274" w:lineRule="auto"/>
        <w:tabs>
          <w:tab w:leader="none" w:pos="140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or the Corporations Act;</w:t>
      </w:r>
    </w:p>
    <w:p>
      <w:pPr>
        <w:spacing w:after="0" w:line="85" w:lineRule="exact"/>
        <w:rPr>
          <w:rFonts w:ascii="Arial" w:cs="Arial" w:eastAsia="Arial" w:hAnsi="Arial"/>
          <w:sz w:val="14"/>
          <w:szCs w:val="14"/>
          <w:color w:val="auto"/>
        </w:rPr>
      </w:pPr>
    </w:p>
    <w:p>
      <w:pPr>
        <w:ind w:left="1220" w:right="1319" w:firstLine="4"/>
        <w:spacing w:after="0" w:line="265" w:lineRule="auto"/>
        <w:tabs>
          <w:tab w:leader="none" w:pos="140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275" w:lineRule="exact"/>
        <w:rPr>
          <w:rFonts w:ascii="Arial" w:cs="Arial" w:eastAsia="Arial" w:hAnsi="Arial"/>
          <w:sz w:val="14"/>
          <w:szCs w:val="14"/>
          <w:color w:val="auto"/>
        </w:rPr>
      </w:pPr>
    </w:p>
    <w:p>
      <w:pPr>
        <w:jc w:val="both"/>
        <w:ind w:left="1220" w:right="1239" w:firstLine="4"/>
        <w:spacing w:after="0" w:line="265" w:lineRule="auto"/>
        <w:tabs>
          <w:tab w:leader="none" w:pos="144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03"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95" w:lineRule="exact"/>
        <w:rPr>
          <w:sz w:val="20"/>
          <w:szCs w:val="20"/>
          <w:color w:val="auto"/>
        </w:rPr>
      </w:pPr>
    </w:p>
    <w:p>
      <w:pPr>
        <w:ind w:left="1220" w:right="1359"/>
        <w:spacing w:after="0" w:line="259" w:lineRule="auto"/>
        <w:rPr>
          <w:sz w:val="20"/>
          <w:szCs w:val="20"/>
          <w:color w:val="auto"/>
        </w:rPr>
      </w:pPr>
      <w:r>
        <w:rPr>
          <w:rFonts w:ascii="Arial" w:cs="Arial" w:eastAsia="Arial" w:hAnsi="Arial"/>
          <w:sz w:val="14"/>
          <w:szCs w:val="14"/>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China</w:t>
      </w:r>
    </w:p>
    <w:p>
      <w:pPr>
        <w:spacing w:after="0" w:line="133" w:lineRule="exact"/>
        <w:rPr>
          <w:sz w:val="20"/>
          <w:szCs w:val="20"/>
          <w:color w:val="auto"/>
        </w:rPr>
      </w:pPr>
    </w:p>
    <w:p>
      <w:pPr>
        <w:ind w:left="1220" w:right="1379"/>
        <w:spacing w:after="0" w:line="260" w:lineRule="auto"/>
        <w:rPr>
          <w:sz w:val="20"/>
          <w:szCs w:val="20"/>
          <w:color w:val="auto"/>
        </w:rPr>
      </w:pPr>
      <w:r>
        <w:rPr>
          <w:rFonts w:ascii="Arial" w:cs="Arial" w:eastAsia="Arial" w:hAnsi="Arial"/>
          <w:sz w:val="14"/>
          <w:szCs w:val="14"/>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Korea</w:t>
      </w:r>
    </w:p>
    <w:p>
      <w:pPr>
        <w:spacing w:after="0" w:line="133"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Saudi Arabia</w:t>
      </w:r>
    </w:p>
    <w:p>
      <w:pPr>
        <w:spacing w:after="0" w:line="122"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3" w:name="page214"/>
    <w:bookmarkEnd w:id="21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3" w:lineRule="exact"/>
        <w:rPr>
          <w:sz w:val="20"/>
          <w:szCs w:val="20"/>
          <w:color w:val="auto"/>
        </w:rPr>
      </w:pPr>
    </w:p>
    <w:p>
      <w:pPr>
        <w:ind w:left="1220" w:right="1399"/>
        <w:spacing w:after="0" w:line="267" w:lineRule="auto"/>
        <w:rPr>
          <w:sz w:val="20"/>
          <w:szCs w:val="20"/>
          <w:color w:val="auto"/>
        </w:rPr>
      </w:pPr>
      <w:r>
        <w:rPr>
          <w:rFonts w:ascii="Arial" w:cs="Arial" w:eastAsia="Arial" w:hAnsi="Arial"/>
          <w:sz w:val="17"/>
          <w:szCs w:val="17"/>
          <w:b w:val="1"/>
          <w:bCs w:val="1"/>
          <w:color w:val="auto"/>
        </w:rPr>
        <w:t>Notice to prospective investors in the Dubai International Financial Centre (DIFC)</w:t>
      </w:r>
    </w:p>
    <w:p>
      <w:pPr>
        <w:spacing w:after="0" w:line="77"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w:t>
      </w:r>
    </w:p>
    <w:p>
      <w:pPr>
        <w:spacing w:after="0" w:line="108"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Bermuda</w:t>
      </w:r>
    </w:p>
    <w:p>
      <w:pPr>
        <w:spacing w:after="0" w:line="133" w:lineRule="exact"/>
        <w:rPr>
          <w:sz w:val="20"/>
          <w:szCs w:val="20"/>
          <w:color w:val="auto"/>
        </w:rPr>
      </w:pPr>
    </w:p>
    <w:p>
      <w:pPr>
        <w:ind w:left="1220" w:right="1299"/>
        <w:spacing w:after="0" w:line="280" w:lineRule="auto"/>
        <w:rPr>
          <w:sz w:val="20"/>
          <w:szCs w:val="20"/>
          <w:color w:val="auto"/>
        </w:rPr>
      </w:pPr>
      <w:r>
        <w:rPr>
          <w:rFonts w:ascii="Arial" w:cs="Arial" w:eastAsia="Arial" w:hAnsi="Arial"/>
          <w:sz w:val="14"/>
          <w:szCs w:val="14"/>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4" w:name="page215"/>
    <w:bookmarkEnd w:id="21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Legal matters</w:t>
      </w:r>
    </w:p>
    <w:p>
      <w:pPr>
        <w:spacing w:after="0" w:line="133" w:lineRule="exact"/>
        <w:rPr>
          <w:sz w:val="20"/>
          <w:szCs w:val="20"/>
          <w:color w:val="auto"/>
        </w:rPr>
      </w:pPr>
    </w:p>
    <w:p>
      <w:pPr>
        <w:jc w:val="both"/>
        <w:ind w:left="1220" w:right="1399"/>
        <w:spacing w:after="0" w:line="281" w:lineRule="auto"/>
        <w:rPr>
          <w:sz w:val="20"/>
          <w:szCs w:val="20"/>
          <w:color w:val="auto"/>
        </w:rPr>
      </w:pPr>
      <w:r>
        <w:rPr>
          <w:rFonts w:ascii="Arial" w:cs="Arial" w:eastAsia="Arial" w:hAnsi="Arial"/>
          <w:sz w:val="14"/>
          <w:szCs w:val="14"/>
          <w:color w:val="auto"/>
        </w:rPr>
        <w:t>The validity of the issuance of our common stock offered in this prospectus will be passed upon for us by Troutman Pepper Hamilton Sanders LLP. Certain legal matters in connection with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5" w:name="page216"/>
    <w:bookmarkEnd w:id="21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Experts</w:t>
      </w:r>
    </w:p>
    <w:p>
      <w:pPr>
        <w:spacing w:after="0" w:line="13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The consolidated financial statements of Century Therapeutics, Inc. and subsidiary at December 31, 2020 and 2019 (Successor), and for the year ended December 31, 2020 (Successor), the period June 21, 2019 through December 31, 2019 (Predecessor), and January 1, 2019 through June 20, 2019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6" w:name="page217"/>
    <w:bookmarkEnd w:id="21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Where you can find additional information</w:t>
      </w:r>
    </w:p>
    <w:p>
      <w:pPr>
        <w:spacing w:after="0" w:line="133"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We have filed with the SEC this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09"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You may read our SEC filings, including this Registration Statement, over the Internet at the SEC’s website at www.sec.gov. Upon the closing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www.centurytx.com,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 You should not consider the contents of our website in making an investment decision with respect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7" w:name="page218"/>
    <w:bookmarkEnd w:id="21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28" w:lineRule="auto"/>
        <w:rPr>
          <w:sz w:val="20"/>
          <w:szCs w:val="20"/>
          <w:color w:val="auto"/>
        </w:rPr>
      </w:pPr>
      <w:r>
        <w:rPr>
          <w:rFonts w:ascii="Arial" w:cs="Arial" w:eastAsia="Arial" w:hAnsi="Arial"/>
          <w:sz w:val="23"/>
          <w:szCs w:val="23"/>
          <w:b w:val="1"/>
          <w:bCs w:val="1"/>
          <w:color w:val="auto"/>
        </w:rPr>
        <w:t>Century Therapeutics, Inc. and Subsidiary Table of Contents</w:t>
      </w:r>
    </w:p>
    <w:p>
      <w:pPr>
        <w:ind w:left="1220" w:right="1659"/>
        <w:spacing w:after="0" w:line="233" w:lineRule="auto"/>
        <w:rPr>
          <w:sz w:val="20"/>
          <w:szCs w:val="20"/>
          <w:color w:val="auto"/>
        </w:rPr>
      </w:pPr>
      <w:r>
        <w:rPr>
          <w:rFonts w:ascii="Arial" w:cs="Arial" w:eastAsia="Arial" w:hAnsi="Arial"/>
          <w:sz w:val="23"/>
          <w:szCs w:val="23"/>
          <w:b w:val="1"/>
          <w:bCs w:val="1"/>
          <w:color w:val="auto"/>
        </w:rPr>
        <w:t>As of and for the years ended December 31, 2020 and 2019</w:t>
      </w:r>
    </w:p>
    <w:p>
      <w:pPr>
        <w:spacing w:after="0" w:line="84"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780" w:type="dxa"/>
            <w:vAlign w:val="bottom"/>
            <w:tcBorders>
              <w:bottom w:val="single" w:sz="8" w:color="0000EE"/>
            </w:tcBorders>
            <w:gridSpan w:val="7"/>
            <w:shd w:val="clear" w:color="auto" w:fill="CCEEFF"/>
          </w:tcPr>
          <w:p>
            <w:pPr>
              <w:spacing w:after="0"/>
              <w:rPr>
                <w:rFonts w:ascii="Arial" w:cs="Arial" w:eastAsia="Arial" w:hAnsi="Arial"/>
                <w:sz w:val="14"/>
                <w:szCs w:val="14"/>
                <w:color w:val="0000EE"/>
              </w:rPr>
            </w:pPr>
            <w:hyperlink w:anchor="page218">
              <w:r>
                <w:rPr>
                  <w:rFonts w:ascii="Arial" w:cs="Arial" w:eastAsia="Arial" w:hAnsi="Arial"/>
                  <w:sz w:val="14"/>
                  <w:szCs w:val="14"/>
                  <w:color w:val="0000EE"/>
                </w:rPr>
                <w:t>Report of Independent Registered Public Accounting Firm on consolidated financial statements as of</w:t>
              </w:r>
            </w:hyperlink>
          </w:p>
        </w:tc>
        <w:tc>
          <w:tcPr>
            <w:tcW w:w="300" w:type="dxa"/>
            <w:vAlign w:val="bottom"/>
            <w:tcBorders>
              <w:bottom w:val="single" w:sz="8" w:color="CCEEFF"/>
              <w:right w:val="single" w:sz="8" w:color="CCEEFF"/>
            </w:tcBorders>
            <w:gridSpan w:val="7"/>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r>
      <w:tr>
        <w:trPr>
          <w:trHeight w:val="153"/>
        </w:trPr>
        <w:tc>
          <w:tcPr>
            <w:tcW w:w="140" w:type="dxa"/>
            <w:vAlign w:val="bottom"/>
            <w:tcBorders>
              <w:bottom w:val="single" w:sz="8" w:color="CCEEFF"/>
            </w:tcBorders>
            <w:shd w:val="clear" w:color="auto" w:fill="CCEEFF"/>
          </w:tcPr>
          <w:p>
            <w:pPr>
              <w:spacing w:after="0"/>
              <w:rPr>
                <w:sz w:val="13"/>
                <w:szCs w:val="13"/>
                <w:color w:val="auto"/>
              </w:rPr>
            </w:pPr>
          </w:p>
        </w:tc>
        <w:tc>
          <w:tcPr>
            <w:tcW w:w="6940" w:type="dxa"/>
            <w:vAlign w:val="bottom"/>
            <w:tcBorders>
              <w:bottom w:val="single" w:sz="8" w:color="0000EE"/>
              <w:right w:val="single" w:sz="8" w:color="CCEEFF"/>
            </w:tcBorders>
            <w:gridSpan w:val="13"/>
            <w:shd w:val="clear" w:color="auto" w:fill="CCEEFF"/>
          </w:tcPr>
          <w:p>
            <w:pPr>
              <w:spacing w:after="0" w:line="153" w:lineRule="exact"/>
              <w:rPr>
                <w:rFonts w:ascii="Arial" w:cs="Arial" w:eastAsia="Arial" w:hAnsi="Arial"/>
                <w:sz w:val="14"/>
                <w:szCs w:val="14"/>
                <w:color w:val="0000EE"/>
              </w:rPr>
            </w:pPr>
            <w:hyperlink w:anchor="page218">
              <w:r>
                <w:rPr>
                  <w:rFonts w:ascii="Arial" w:cs="Arial" w:eastAsia="Arial" w:hAnsi="Arial"/>
                  <w:sz w:val="14"/>
                  <w:szCs w:val="14"/>
                  <w:color w:val="0000EE"/>
                </w:rPr>
                <w:t>December 31, 2020 and 2019 (successor), for the year ended December 31, 2020 (successor), for the</w:t>
              </w:r>
            </w:hyperlink>
          </w:p>
        </w:tc>
        <w:tc>
          <w:tcPr>
            <w:tcW w:w="220" w:type="dxa"/>
            <w:vAlign w:val="bottom"/>
            <w:tcBorders>
              <w:bottom w:val="single" w:sz="8" w:color="CCEEFF"/>
            </w:tcBorders>
            <w:shd w:val="clear" w:color="auto" w:fill="CCEEFF"/>
          </w:tcPr>
          <w:p>
            <w:pPr>
              <w:spacing w:after="0"/>
              <w:rPr>
                <w:sz w:val="13"/>
                <w:szCs w:val="13"/>
                <w:color w:val="auto"/>
              </w:rPr>
            </w:pPr>
          </w:p>
        </w:tc>
      </w:tr>
      <w:tr>
        <w:trPr>
          <w:trHeight w:val="153"/>
        </w:trPr>
        <w:tc>
          <w:tcPr>
            <w:tcW w:w="140" w:type="dxa"/>
            <w:vAlign w:val="bottom"/>
            <w:tcBorders>
              <w:bottom w:val="single" w:sz="8" w:color="CCEEFF"/>
            </w:tcBorders>
            <w:shd w:val="clear" w:color="auto" w:fill="CCEEFF"/>
          </w:tcPr>
          <w:p>
            <w:pPr>
              <w:spacing w:after="0"/>
              <w:rPr>
                <w:sz w:val="13"/>
                <w:szCs w:val="13"/>
                <w:color w:val="auto"/>
              </w:rPr>
            </w:pPr>
          </w:p>
        </w:tc>
        <w:tc>
          <w:tcPr>
            <w:tcW w:w="6940" w:type="dxa"/>
            <w:vAlign w:val="bottom"/>
            <w:tcBorders>
              <w:bottom w:val="single" w:sz="8" w:color="0000EE"/>
              <w:right w:val="single" w:sz="8" w:color="CCEEFF"/>
            </w:tcBorders>
            <w:gridSpan w:val="13"/>
            <w:shd w:val="clear" w:color="auto" w:fill="CCEEFF"/>
          </w:tcPr>
          <w:p>
            <w:pPr>
              <w:spacing w:after="0" w:line="153" w:lineRule="exact"/>
              <w:rPr>
                <w:rFonts w:ascii="Arial" w:cs="Arial" w:eastAsia="Arial" w:hAnsi="Arial"/>
                <w:sz w:val="14"/>
                <w:szCs w:val="14"/>
                <w:color w:val="0000EE"/>
              </w:rPr>
            </w:pPr>
            <w:hyperlink w:anchor="page218">
              <w:r>
                <w:rPr>
                  <w:rFonts w:ascii="Arial" w:cs="Arial" w:eastAsia="Arial" w:hAnsi="Arial"/>
                  <w:sz w:val="14"/>
                  <w:szCs w:val="14"/>
                  <w:color w:val="0000EE"/>
                </w:rPr>
                <w:t>period from June 21, 2019 through December 31, 2019 (successor) and for the period from January 1,</w:t>
              </w:r>
            </w:hyperlink>
          </w:p>
        </w:tc>
        <w:tc>
          <w:tcPr>
            <w:tcW w:w="220" w:type="dxa"/>
            <w:vAlign w:val="bottom"/>
            <w:tcBorders>
              <w:bottom w:val="single" w:sz="8" w:color="CCEEFF"/>
            </w:tcBorders>
            <w:shd w:val="clear" w:color="auto" w:fill="CCEEFF"/>
          </w:tcPr>
          <w:p>
            <w:pPr>
              <w:spacing w:after="0"/>
              <w:rPr>
                <w:sz w:val="13"/>
                <w:szCs w:val="13"/>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2880" w:type="dxa"/>
            <w:vAlign w:val="bottom"/>
            <w:tcBorders>
              <w:bottom w:val="single" w:sz="8" w:color="0000EE"/>
            </w:tcBorders>
            <w:gridSpan w:val="3"/>
            <w:shd w:val="clear" w:color="auto" w:fill="CCEEFF"/>
          </w:tcPr>
          <w:p>
            <w:pPr>
              <w:spacing w:after="0" w:line="153" w:lineRule="exact"/>
              <w:rPr>
                <w:rFonts w:ascii="Arial" w:cs="Arial" w:eastAsia="Arial" w:hAnsi="Arial"/>
                <w:sz w:val="14"/>
                <w:szCs w:val="14"/>
                <w:color w:val="0000EE"/>
              </w:rPr>
            </w:pPr>
            <w:hyperlink w:anchor="page218">
              <w:r>
                <w:rPr>
                  <w:rFonts w:ascii="Arial" w:cs="Arial" w:eastAsia="Arial" w:hAnsi="Arial"/>
                  <w:sz w:val="14"/>
                  <w:szCs w:val="14"/>
                  <w:color w:val="0000EE"/>
                </w:rPr>
                <w:t>2019 through June 20, 2019 (predecessor)</w:t>
              </w:r>
            </w:hyperlink>
          </w:p>
        </w:tc>
        <w:tc>
          <w:tcPr>
            <w:tcW w:w="4060" w:type="dxa"/>
            <w:vAlign w:val="bottom"/>
            <w:tcBorders>
              <w:bottom w:val="single" w:sz="8" w:color="CCEEFF"/>
              <w:right w:val="single" w:sz="8" w:color="CCEEFF"/>
            </w:tcBorders>
            <w:gridSpan w:val="10"/>
            <w:shd w:val="clear" w:color="auto" w:fill="CCEEFF"/>
          </w:tcPr>
          <w:p>
            <w:pPr>
              <w:spacing w:after="0"/>
              <w:rPr>
                <w:sz w:val="14"/>
                <w:szCs w:val="14"/>
                <w:color w:val="auto"/>
              </w:rPr>
            </w:pPr>
          </w:p>
        </w:tc>
        <w:tc>
          <w:tcPr>
            <w:tcW w:w="220" w:type="dxa"/>
            <w:vAlign w:val="bottom"/>
            <w:tcBorders>
              <w:bottom w:val="single" w:sz="8" w:color="0000EE"/>
            </w:tcBorders>
            <w:shd w:val="clear" w:color="auto" w:fill="CCEEFF"/>
          </w:tcPr>
          <w:p>
            <w:pPr>
              <w:spacing w:after="0" w:line="153" w:lineRule="exact"/>
              <w:rPr>
                <w:rFonts w:ascii="Arial" w:cs="Arial" w:eastAsia="Arial" w:hAnsi="Arial"/>
                <w:sz w:val="14"/>
                <w:szCs w:val="14"/>
                <w:color w:val="0000EE"/>
                <w:w w:val="94"/>
              </w:rPr>
            </w:pPr>
            <w:hyperlink w:anchor="page218">
              <w:r>
                <w:rPr>
                  <w:rFonts w:ascii="Arial" w:cs="Arial" w:eastAsia="Arial" w:hAnsi="Arial"/>
                  <w:sz w:val="14"/>
                  <w:szCs w:val="14"/>
                  <w:color w:val="0000EE"/>
                  <w:w w:val="94"/>
                </w:rPr>
                <w:t>F-2</w:t>
              </w:r>
            </w:hyperlink>
          </w:p>
        </w:tc>
      </w:tr>
      <w:tr>
        <w:trPr>
          <w:trHeight w:val="204"/>
        </w:trPr>
        <w:tc>
          <w:tcPr>
            <w:tcW w:w="7080" w:type="dxa"/>
            <w:vAlign w:val="bottom"/>
            <w:gridSpan w:val="14"/>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220" w:type="dxa"/>
            <w:vAlign w:val="bottom"/>
          </w:tcPr>
          <w:p>
            <w:pPr>
              <w:spacing w:after="0"/>
              <w:rPr>
                <w:sz w:val="17"/>
                <w:szCs w:val="17"/>
                <w:color w:val="auto"/>
              </w:rPr>
            </w:pPr>
          </w:p>
        </w:tc>
      </w:tr>
      <w:tr>
        <w:trPr>
          <w:trHeight w:val="186"/>
        </w:trPr>
        <w:tc>
          <w:tcPr>
            <w:tcW w:w="6960" w:type="dxa"/>
            <w:vAlign w:val="bottom"/>
            <w:tcBorders>
              <w:bottom w:val="single" w:sz="8" w:color="0000EE"/>
            </w:tcBorders>
            <w:gridSpan w:val="13"/>
            <w:shd w:val="clear" w:color="auto" w:fill="CCEEFF"/>
          </w:tcPr>
          <w:p>
            <w:pPr>
              <w:spacing w:after="0"/>
              <w:rPr>
                <w:rFonts w:ascii="Arial" w:cs="Arial" w:eastAsia="Arial" w:hAnsi="Arial"/>
                <w:sz w:val="14"/>
                <w:szCs w:val="14"/>
                <w:color w:val="0000EE"/>
                <w:shd w:val="clear" w:color="auto" w:fill="CCEEFF"/>
              </w:rPr>
            </w:pPr>
            <w:hyperlink w:anchor="page219">
              <w:r>
                <w:rPr>
                  <w:rFonts w:ascii="Arial" w:cs="Arial" w:eastAsia="Arial" w:hAnsi="Arial"/>
                  <w:sz w:val="14"/>
                  <w:szCs w:val="14"/>
                  <w:color w:val="0000EE"/>
                  <w:shd w:val="clear" w:color="auto" w:fill="CCEEFF"/>
                </w:rPr>
                <w:t>Consolidated balance sheets as of December 31, 2020 (successor) and December 31, 2019(successor)</w:t>
              </w:r>
            </w:hyperlink>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0000EE"/>
            </w:tcBorders>
            <w:shd w:val="clear" w:color="auto" w:fill="CCEEFF"/>
          </w:tcPr>
          <w:p>
            <w:pPr>
              <w:spacing w:after="0"/>
              <w:rPr>
                <w:rFonts w:ascii="Arial" w:cs="Arial" w:eastAsia="Arial" w:hAnsi="Arial"/>
                <w:sz w:val="14"/>
                <w:szCs w:val="14"/>
                <w:color w:val="0000EE"/>
                <w:w w:val="94"/>
                <w:shd w:val="clear" w:color="auto" w:fill="CCEEFF"/>
              </w:rPr>
            </w:pPr>
            <w:hyperlink w:anchor="page219">
              <w:r>
                <w:rPr>
                  <w:rFonts w:ascii="Arial" w:cs="Arial" w:eastAsia="Arial" w:hAnsi="Arial"/>
                  <w:sz w:val="14"/>
                  <w:szCs w:val="14"/>
                  <w:color w:val="0000EE"/>
                  <w:w w:val="94"/>
                  <w:shd w:val="clear" w:color="auto" w:fill="CCEEFF"/>
                </w:rPr>
                <w:t>F-3</w:t>
              </w:r>
            </w:hyperlink>
          </w:p>
        </w:tc>
      </w:tr>
      <w:tr>
        <w:trPr>
          <w:trHeight w:val="173"/>
        </w:trPr>
        <w:tc>
          <w:tcPr>
            <w:tcW w:w="6920" w:type="dxa"/>
            <w:vAlign w:val="bottom"/>
            <w:tcBorders>
              <w:bottom w:val="single" w:sz="8" w:color="0000EE"/>
            </w:tcBorders>
            <w:gridSpan w:val="11"/>
          </w:tcPr>
          <w:p>
            <w:pPr>
              <w:spacing w:after="0"/>
              <w:rPr>
                <w:rFonts w:ascii="Arial" w:cs="Arial" w:eastAsia="Arial" w:hAnsi="Arial"/>
                <w:sz w:val="14"/>
                <w:szCs w:val="14"/>
                <w:color w:val="0000EE"/>
              </w:rPr>
            </w:pPr>
            <w:hyperlink w:anchor="page220">
              <w:r>
                <w:rPr>
                  <w:rFonts w:ascii="Arial" w:cs="Arial" w:eastAsia="Arial" w:hAnsi="Arial"/>
                  <w:sz w:val="14"/>
                  <w:szCs w:val="14"/>
                  <w:color w:val="0000EE"/>
                </w:rPr>
                <w:t>Consolidated statements of operations and comprehensive loss for the year ended December 31, 2020</w:t>
              </w:r>
            </w:hyperlink>
          </w:p>
        </w:tc>
        <w:tc>
          <w:tcPr>
            <w:tcW w:w="1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r>
      <w:tr>
        <w:trPr>
          <w:trHeight w:val="153"/>
        </w:trPr>
        <w:tc>
          <w:tcPr>
            <w:tcW w:w="140" w:type="dxa"/>
            <w:vAlign w:val="bottom"/>
          </w:tcPr>
          <w:p>
            <w:pPr>
              <w:spacing w:after="0"/>
              <w:rPr>
                <w:sz w:val="13"/>
                <w:szCs w:val="13"/>
                <w:color w:val="auto"/>
              </w:rPr>
            </w:pPr>
          </w:p>
        </w:tc>
        <w:tc>
          <w:tcPr>
            <w:tcW w:w="6720" w:type="dxa"/>
            <w:vAlign w:val="bottom"/>
            <w:tcBorders>
              <w:bottom w:val="single" w:sz="8" w:color="0000EE"/>
            </w:tcBorders>
            <w:gridSpan w:val="8"/>
          </w:tcPr>
          <w:p>
            <w:pPr>
              <w:spacing w:after="0" w:line="153" w:lineRule="exact"/>
              <w:rPr>
                <w:rFonts w:ascii="Arial" w:cs="Arial" w:eastAsia="Arial" w:hAnsi="Arial"/>
                <w:sz w:val="14"/>
                <w:szCs w:val="14"/>
                <w:color w:val="0000EE"/>
              </w:rPr>
            </w:pPr>
            <w:hyperlink w:anchor="page220">
              <w:r>
                <w:rPr>
                  <w:rFonts w:ascii="Arial" w:cs="Arial" w:eastAsia="Arial" w:hAnsi="Arial"/>
                  <w:sz w:val="14"/>
                  <w:szCs w:val="14"/>
                  <w:color w:val="0000EE"/>
                </w:rPr>
                <w:t>(successor), and the periods June 21, 2019 through December 31, 2019 (successor) and January 1,</w:t>
              </w:r>
            </w:hyperlink>
          </w:p>
        </w:tc>
        <w:tc>
          <w:tcPr>
            <w:tcW w:w="220" w:type="dxa"/>
            <w:vAlign w:val="bottom"/>
            <w:gridSpan w:val="5"/>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140" w:type="dxa"/>
            <w:vAlign w:val="bottom"/>
          </w:tcPr>
          <w:p>
            <w:pPr>
              <w:spacing w:after="0"/>
              <w:rPr>
                <w:sz w:val="13"/>
                <w:szCs w:val="13"/>
                <w:color w:val="auto"/>
              </w:rPr>
            </w:pPr>
          </w:p>
        </w:tc>
        <w:tc>
          <w:tcPr>
            <w:tcW w:w="6940" w:type="dxa"/>
            <w:vAlign w:val="bottom"/>
            <w:gridSpan w:val="13"/>
          </w:tcPr>
          <w:p>
            <w:pPr>
              <w:spacing w:after="0" w:line="153" w:lineRule="exact"/>
              <w:rPr>
                <w:rFonts w:ascii="Arial" w:cs="Arial" w:eastAsia="Arial" w:hAnsi="Arial"/>
                <w:sz w:val="14"/>
                <w:szCs w:val="14"/>
                <w:color w:val="0000EE"/>
              </w:rPr>
            </w:pPr>
            <w:hyperlink w:anchor="page220">
              <w:r>
                <w:rPr>
                  <w:rFonts w:ascii="Arial" w:cs="Arial" w:eastAsia="Arial" w:hAnsi="Arial"/>
                  <w:sz w:val="14"/>
                  <w:szCs w:val="14"/>
                  <w:color w:val="0000EE"/>
                </w:rPr>
                <w:t>2019 through June 20, 2019 (predecessor)</w:t>
              </w:r>
            </w:hyperlink>
          </w:p>
        </w:tc>
        <w:tc>
          <w:tcPr>
            <w:tcW w:w="220" w:type="dxa"/>
            <w:vAlign w:val="bottom"/>
          </w:tcPr>
          <w:p>
            <w:pPr>
              <w:spacing w:after="0" w:line="153" w:lineRule="exact"/>
              <w:rPr>
                <w:rFonts w:ascii="Arial" w:cs="Arial" w:eastAsia="Arial" w:hAnsi="Arial"/>
                <w:sz w:val="14"/>
                <w:szCs w:val="14"/>
                <w:color w:val="0000EE"/>
                <w:w w:val="94"/>
              </w:rPr>
            </w:pPr>
            <w:hyperlink w:anchor="page220">
              <w:r>
                <w:rPr>
                  <w:rFonts w:ascii="Arial" w:cs="Arial" w:eastAsia="Arial" w:hAnsi="Arial"/>
                  <w:sz w:val="14"/>
                  <w:szCs w:val="14"/>
                  <w:color w:val="0000EE"/>
                  <w:w w:val="94"/>
                </w:rPr>
                <w:t>F-4</w:t>
              </w:r>
            </w:hyperlink>
          </w:p>
        </w:tc>
      </w:tr>
      <w:tr>
        <w:trPr>
          <w:trHeight w:val="23"/>
        </w:trPr>
        <w:tc>
          <w:tcPr>
            <w:tcW w:w="14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7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3"/>
        </w:trPr>
        <w:tc>
          <w:tcPr>
            <w:tcW w:w="6940" w:type="dxa"/>
            <w:vAlign w:val="bottom"/>
            <w:tcBorders>
              <w:bottom w:val="single" w:sz="8" w:color="0000EE"/>
            </w:tcBorders>
            <w:gridSpan w:val="12"/>
            <w:shd w:val="clear" w:color="auto" w:fill="CCEEFF"/>
          </w:tcPr>
          <w:p>
            <w:pPr>
              <w:spacing w:after="0"/>
              <w:rPr>
                <w:rFonts w:ascii="Arial" w:cs="Arial" w:eastAsia="Arial" w:hAnsi="Arial"/>
                <w:sz w:val="14"/>
                <w:szCs w:val="14"/>
                <w:color w:val="0000EE"/>
              </w:rPr>
            </w:pPr>
            <w:hyperlink w:anchor="page221">
              <w:r>
                <w:rPr>
                  <w:rFonts w:ascii="Arial" w:cs="Arial" w:eastAsia="Arial" w:hAnsi="Arial"/>
                  <w:sz w:val="14"/>
                  <w:szCs w:val="14"/>
                  <w:color w:val="0000EE"/>
                </w:rPr>
                <w:t>Consolidated statements of changes in convertible preferred stock and stockholders’ deficit for the year</w:t>
              </w:r>
            </w:hyperlink>
          </w:p>
        </w:tc>
        <w:tc>
          <w:tcPr>
            <w:tcW w:w="14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r>
      <w:tr>
        <w:trPr>
          <w:trHeight w:val="153"/>
        </w:trPr>
        <w:tc>
          <w:tcPr>
            <w:tcW w:w="140" w:type="dxa"/>
            <w:vAlign w:val="bottom"/>
            <w:shd w:val="clear" w:color="auto" w:fill="CCEEFF"/>
          </w:tcPr>
          <w:p>
            <w:pPr>
              <w:spacing w:after="0"/>
              <w:rPr>
                <w:sz w:val="13"/>
                <w:szCs w:val="13"/>
                <w:color w:val="auto"/>
              </w:rPr>
            </w:pPr>
          </w:p>
        </w:tc>
        <w:tc>
          <w:tcPr>
            <w:tcW w:w="6940" w:type="dxa"/>
            <w:vAlign w:val="bottom"/>
            <w:tcBorders>
              <w:right w:val="single" w:sz="8" w:color="CCEEFF"/>
            </w:tcBorders>
            <w:gridSpan w:val="13"/>
            <w:shd w:val="clear" w:color="auto" w:fill="CCEEFF"/>
          </w:tcPr>
          <w:p>
            <w:pPr>
              <w:spacing w:after="0" w:line="153" w:lineRule="exact"/>
              <w:rPr>
                <w:rFonts w:ascii="Arial" w:cs="Arial" w:eastAsia="Arial" w:hAnsi="Arial"/>
                <w:sz w:val="14"/>
                <w:szCs w:val="14"/>
                <w:color w:val="0000EE"/>
              </w:rPr>
            </w:pPr>
            <w:hyperlink w:anchor="page221">
              <w:r>
                <w:rPr>
                  <w:rFonts w:ascii="Arial" w:cs="Arial" w:eastAsia="Arial" w:hAnsi="Arial"/>
                  <w:sz w:val="14"/>
                  <w:szCs w:val="14"/>
                  <w:color w:val="0000EE"/>
                </w:rPr>
                <w:t>ended December 31, 2020 (successor), the periods June 21, 2019 through December 31, 2019</w:t>
              </w:r>
            </w:hyperlink>
          </w:p>
        </w:tc>
        <w:tc>
          <w:tcPr>
            <w:tcW w:w="220" w:type="dxa"/>
            <w:vAlign w:val="bottom"/>
            <w:shd w:val="clear" w:color="auto" w:fill="CCEEFF"/>
          </w:tcPr>
          <w:p>
            <w:pPr>
              <w:spacing w:after="0"/>
              <w:rPr>
                <w:sz w:val="13"/>
                <w:szCs w:val="13"/>
                <w:color w:val="auto"/>
              </w:rPr>
            </w:pPr>
          </w:p>
        </w:tc>
      </w:tr>
      <w:tr>
        <w:trPr>
          <w:trHeight w:val="153"/>
        </w:trPr>
        <w:tc>
          <w:tcPr>
            <w:tcW w:w="140" w:type="dxa"/>
            <w:vAlign w:val="bottom"/>
            <w:tcBorders>
              <w:top w:val="single" w:sz="8" w:color="CCEEFF"/>
            </w:tcBorders>
            <w:shd w:val="clear" w:color="auto" w:fill="CCEEFF"/>
          </w:tcPr>
          <w:p>
            <w:pPr>
              <w:spacing w:after="0"/>
              <w:rPr>
                <w:sz w:val="13"/>
                <w:szCs w:val="13"/>
                <w:color w:val="auto"/>
              </w:rPr>
            </w:pPr>
          </w:p>
        </w:tc>
        <w:tc>
          <w:tcPr>
            <w:tcW w:w="6380" w:type="dxa"/>
            <w:vAlign w:val="bottom"/>
            <w:tcBorders>
              <w:top w:val="single" w:sz="8" w:color="0000EE"/>
            </w:tcBorders>
            <w:gridSpan w:val="5"/>
            <w:shd w:val="clear" w:color="auto" w:fill="CCEEFF"/>
          </w:tcPr>
          <w:p>
            <w:pPr>
              <w:spacing w:after="0" w:line="153" w:lineRule="exact"/>
              <w:rPr>
                <w:rFonts w:ascii="Arial" w:cs="Arial" w:eastAsia="Arial" w:hAnsi="Arial"/>
                <w:sz w:val="14"/>
                <w:szCs w:val="14"/>
                <w:color w:val="0000EE"/>
              </w:rPr>
            </w:pPr>
            <w:hyperlink w:anchor="page221">
              <w:r>
                <w:rPr>
                  <w:rFonts w:ascii="Arial" w:cs="Arial" w:eastAsia="Arial" w:hAnsi="Arial"/>
                  <w:sz w:val="14"/>
                  <w:szCs w:val="14"/>
                  <w:color w:val="0000EE"/>
                </w:rPr>
                <w:t>(successor) and January 1, 2019 through June 20, 2019 (predecessor)</w:t>
              </w:r>
            </w:hyperlink>
          </w:p>
        </w:tc>
        <w:tc>
          <w:tcPr>
            <w:tcW w:w="560" w:type="dxa"/>
            <w:vAlign w:val="bottom"/>
            <w:tcBorders>
              <w:top w:val="single" w:sz="8" w:color="CCEEFF"/>
              <w:right w:val="single" w:sz="8" w:color="CCEEFF"/>
            </w:tcBorders>
            <w:gridSpan w:val="8"/>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line="153" w:lineRule="exact"/>
              <w:rPr>
                <w:rFonts w:ascii="Arial" w:cs="Arial" w:eastAsia="Arial" w:hAnsi="Arial"/>
                <w:sz w:val="14"/>
                <w:szCs w:val="14"/>
                <w:color w:val="0000EE"/>
                <w:w w:val="94"/>
              </w:rPr>
            </w:pPr>
            <w:hyperlink w:anchor="page221">
              <w:r>
                <w:rPr>
                  <w:rFonts w:ascii="Arial" w:cs="Arial" w:eastAsia="Arial" w:hAnsi="Arial"/>
                  <w:sz w:val="14"/>
                  <w:szCs w:val="14"/>
                  <w:color w:val="0000EE"/>
                  <w:w w:val="94"/>
                </w:rPr>
                <w:t>F-5</w:t>
              </w:r>
            </w:hyperlink>
          </w:p>
        </w:tc>
      </w:tr>
      <w:tr>
        <w:trPr>
          <w:trHeight w:val="23"/>
        </w:trPr>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17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r>
      <w:tr>
        <w:trPr>
          <w:trHeight w:val="173"/>
        </w:trPr>
        <w:tc>
          <w:tcPr>
            <w:tcW w:w="6900" w:type="dxa"/>
            <w:vAlign w:val="bottom"/>
            <w:tcBorders>
              <w:bottom w:val="single" w:sz="8" w:color="0000EE"/>
            </w:tcBorders>
            <w:gridSpan w:val="10"/>
          </w:tcPr>
          <w:p>
            <w:pPr>
              <w:spacing w:after="0"/>
              <w:rPr>
                <w:rFonts w:ascii="Arial" w:cs="Arial" w:eastAsia="Arial" w:hAnsi="Arial"/>
                <w:sz w:val="14"/>
                <w:szCs w:val="14"/>
                <w:color w:val="0000EE"/>
              </w:rPr>
            </w:pPr>
            <w:hyperlink w:anchor="page222">
              <w:r>
                <w:rPr>
                  <w:rFonts w:ascii="Arial" w:cs="Arial" w:eastAsia="Arial" w:hAnsi="Arial"/>
                  <w:sz w:val="14"/>
                  <w:szCs w:val="14"/>
                  <w:color w:val="0000EE"/>
                </w:rPr>
                <w:t>Consolidated statements of cash flows for the year ended December 31, 2020 (successor), the periods</w:t>
              </w:r>
            </w:hyperlink>
          </w:p>
        </w:tc>
        <w:tc>
          <w:tcPr>
            <w:tcW w:w="18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r>
      <w:tr>
        <w:trPr>
          <w:trHeight w:val="153"/>
        </w:trPr>
        <w:tc>
          <w:tcPr>
            <w:tcW w:w="140" w:type="dxa"/>
            <w:vAlign w:val="bottom"/>
          </w:tcPr>
          <w:p>
            <w:pPr>
              <w:spacing w:after="0"/>
              <w:rPr>
                <w:sz w:val="13"/>
                <w:szCs w:val="13"/>
                <w:color w:val="auto"/>
              </w:rPr>
            </w:pPr>
          </w:p>
        </w:tc>
        <w:tc>
          <w:tcPr>
            <w:tcW w:w="6700" w:type="dxa"/>
            <w:vAlign w:val="bottom"/>
            <w:tcBorders>
              <w:bottom w:val="single" w:sz="8" w:color="0000EE"/>
            </w:tcBorders>
            <w:gridSpan w:val="7"/>
          </w:tcPr>
          <w:p>
            <w:pPr>
              <w:spacing w:after="0" w:line="153" w:lineRule="exact"/>
              <w:rPr>
                <w:rFonts w:ascii="Arial" w:cs="Arial" w:eastAsia="Arial" w:hAnsi="Arial"/>
                <w:sz w:val="14"/>
                <w:szCs w:val="14"/>
                <w:color w:val="0000EE"/>
              </w:rPr>
            </w:pPr>
            <w:hyperlink w:anchor="page222">
              <w:r>
                <w:rPr>
                  <w:rFonts w:ascii="Arial" w:cs="Arial" w:eastAsia="Arial" w:hAnsi="Arial"/>
                  <w:sz w:val="14"/>
                  <w:szCs w:val="14"/>
                  <w:color w:val="0000EE"/>
                </w:rPr>
                <w:t>June 21, 2019 through December 31, 2019 (successor) and January 1, 2019 through June 20, 2019</w:t>
              </w:r>
            </w:hyperlink>
          </w:p>
        </w:tc>
        <w:tc>
          <w:tcPr>
            <w:tcW w:w="240" w:type="dxa"/>
            <w:vAlign w:val="bottom"/>
            <w:gridSpan w:val="6"/>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140" w:type="dxa"/>
            <w:vAlign w:val="bottom"/>
          </w:tcPr>
          <w:p>
            <w:pPr>
              <w:spacing w:after="0"/>
              <w:rPr>
                <w:sz w:val="13"/>
                <w:szCs w:val="13"/>
                <w:color w:val="auto"/>
              </w:rPr>
            </w:pPr>
          </w:p>
        </w:tc>
        <w:tc>
          <w:tcPr>
            <w:tcW w:w="6940" w:type="dxa"/>
            <w:vAlign w:val="bottom"/>
            <w:gridSpan w:val="13"/>
          </w:tcPr>
          <w:p>
            <w:pPr>
              <w:spacing w:after="0" w:line="153" w:lineRule="exact"/>
              <w:rPr>
                <w:rFonts w:ascii="Arial" w:cs="Arial" w:eastAsia="Arial" w:hAnsi="Arial"/>
                <w:sz w:val="14"/>
                <w:szCs w:val="14"/>
                <w:color w:val="0000EE"/>
              </w:rPr>
            </w:pPr>
            <w:hyperlink w:anchor="page222">
              <w:r>
                <w:rPr>
                  <w:rFonts w:ascii="Arial" w:cs="Arial" w:eastAsia="Arial" w:hAnsi="Arial"/>
                  <w:sz w:val="14"/>
                  <w:szCs w:val="14"/>
                  <w:color w:val="0000EE"/>
                </w:rPr>
                <w:t>(predecessor)</w:t>
              </w:r>
            </w:hyperlink>
          </w:p>
        </w:tc>
        <w:tc>
          <w:tcPr>
            <w:tcW w:w="220" w:type="dxa"/>
            <w:vAlign w:val="bottom"/>
          </w:tcPr>
          <w:p>
            <w:pPr>
              <w:spacing w:after="0" w:line="153" w:lineRule="exact"/>
              <w:rPr>
                <w:rFonts w:ascii="Arial" w:cs="Arial" w:eastAsia="Arial" w:hAnsi="Arial"/>
                <w:sz w:val="14"/>
                <w:szCs w:val="14"/>
                <w:color w:val="0000EE"/>
                <w:w w:val="94"/>
              </w:rPr>
            </w:pPr>
            <w:hyperlink w:anchor="page222">
              <w:r>
                <w:rPr>
                  <w:rFonts w:ascii="Arial" w:cs="Arial" w:eastAsia="Arial" w:hAnsi="Arial"/>
                  <w:sz w:val="14"/>
                  <w:szCs w:val="14"/>
                  <w:color w:val="0000EE"/>
                  <w:w w:val="94"/>
                </w:rPr>
                <w:t>F-6</w:t>
              </w:r>
            </w:hyperlink>
          </w:p>
        </w:tc>
      </w:tr>
      <w:tr>
        <w:trPr>
          <w:trHeight w:val="23"/>
        </w:trPr>
        <w:tc>
          <w:tcPr>
            <w:tcW w:w="14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3"/>
        </w:trPr>
        <w:tc>
          <w:tcPr>
            <w:tcW w:w="7080" w:type="dxa"/>
            <w:vAlign w:val="bottom"/>
            <w:tcBorders>
              <w:right w:val="single" w:sz="8" w:color="CCEEFF"/>
            </w:tcBorders>
            <w:gridSpan w:val="14"/>
            <w:shd w:val="clear" w:color="auto" w:fill="CCEEFF"/>
          </w:tcPr>
          <w:p>
            <w:pPr>
              <w:spacing w:after="0"/>
              <w:rPr>
                <w:rFonts w:ascii="Arial" w:cs="Arial" w:eastAsia="Arial" w:hAnsi="Arial"/>
                <w:sz w:val="14"/>
                <w:szCs w:val="14"/>
                <w:color w:val="0000EE"/>
              </w:rPr>
            </w:pPr>
            <w:hyperlink w:anchor="page223">
              <w:r>
                <w:rPr>
                  <w:rFonts w:ascii="Arial" w:cs="Arial" w:eastAsia="Arial" w:hAnsi="Arial"/>
                  <w:sz w:val="14"/>
                  <w:szCs w:val="14"/>
                  <w:color w:val="0000EE"/>
                </w:rPr>
                <w:t>Notes to consolidated financial statements</w:t>
              </w:r>
            </w:hyperlink>
          </w:p>
        </w:tc>
        <w:tc>
          <w:tcPr>
            <w:tcW w:w="220" w:type="dxa"/>
            <w:vAlign w:val="bottom"/>
            <w:shd w:val="clear" w:color="auto" w:fill="CCEEFF"/>
          </w:tcPr>
          <w:p>
            <w:pPr>
              <w:spacing w:after="0"/>
              <w:rPr>
                <w:rFonts w:ascii="Arial" w:cs="Arial" w:eastAsia="Arial" w:hAnsi="Arial"/>
                <w:sz w:val="14"/>
                <w:szCs w:val="14"/>
                <w:color w:val="0000EE"/>
                <w:w w:val="94"/>
              </w:rPr>
            </w:pPr>
            <w:hyperlink w:anchor="page223">
              <w:r>
                <w:rPr>
                  <w:rFonts w:ascii="Arial" w:cs="Arial" w:eastAsia="Arial" w:hAnsi="Arial"/>
                  <w:sz w:val="14"/>
                  <w:szCs w:val="14"/>
                  <w:color w:val="0000EE"/>
                  <w:w w:val="94"/>
                </w:rPr>
                <w:t>F-7</w:t>
              </w:r>
            </w:hyperlink>
          </w:p>
        </w:tc>
      </w:tr>
      <w:tr>
        <w:trPr>
          <w:trHeight w:val="22"/>
        </w:trPr>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8" w:name="page219"/>
    <w:bookmarkEnd w:id="218"/>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 the Stockholders and the Board of Directors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Century Therapeutics, Inc.</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4"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We have audited the accompanying consolidated balance sheets of Century Therapeutics, Inc. and subsidiary (the Company) as of December 31, 2020 and 2019 (Successor), the related consolidated statements of operations and comprehensive loss, changes in convertible preferred stock and stockholders’ deficit and cash flows for the year ended December 31, 2020 (Successor), the period June 21, 2019 through December 31, 2019 (Successor) and the period January 1, 2019 through June 20, 2019 (Predecessor), and the related notes (collectively referred to as the “consolidated financial statements”). In our opinion, the consolidated financial statements present fairly, in all material respects, the financial position of the Company at December 31, 2020 and 2019 (Successor), and the results of its operations and its cash flows for the year ended December 31, 2020 (Successor), the period June 21, 2019 through December 31, 2019 (Successor) and the period January 1, 2019 through June 20, 2019 (Predecessor), in conformity with U.S. generally accepted accounting principles.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Adoption of new accounting standard</w:t>
      </w:r>
    </w:p>
    <w:p>
      <w:pPr>
        <w:spacing w:after="0" w:line="144" w:lineRule="exact"/>
        <w:rPr>
          <w:sz w:val="20"/>
          <w:szCs w:val="20"/>
          <w:color w:val="auto"/>
        </w:rPr>
      </w:pPr>
    </w:p>
    <w:p>
      <w:pPr>
        <w:ind w:left="1220" w:right="1539"/>
        <w:spacing w:after="0" w:line="281" w:lineRule="auto"/>
        <w:rPr>
          <w:sz w:val="20"/>
          <w:szCs w:val="20"/>
          <w:color w:val="auto"/>
        </w:rPr>
      </w:pPr>
      <w:r>
        <w:rPr>
          <w:rFonts w:ascii="Arial" w:cs="Arial" w:eastAsia="Arial" w:hAnsi="Arial"/>
          <w:sz w:val="14"/>
          <w:szCs w:val="14"/>
          <w:color w:val="auto"/>
        </w:rPr>
        <w:t>As discussed in Note 2 to the consolidated financial statements, the Company changed its method of accounting for leases in 2020 due to the adoption of Accounting Standards Update (ASU) No. 2016-02, Leases (Topic 842), and related amendments.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Basis for opinion</w:t>
      </w:r>
    </w:p>
    <w:p>
      <w:pPr>
        <w:spacing w:after="0" w:line="1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90"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 Ernst &amp; Young LLP</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We have served as the Company’s auditor since 2019.</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Philadelphia, Pennsylvania</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May 5, 2021</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9" w:name="page220"/>
    <w:bookmarkEnd w:id="219"/>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7"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80645</wp:posOffset>
            </wp:positionV>
            <wp:extent cx="4494530" cy="139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494530" cy="13970"/>
                    </a:xfrm>
                    <a:prstGeom prst="rect">
                      <a:avLst/>
                    </a:prstGeom>
                    <a:noFill/>
                  </pic:spPr>
                </pic:pic>
              </a:graphicData>
            </a:graphic>
          </wp:anchor>
        </w:drawing>
      </w:r>
    </w:p>
    <w:p>
      <w:pPr>
        <w:spacing w:after="0" w:line="136" w:lineRule="exact"/>
        <w:rPr>
          <w:sz w:val="20"/>
          <w:szCs w:val="20"/>
          <w:color w:val="auto"/>
        </w:rPr>
      </w:pPr>
    </w:p>
    <w:p>
      <w:pPr>
        <w:jc w:val="center"/>
        <w:ind w:left="5120"/>
        <w:spacing w:after="0"/>
        <w:rPr>
          <w:sz w:val="20"/>
          <w:szCs w:val="20"/>
          <w:color w:val="auto"/>
        </w:rPr>
      </w:pPr>
      <w:r>
        <w:rPr>
          <w:rFonts w:ascii="Arial" w:cs="Arial" w:eastAsia="Arial" w:hAnsi="Arial"/>
          <w:sz w:val="13"/>
          <w:szCs w:val="13"/>
          <w:b w:val="1"/>
          <w:bCs w:val="1"/>
          <w:color w:val="auto"/>
        </w:rPr>
        <w:t>Successor</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3"/>
          <w:szCs w:val="13"/>
          <w:b w:val="1"/>
          <w:bCs w:val="1"/>
          <w:color w:val="auto"/>
        </w:rPr>
        <w:t>December 31, 2020December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-92075</wp:posOffset>
            </wp:positionV>
            <wp:extent cx="156210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62100" cy="6985"/>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-98425</wp:posOffset>
            </wp:positionV>
            <wp:extent cx="4494530" cy="1301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494530" cy="130175"/>
                    </a:xfrm>
                    <a:prstGeom prst="rect">
                      <a:avLst/>
                    </a:prstGeom>
                    <a:noFill/>
                  </pic:spPr>
                </pic:pic>
              </a:graphicData>
            </a:graphic>
          </wp:anchor>
        </w:drawing>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Current assets:</w:t>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Short-term investments</w:t>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Escrow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right="1580" w:firstLine="144"/>
        <w:spacing w:after="0" w:line="281" w:lineRule="auto"/>
        <w:rPr>
          <w:sz w:val="20"/>
          <w:szCs w:val="20"/>
          <w:color w:val="auto"/>
        </w:rPr>
      </w:pPr>
      <w:r>
        <w:rPr>
          <w:rFonts w:ascii="Arial" w:cs="Arial" w:eastAsia="Arial" w:hAnsi="Arial"/>
          <w:sz w:val="14"/>
          <w:szCs w:val="14"/>
          <w:color w:val="auto"/>
        </w:rPr>
        <w:t>Prepaid expenses and other current assets 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-128905</wp:posOffset>
            </wp:positionV>
            <wp:extent cx="4494530" cy="1301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94530" cy="13017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color w:val="auto"/>
        </w:rPr>
        <w:t>Property and equipment, net</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Operating lease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Restricted cash</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Escrow deposits,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Long-term investments</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162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b w:val="1"/>
          <w:bCs w:val="1"/>
          <w:color w:val="auto"/>
        </w:rPr>
        <w:t>Total assets</w:t>
      </w:r>
    </w:p>
    <w:p>
      <w:pPr>
        <w:spacing w:after="0" w:line="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-93980</wp:posOffset>
            </wp:positionV>
            <wp:extent cx="4494530" cy="1162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Current liabilities:</w:t>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7620</wp:posOffset>
            </wp:positionV>
            <wp:extent cx="4494530" cy="1301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94530" cy="130175"/>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 current liabilities</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Operating lease liability, long-term</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162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15240</wp:posOffset>
            </wp:positionV>
            <wp:extent cx="4494530" cy="1231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Commitments and contingencies (Note 11)</w:t>
      </w:r>
    </w:p>
    <w:p>
      <w:pPr>
        <w:spacing w:after="0" w:line="22" w:lineRule="exact"/>
        <w:rPr>
          <w:sz w:val="20"/>
          <w:szCs w:val="20"/>
          <w:color w:val="auto"/>
        </w:rPr>
      </w:pPr>
    </w:p>
    <w:p>
      <w:pPr>
        <w:jc w:val="both"/>
        <w:ind w:left="1360" w:right="180" w:hanging="143"/>
        <w:spacing w:after="0" w:line="262" w:lineRule="auto"/>
        <w:rPr>
          <w:sz w:val="20"/>
          <w:szCs w:val="20"/>
          <w:color w:val="auto"/>
        </w:rPr>
      </w:pPr>
      <w:r>
        <w:rPr>
          <w:rFonts w:ascii="Arial" w:cs="Arial" w:eastAsia="Arial" w:hAnsi="Arial"/>
          <w:sz w:val="14"/>
          <w:szCs w:val="14"/>
          <w:color w:val="auto"/>
        </w:rPr>
        <w:t>Non-cumulative convertible preferred stock, Series A, $0.0001 par value, 35,000,000 shares authorized, issued and outstanding at December 31, 2020 and 2019</w:t>
      </w:r>
    </w:p>
    <w:p>
      <w:pPr>
        <w:spacing w:after="0" w:line="1" w:lineRule="exact"/>
        <w:rPr>
          <w:sz w:val="20"/>
          <w:szCs w:val="20"/>
          <w:color w:val="auto"/>
        </w:rPr>
      </w:pPr>
    </w:p>
    <w:p>
      <w:pPr>
        <w:jc w:val="both"/>
        <w:ind w:left="1360" w:right="180" w:hanging="143"/>
        <w:spacing w:after="0" w:line="265" w:lineRule="auto"/>
        <w:rPr>
          <w:sz w:val="20"/>
          <w:szCs w:val="20"/>
          <w:color w:val="auto"/>
        </w:rPr>
      </w:pPr>
      <w:r>
        <w:rPr>
          <w:rFonts w:ascii="Arial" w:cs="Arial" w:eastAsia="Arial" w:hAnsi="Arial"/>
          <w:sz w:val="14"/>
          <w:szCs w:val="14"/>
          <w:color w:val="auto"/>
        </w:rPr>
        <w:t>Non-cumulative convertible preferred stock, Series B, $0.0001 par value, 26,143,790 shares authorized,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-337820</wp:posOffset>
            </wp:positionV>
            <wp:extent cx="4494530" cy="3422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494530" cy="34226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color w:val="auto"/>
        </w:rPr>
        <w:t>Stockholders' deficit</w:t>
      </w:r>
    </w:p>
    <w:p>
      <w:pPr>
        <w:spacing w:after="0" w:line="22" w:lineRule="exact"/>
        <w:rPr>
          <w:sz w:val="20"/>
          <w:szCs w:val="20"/>
          <w:color w:val="auto"/>
        </w:rPr>
      </w:pPr>
    </w:p>
    <w:p>
      <w:pPr>
        <w:jc w:val="both"/>
        <w:ind w:left="1360" w:right="80" w:hanging="143"/>
        <w:spacing w:after="0" w:line="265" w:lineRule="auto"/>
        <w:rPr>
          <w:sz w:val="20"/>
          <w:szCs w:val="20"/>
          <w:color w:val="auto"/>
        </w:rPr>
      </w:pPr>
      <w:r>
        <w:rPr>
          <w:rFonts w:ascii="Arial" w:cs="Arial" w:eastAsia="Arial" w:hAnsi="Arial"/>
          <w:sz w:val="14"/>
          <w:szCs w:val="14"/>
          <w:color w:val="auto"/>
        </w:rPr>
        <w:t>Common stock, $0.0001 par value, 125,236,190 shares authorized; 18,825,136 shares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-337820</wp:posOffset>
            </wp:positionV>
            <wp:extent cx="4494530" cy="3422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94530" cy="34226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color w:val="auto"/>
        </w:rPr>
        <w:t>Additional paid-in capital</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Accumulated deficit</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162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b w:val="1"/>
          <w:bCs w:val="1"/>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8255</wp:posOffset>
            </wp:positionV>
            <wp:extent cx="4494530" cy="267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94530" cy="267335"/>
                    </a:xfrm>
                    <a:prstGeom prst="rect">
                      <a:avLst/>
                    </a:prstGeom>
                    <a:noFill/>
                  </pic:spPr>
                </pic:pic>
              </a:graphicData>
            </a:graphic>
          </wp:anchor>
        </w:drawing>
      </w:r>
    </w:p>
    <w:p>
      <w:pPr>
        <w:spacing w:after="0" w:line="2" w:lineRule="exact"/>
        <w:rPr>
          <w:sz w:val="20"/>
          <w:szCs w:val="20"/>
          <w:color w:val="auto"/>
        </w:rPr>
      </w:pPr>
    </w:p>
    <w:p>
      <w:pPr>
        <w:ind w:left="1360" w:right="200" w:hanging="143"/>
        <w:spacing w:after="0" w:line="274" w:lineRule="auto"/>
        <w:rPr>
          <w:sz w:val="20"/>
          <w:szCs w:val="20"/>
          <w:color w:val="auto"/>
        </w:rPr>
      </w:pPr>
      <w:r>
        <w:rPr>
          <w:rFonts w:ascii="Arial" w:cs="Arial" w:eastAsia="Arial" w:hAnsi="Arial"/>
          <w:sz w:val="14"/>
          <w:szCs w:val="14"/>
          <w:b w:val="1"/>
          <w:bCs w:val="1"/>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27940</wp:posOffset>
            </wp:positionV>
            <wp:extent cx="449453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945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172"/>
        </w:trPr>
        <w:tc>
          <w:tcPr>
            <w:tcW w:w="980" w:type="dxa"/>
            <w:vAlign w:val="bottom"/>
          </w:tcPr>
          <w:p>
            <w:pPr>
              <w:jc w:val="right"/>
              <w:ind w:right="168"/>
              <w:spacing w:after="0"/>
              <w:rPr>
                <w:sz w:val="20"/>
                <w:szCs w:val="20"/>
                <w:color w:val="auto"/>
              </w:rPr>
            </w:pPr>
            <w:r>
              <w:rPr>
                <w:rFonts w:ascii="Arial" w:cs="Arial" w:eastAsia="Arial" w:hAnsi="Arial"/>
                <w:sz w:val="14"/>
                <w:szCs w:val="14"/>
                <w:color w:val="auto"/>
              </w:rPr>
              <w:t>$   27,211</w:t>
            </w:r>
          </w:p>
        </w:tc>
        <w:tc>
          <w:tcPr>
            <w:tcW w:w="980" w:type="dxa"/>
            <w:vAlign w:val="bottom"/>
          </w:tcPr>
          <w:p>
            <w:pPr>
              <w:jc w:val="right"/>
              <w:spacing w:after="0"/>
              <w:rPr>
                <w:sz w:val="20"/>
                <w:szCs w:val="20"/>
                <w:color w:val="auto"/>
              </w:rPr>
            </w:pPr>
            <w:r>
              <w:rPr>
                <w:rFonts w:ascii="Arial" w:cs="Arial" w:eastAsia="Arial" w:hAnsi="Arial"/>
                <w:sz w:val="14"/>
                <w:szCs w:val="14"/>
                <w:color w:val="auto"/>
              </w:rPr>
              <w:t>$   44,064</w:t>
            </w:r>
          </w:p>
        </w:tc>
      </w:tr>
      <w:tr>
        <w:trPr>
          <w:trHeight w:val="194"/>
        </w:trPr>
        <w:tc>
          <w:tcPr>
            <w:tcW w:w="980" w:type="dxa"/>
            <w:vAlign w:val="bottom"/>
          </w:tcPr>
          <w:p>
            <w:pPr>
              <w:jc w:val="right"/>
              <w:ind w:right="168"/>
              <w:spacing w:after="0"/>
              <w:rPr>
                <w:sz w:val="20"/>
                <w:szCs w:val="20"/>
                <w:color w:val="auto"/>
              </w:rPr>
            </w:pPr>
            <w:r>
              <w:rPr>
                <w:rFonts w:ascii="Arial" w:cs="Arial" w:eastAsia="Arial" w:hAnsi="Arial"/>
                <w:sz w:val="14"/>
                <w:szCs w:val="14"/>
                <w:color w:val="auto"/>
              </w:rPr>
              <w:t>48,542</w:t>
            </w:r>
          </w:p>
        </w:tc>
        <w:tc>
          <w:tcPr>
            <w:tcW w:w="980" w:type="dxa"/>
            <w:vAlign w:val="bottom"/>
          </w:tcPr>
          <w:p>
            <w:pPr>
              <w:jc w:val="right"/>
              <w:spacing w:after="0"/>
              <w:rPr>
                <w:sz w:val="20"/>
                <w:szCs w:val="20"/>
                <w:color w:val="auto"/>
              </w:rPr>
            </w:pPr>
            <w:r>
              <w:rPr>
                <w:rFonts w:ascii="Arial" w:cs="Arial" w:eastAsia="Arial" w:hAnsi="Arial"/>
                <w:sz w:val="14"/>
                <w:szCs w:val="14"/>
                <w:color w:val="auto"/>
              </w:rPr>
              <w:t>37,475</w:t>
            </w:r>
          </w:p>
        </w:tc>
      </w:tr>
    </w:tbl>
    <w:p>
      <w:pPr>
        <w:spacing w:after="0" w:line="22" w:lineRule="exact"/>
        <w:rPr>
          <w:sz w:val="20"/>
          <w:szCs w:val="20"/>
          <w:color w:val="auto"/>
        </w:rPr>
      </w:pPr>
    </w:p>
    <w:p>
      <w:pPr>
        <w:ind w:left="2320" w:hanging="1328"/>
        <w:spacing w:after="0"/>
        <w:tabs>
          <w:tab w:leader="none" w:pos="23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w:t>
      </w:r>
    </w:p>
    <w:p>
      <w:pPr>
        <w:spacing w:after="0" w:line="33"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2,2612,583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78,797</w:t>
            </w: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84,122</w:t>
            </w:r>
          </w:p>
        </w:tc>
        <w:tc>
          <w:tcPr>
            <w:tcW w:w="60" w:type="dxa"/>
            <w:vAlign w:val="bottom"/>
          </w:tcPr>
          <w:p>
            <w:pPr>
              <w:spacing w:after="0"/>
              <w:rPr>
                <w:sz w:val="14"/>
                <w:szCs w:val="14"/>
                <w:color w:val="auto"/>
              </w:rPr>
            </w:pPr>
          </w:p>
        </w:tc>
      </w:tr>
      <w:tr>
        <w:trPr>
          <w:trHeight w:val="185"/>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15,385</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w:t>
            </w:r>
          </w:p>
        </w:tc>
        <w:tc>
          <w:tcPr>
            <w:tcW w:w="60" w:type="dxa"/>
            <w:vAlign w:val="bottom"/>
          </w:tcPr>
          <w:p>
            <w:pPr>
              <w:spacing w:after="0"/>
              <w:rPr>
                <w:sz w:val="16"/>
                <w:szCs w:val="16"/>
                <w:color w:val="auto"/>
              </w:rPr>
            </w:pP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9,392</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517</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723</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1,053</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4,080</w:t>
            </w:r>
          </w:p>
        </w:tc>
        <w:tc>
          <w:tcPr>
            <w:tcW w:w="60" w:type="dxa"/>
            <w:vAlign w:val="bottom"/>
          </w:tcPr>
          <w:p>
            <w:pPr>
              <w:spacing w:after="0"/>
              <w:rPr>
                <w:sz w:val="16"/>
                <w:szCs w:val="16"/>
                <w:color w:val="auto"/>
              </w:rPr>
            </w:pPr>
          </w:p>
        </w:tc>
      </w:tr>
      <w:tr>
        <w:trPr>
          <w:trHeight w:val="195"/>
        </w:trPr>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909</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60" w:type="dxa"/>
            <w:vAlign w:val="bottom"/>
          </w:tcPr>
          <w:p>
            <w:pPr>
              <w:spacing w:after="0"/>
              <w:rPr>
                <w:sz w:val="16"/>
                <w:szCs w:val="16"/>
                <w:color w:val="auto"/>
              </w:rPr>
            </w:pPr>
          </w:p>
        </w:tc>
      </w:tr>
      <w:tr>
        <w:trPr>
          <w:trHeight w:val="164"/>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106,776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90,896</w:t>
            </w:r>
          </w:p>
        </w:tc>
        <w:tc>
          <w:tcPr>
            <w:tcW w:w="60" w:type="dxa"/>
            <w:vAlign w:val="bottom"/>
          </w:tcPr>
          <w:p>
            <w:pPr>
              <w:spacing w:after="0"/>
              <w:rPr>
                <w:sz w:val="14"/>
                <w:szCs w:val="14"/>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1"/>
        </w:trPr>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8,082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1,548</w:t>
            </w:r>
          </w:p>
        </w:tc>
        <w:tc>
          <w:tcPr>
            <w:tcW w:w="60" w:type="dxa"/>
            <w:vAlign w:val="bottom"/>
          </w:tcPr>
          <w:p>
            <w:pPr>
              <w:spacing w:after="0"/>
              <w:rPr>
                <w:sz w:val="24"/>
                <w:szCs w:val="24"/>
                <w:color w:val="auto"/>
              </w:rPr>
            </w:pPr>
          </w:p>
        </w:tc>
      </w:tr>
      <w:tr>
        <w:trPr>
          <w:trHeight w:val="195"/>
        </w:trPr>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4,030</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w:t>
            </w:r>
          </w:p>
        </w:tc>
        <w:tc>
          <w:tcPr>
            <w:tcW w:w="60" w:type="dxa"/>
            <w:vAlign w:val="bottom"/>
          </w:tcPr>
          <w:p>
            <w:pPr>
              <w:spacing w:after="0"/>
              <w:rPr>
                <w:sz w:val="16"/>
                <w:szCs w:val="16"/>
                <w:color w:val="auto"/>
              </w:rPr>
            </w:pPr>
          </w:p>
        </w:tc>
      </w:tr>
      <w:tr>
        <w:trPr>
          <w:trHeight w:val="167"/>
        </w:trPr>
        <w:tc>
          <w:tcPr>
            <w:tcW w:w="6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12,112</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2,994</w:t>
            </w:r>
          </w:p>
        </w:tc>
        <w:tc>
          <w:tcPr>
            <w:tcW w:w="60" w:type="dxa"/>
            <w:vAlign w:val="bottom"/>
          </w:tcPr>
          <w:p>
            <w:pPr>
              <w:spacing w:after="0"/>
              <w:rPr>
                <w:sz w:val="14"/>
                <w:szCs w:val="14"/>
                <w:color w:val="auto"/>
              </w:rPr>
            </w:pPr>
          </w:p>
        </w:tc>
      </w:tr>
      <w:tr>
        <w:trPr>
          <w:trHeight w:val="190"/>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11,679</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195"/>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9,636</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164"/>
        </w:trPr>
        <w:tc>
          <w:tcPr>
            <w:tcW w:w="6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33,427</w:t>
            </w:r>
          </w:p>
        </w:tc>
        <w:tc>
          <w:tcPr>
            <w:tcW w:w="3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2,994</w:t>
            </w:r>
          </w:p>
        </w:tc>
        <w:tc>
          <w:tcPr>
            <w:tcW w:w="60" w:type="dxa"/>
            <w:vAlign w:val="bottom"/>
          </w:tcPr>
          <w:p>
            <w:pPr>
              <w:spacing w:after="0"/>
              <w:rPr>
                <w:sz w:val="14"/>
                <w:szCs w:val="14"/>
                <w:color w:val="auto"/>
              </w:rPr>
            </w:pPr>
          </w:p>
        </w:tc>
      </w:tr>
      <w:tr>
        <w:trPr>
          <w:trHeight w:val="691"/>
        </w:trPr>
        <w:tc>
          <w:tcPr>
            <w:tcW w:w="62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34,922</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34,922</w:t>
            </w:r>
          </w:p>
        </w:tc>
        <w:tc>
          <w:tcPr>
            <w:tcW w:w="60" w:type="dxa"/>
            <w:vAlign w:val="bottom"/>
          </w:tcPr>
          <w:p>
            <w:pPr>
              <w:spacing w:after="0"/>
              <w:rPr>
                <w:sz w:val="24"/>
                <w:szCs w:val="24"/>
                <w:color w:val="auto"/>
              </w:rPr>
            </w:pPr>
          </w:p>
        </w:tc>
      </w:tr>
      <w:tr>
        <w:trPr>
          <w:trHeight w:val="529"/>
        </w:trPr>
        <w:tc>
          <w:tcPr>
            <w:tcW w:w="62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144,839</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144,839</w:t>
            </w:r>
          </w:p>
        </w:tc>
        <w:tc>
          <w:tcPr>
            <w:tcW w:w="60" w:type="dxa"/>
            <w:vAlign w:val="bottom"/>
          </w:tcPr>
          <w:p>
            <w:pPr>
              <w:spacing w:after="0"/>
              <w:rPr>
                <w:sz w:val="24"/>
                <w:szCs w:val="24"/>
                <w:color w:val="auto"/>
              </w:rPr>
            </w:pPr>
          </w:p>
        </w:tc>
      </w:tr>
      <w:tr>
        <w:trPr>
          <w:trHeight w:val="723"/>
        </w:trPr>
        <w:tc>
          <w:tcPr>
            <w:tcW w:w="62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4"/>
                <w:szCs w:val="24"/>
                <w:color w:val="auto"/>
              </w:rPr>
            </w:pP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217,831</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216,909</w:t>
            </w:r>
          </w:p>
        </w:tc>
        <w:tc>
          <w:tcPr>
            <w:tcW w:w="60" w:type="dxa"/>
            <w:vAlign w:val="bottom"/>
          </w:tcPr>
          <w:p>
            <w:pPr>
              <w:spacing w:after="0"/>
              <w:rPr>
                <w:sz w:val="16"/>
                <w:szCs w:val="16"/>
                <w:color w:val="auto"/>
              </w:rPr>
            </w:pPr>
          </w:p>
        </w:tc>
      </w:tr>
      <w:tr>
        <w:trPr>
          <w:trHeight w:val="194"/>
        </w:trPr>
        <w:tc>
          <w:tcPr>
            <w:tcW w:w="6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(31,900)</w:t>
            </w:r>
          </w:p>
        </w:tc>
        <w:tc>
          <w:tcPr>
            <w:tcW w:w="3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(70,000)</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(292,342)</w:t>
            </w:r>
          </w:p>
        </w:tc>
        <w:tc>
          <w:tcPr>
            <w:tcW w:w="3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(238,767)</w:t>
            </w:r>
          </w:p>
        </w:tc>
      </w:tr>
    </w:tbl>
    <w:p>
      <w:pPr>
        <w:spacing w:after="0" w:line="22" w:lineRule="exact"/>
        <w:rPr>
          <w:sz w:val="20"/>
          <w:szCs w:val="20"/>
          <w:color w:val="auto"/>
        </w:rPr>
      </w:pPr>
    </w:p>
    <w:p>
      <w:pPr>
        <w:ind w:left="2340" w:hanging="1236"/>
        <w:spacing w:after="0"/>
        <w:tabs>
          <w:tab w:leader="none" w:pos="2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(3)</w:t>
      </w:r>
    </w:p>
    <w:p>
      <w:pPr>
        <w:spacing w:after="0" w:line="11"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b w:val="1"/>
          <w:bCs w:val="1"/>
          <w:color w:val="auto"/>
        </w:rPr>
        <w:t>(106,412)(91,859)</w:t>
      </w:r>
    </w:p>
    <w:p>
      <w:pPr>
        <w:spacing w:after="0" w:line="178" w:lineRule="exact"/>
        <w:rPr>
          <w:sz w:val="20"/>
          <w:szCs w:val="20"/>
          <w:color w:val="auto"/>
        </w:rPr>
      </w:pPr>
    </w:p>
    <w:p>
      <w:pPr>
        <w:ind w:left="500"/>
        <w:spacing w:after="0"/>
        <w:tabs>
          <w:tab w:leader="none" w:pos="700" w:val="left"/>
          <w:tab w:leader="none" w:pos="1700" w:val="left"/>
          <w:tab w:leader="none" w:pos="2000" w:val="left"/>
        </w:tabs>
        <w:rPr>
          <w:sz w:val="20"/>
          <w:szCs w:val="20"/>
          <w:color w:val="auto"/>
        </w:rPr>
      </w:pPr>
      <w:r>
        <w:rPr>
          <w:rFonts w:ascii="Arial" w:cs="Arial" w:eastAsia="Arial" w:hAnsi="Arial"/>
          <w:sz w:val="14"/>
          <w:szCs w:val="14"/>
          <w:b w:val="1"/>
          <w:bCs w:val="1"/>
          <w:color w:val="auto"/>
        </w:rPr>
        <w:t>$</w:t>
        <w:tab/>
        <w:t>106,776</w:t>
      </w:r>
      <w:r>
        <w:rPr>
          <w:sz w:val="20"/>
          <w:szCs w:val="20"/>
          <w:color w:val="auto"/>
        </w:rPr>
        <w:tab/>
      </w:r>
      <w:r>
        <w:rPr>
          <w:rFonts w:ascii="Arial" w:cs="Arial" w:eastAsia="Arial" w:hAnsi="Arial"/>
          <w:sz w:val="14"/>
          <w:szCs w:val="14"/>
          <w:b w:val="1"/>
          <w:bCs w:val="1"/>
          <w:color w:val="auto"/>
        </w:rPr>
        <w:t>$</w:t>
        <w:tab/>
        <w:t>90,896</w:t>
      </w:r>
    </w:p>
    <w:p>
      <w:pPr>
        <w:spacing w:after="0" w:line="251" w:lineRule="exact"/>
        <w:rPr>
          <w:sz w:val="20"/>
          <w:szCs w:val="20"/>
          <w:color w:val="auto"/>
        </w:rPr>
      </w:pPr>
    </w:p>
    <w:p>
      <w:pPr>
        <w:sectPr>
          <w:pgSz w:w="11900" w:h="16838" w:orient="portrait"/>
          <w:cols w:equalWidth="0" w:num="2">
            <w:col w:w="5840" w:space="0"/>
            <w:col w:w="3179"/>
          </w:cols>
          <w:pgMar w:left="1440" w:top="133" w:right="1440" w:bottom="1440" w:gutter="0" w:footer="0" w:header="0"/>
          <w:type w:val="continuous"/>
        </w:sectPr>
      </w:pPr>
    </w:p>
    <w:p>
      <w:pPr>
        <w:spacing w:after="0" w:line="135" w:lineRule="exact"/>
        <w:rPr>
          <w:sz w:val="20"/>
          <w:szCs w:val="20"/>
          <w:color w:val="auto"/>
        </w:rPr>
      </w:pPr>
    </w:p>
    <w:p>
      <w:pPr>
        <w:jc w:val="right"/>
        <w:ind w:right="4459"/>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220" w:name="page221"/>
    <w:bookmarkEnd w:id="220"/>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220" w:right="2839"/>
        <w:spacing w:after="0" w:line="223"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6"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jc w:val="right"/>
              <w:ind w:right="229"/>
              <w:spacing w:after="0"/>
              <w:rPr>
                <w:sz w:val="20"/>
                <w:szCs w:val="20"/>
                <w:color w:val="auto"/>
              </w:rPr>
            </w:pPr>
            <w:r>
              <w:rPr>
                <w:rFonts w:ascii="Arial" w:cs="Arial" w:eastAsia="Arial" w:hAnsi="Arial"/>
                <w:sz w:val="13"/>
                <w:szCs w:val="13"/>
                <w:b w:val="1"/>
                <w:bCs w:val="1"/>
                <w:color w:val="auto"/>
              </w:rPr>
              <w:t>Successor</w:t>
            </w:r>
          </w:p>
        </w:tc>
        <w:tc>
          <w:tcPr>
            <w:tcW w:w="820" w:type="dxa"/>
            <w:vAlign w:val="bottom"/>
            <w:tcBorders>
              <w:top w:val="single" w:sz="8" w:color="auto"/>
              <w:bottom w:val="single" w:sz="8" w:color="auto"/>
              <w:right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jc w:val="right"/>
              <w:ind w:right="349"/>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Borders>
              <w:right w:val="single" w:sz="8" w:color="auto"/>
            </w:tcBorders>
            <w:gridSpan w:val="2"/>
          </w:tcPr>
          <w:p>
            <w:pPr>
              <w:jc w:val="right"/>
              <w:ind w:right="9"/>
              <w:spacing w:after="0" w:line="137" w:lineRule="exact"/>
              <w:rPr>
                <w:sz w:val="20"/>
                <w:szCs w:val="20"/>
                <w:color w:val="auto"/>
              </w:rPr>
            </w:pPr>
            <w:r>
              <w:rPr>
                <w:rFonts w:ascii="Arial" w:cs="Arial" w:eastAsia="Arial" w:hAnsi="Arial"/>
                <w:sz w:val="13"/>
                <w:szCs w:val="13"/>
                <w:b w:val="1"/>
                <w:bCs w:val="1"/>
                <w:color w:val="auto"/>
              </w:rPr>
              <w:t>For the period June 21,</w:t>
            </w:r>
          </w:p>
        </w:tc>
        <w:tc>
          <w:tcPr>
            <w:tcW w:w="60" w:type="dxa"/>
            <w:vAlign w:val="bottom"/>
          </w:tcPr>
          <w:p>
            <w:pPr>
              <w:spacing w:after="0"/>
              <w:rPr>
                <w:sz w:val="11"/>
                <w:szCs w:val="11"/>
                <w:color w:val="auto"/>
              </w:rPr>
            </w:pPr>
          </w:p>
        </w:tc>
        <w:tc>
          <w:tcPr>
            <w:tcW w:w="158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For the period January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90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 Ended 2019 through December</w:t>
            </w:r>
          </w:p>
        </w:tc>
        <w:tc>
          <w:tcPr>
            <w:tcW w:w="16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1, 2019 through June 20,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December 31, 2020</w:t>
            </w:r>
          </w:p>
        </w:tc>
        <w:tc>
          <w:tcPr>
            <w:tcW w:w="74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31, 2019</w:t>
            </w: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2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39,681</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10,107</w:t>
            </w:r>
          </w:p>
        </w:tc>
        <w:tc>
          <w:tcPr>
            <w:tcW w:w="6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4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7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Arial" w:cs="Arial" w:eastAsia="Arial" w:hAnsi="Arial"/>
                <w:sz w:val="14"/>
                <w:szCs w:val="14"/>
                <w:color w:val="auto"/>
              </w:rPr>
              <w:t>Write off of in-process research and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development asset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4,722</w:t>
            </w:r>
          </w:p>
        </w:tc>
        <w:tc>
          <w:tcPr>
            <w:tcW w:w="74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225,946</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7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Loss from operations</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(53,898)</w:t>
            </w:r>
          </w:p>
        </w:tc>
        <w:tc>
          <w:tcPr>
            <w:tcW w:w="74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4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7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2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w:t>
            </w:r>
          </w:p>
        </w:tc>
        <w:tc>
          <w:tcPr>
            <w:tcW w:w="740" w:type="dxa"/>
            <w:vAlign w:val="bottom"/>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908</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(53,575)</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(238,767)</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spacing w:after="0" w:line="153" w:lineRule="exact"/>
              <w:rPr>
                <w:sz w:val="20"/>
                <w:szCs w:val="20"/>
                <w:color w:val="auto"/>
              </w:rPr>
            </w:pPr>
            <w:r>
              <w:rPr>
                <w:rFonts w:ascii="Arial" w:cs="Arial" w:eastAsia="Arial" w:hAnsi="Arial"/>
                <w:sz w:val="14"/>
                <w:szCs w:val="14"/>
                <w:color w:val="auto"/>
              </w:rPr>
              <w:t>Net loss per common share</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(2.85)</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(12.68)</w:t>
            </w:r>
          </w:p>
        </w:tc>
        <w:tc>
          <w:tcPr>
            <w:tcW w:w="60" w:type="dxa"/>
            <w:vAlign w:val="bottom"/>
          </w:tcPr>
          <w:p>
            <w:pPr>
              <w:spacing w:after="0"/>
              <w:rPr>
                <w:sz w:val="9"/>
                <w:szCs w:val="9"/>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(0.40)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Basic and Diluted</w:t>
            </w:r>
          </w:p>
        </w:tc>
        <w:tc>
          <w:tcPr>
            <w:tcW w:w="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Borders>
              <w:right w:val="single" w:sz="8" w:color="CCEEFF"/>
            </w:tcBorders>
            <w:shd w:val="clear" w:color="auto" w:fill="CCEEFF"/>
          </w:tcPr>
          <w:p>
            <w:pPr>
              <w:spacing w:after="0" w:line="134" w:lineRule="exact"/>
              <w:rPr>
                <w:sz w:val="20"/>
                <w:szCs w:val="20"/>
                <w:color w:val="auto"/>
              </w:rPr>
            </w:pPr>
            <w:r>
              <w:rPr>
                <w:rFonts w:ascii="Arial" w:cs="Arial" w:eastAsia="Arial" w:hAnsi="Arial"/>
                <w:sz w:val="14"/>
                <w:szCs w:val="14"/>
                <w:color w:val="auto"/>
              </w:rPr>
              <w:t>Weighted average common shares</w:t>
            </w: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4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740" w:type="dxa"/>
            <w:vAlign w:val="bottom"/>
            <w:shd w:val="clear" w:color="auto" w:fill="CCEEFF"/>
          </w:tcPr>
          <w:p>
            <w:pPr>
              <w:spacing w:after="0"/>
              <w:rPr>
                <w:sz w:val="14"/>
                <w:szCs w:val="14"/>
                <w:color w:val="auto"/>
              </w:rPr>
            </w:pP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15,029,240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 and Diluted</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spacing w:after="0" w:line="160" w:lineRule="exact"/>
              <w:rPr>
                <w:sz w:val="20"/>
                <w:szCs w:val="20"/>
                <w:color w:val="auto"/>
              </w:rPr>
            </w:pPr>
            <w:r>
              <w:rPr>
                <w:rFonts w:ascii="Arial" w:cs="Arial" w:eastAsia="Arial" w:hAnsi="Arial"/>
                <w:sz w:val="14"/>
                <w:szCs w:val="14"/>
                <w:color w:val="auto"/>
              </w:rPr>
              <w:t>Other comprehensive loss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Unrealized gain (loss) on short-term</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74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adjustment</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2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(53,575)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(238,770)</w:t>
            </w:r>
          </w:p>
        </w:tc>
        <w:tc>
          <w:tcPr>
            <w:tcW w:w="6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(6,002)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-1602740</wp:posOffset>
            </wp:positionV>
            <wp:extent cx="165798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65798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-2109470</wp:posOffset>
            </wp:positionV>
            <wp:extent cx="165798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579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1" w:name="page222"/>
    <w:bookmarkEnd w:id="221"/>
    <w:p>
      <w:pPr>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spacing w:after="0" w:line="1" w:lineRule="exact"/>
        <w:rPr>
          <w:sz w:val="20"/>
          <w:szCs w:val="20"/>
          <w:color w:val="auto"/>
        </w:rPr>
      </w:pPr>
    </w:p>
    <w:p>
      <w:pPr>
        <w:ind w:left="680" w:right="2440"/>
        <w:spacing w:after="0" w:line="215"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w:t>
      </w:r>
    </w:p>
    <w:p>
      <w:pPr>
        <w:spacing w:after="0" w:line="1" w:lineRule="exact"/>
        <w:rPr>
          <w:sz w:val="20"/>
          <w:szCs w:val="20"/>
          <w:color w:val="auto"/>
        </w:rPr>
      </w:pPr>
    </w:p>
    <w:p>
      <w:pPr>
        <w:ind w:left="680" w:right="3340"/>
        <w:spacing w:after="0" w:line="224" w:lineRule="auto"/>
        <w:rPr>
          <w:sz w:val="20"/>
          <w:szCs w:val="20"/>
          <w:color w:val="auto"/>
        </w:rPr>
      </w:pPr>
      <w:r>
        <w:rPr>
          <w:rFonts w:ascii="Arial" w:cs="Arial" w:eastAsia="Arial" w:hAnsi="Arial"/>
          <w:sz w:val="23"/>
          <w:szCs w:val="23"/>
          <w:b w:val="1"/>
          <w:bCs w:val="1"/>
          <w:color w:val="auto"/>
        </w:rPr>
        <w:t>For the year ended December 31, 2020 (Successor), the periods June 21, 2019 through December 31, 2019 (Successor) and January 1, 2019 through June 20, 2019 (Predecessor) (In thousands, except unit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67310</wp:posOffset>
            </wp:positionV>
            <wp:extent cx="6743700" cy="139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43700" cy="13970"/>
                    </a:xfrm>
                    <a:prstGeom prst="rect">
                      <a:avLst/>
                    </a:prstGeom>
                    <a:noFill/>
                  </pic:spPr>
                </pic:pic>
              </a:graphicData>
            </a:graphic>
          </wp:anchor>
        </w:drawing>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9"/>
                <w:szCs w:val="9"/>
                <w:b w:val="1"/>
                <w:bCs w:val="1"/>
                <w:color w:val="auto"/>
              </w:rPr>
              <w:t>Predecessor</w:t>
            </w:r>
          </w:p>
        </w:tc>
        <w:tc>
          <w:tcPr>
            <w:tcW w:w="5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9"/>
                <w:szCs w:val="9"/>
                <w:b w:val="1"/>
                <w:bCs w:val="1"/>
                <w:color w:val="auto"/>
              </w:rPr>
              <w:t>Successor</w:t>
            </w:r>
          </w:p>
        </w:tc>
        <w:tc>
          <w:tcPr>
            <w:tcW w:w="3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2"/>
          </w:tcPr>
          <w:p>
            <w:pPr>
              <w:jc w:val="right"/>
              <w:spacing w:after="0" w:line="64" w:lineRule="exact"/>
              <w:rPr>
                <w:sz w:val="20"/>
                <w:szCs w:val="20"/>
                <w:color w:val="auto"/>
              </w:rPr>
            </w:pPr>
            <w:r>
              <w:rPr>
                <w:rFonts w:ascii="Arial" w:cs="Arial" w:eastAsia="Arial" w:hAnsi="Arial"/>
                <w:sz w:val="6"/>
                <w:szCs w:val="6"/>
                <w:b w:val="1"/>
                <w:bCs w:val="1"/>
                <w:color w:val="auto"/>
              </w:rPr>
              <w:t>Series A</w:t>
            </w:r>
          </w:p>
        </w:tc>
        <w:tc>
          <w:tcPr>
            <w:tcW w:w="820" w:type="dxa"/>
            <w:vAlign w:val="bottom"/>
            <w:gridSpan w:val="2"/>
          </w:tcPr>
          <w:p>
            <w:pPr>
              <w:jc w:val="right"/>
              <w:spacing w:after="0" w:line="64" w:lineRule="exact"/>
              <w:rPr>
                <w:sz w:val="20"/>
                <w:szCs w:val="20"/>
                <w:color w:val="auto"/>
              </w:rPr>
            </w:pPr>
            <w:r>
              <w:rPr>
                <w:rFonts w:ascii="Arial" w:cs="Arial" w:eastAsia="Arial" w:hAnsi="Arial"/>
                <w:sz w:val="6"/>
                <w:szCs w:val="6"/>
                <w:b w:val="1"/>
                <w:bCs w:val="1"/>
                <w:color w:val="auto"/>
              </w:rPr>
              <w:t>Series B</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gridSpan w:val="2"/>
          </w:tcPr>
          <w:p>
            <w:pPr>
              <w:jc w:val="right"/>
              <w:spacing w:after="0" w:line="87" w:lineRule="exact"/>
              <w:rPr>
                <w:sz w:val="20"/>
                <w:szCs w:val="20"/>
                <w:color w:val="auto"/>
              </w:rPr>
            </w:pPr>
            <w:r>
              <w:rPr>
                <w:rFonts w:ascii="Arial" w:cs="Arial" w:eastAsia="Arial" w:hAnsi="Arial"/>
                <w:sz w:val="9"/>
                <w:szCs w:val="9"/>
                <w:b w:val="1"/>
                <w:bCs w:val="1"/>
                <w:color w:val="auto"/>
              </w:rPr>
              <w:t>Convertible</w:t>
            </w:r>
          </w:p>
        </w:tc>
        <w:tc>
          <w:tcPr>
            <w:tcW w:w="820" w:type="dxa"/>
            <w:vAlign w:val="bottom"/>
            <w:gridSpan w:val="2"/>
          </w:tcPr>
          <w:p>
            <w:pPr>
              <w:jc w:val="right"/>
              <w:spacing w:after="0" w:line="87" w:lineRule="exact"/>
              <w:rPr>
                <w:sz w:val="20"/>
                <w:szCs w:val="20"/>
                <w:color w:val="auto"/>
              </w:rPr>
            </w:pPr>
            <w:r>
              <w:rPr>
                <w:rFonts w:ascii="Arial" w:cs="Arial" w:eastAsia="Arial" w:hAnsi="Arial"/>
                <w:sz w:val="9"/>
                <w:szCs w:val="9"/>
                <w:b w:val="1"/>
                <w:bCs w:val="1"/>
                <w:color w:val="auto"/>
              </w:rPr>
              <w:t>Convertible</w:t>
            </w: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80" w:type="dxa"/>
            <w:vAlign w:val="bottom"/>
            <w:gridSpan w:val="2"/>
            <w:vMerge w:val="restart"/>
          </w:tcPr>
          <w:p>
            <w:pPr>
              <w:jc w:val="right"/>
              <w:ind w:right="137"/>
              <w:spacing w:after="0"/>
              <w:rPr>
                <w:sz w:val="20"/>
                <w:szCs w:val="20"/>
                <w:color w:val="auto"/>
              </w:rPr>
            </w:pPr>
            <w:r>
              <w:rPr>
                <w:rFonts w:ascii="Arial" w:cs="Arial" w:eastAsia="Arial" w:hAnsi="Arial"/>
                <w:sz w:val="9"/>
                <w:szCs w:val="9"/>
                <w:b w:val="1"/>
                <w:bCs w:val="1"/>
                <w:color w:val="auto"/>
              </w:rPr>
              <w:t>Predecessor</w:t>
            </w:r>
          </w:p>
        </w:tc>
        <w:tc>
          <w:tcPr>
            <w:tcW w:w="540" w:type="dxa"/>
            <w:vAlign w:val="bottom"/>
          </w:tcPr>
          <w:p>
            <w:pPr>
              <w:spacing w:after="0"/>
              <w:rPr>
                <w:sz w:val="5"/>
                <w:szCs w:val="5"/>
                <w:color w:val="auto"/>
              </w:rPr>
            </w:pPr>
          </w:p>
        </w:tc>
        <w:tc>
          <w:tcPr>
            <w:tcW w:w="820" w:type="dxa"/>
            <w:vAlign w:val="bottom"/>
            <w:gridSpan w:val="2"/>
            <w:vMerge w:val="restart"/>
          </w:tcPr>
          <w:p>
            <w:pPr>
              <w:jc w:val="right"/>
              <w:ind w:right="217"/>
              <w:spacing w:after="0"/>
              <w:rPr>
                <w:sz w:val="20"/>
                <w:szCs w:val="20"/>
                <w:color w:val="auto"/>
              </w:rPr>
            </w:pPr>
            <w:r>
              <w:rPr>
                <w:rFonts w:ascii="Arial" w:cs="Arial" w:eastAsia="Arial" w:hAnsi="Arial"/>
                <w:sz w:val="9"/>
                <w:szCs w:val="9"/>
                <w:b w:val="1"/>
                <w:bCs w:val="1"/>
                <w:color w:val="auto"/>
              </w:rPr>
              <w:t>Successor</w:t>
            </w: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Predecessor</w:t>
            </w:r>
          </w:p>
        </w:tc>
        <w:tc>
          <w:tcPr>
            <w:tcW w:w="56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Successor</w:t>
            </w:r>
          </w:p>
        </w:tc>
        <w:tc>
          <w:tcPr>
            <w:tcW w:w="860" w:type="dxa"/>
            <w:vAlign w:val="bottom"/>
          </w:tcPr>
          <w:p>
            <w:pPr>
              <w:jc w:val="right"/>
              <w:ind w:right="58"/>
              <w:spacing w:after="0" w:line="65" w:lineRule="exact"/>
              <w:rPr>
                <w:sz w:val="20"/>
                <w:szCs w:val="20"/>
                <w:color w:val="auto"/>
              </w:rPr>
            </w:pPr>
            <w:r>
              <w:rPr>
                <w:rFonts w:ascii="Arial" w:cs="Arial" w:eastAsia="Arial" w:hAnsi="Arial"/>
                <w:sz w:val="6"/>
                <w:szCs w:val="6"/>
                <w:b w:val="1"/>
                <w:bCs w:val="1"/>
                <w:color w:val="auto"/>
              </w:rPr>
              <w:t>Other</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20" w:type="dxa"/>
            <w:vAlign w:val="bottom"/>
            <w:tcBorders>
              <w:bottom w:val="single" w:sz="8" w:color="auto"/>
            </w:tcBorders>
            <w:gridSpan w:val="3"/>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880" w:type="dxa"/>
            <w:vAlign w:val="bottom"/>
            <w:tcBorders>
              <w:bottom w:val="single" w:sz="8" w:color="auto"/>
            </w:tcBorders>
            <w:gridSpan w:val="2"/>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gridSpan w:val="2"/>
          </w:tcPr>
          <w:p>
            <w:pPr>
              <w:jc w:val="right"/>
              <w:ind w:right="37"/>
              <w:spacing w:after="0" w:line="65" w:lineRule="exact"/>
              <w:rPr>
                <w:sz w:val="20"/>
                <w:szCs w:val="20"/>
                <w:color w:val="auto"/>
              </w:rPr>
            </w:pPr>
            <w:r>
              <w:rPr>
                <w:rFonts w:ascii="Arial" w:cs="Arial" w:eastAsia="Arial" w:hAnsi="Arial"/>
                <w:sz w:val="6"/>
                <w:szCs w:val="6"/>
                <w:b w:val="1"/>
                <w:bCs w:val="1"/>
                <w:color w:val="auto"/>
              </w:rPr>
              <w:t>Additional</w:t>
            </w: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tcBorders>
            <w:gridSpan w:val="2"/>
            <w:vMerge w:val="continue"/>
          </w:tcPr>
          <w:p>
            <w:pPr>
              <w:spacing w:after="0"/>
              <w:rPr>
                <w:sz w:val="5"/>
                <w:szCs w:val="5"/>
                <w:color w:val="auto"/>
              </w:rPr>
            </w:pPr>
          </w:p>
        </w:tc>
        <w:tc>
          <w:tcPr>
            <w:tcW w:w="860" w:type="dxa"/>
            <w:vAlign w:val="bottom"/>
          </w:tcPr>
          <w:p>
            <w:pPr>
              <w:jc w:val="right"/>
              <w:ind w:right="58"/>
              <w:spacing w:after="0" w:line="65" w:lineRule="exact"/>
              <w:rPr>
                <w:sz w:val="20"/>
                <w:szCs w:val="20"/>
                <w:color w:val="auto"/>
              </w:rPr>
            </w:pPr>
            <w:r>
              <w:rPr>
                <w:rFonts w:ascii="Arial" w:cs="Arial" w:eastAsia="Arial" w:hAnsi="Arial"/>
                <w:sz w:val="6"/>
                <w:szCs w:val="6"/>
                <w:b w:val="1"/>
                <w:bCs w:val="1"/>
                <w:color w:val="auto"/>
              </w:rPr>
              <w:t>Comprehensive</w:t>
            </w:r>
          </w:p>
        </w:tc>
        <w:tc>
          <w:tcPr>
            <w:tcW w:w="140" w:type="dxa"/>
            <w:vAlign w:val="bottom"/>
          </w:tcPr>
          <w:p>
            <w:pPr>
              <w:spacing w:after="0"/>
              <w:rPr>
                <w:sz w:val="5"/>
                <w:szCs w:val="5"/>
                <w:color w:val="auto"/>
              </w:rPr>
            </w:pPr>
          </w:p>
        </w:tc>
        <w:tc>
          <w:tcPr>
            <w:tcW w:w="360" w:type="dxa"/>
            <w:vAlign w:val="bottom"/>
          </w:tcPr>
          <w:p>
            <w:pPr>
              <w:jc w:val="right"/>
              <w:spacing w:after="0" w:line="65" w:lineRule="exact"/>
              <w:rPr>
                <w:sz w:val="20"/>
                <w:szCs w:val="20"/>
                <w:color w:val="auto"/>
              </w:rPr>
            </w:pPr>
            <w:r>
              <w:rPr>
                <w:rFonts w:ascii="Arial" w:cs="Arial" w:eastAsia="Arial" w:hAnsi="Arial"/>
                <w:sz w:val="6"/>
                <w:szCs w:val="6"/>
                <w:b w:val="1"/>
                <w:bCs w:val="1"/>
                <w:color w:val="auto"/>
              </w:rPr>
              <w:t>Tota</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480" w:type="dxa"/>
            <w:vAlign w:val="bottom"/>
          </w:tcPr>
          <w:p>
            <w:pPr>
              <w:jc w:val="right"/>
              <w:ind w:right="17"/>
              <w:spacing w:after="0" w:line="88" w:lineRule="exact"/>
              <w:rPr>
                <w:sz w:val="20"/>
                <w:szCs w:val="20"/>
                <w:color w:val="auto"/>
              </w:rPr>
            </w:pPr>
            <w:r>
              <w:rPr>
                <w:rFonts w:ascii="Arial" w:cs="Arial" w:eastAsia="Arial" w:hAnsi="Arial"/>
                <w:sz w:val="9"/>
                <w:szCs w:val="9"/>
                <w:b w:val="1"/>
                <w:bCs w:val="1"/>
                <w:color w:val="auto"/>
              </w:rPr>
              <w:t>Common</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54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Common</w:t>
            </w:r>
          </w:p>
        </w:tc>
        <w:tc>
          <w:tcPr>
            <w:tcW w:w="360" w:type="dxa"/>
            <w:vAlign w:val="bottom"/>
            <w:vMerge w:val="restart"/>
          </w:tcPr>
          <w:p>
            <w:pPr>
              <w:jc w:val="right"/>
              <w:spacing w:after="0"/>
              <w:rPr>
                <w:sz w:val="20"/>
                <w:szCs w:val="20"/>
                <w:color w:val="auto"/>
              </w:rPr>
            </w:pPr>
            <w:r>
              <w:rPr>
                <w:rFonts w:ascii="Arial" w:cs="Arial" w:eastAsia="Arial" w:hAnsi="Arial"/>
                <w:sz w:val="9"/>
                <w:szCs w:val="9"/>
                <w:b w:val="1"/>
                <w:bCs w:val="1"/>
                <w:color w:val="auto"/>
                <w:w w:val="88"/>
              </w:rPr>
              <w:t>Amount</w:t>
            </w:r>
          </w:p>
        </w:tc>
        <w:tc>
          <w:tcPr>
            <w:tcW w:w="460" w:type="dxa"/>
            <w:vAlign w:val="bottom"/>
          </w:tcPr>
          <w:p>
            <w:pPr>
              <w:jc w:val="right"/>
              <w:ind w:right="17"/>
              <w:spacing w:after="0" w:line="88" w:lineRule="exact"/>
              <w:rPr>
                <w:sz w:val="20"/>
                <w:szCs w:val="20"/>
                <w:color w:val="auto"/>
              </w:rPr>
            </w:pPr>
            <w:r>
              <w:rPr>
                <w:rFonts w:ascii="Arial" w:cs="Arial" w:eastAsia="Arial" w:hAnsi="Arial"/>
                <w:sz w:val="9"/>
                <w:szCs w:val="9"/>
                <w:b w:val="1"/>
                <w:bCs w:val="1"/>
                <w:color w:val="auto"/>
                <w:w w:val="97"/>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gridSpan w:val="7"/>
          </w:tcPr>
          <w:p>
            <w:pPr>
              <w:jc w:val="right"/>
              <w:spacing w:after="0" w:line="88" w:lineRule="exact"/>
              <w:rPr>
                <w:sz w:val="20"/>
                <w:szCs w:val="20"/>
                <w:color w:val="auto"/>
              </w:rPr>
            </w:pPr>
            <w:r>
              <w:rPr>
                <w:rFonts w:ascii="Arial" w:cs="Arial" w:eastAsia="Arial" w:hAnsi="Arial"/>
                <w:sz w:val="9"/>
                <w:szCs w:val="9"/>
                <w:b w:val="1"/>
                <w:bCs w:val="1"/>
                <w:color w:val="auto"/>
              </w:rPr>
              <w:t>Paid-In Subscription Accumulated Accumulated</w:t>
            </w:r>
          </w:p>
        </w:tc>
        <w:tc>
          <w:tcPr>
            <w:tcW w:w="1360" w:type="dxa"/>
            <w:vAlign w:val="bottom"/>
            <w:gridSpan w:val="3"/>
          </w:tcPr>
          <w:p>
            <w:pPr>
              <w:jc w:val="right"/>
              <w:spacing w:after="0" w:line="88"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40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Units</w:t>
            </w:r>
          </w:p>
        </w:tc>
        <w:tc>
          <w:tcPr>
            <w:tcW w:w="3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b w:val="1"/>
                <w:bCs w:val="1"/>
                <w:color w:val="auto"/>
              </w:rPr>
              <w:t>Capital</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Receivable</w:t>
            </w: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9"/>
                <w:szCs w:val="9"/>
                <w:b w:val="1"/>
                <w:bCs w:val="1"/>
                <w:color w:val="auto"/>
              </w:rPr>
              <w:t>(Loss)</w:t>
            </w: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December 31, 2018, Predecessor</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35,000,000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4"/>
              </w:rPr>
              <w:t>34,922</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b w:val="1"/>
                <w:bCs w:val="1"/>
                <w:color w:val="auto"/>
                <w:w w:val="84"/>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b w:val="1"/>
                <w:bCs w:val="1"/>
                <w:color w:val="auto"/>
                <w:w w:val="72"/>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15,000,000</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$ 2</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b w:val="1"/>
                <w:bCs w:val="1"/>
                <w:color w:val="auto"/>
                <w:w w:val="84"/>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77"/>
              <w:spacing w:after="0"/>
              <w:rPr>
                <w:sz w:val="20"/>
                <w:szCs w:val="20"/>
                <w:color w:val="auto"/>
              </w:rPr>
            </w:pPr>
            <w:r>
              <w:rPr>
                <w:rFonts w:ascii="Arial" w:cs="Arial" w:eastAsia="Arial" w:hAnsi="Arial"/>
                <w:sz w:val="9"/>
                <w:szCs w:val="9"/>
                <w:b w:val="1"/>
                <w:bCs w:val="1"/>
                <w:color w:val="auto"/>
                <w:w w:val="91"/>
              </w:rPr>
              <w:t>(1,894)</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(1,739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Issuance of common stock</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58,479</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Stock based compensation expense</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color w:val="auto"/>
                <w:w w:val="91"/>
              </w:rPr>
              <w:t>(6,002)</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auto"/>
            </w:tcBorders>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(6,002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Borders>
              <w:bottom w:val="single" w:sz="8" w:color="CCEEFF"/>
            </w:tcBorders>
            <w:shd w:val="clear" w:color="auto" w:fill="CCEEFF"/>
          </w:tcPr>
          <w:p>
            <w:pPr>
              <w:spacing w:after="0" w:line="94" w:lineRule="exact"/>
              <w:rPr>
                <w:sz w:val="20"/>
                <w:szCs w:val="20"/>
                <w:color w:val="auto"/>
              </w:rPr>
            </w:pPr>
            <w:r>
              <w:rPr>
                <w:rFonts w:ascii="Arial" w:cs="Arial" w:eastAsia="Arial" w:hAnsi="Arial"/>
                <w:sz w:val="9"/>
                <w:szCs w:val="9"/>
                <w:b w:val="1"/>
                <w:bCs w:val="1"/>
                <w:color w:val="auto"/>
              </w:rPr>
              <w:t>Balance, June 20, 2019, Predecessor</w:t>
            </w:r>
          </w:p>
        </w:tc>
        <w:tc>
          <w:tcPr>
            <w:tcW w:w="4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97"/>
              </w:rPr>
              <w:t>35,000,000</w:t>
            </w:r>
          </w:p>
        </w:tc>
        <w:tc>
          <w:tcPr>
            <w:tcW w:w="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94"/>
              </w:rPr>
              <w:t>34,922</w:t>
            </w:r>
          </w:p>
        </w:tc>
        <w:tc>
          <w:tcPr>
            <w:tcW w:w="520" w:type="dxa"/>
            <w:vAlign w:val="bottom"/>
            <w:tcBorders>
              <w:bottom w:val="single" w:sz="8" w:color="auto"/>
            </w:tcBorders>
            <w:shd w:val="clear" w:color="auto" w:fill="CCEEFF"/>
          </w:tcPr>
          <w:p>
            <w:pPr>
              <w:ind w:left="360"/>
              <w:spacing w:after="0" w:line="99" w:lineRule="exact"/>
              <w:rPr>
                <w:sz w:val="20"/>
                <w:szCs w:val="20"/>
                <w:color w:val="auto"/>
              </w:rPr>
            </w:pPr>
            <w:r>
              <w:rPr>
                <w:rFonts w:ascii="Arial" w:cs="Arial" w:eastAsia="Arial" w:hAnsi="Arial"/>
                <w:sz w:val="9"/>
                <w:szCs w:val="9"/>
                <w:b w:val="1"/>
                <w:bCs w:val="1"/>
                <w:color w:val="auto"/>
                <w:w w:val="84"/>
              </w:rPr>
              <w:t>— $</w:t>
            </w: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shd w:val="clear" w:color="auto" w:fill="CCEEFF"/>
          </w:tcPr>
          <w:p>
            <w:pPr>
              <w:ind w:left="360"/>
              <w:spacing w:after="0" w:line="99" w:lineRule="exact"/>
              <w:rPr>
                <w:sz w:val="20"/>
                <w:szCs w:val="20"/>
                <w:color w:val="auto"/>
              </w:rPr>
            </w:pPr>
            <w:r>
              <w:rPr>
                <w:rFonts w:ascii="Arial" w:cs="Arial" w:eastAsia="Arial" w:hAnsi="Arial"/>
                <w:sz w:val="9"/>
                <w:szCs w:val="9"/>
                <w:b w:val="1"/>
                <w:bCs w:val="1"/>
                <w:color w:val="auto"/>
                <w:w w:val="72"/>
              </w:rPr>
              <w:t>— $</w:t>
            </w:r>
          </w:p>
        </w:tc>
        <w:tc>
          <w:tcPr>
            <w:tcW w:w="800" w:type="dxa"/>
            <w:vAlign w:val="bottom"/>
            <w:tcBorders>
              <w:bottom w:val="single" w:sz="8" w:color="auto"/>
            </w:tcBorders>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 15,058,479</w:t>
            </w:r>
          </w:p>
        </w:tc>
        <w:tc>
          <w:tcPr>
            <w:tcW w:w="400" w:type="dxa"/>
            <w:vAlign w:val="bottom"/>
            <w:tcBorders>
              <w:bottom w:val="single" w:sz="8" w:color="auto"/>
            </w:tcBorders>
            <w:shd w:val="clear" w:color="auto" w:fill="CCEEFF"/>
          </w:tcPr>
          <w:p>
            <w:pPr>
              <w:jc w:val="right"/>
              <w:ind w:right="57"/>
              <w:spacing w:after="0" w:line="99" w:lineRule="exact"/>
              <w:rPr>
                <w:sz w:val="20"/>
                <w:szCs w:val="20"/>
                <w:color w:val="auto"/>
              </w:rPr>
            </w:pPr>
            <w:r>
              <w:rPr>
                <w:rFonts w:ascii="Arial" w:cs="Arial" w:eastAsia="Arial" w:hAnsi="Arial"/>
                <w:sz w:val="9"/>
                <w:szCs w:val="9"/>
                <w:b w:val="1"/>
                <w:bCs w:val="1"/>
                <w:color w:val="auto"/>
              </w:rPr>
              <w:t>$ 2</w:t>
            </w:r>
          </w:p>
        </w:tc>
        <w:tc>
          <w:tcPr>
            <w:tcW w:w="540" w:type="dxa"/>
            <w:vAlign w:val="bottom"/>
            <w:tcBorders>
              <w:bottom w:val="single" w:sz="8" w:color="auto"/>
            </w:tcBorders>
            <w:shd w:val="clear" w:color="auto" w:fill="CCEEFF"/>
          </w:tcPr>
          <w:p>
            <w:pPr>
              <w:ind w:left="380"/>
              <w:spacing w:after="0" w:line="99" w:lineRule="exact"/>
              <w:rPr>
                <w:sz w:val="20"/>
                <w:szCs w:val="20"/>
                <w:color w:val="auto"/>
              </w:rPr>
            </w:pPr>
            <w:r>
              <w:rPr>
                <w:rFonts w:ascii="Arial" w:cs="Arial" w:eastAsia="Arial" w:hAnsi="Arial"/>
                <w:sz w:val="9"/>
                <w:szCs w:val="9"/>
                <w:b w:val="1"/>
                <w:bCs w:val="1"/>
                <w:color w:val="auto"/>
                <w:w w:val="84"/>
              </w:rPr>
              <w:t>— $</w:t>
            </w:r>
          </w:p>
        </w:tc>
        <w:tc>
          <w:tcPr>
            <w:tcW w:w="3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37"/>
              <w:spacing w:after="0" w:line="99" w:lineRule="exact"/>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shd w:val="clear" w:color="auto" w:fill="CCEEFF"/>
          </w:tcPr>
          <w:p>
            <w:pPr>
              <w:jc w:val="right"/>
              <w:ind w:right="37"/>
              <w:spacing w:after="0" w:line="99" w:lineRule="exact"/>
              <w:rPr>
                <w:sz w:val="20"/>
                <w:szCs w:val="20"/>
                <w:color w:val="auto"/>
              </w:rPr>
            </w:pPr>
            <w:r>
              <w:rPr>
                <w:rFonts w:ascii="Arial" w:cs="Arial" w:eastAsia="Arial" w:hAnsi="Arial"/>
                <w:sz w:val="9"/>
                <w:szCs w:val="9"/>
                <w:b w:val="1"/>
                <w:bCs w:val="1"/>
                <w:color w:val="auto"/>
              </w:rPr>
              <w:t>167</w:t>
            </w:r>
          </w:p>
        </w:tc>
        <w:tc>
          <w:tcPr>
            <w:tcW w:w="1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37"/>
              <w:spacing w:after="0" w:line="99" w:lineRule="exact"/>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77"/>
              <w:spacing w:after="0" w:line="99" w:lineRule="exact"/>
              <w:rPr>
                <w:sz w:val="20"/>
                <w:szCs w:val="20"/>
                <w:color w:val="auto"/>
              </w:rPr>
            </w:pPr>
            <w:r>
              <w:rPr>
                <w:rFonts w:ascii="Arial" w:cs="Arial" w:eastAsia="Arial" w:hAnsi="Arial"/>
                <w:sz w:val="9"/>
                <w:szCs w:val="9"/>
                <w:b w:val="1"/>
                <w:bCs w:val="1"/>
                <w:color w:val="auto"/>
                <w:w w:val="91"/>
              </w:rPr>
              <w:t>(7,896)</w:t>
            </w:r>
          </w:p>
        </w:tc>
        <w:tc>
          <w:tcPr>
            <w:tcW w:w="1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860" w:type="dxa"/>
            <w:vAlign w:val="bottom"/>
            <w:tcBorders>
              <w:bottom w:val="single" w:sz="8" w:color="auto"/>
            </w:tcBorders>
            <w:shd w:val="clear" w:color="auto" w:fill="CCEEFF"/>
          </w:tcPr>
          <w:p>
            <w:pPr>
              <w:jc w:val="right"/>
              <w:ind w:right="238"/>
              <w:spacing w:after="0" w:line="99"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(7,727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b w:val="1"/>
                <w:bCs w:val="1"/>
                <w:color w:val="auto"/>
              </w:rPr>
              <w:t>Balance, June 21, 2019, Successor</w:t>
            </w:r>
          </w:p>
        </w:tc>
        <w:tc>
          <w:tcPr>
            <w:tcW w:w="540" w:type="dxa"/>
            <w:vAlign w:val="bottom"/>
            <w:gridSpan w:val="2"/>
          </w:tcPr>
          <w:p>
            <w:pPr>
              <w:jc w:val="right"/>
              <w:spacing w:after="0"/>
              <w:rPr>
                <w:sz w:val="20"/>
                <w:szCs w:val="20"/>
                <w:color w:val="auto"/>
              </w:rPr>
            </w:pPr>
            <w:r>
              <w:rPr>
                <w:rFonts w:ascii="Arial" w:cs="Arial" w:eastAsia="Arial" w:hAnsi="Arial"/>
                <w:sz w:val="9"/>
                <w:szCs w:val="9"/>
                <w:b w:val="1"/>
                <w:bCs w:val="1"/>
                <w:color w:val="auto"/>
              </w:rPr>
              <w:t>— $</w:t>
            </w:r>
          </w:p>
        </w:tc>
        <w:tc>
          <w:tcPr>
            <w:tcW w:w="2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Pr>
          <w:p>
            <w:pPr>
              <w:ind w:left="360"/>
              <w:spacing w:after="0"/>
              <w:rPr>
                <w:sz w:val="20"/>
                <w:szCs w:val="20"/>
                <w:color w:val="auto"/>
              </w:rPr>
            </w:pPr>
            <w:r>
              <w:rPr>
                <w:rFonts w:ascii="Arial" w:cs="Arial" w:eastAsia="Arial" w:hAnsi="Arial"/>
                <w:sz w:val="9"/>
                <w:szCs w:val="9"/>
                <w:b w:val="1"/>
                <w:bCs w:val="1"/>
                <w:color w:val="auto"/>
                <w:w w:val="84"/>
              </w:rPr>
              <w:t>— $</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Pr>
          <w:p>
            <w:pPr>
              <w:ind w:left="360"/>
              <w:spacing w:after="0"/>
              <w:rPr>
                <w:sz w:val="20"/>
                <w:szCs w:val="20"/>
                <w:color w:val="auto"/>
              </w:rPr>
            </w:pPr>
            <w:r>
              <w:rPr>
                <w:rFonts w:ascii="Arial" w:cs="Arial" w:eastAsia="Arial" w:hAnsi="Arial"/>
                <w:sz w:val="9"/>
                <w:szCs w:val="9"/>
                <w:b w:val="1"/>
                <w:bCs w:val="1"/>
                <w:color w:val="auto"/>
                <w:w w:val="72"/>
              </w:rPr>
              <w:t>— $</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Pr>
          <w:p>
            <w:pPr>
              <w:ind w:left="380"/>
              <w:spacing w:after="0"/>
              <w:rPr>
                <w:sz w:val="20"/>
                <w:szCs w:val="20"/>
                <w:color w:val="auto"/>
              </w:rPr>
            </w:pPr>
            <w:r>
              <w:rPr>
                <w:rFonts w:ascii="Arial" w:cs="Arial" w:eastAsia="Arial" w:hAnsi="Arial"/>
                <w:sz w:val="9"/>
                <w:szCs w:val="9"/>
                <w:b w:val="1"/>
                <w:bCs w:val="1"/>
                <w:color w:val="auto"/>
                <w:w w:val="84"/>
              </w:rPr>
              <w:t>— $</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Pr>
          <w:p>
            <w:pPr>
              <w:jc w:val="right"/>
              <w:ind w:right="37"/>
              <w:spacing w:after="0"/>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97"/>
              <w:spacing w:after="0"/>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Issuance of common units for cash, net of</w:t>
            </w: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74,839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9"/>
                <w:szCs w:val="9"/>
                <w:color w:val="auto"/>
              </w:rPr>
              <w:t>equity issuance costs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w w:val="97"/>
              </w:rPr>
              <w:t>26,143,790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8"/>
              </w:rPr>
              <w:t>144,839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(70,000)</w:t>
            </w: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880" w:type="dxa"/>
            <w:vAlign w:val="bottom"/>
          </w:tcPr>
          <w:p>
            <w:pPr>
              <w:spacing w:after="0" w:line="73" w:lineRule="exact"/>
              <w:rPr>
                <w:sz w:val="20"/>
                <w:szCs w:val="20"/>
                <w:color w:val="auto"/>
              </w:rPr>
            </w:pPr>
            <w:r>
              <w:rPr>
                <w:rFonts w:ascii="Arial" w:cs="Arial" w:eastAsia="Arial" w:hAnsi="Arial"/>
                <w:sz w:val="8"/>
                <w:szCs w:val="8"/>
                <w:color w:val="auto"/>
              </w:rPr>
              <w:t>Issuance of common units for acquired assets,</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251,700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80" w:type="dxa"/>
            <w:vAlign w:val="bottom"/>
          </w:tcPr>
          <w:p>
            <w:pPr>
              <w:ind w:left="60"/>
              <w:spacing w:after="0"/>
              <w:rPr>
                <w:sz w:val="20"/>
                <w:szCs w:val="20"/>
                <w:color w:val="auto"/>
              </w:rPr>
            </w:pPr>
            <w:r>
              <w:rPr>
                <w:rFonts w:ascii="Arial" w:cs="Arial" w:eastAsia="Arial" w:hAnsi="Arial"/>
                <w:sz w:val="9"/>
                <w:szCs w:val="9"/>
                <w:color w:val="auto"/>
              </w:rPr>
              <w:t>net of equity issuance costs</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w w:val="97"/>
              </w:rPr>
              <w:t>67,226,891</w:t>
            </w:r>
          </w:p>
        </w:tc>
        <w:tc>
          <w:tcPr>
            <w:tcW w:w="360" w:type="dxa"/>
            <w:vAlign w:val="bottom"/>
          </w:tcPr>
          <w:p>
            <w:pPr>
              <w:jc w:val="right"/>
              <w:spacing w:after="0"/>
              <w:rPr>
                <w:sz w:val="20"/>
                <w:szCs w:val="20"/>
                <w:color w:val="auto"/>
              </w:rPr>
            </w:pPr>
            <w:r>
              <w:rPr>
                <w:rFonts w:ascii="Arial" w:cs="Arial" w:eastAsia="Arial" w:hAnsi="Arial"/>
                <w:sz w:val="9"/>
                <w:szCs w:val="9"/>
                <w:color w:val="auto"/>
                <w:w w:val="98"/>
              </w:rPr>
              <w:t>251,700</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Cancellation of LLC Units (Note 2)</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95"/>
              </w:rPr>
              <w:t>(93,370,681) (396,539)</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(396,539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Capital restructuring (Note 2)</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20"/>
              <w:spacing w:after="0"/>
              <w:rPr>
                <w:sz w:val="20"/>
                <w:szCs w:val="20"/>
                <w:color w:val="auto"/>
              </w:rPr>
            </w:pPr>
            <w:r>
              <w:rPr>
                <w:rFonts w:ascii="Arial" w:cs="Arial" w:eastAsia="Arial" w:hAnsi="Arial"/>
                <w:sz w:val="9"/>
                <w:szCs w:val="9"/>
                <w:color w:val="auto"/>
              </w:rPr>
              <w:t>35,000,000</w:t>
            </w:r>
          </w:p>
        </w:tc>
        <w:tc>
          <w:tcPr>
            <w:tcW w:w="300" w:type="dxa"/>
            <w:vAlign w:val="bottom"/>
          </w:tcPr>
          <w:p>
            <w:pPr>
              <w:jc w:val="right"/>
              <w:spacing w:after="0"/>
              <w:rPr>
                <w:sz w:val="20"/>
                <w:szCs w:val="20"/>
                <w:color w:val="auto"/>
              </w:rPr>
            </w:pPr>
            <w:r>
              <w:rPr>
                <w:rFonts w:ascii="Arial" w:cs="Arial" w:eastAsia="Arial" w:hAnsi="Arial"/>
                <w:sz w:val="9"/>
                <w:szCs w:val="9"/>
                <w:color w:val="auto"/>
                <w:w w:val="94"/>
              </w:rPr>
              <w:t>34,922</w:t>
            </w:r>
          </w:p>
        </w:tc>
        <w:tc>
          <w:tcPr>
            <w:tcW w:w="500" w:type="dxa"/>
            <w:vAlign w:val="bottom"/>
          </w:tcPr>
          <w:p>
            <w:pPr>
              <w:spacing w:after="0"/>
              <w:rPr>
                <w:sz w:val="20"/>
                <w:szCs w:val="20"/>
                <w:color w:val="auto"/>
              </w:rPr>
            </w:pPr>
            <w:r>
              <w:rPr>
                <w:rFonts w:ascii="Arial" w:cs="Arial" w:eastAsia="Arial" w:hAnsi="Arial"/>
                <w:sz w:val="9"/>
                <w:szCs w:val="9"/>
                <w:color w:val="auto"/>
              </w:rPr>
              <w:t>26,143,790</w:t>
            </w:r>
          </w:p>
        </w:tc>
        <w:tc>
          <w:tcPr>
            <w:tcW w:w="320" w:type="dxa"/>
            <w:vAlign w:val="bottom"/>
          </w:tcPr>
          <w:p>
            <w:pPr>
              <w:jc w:val="right"/>
              <w:spacing w:after="0"/>
              <w:rPr>
                <w:sz w:val="20"/>
                <w:szCs w:val="20"/>
                <w:color w:val="auto"/>
              </w:rPr>
            </w:pPr>
            <w:r>
              <w:rPr>
                <w:rFonts w:ascii="Arial" w:cs="Arial" w:eastAsia="Arial" w:hAnsi="Arial"/>
                <w:sz w:val="9"/>
                <w:szCs w:val="9"/>
                <w:color w:val="auto"/>
                <w:w w:val="92"/>
              </w:rPr>
              <w:t>144,839</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 18,825,136</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w w:val="98"/>
              </w:rPr>
              <w:t>216,776</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216,778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Unrealized loss on short-term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18"/>
              <w:spacing w:after="0"/>
              <w:rPr>
                <w:sz w:val="20"/>
                <w:szCs w:val="20"/>
                <w:color w:val="auto"/>
              </w:rPr>
            </w:pPr>
            <w:r>
              <w:rPr>
                <w:rFonts w:ascii="Arial" w:cs="Arial" w:eastAsia="Arial" w:hAnsi="Arial"/>
                <w:sz w:val="9"/>
                <w:szCs w:val="9"/>
                <w:color w:val="auto"/>
              </w:rPr>
              <w:t>(3)</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Stock based compensation</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133</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133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8"/>
              </w:rPr>
              <w:t>(238,767)</w:t>
            </w:r>
          </w:p>
        </w:tc>
        <w:tc>
          <w:tcPr>
            <w:tcW w:w="86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5"/>
              </w:rPr>
              <w:t>(238,767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b w:val="1"/>
                <w:bCs w:val="1"/>
                <w:color w:val="auto"/>
              </w:rPr>
              <w:t>Balance, December 31, 2019</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35,000,000</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94"/>
              </w:rPr>
              <w:t>34,922</w:t>
            </w:r>
          </w:p>
        </w:tc>
        <w:tc>
          <w:tcPr>
            <w:tcW w:w="500" w:type="dxa"/>
            <w:vAlign w:val="bottom"/>
          </w:tcPr>
          <w:p>
            <w:pPr>
              <w:spacing w:after="0"/>
              <w:rPr>
                <w:sz w:val="20"/>
                <w:szCs w:val="20"/>
                <w:color w:val="auto"/>
              </w:rPr>
            </w:pPr>
            <w:r>
              <w:rPr>
                <w:rFonts w:ascii="Arial" w:cs="Arial" w:eastAsia="Arial" w:hAnsi="Arial"/>
                <w:sz w:val="9"/>
                <w:szCs w:val="9"/>
                <w:b w:val="1"/>
                <w:bCs w:val="1"/>
                <w:color w:val="auto"/>
              </w:rPr>
              <w:t>26,143,790</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w w:val="92"/>
              </w:rPr>
              <w:t>144,839</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Pr>
          <w:p>
            <w:pPr>
              <w:ind w:left="380"/>
              <w:spacing w:after="0"/>
              <w:rPr>
                <w:sz w:val="20"/>
                <w:szCs w:val="20"/>
                <w:color w:val="auto"/>
              </w:rPr>
            </w:pPr>
            <w:r>
              <w:rPr>
                <w:rFonts w:ascii="Arial" w:cs="Arial" w:eastAsia="Arial" w:hAnsi="Arial"/>
                <w:sz w:val="9"/>
                <w:szCs w:val="9"/>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b w:val="1"/>
                <w:bCs w:val="1"/>
                <w:color w:val="auto"/>
              </w:rPr>
              <w:t>— 18,825,136</w:t>
            </w:r>
          </w:p>
        </w:tc>
        <w:tc>
          <w:tcPr>
            <w:tcW w:w="380" w:type="dxa"/>
            <w:vAlign w:val="bottom"/>
          </w:tcPr>
          <w:p>
            <w:pPr>
              <w:jc w:val="right"/>
              <w:ind w:right="37"/>
              <w:spacing w:after="0"/>
              <w:rPr>
                <w:sz w:val="20"/>
                <w:szCs w:val="20"/>
                <w:color w:val="auto"/>
              </w:rPr>
            </w:pPr>
            <w:r>
              <w:rPr>
                <w:rFonts w:ascii="Arial" w:cs="Arial" w:eastAsia="Arial" w:hAnsi="Arial"/>
                <w:sz w:val="9"/>
                <w:szCs w:val="9"/>
                <w:b w:val="1"/>
                <w:bCs w:val="1"/>
                <w:color w:val="auto"/>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b w:val="1"/>
                <w:bCs w:val="1"/>
                <w:color w:val="auto"/>
                <w:w w:val="98"/>
              </w:rPr>
              <w:t>216,909</w:t>
            </w:r>
          </w:p>
        </w:tc>
        <w:tc>
          <w:tcPr>
            <w:tcW w:w="1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rPr>
              <w:t>(70,000)</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w w:val="98"/>
              </w:rPr>
              <w:t>(238,767)</w:t>
            </w:r>
          </w:p>
        </w:tc>
        <w:tc>
          <w:tcPr>
            <w:tcW w:w="860" w:type="dxa"/>
            <w:vAlign w:val="bottom"/>
          </w:tcPr>
          <w:p>
            <w:pPr>
              <w:jc w:val="right"/>
              <w:ind w:right="218"/>
              <w:spacing w:after="0"/>
              <w:rPr>
                <w:sz w:val="20"/>
                <w:szCs w:val="20"/>
                <w:color w:val="auto"/>
              </w:rPr>
            </w:pPr>
            <w:r>
              <w:rPr>
                <w:rFonts w:ascii="Arial" w:cs="Arial" w:eastAsia="Arial" w:hAnsi="Arial"/>
                <w:sz w:val="9"/>
                <w:szCs w:val="9"/>
                <w:b w:val="1"/>
                <w:bCs w:val="1"/>
                <w:color w:val="auto"/>
              </w:rPr>
              <w:t>(3)</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(91,859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Receipt of subscription receivable</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38,100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38,100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Unrealized gain on short-term investments</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Warrants on long term debt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46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Foreign currency translation</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18"/>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Stock 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876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876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(53,575)</w:t>
            </w:r>
          </w:p>
        </w:tc>
        <w:tc>
          <w:tcPr>
            <w:tcW w:w="860" w:type="dxa"/>
            <w:vAlign w:val="bottom"/>
            <w:tcBorders>
              <w:bottom w:val="single" w:sz="8" w:color="auto"/>
            </w:tcBorders>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(53,575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tcBorders>
              <w:bottom w:val="single" w:sz="8" w:color="CCEEFF"/>
            </w:tcBorders>
            <w:shd w:val="clear" w:color="auto" w:fill="CCEEFF"/>
          </w:tcPr>
          <w:p>
            <w:pPr>
              <w:spacing w:after="0" w:line="94" w:lineRule="exact"/>
              <w:rPr>
                <w:sz w:val="20"/>
                <w:szCs w:val="20"/>
                <w:color w:val="auto"/>
              </w:rPr>
            </w:pPr>
            <w:r>
              <w:rPr>
                <w:rFonts w:ascii="Arial" w:cs="Arial" w:eastAsia="Arial" w:hAnsi="Arial"/>
                <w:sz w:val="9"/>
                <w:szCs w:val="9"/>
                <w:b w:val="1"/>
                <w:bCs w:val="1"/>
                <w:color w:val="auto"/>
              </w:rPr>
              <w:t>Balance, December 31, 2020, Successor</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w w:val="91"/>
              </w:rPr>
              <w:t>35,000,000 $</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w w:val="94"/>
              </w:rPr>
              <w:t>34,922 26,143,790 $</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2"/>
              </w:rPr>
              <w:t>144,839</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9"/>
                <w:szCs w:val="9"/>
                <w:b w:val="1"/>
                <w:bCs w:val="1"/>
                <w:color w:val="auto"/>
                <w:w w:val="84"/>
              </w:rPr>
              <w:t>— $</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18,825,136</w:t>
            </w: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$ 2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b w:val="1"/>
                <w:bCs w:val="1"/>
                <w:color w:val="auto"/>
                <w:w w:val="98"/>
              </w:rPr>
              <w:t>217,831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(31,900)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8"/>
              </w:rPr>
              <w:t>(292,342)</w:t>
            </w:r>
          </w:p>
        </w:tc>
        <w:tc>
          <w:tcPr>
            <w:tcW w:w="86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9"/>
                <w:szCs w:val="9"/>
                <w:b w:val="1"/>
                <w:bCs w:val="1"/>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5"/>
              </w:rPr>
              <w:t>(106,412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-115570</wp:posOffset>
            </wp:positionV>
            <wp:extent cx="121285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1285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-1520190</wp:posOffset>
            </wp:positionV>
            <wp:extent cx="121285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12850" cy="698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wp:posOffset>
            </wp:positionV>
            <wp:extent cx="711644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16445" cy="39370"/>
                    </a:xfrm>
                    <a:prstGeom prst="rect">
                      <a:avLst/>
                    </a:prstGeom>
                    <a:noFill/>
                  </pic:spPr>
                </pic:pic>
              </a:graphicData>
            </a:graphic>
          </wp:anchor>
        </w:drawing>
      </w:r>
    </w:p>
    <w:p>
      <w:pPr>
        <w:sectPr>
          <w:pgSz w:w="11900" w:h="16838" w:orient="portrait"/>
          <w:cols w:equalWidth="0" w:num="1">
            <w:col w:w="11300"/>
          </w:cols>
          <w:pgMar w:left="360" w:top="133" w:right="239" w:bottom="1440" w:gutter="0" w:footer="0" w:header="0"/>
        </w:sectPr>
      </w:pPr>
    </w:p>
    <w:bookmarkStart w:id="222" w:name="page223"/>
    <w:bookmarkEnd w:id="222"/>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5" w:lineRule="auto"/>
        <w:rPr>
          <w:sz w:val="20"/>
          <w:szCs w:val="20"/>
          <w:color w:val="auto"/>
        </w:rPr>
      </w:pPr>
      <w:r>
        <w:rPr>
          <w:rFonts w:ascii="Arial" w:cs="Arial" w:eastAsia="Arial" w:hAnsi="Arial"/>
          <w:sz w:val="23"/>
          <w:szCs w:val="23"/>
          <w:b w:val="1"/>
          <w:bCs w:val="1"/>
          <w:color w:val="auto"/>
        </w:rPr>
        <w:t>Century Therapeutics, Inc. and Subsidiary Consolidated statements of cash flows (In thousands)</w:t>
      </w:r>
    </w:p>
    <w:p>
      <w:pPr>
        <w:spacing w:after="0" w:line="87"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3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right"/>
              <w:ind w:right="435"/>
              <w:spacing w:after="0"/>
              <w:rPr>
                <w:sz w:val="20"/>
                <w:szCs w:val="20"/>
                <w:color w:val="auto"/>
              </w:rPr>
            </w:pPr>
            <w:r>
              <w:rPr>
                <w:rFonts w:ascii="Arial" w:cs="Arial" w:eastAsia="Arial" w:hAnsi="Arial"/>
                <w:sz w:val="13"/>
                <w:szCs w:val="13"/>
                <w:b w:val="1"/>
                <w:bCs w:val="1"/>
                <w:color w:val="auto"/>
              </w:rPr>
              <w:t>Successor</w:t>
            </w:r>
          </w:p>
        </w:tc>
        <w:tc>
          <w:tcPr>
            <w:tcW w:w="600" w:type="dxa"/>
            <w:vAlign w:val="bottom"/>
            <w:tcBorders>
              <w:top w:val="single" w:sz="8" w:color="auto"/>
              <w:bottom w:val="single" w:sz="8" w:color="auto"/>
              <w:right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2"/>
          </w:tcPr>
          <w:p>
            <w:pPr>
              <w:jc w:val="right"/>
              <w:ind w:right="155"/>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60" w:type="dxa"/>
            <w:vAlign w:val="bottom"/>
            <w:tcBorders>
              <w:right w:val="single" w:sz="8" w:color="auto"/>
            </w:tcBorders>
            <w:gridSpan w:val="3"/>
          </w:tcPr>
          <w:p>
            <w:pPr>
              <w:jc w:val="right"/>
              <w:ind w:right="15"/>
              <w:spacing w:after="0" w:line="128" w:lineRule="exact"/>
              <w:rPr>
                <w:sz w:val="20"/>
                <w:szCs w:val="20"/>
                <w:color w:val="auto"/>
              </w:rPr>
            </w:pPr>
            <w:r>
              <w:rPr>
                <w:rFonts w:ascii="Arial" w:cs="Arial" w:eastAsia="Arial" w:hAnsi="Arial"/>
                <w:sz w:val="13"/>
                <w:szCs w:val="13"/>
                <w:b w:val="1"/>
                <w:bCs w:val="1"/>
                <w:color w:val="auto"/>
              </w:rPr>
              <w:t>For the period June 21,</w:t>
            </w:r>
          </w:p>
        </w:tc>
        <w:tc>
          <w:tcPr>
            <w:tcW w:w="100" w:type="dxa"/>
            <w:vAlign w:val="bottom"/>
          </w:tcPr>
          <w:p>
            <w:pPr>
              <w:spacing w:after="0"/>
              <w:rPr>
                <w:sz w:val="11"/>
                <w:szCs w:val="11"/>
                <w:color w:val="auto"/>
              </w:rPr>
            </w:pPr>
          </w:p>
        </w:tc>
        <w:tc>
          <w:tcPr>
            <w:tcW w:w="1120" w:type="dxa"/>
            <w:vAlign w:val="bottom"/>
            <w:gridSpan w:val="2"/>
          </w:tcPr>
          <w:p>
            <w:pPr>
              <w:jc w:val="right"/>
              <w:spacing w:after="0" w:line="128"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00" w:type="dxa"/>
            <w:vAlign w:val="bottom"/>
          </w:tcPr>
          <w:p>
            <w:pPr>
              <w:spacing w:after="0"/>
              <w:rPr>
                <w:sz w:val="13"/>
                <w:szCs w:val="13"/>
                <w:color w:val="auto"/>
              </w:rPr>
            </w:pPr>
          </w:p>
        </w:tc>
        <w:tc>
          <w:tcPr>
            <w:tcW w:w="1360" w:type="dxa"/>
            <w:vAlign w:val="bottom"/>
            <w:gridSpan w:val="3"/>
          </w:tcPr>
          <w:p>
            <w:pPr>
              <w:jc w:val="right"/>
              <w:ind w:right="55"/>
              <w:spacing w:after="0"/>
              <w:rPr>
                <w:sz w:val="20"/>
                <w:szCs w:val="20"/>
                <w:color w:val="auto"/>
              </w:rPr>
            </w:pPr>
            <w:r>
              <w:rPr>
                <w:rFonts w:ascii="Arial" w:cs="Arial" w:eastAsia="Arial" w:hAnsi="Arial"/>
                <w:sz w:val="13"/>
                <w:szCs w:val="13"/>
                <w:b w:val="1"/>
                <w:bCs w:val="1"/>
                <w:color w:val="auto"/>
              </w:rPr>
              <w:t>For the year ended</w:t>
            </w:r>
          </w:p>
        </w:tc>
        <w:tc>
          <w:tcPr>
            <w:tcW w:w="150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2019 to December 31,</w:t>
            </w:r>
          </w:p>
        </w:tc>
        <w:tc>
          <w:tcPr>
            <w:tcW w:w="12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December 31, 2020</w:t>
            </w:r>
          </w:p>
        </w:tc>
        <w:tc>
          <w:tcPr>
            <w:tcW w:w="90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June 20, 2019</w:t>
            </w:r>
          </w:p>
        </w:tc>
        <w:tc>
          <w:tcPr>
            <w:tcW w:w="0" w:type="dxa"/>
            <w:vAlign w:val="bottom"/>
          </w:tcPr>
          <w:p>
            <w:pPr>
              <w:spacing w:after="0"/>
              <w:rPr>
                <w:sz w:val="1"/>
                <w:szCs w:val="1"/>
                <w:color w:val="auto"/>
              </w:rPr>
            </w:pPr>
          </w:p>
        </w:tc>
      </w:tr>
      <w:tr>
        <w:trPr>
          <w:trHeight w:val="131"/>
        </w:trPr>
        <w:tc>
          <w:tcPr>
            <w:tcW w:w="33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Cash flows from operating activities</w:t>
            </w: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00" w:type="dxa"/>
            <w:vAlign w:val="bottom"/>
          </w:tcPr>
          <w:p>
            <w:pPr>
              <w:ind w:left="140"/>
              <w:spacing w:after="0" w:line="129" w:lineRule="exact"/>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(53,575)</w:t>
            </w:r>
          </w:p>
        </w:tc>
        <w:tc>
          <w:tcPr>
            <w:tcW w:w="900" w:type="dxa"/>
            <w:vAlign w:val="bottom"/>
          </w:tcPr>
          <w:p>
            <w:pPr>
              <w:jc w:val="right"/>
              <w:ind w:right="15"/>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(238,767)</w:t>
            </w: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(6,002)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b w:val="1"/>
                <w:bCs w:val="1"/>
                <w:color w:val="auto"/>
              </w:rPr>
              <w:t>Adjustments to reconcile net loss to net cash</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used in 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260"/>
              <w:spacing w:after="0"/>
              <w:rPr>
                <w:sz w:val="20"/>
                <w:szCs w:val="20"/>
                <w:color w:val="auto"/>
              </w:rPr>
            </w:pPr>
            <w:r>
              <w:rPr>
                <w:rFonts w:ascii="Arial" w:cs="Arial" w:eastAsia="Arial" w:hAnsi="Arial"/>
                <w:sz w:val="13"/>
                <w:szCs w:val="13"/>
                <w:color w:val="auto"/>
              </w:rPr>
              <w:t>Write off of in-process research and development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300" w:type="dxa"/>
            <w:vAlign w:val="bottom"/>
          </w:tcPr>
          <w:p>
            <w:pPr>
              <w:ind w:left="400"/>
              <w:spacing w:after="0"/>
              <w:rPr>
                <w:sz w:val="20"/>
                <w:szCs w:val="20"/>
                <w:color w:val="auto"/>
              </w:rPr>
            </w:pPr>
            <w:r>
              <w:rPr>
                <w:rFonts w:ascii="Arial" w:cs="Arial" w:eastAsia="Arial" w:hAnsi="Arial"/>
                <w:sz w:val="13"/>
                <w:szCs w:val="13"/>
                <w:color w:val="auto"/>
              </w:rPr>
              <w:t>asset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4,722</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225,946</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Depreciation</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1,402</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Amortization of deferred financing cost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92</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Non-cash operating lease expense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352</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Stock based compensation</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876</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Change in operating assets and liabilities: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Escrow deposit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(1,506)</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assets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Operating lease liability</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2,175</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2,062</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00" w:type="dxa"/>
            <w:vAlign w:val="bottom"/>
            <w:tcBorders>
              <w:bottom w:val="single" w:sz="8" w:color="CCEEFF"/>
            </w:tcBorders>
          </w:tcPr>
          <w:p>
            <w:pPr>
              <w:ind w:left="260"/>
              <w:spacing w:after="0" w:line="141" w:lineRule="exact"/>
              <w:rPr>
                <w:sz w:val="20"/>
                <w:szCs w:val="20"/>
                <w:color w:val="auto"/>
              </w:rPr>
            </w:pPr>
            <w:r>
              <w:rPr>
                <w:rFonts w:ascii="Arial" w:cs="Arial" w:eastAsia="Arial" w:hAnsi="Arial"/>
                <w:sz w:val="13"/>
                <w:szCs w:val="13"/>
                <w:color w:val="auto"/>
              </w:rPr>
              <w:t>Accrued expenses and other liabilities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
              <w:spacing w:after="0" w:line="141" w:lineRule="exact"/>
              <w:rPr>
                <w:sz w:val="20"/>
                <w:szCs w:val="20"/>
                <w:color w:val="auto"/>
              </w:rPr>
            </w:pPr>
            <w:r>
              <w:rPr>
                <w:rFonts w:ascii="Arial" w:cs="Arial" w:eastAsia="Arial" w:hAnsi="Arial"/>
                <w:sz w:val="13"/>
                <w:szCs w:val="13"/>
                <w:color w:val="auto"/>
              </w:rPr>
              <w:t>2,334</w:t>
            </w: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162</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1,001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00" w:type="dxa"/>
            <w:vAlign w:val="bottom"/>
            <w:tcBorders>
              <w:bottom w:val="single" w:sz="8" w:color="CCEEFF"/>
            </w:tcBorders>
            <w:shd w:val="clear" w:color="auto" w:fill="CCEEFF"/>
          </w:tcPr>
          <w:p>
            <w:pPr>
              <w:ind w:left="400"/>
              <w:spacing w:after="0" w:line="131" w:lineRule="exact"/>
              <w:rPr>
                <w:sz w:val="20"/>
                <w:szCs w:val="20"/>
                <w:color w:val="auto"/>
              </w:rPr>
            </w:pPr>
            <w:r>
              <w:rPr>
                <w:rFonts w:ascii="Arial" w:cs="Arial" w:eastAsia="Arial" w:hAnsi="Arial"/>
                <w:sz w:val="13"/>
                <w:szCs w:val="13"/>
                <w:b w:val="1"/>
                <w:bCs w:val="1"/>
                <w:color w:val="auto"/>
              </w:rPr>
              <w:t>Net cash used in operating activities</w:t>
            </w: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(41,269)</w:t>
            </w:r>
          </w:p>
        </w:tc>
        <w:tc>
          <w:tcPr>
            <w:tcW w:w="9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(11,768)</w:t>
            </w: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(4,400)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300" w:type="dxa"/>
            <w:vAlign w:val="bottom"/>
          </w:tcPr>
          <w:p>
            <w:pPr>
              <w:spacing w:after="0" w:line="111" w:lineRule="exact"/>
              <w:rPr>
                <w:sz w:val="20"/>
                <w:szCs w:val="20"/>
                <w:color w:val="auto"/>
              </w:rPr>
            </w:pPr>
            <w:r>
              <w:rPr>
                <w:rFonts w:ascii="Arial" w:cs="Arial" w:eastAsia="Arial" w:hAnsi="Arial"/>
                <w:sz w:val="12"/>
                <w:szCs w:val="12"/>
                <w:b w:val="1"/>
                <w:bCs w:val="1"/>
                <w:color w:val="auto"/>
              </w:rPr>
              <w:t>Cash flows from investing activities</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Acquisition of property and equipment</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(9,825)</w:t>
            </w:r>
          </w:p>
        </w:tc>
        <w:tc>
          <w:tcPr>
            <w:tcW w:w="90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rPr>
                <w:sz w:val="20"/>
                <w:szCs w:val="20"/>
                <w:color w:val="auto"/>
              </w:rPr>
            </w:pPr>
            <w:r>
              <w:rPr>
                <w:rFonts w:ascii="Arial" w:cs="Arial" w:eastAsia="Arial" w:hAnsi="Arial"/>
                <w:sz w:val="13"/>
                <w:szCs w:val="13"/>
                <w:color w:val="auto"/>
              </w:rPr>
              <w:t>Payments for purchase of fixed maturity securities,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300" w:type="dxa"/>
            <w:vAlign w:val="bottom"/>
          </w:tcPr>
          <w:p>
            <w:pPr>
              <w:ind w:left="260"/>
              <w:spacing w:after="0"/>
              <w:rPr>
                <w:sz w:val="20"/>
                <w:szCs w:val="20"/>
                <w:color w:val="auto"/>
              </w:rPr>
            </w:pPr>
            <w:r>
              <w:rPr>
                <w:rFonts w:ascii="Arial" w:cs="Arial" w:eastAsia="Arial" w:hAnsi="Arial"/>
                <w:sz w:val="13"/>
                <w:szCs w:val="13"/>
                <w:color w:val="auto"/>
              </w:rPr>
              <w:t>available for sale</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(49,860)</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(41,540)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3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Asset acquisition, net of cash acquired</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(4,722)</w:t>
            </w:r>
          </w:p>
        </w:tc>
        <w:tc>
          <w:tcPr>
            <w:tcW w:w="90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24,166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140"/>
              <w:spacing w:after="0"/>
              <w:rPr>
                <w:sz w:val="20"/>
                <w:szCs w:val="20"/>
                <w:color w:val="auto"/>
              </w:rPr>
            </w:pPr>
            <w:r>
              <w:rPr>
                <w:rFonts w:ascii="Arial" w:cs="Arial" w:eastAsia="Arial" w:hAnsi="Arial"/>
                <w:sz w:val="13"/>
                <w:szCs w:val="13"/>
                <w:color w:val="auto"/>
              </w:rPr>
              <w:t>Sale of fixed maturity securities, available for sale</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41,650</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30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cash used in investing activities</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(22,757)</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(19,007)</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300" w:type="dxa"/>
            <w:vAlign w:val="bottom"/>
          </w:tcPr>
          <w:p>
            <w:pPr>
              <w:spacing w:after="0" w:line="111" w:lineRule="exact"/>
              <w:rPr>
                <w:sz w:val="20"/>
                <w:szCs w:val="20"/>
                <w:color w:val="auto"/>
              </w:rPr>
            </w:pPr>
            <w:r>
              <w:rPr>
                <w:rFonts w:ascii="Arial" w:cs="Arial" w:eastAsia="Arial" w:hAnsi="Arial"/>
                <w:sz w:val="12"/>
                <w:szCs w:val="12"/>
                <w:b w:val="1"/>
                <w:bCs w:val="1"/>
                <w:color w:val="auto"/>
              </w:rPr>
              <w:t>Cash flows from financing activities</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0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Proceeds from long-term debt and warrants, net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5"/>
              <w:spacing w:after="0" w:line="141" w:lineRule="exact"/>
              <w:rPr>
                <w:sz w:val="20"/>
                <w:szCs w:val="20"/>
                <w:color w:val="auto"/>
              </w:rPr>
            </w:pPr>
            <w:r>
              <w:rPr>
                <w:rFonts w:ascii="Arial" w:cs="Arial" w:eastAsia="Arial" w:hAnsi="Arial"/>
                <w:sz w:val="13"/>
                <w:szCs w:val="13"/>
                <w:color w:val="auto"/>
              </w:rPr>
              <w:t>9,734</w:t>
            </w:r>
          </w:p>
        </w:tc>
        <w:tc>
          <w:tcPr>
            <w:tcW w:w="9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40"/>
              <w:spacing w:after="0" w:line="141" w:lineRule="exact"/>
              <w:rPr>
                <w:sz w:val="20"/>
                <w:szCs w:val="20"/>
                <w:color w:val="auto"/>
              </w:rPr>
            </w:pPr>
            <w:r>
              <w:rPr>
                <w:rFonts w:ascii="Arial" w:cs="Arial" w:eastAsia="Arial" w:hAnsi="Arial"/>
                <w:sz w:val="13"/>
                <w:szCs w:val="13"/>
                <w:color w:val="auto"/>
              </w:rPr>
              <w:t>Payments of deferred financing cost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(144)</w:t>
            </w:r>
          </w:p>
        </w:tc>
        <w:tc>
          <w:tcPr>
            <w:tcW w:w="9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0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Proceeds from subscription receivable</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5"/>
              <w:spacing w:after="0" w:line="141" w:lineRule="exact"/>
              <w:rPr>
                <w:sz w:val="20"/>
                <w:szCs w:val="20"/>
                <w:color w:val="auto"/>
              </w:rPr>
            </w:pPr>
            <w:r>
              <w:rPr>
                <w:rFonts w:ascii="Arial" w:cs="Arial" w:eastAsia="Arial" w:hAnsi="Arial"/>
                <w:sz w:val="13"/>
                <w:szCs w:val="13"/>
                <w:color w:val="auto"/>
              </w:rPr>
              <w:t>38,100</w:t>
            </w:r>
          </w:p>
        </w:tc>
        <w:tc>
          <w:tcPr>
            <w:tcW w:w="9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00" w:type="dxa"/>
            <w:vAlign w:val="bottom"/>
            <w:tcBorders>
              <w:bottom w:val="single" w:sz="8" w:color="CCEEFF"/>
            </w:tcBorders>
          </w:tcPr>
          <w:p>
            <w:pPr>
              <w:ind w:left="140"/>
              <w:spacing w:after="0" w:line="141" w:lineRule="exact"/>
              <w:rPr>
                <w:sz w:val="20"/>
                <w:szCs w:val="20"/>
                <w:color w:val="auto"/>
              </w:rPr>
            </w:pPr>
            <w:r>
              <w:rPr>
                <w:rFonts w:ascii="Arial" w:cs="Arial" w:eastAsia="Arial" w:hAnsi="Arial"/>
                <w:sz w:val="13"/>
                <w:szCs w:val="13"/>
                <w:color w:val="auto"/>
              </w:rPr>
              <w:t>Proceeds from issuance of common units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
              <w:spacing w:after="0" w:line="141"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74,839</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300" w:type="dxa"/>
            <w:vAlign w:val="bottom"/>
            <w:tcBorders>
              <w:bottom w:val="single" w:sz="8" w:color="CCEEFF"/>
            </w:tcBorders>
            <w:shd w:val="clear" w:color="auto" w:fill="CCEEFF"/>
          </w:tcPr>
          <w:p>
            <w:pPr>
              <w:ind w:left="140"/>
              <w:spacing w:after="0" w:line="131" w:lineRule="exact"/>
              <w:rPr>
                <w:sz w:val="20"/>
                <w:szCs w:val="20"/>
                <w:color w:val="auto"/>
              </w:rPr>
            </w:pPr>
            <w:r>
              <w:rPr>
                <w:rFonts w:ascii="Arial" w:cs="Arial" w:eastAsia="Arial" w:hAnsi="Arial"/>
                <w:sz w:val="13"/>
                <w:szCs w:val="13"/>
                <w:b w:val="1"/>
                <w:bCs w:val="1"/>
                <w:color w:val="auto"/>
              </w:rPr>
              <w:t>Net cash provided by financing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5"/>
              <w:spacing w:after="0" w:line="131" w:lineRule="exact"/>
              <w:rPr>
                <w:sz w:val="20"/>
                <w:szCs w:val="20"/>
                <w:color w:val="auto"/>
              </w:rPr>
            </w:pPr>
            <w:r>
              <w:rPr>
                <w:rFonts w:ascii="Arial" w:cs="Arial" w:eastAsia="Arial" w:hAnsi="Arial"/>
                <w:sz w:val="13"/>
                <w:szCs w:val="13"/>
                <w:b w:val="1"/>
                <w:bCs w:val="1"/>
                <w:color w:val="auto"/>
              </w:rPr>
              <w:t>47,690</w:t>
            </w:r>
          </w:p>
        </w:tc>
        <w:tc>
          <w:tcPr>
            <w:tcW w:w="9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74,839</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00" w:type="dxa"/>
            <w:vAlign w:val="bottom"/>
          </w:tcPr>
          <w:p>
            <w:pPr>
              <w:ind w:left="400"/>
              <w:spacing w:after="0" w:line="128" w:lineRule="exact"/>
              <w:rPr>
                <w:sz w:val="20"/>
                <w:szCs w:val="20"/>
                <w:color w:val="auto"/>
              </w:rPr>
            </w:pPr>
            <w:r>
              <w:rPr>
                <w:rFonts w:ascii="Arial" w:cs="Arial" w:eastAsia="Arial" w:hAnsi="Arial"/>
                <w:sz w:val="13"/>
                <w:szCs w:val="13"/>
                <w:b w:val="1"/>
                <w:bCs w:val="1"/>
                <w:color w:val="auto"/>
              </w:rPr>
              <w:t>Net (decrease) increase in cash, cash</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300" w:type="dxa"/>
            <w:vAlign w:val="bottom"/>
          </w:tcPr>
          <w:p>
            <w:pPr>
              <w:ind w:left="520"/>
              <w:spacing w:after="0"/>
              <w:rPr>
                <w:sz w:val="20"/>
                <w:szCs w:val="20"/>
                <w:color w:val="auto"/>
              </w:rPr>
            </w:pPr>
            <w:r>
              <w:rPr>
                <w:rFonts w:ascii="Arial" w:cs="Arial" w:eastAsia="Arial" w:hAnsi="Arial"/>
                <w:sz w:val="13"/>
                <w:szCs w:val="13"/>
                <w:b w:val="1"/>
                <w:bCs w:val="1"/>
                <w:color w:val="auto"/>
              </w:rPr>
              <w:t>equivalents, and restricted cash</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(16,336)</w:t>
            </w:r>
          </w:p>
        </w:tc>
        <w:tc>
          <w:tcPr>
            <w:tcW w:w="90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(5,227)</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beginning</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44,064</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31,424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300" w:type="dxa"/>
            <w:vAlign w:val="bottom"/>
            <w:tcBorders>
              <w:bottom w:val="single" w:sz="8" w:color="CCEEFF"/>
            </w:tcBorders>
            <w:shd w:val="clear" w:color="auto" w:fill="CCEEFF"/>
          </w:tcPr>
          <w:p>
            <w:pPr>
              <w:ind w:left="140"/>
              <w:spacing w:after="0" w:line="139" w:lineRule="exact"/>
              <w:rPr>
                <w:sz w:val="20"/>
                <w:szCs w:val="20"/>
                <w:color w:val="auto"/>
              </w:rPr>
            </w:pPr>
            <w:r>
              <w:rPr>
                <w:rFonts w:ascii="Arial" w:cs="Arial" w:eastAsia="Arial" w:hAnsi="Arial"/>
                <w:sz w:val="13"/>
                <w:szCs w:val="13"/>
                <w:color w:val="auto"/>
              </w:rPr>
              <w:t>of period</w:t>
            </w:r>
          </w:p>
        </w:tc>
        <w:tc>
          <w:tcPr>
            <w:tcW w:w="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line="128" w:lineRule="exact"/>
              <w:rPr>
                <w:sz w:val="20"/>
                <w:szCs w:val="20"/>
                <w:color w:val="auto"/>
              </w:rPr>
            </w:pPr>
            <w:r>
              <w:rPr>
                <w:rFonts w:ascii="Arial" w:cs="Arial" w:eastAsia="Arial" w:hAnsi="Arial"/>
                <w:sz w:val="13"/>
                <w:szCs w:val="13"/>
                <w:b w:val="1"/>
                <w:bCs w:val="1"/>
                <w:color w:val="auto"/>
              </w:rPr>
              <w:t>Cash, cash equivalents and restricted cash, end of</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27,728</w:t>
            </w:r>
          </w:p>
        </w:tc>
        <w:tc>
          <w:tcPr>
            <w:tcW w:w="90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44,064</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26,197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00" w:type="dxa"/>
            <w:vAlign w:val="bottom"/>
          </w:tcPr>
          <w:p>
            <w:pPr>
              <w:ind w:left="140"/>
              <w:spacing w:after="0" w:line="113" w:lineRule="exact"/>
              <w:rPr>
                <w:sz w:val="20"/>
                <w:szCs w:val="20"/>
                <w:color w:val="auto"/>
              </w:rPr>
            </w:pPr>
            <w:r>
              <w:rPr>
                <w:rFonts w:ascii="Arial" w:cs="Arial" w:eastAsia="Arial" w:hAnsi="Arial"/>
                <w:sz w:val="13"/>
                <w:szCs w:val="13"/>
                <w:b w:val="1"/>
                <w:bCs w:val="1"/>
                <w:color w:val="auto"/>
              </w:rPr>
              <w:t>period</w:t>
            </w:r>
          </w:p>
        </w:tc>
        <w:tc>
          <w:tcPr>
            <w:tcW w:w="8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300" w:type="dxa"/>
            <w:vAlign w:val="bottom"/>
            <w:shd w:val="clear" w:color="auto" w:fill="CCEEFF"/>
          </w:tcPr>
          <w:p>
            <w:pPr>
              <w:spacing w:after="0" w:line="99" w:lineRule="exact"/>
              <w:rPr>
                <w:sz w:val="20"/>
                <w:szCs w:val="20"/>
                <w:color w:val="auto"/>
              </w:rPr>
            </w:pPr>
            <w:r>
              <w:rPr>
                <w:rFonts w:ascii="Arial" w:cs="Arial" w:eastAsia="Arial" w:hAnsi="Arial"/>
                <w:sz w:val="11"/>
                <w:szCs w:val="11"/>
                <w:b w:val="1"/>
                <w:bCs w:val="1"/>
                <w:color w:val="auto"/>
              </w:rPr>
              <w:t>Supplemental disclosure of cash and non-cash</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40"/>
              <w:spacing w:after="0" w:line="121" w:lineRule="exact"/>
              <w:rPr>
                <w:sz w:val="20"/>
                <w:szCs w:val="20"/>
                <w:color w:val="auto"/>
              </w:rPr>
            </w:pPr>
            <w:r>
              <w:rPr>
                <w:rFonts w:ascii="Arial" w:cs="Arial" w:eastAsia="Arial" w:hAnsi="Arial"/>
                <w:sz w:val="13"/>
                <w:szCs w:val="13"/>
                <w:color w:val="auto"/>
              </w:rPr>
              <w:t>Cash paid for interest</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5"/>
              <w:spacing w:after="0" w:line="121" w:lineRule="exact"/>
              <w:rPr>
                <w:sz w:val="20"/>
                <w:szCs w:val="20"/>
                <w:color w:val="auto"/>
              </w:rPr>
            </w:pPr>
            <w:r>
              <w:rPr>
                <w:rFonts w:ascii="Arial" w:cs="Arial" w:eastAsia="Arial" w:hAnsi="Arial"/>
                <w:sz w:val="13"/>
                <w:szCs w:val="13"/>
                <w:b w:val="1"/>
                <w:bCs w:val="1"/>
                <w:color w:val="auto"/>
              </w:rPr>
              <w:t>207</w:t>
            </w:r>
          </w:p>
        </w:tc>
        <w:tc>
          <w:tcPr>
            <w:tcW w:w="900" w:type="dxa"/>
            <w:vAlign w:val="bottom"/>
          </w:tcPr>
          <w:p>
            <w:pPr>
              <w:jc w:val="right"/>
              <w:ind w:right="15"/>
              <w:spacing w:after="0" w:line="121"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300" w:type="dxa"/>
            <w:vAlign w:val="bottom"/>
            <w:shd w:val="clear" w:color="auto" w:fill="CCEEFF"/>
          </w:tcPr>
          <w:p>
            <w:pPr>
              <w:spacing w:after="0" w:line="99" w:lineRule="exact"/>
              <w:rPr>
                <w:sz w:val="20"/>
                <w:szCs w:val="20"/>
                <w:color w:val="auto"/>
              </w:rPr>
            </w:pPr>
            <w:r>
              <w:rPr>
                <w:rFonts w:ascii="Arial" w:cs="Arial" w:eastAsia="Arial" w:hAnsi="Arial"/>
                <w:sz w:val="11"/>
                <w:szCs w:val="11"/>
                <w:b w:val="1"/>
                <w:bCs w:val="1"/>
                <w:color w:val="auto"/>
              </w:rPr>
              <w:t>Supplemental disclosure of non-cash investing</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and financing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rPr>
                <w:sz w:val="20"/>
                <w:szCs w:val="20"/>
                <w:color w:val="auto"/>
              </w:rPr>
            </w:pPr>
            <w:r>
              <w:rPr>
                <w:rFonts w:ascii="Arial" w:cs="Arial" w:eastAsia="Arial" w:hAnsi="Arial"/>
                <w:sz w:val="13"/>
                <w:szCs w:val="13"/>
                <w:color w:val="auto"/>
              </w:rPr>
              <w:t>Issuance of common units in exchange for asset</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w:t>
            </w:r>
          </w:p>
        </w:tc>
        <w:tc>
          <w:tcPr>
            <w:tcW w:w="90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251,700</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7"/>
        </w:trPr>
        <w:tc>
          <w:tcPr>
            <w:tcW w:w="3300" w:type="dxa"/>
            <w:vAlign w:val="bottom"/>
          </w:tcPr>
          <w:p>
            <w:pPr>
              <w:ind w:left="260"/>
              <w:spacing w:after="0" w:line="97" w:lineRule="exact"/>
              <w:rPr>
                <w:sz w:val="20"/>
                <w:szCs w:val="20"/>
                <w:color w:val="auto"/>
              </w:rPr>
            </w:pPr>
            <w:r>
              <w:rPr>
                <w:rFonts w:ascii="Arial" w:cs="Arial" w:eastAsia="Arial" w:hAnsi="Arial"/>
                <w:sz w:val="11"/>
                <w:szCs w:val="11"/>
                <w:color w:val="auto"/>
              </w:rPr>
              <w:t>acquisition</w:t>
            </w:r>
          </w:p>
        </w:tc>
        <w:tc>
          <w:tcPr>
            <w:tcW w:w="8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300" w:type="dxa"/>
            <w:vAlign w:val="bottom"/>
            <w:shd w:val="clear" w:color="auto" w:fill="CCEEFF"/>
          </w:tcPr>
          <w:p>
            <w:pPr>
              <w:ind w:left="140"/>
              <w:spacing w:after="0" w:line="114" w:lineRule="exact"/>
              <w:rPr>
                <w:sz w:val="20"/>
                <w:szCs w:val="20"/>
                <w:color w:val="auto"/>
              </w:rPr>
            </w:pPr>
            <w:r>
              <w:rPr>
                <w:rFonts w:ascii="Arial" w:cs="Arial" w:eastAsia="Arial" w:hAnsi="Arial"/>
                <w:sz w:val="13"/>
                <w:szCs w:val="13"/>
                <w:color w:val="auto"/>
              </w:rPr>
              <w:t>Purchase of property and equipment, accrued and</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b w:val="1"/>
                <w:bCs w:val="1"/>
                <w:color w:val="auto"/>
              </w:rPr>
              <w:t>4,472</w:t>
            </w: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unpaid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-1588770</wp:posOffset>
            </wp:positionV>
            <wp:extent cx="211010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101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-2136775</wp:posOffset>
            </wp:positionV>
            <wp:extent cx="211010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101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-2781300</wp:posOffset>
            </wp:positionV>
            <wp:extent cx="211010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10105" cy="6985"/>
                    </a:xfrm>
                    <a:prstGeom prst="rect">
                      <a:avLst/>
                    </a:prstGeom>
                    <a:noFill/>
                  </pic:spPr>
                </pic:pic>
              </a:graphicData>
            </a:graphic>
          </wp:anchor>
        </w:drawing>
      </w: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3" w:name="page224"/>
    <w:bookmarkEnd w:id="223"/>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439"/>
        <w:spacing w:after="0" w:line="223"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December 31, 2020 and 2019</w:t>
      </w:r>
    </w:p>
    <w:p>
      <w:pPr>
        <w:spacing w:after="0" w:line="3" w:lineRule="exact"/>
        <w:rPr>
          <w:sz w:val="20"/>
          <w:szCs w:val="20"/>
          <w:color w:val="auto"/>
        </w:rPr>
      </w:pPr>
    </w:p>
    <w:p>
      <w:pPr>
        <w:ind w:left="1220" w:right="2359"/>
        <w:spacing w:after="0" w:line="233" w:lineRule="auto"/>
        <w:rPr>
          <w:sz w:val="20"/>
          <w:szCs w:val="20"/>
          <w:color w:val="auto"/>
        </w:rPr>
      </w:pPr>
      <w:r>
        <w:rPr>
          <w:rFonts w:ascii="Arial" w:cs="Arial" w:eastAsia="Arial" w:hAnsi="Arial"/>
          <w:sz w:val="23"/>
          <w:szCs w:val="23"/>
          <w:b w:val="1"/>
          <w:bCs w:val="1"/>
          <w:color w:val="auto"/>
        </w:rPr>
        <w:t>(In thousands, except unit, share and per share amounts)</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22" w:lineRule="exact"/>
        <w:rPr>
          <w:sz w:val="20"/>
          <w:szCs w:val="20"/>
          <w:color w:val="auto"/>
        </w:rPr>
      </w:pPr>
    </w:p>
    <w:p>
      <w:pPr>
        <w:jc w:val="both"/>
        <w:ind w:left="1220" w:right="1499"/>
        <w:spacing w:after="0" w:line="265" w:lineRule="auto"/>
        <w:rPr>
          <w:sz w:val="20"/>
          <w:szCs w:val="20"/>
          <w:color w:val="auto"/>
        </w:rPr>
      </w:pPr>
      <w:r>
        <w:rPr>
          <w:rFonts w:ascii="Arial" w:cs="Arial" w:eastAsia="Arial" w:hAnsi="Arial"/>
          <w:sz w:val="14"/>
          <w:szCs w:val="14"/>
          <w:color w:val="auto"/>
        </w:rPr>
        <w:t>Century Therapeutics, Inc. (“Prior Century” or “Predecessor”),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On June 5, 2019, Century Therapeutics, LLC (the “Company” or “Successor”)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has no significant operations and accounts for its interest in the Company under the equity method of accounting.</w:t>
      </w:r>
    </w:p>
    <w:p>
      <w:pPr>
        <w:spacing w:after="0" w:line="279" w:lineRule="exact"/>
        <w:rPr>
          <w:sz w:val="20"/>
          <w:szCs w:val="20"/>
          <w:color w:val="auto"/>
        </w:rPr>
      </w:pPr>
    </w:p>
    <w:p>
      <w:pPr>
        <w:ind w:left="1220" w:right="1519"/>
        <w:spacing w:after="0" w:line="260" w:lineRule="auto"/>
        <w:rPr>
          <w:sz w:val="20"/>
          <w:szCs w:val="20"/>
          <w:color w:val="auto"/>
        </w:rPr>
      </w:pPr>
      <w:r>
        <w:rPr>
          <w:rFonts w:ascii="Arial" w:cs="Arial" w:eastAsia="Arial" w:hAnsi="Arial"/>
          <w:sz w:val="14"/>
          <w:szCs w:val="14"/>
          <w:color w:val="auto"/>
        </w:rPr>
        <w:t>As discussed in Note 17, Subsequent Events, 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97"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96"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The Company’s headquarters are located in Philadelphia, Pennsylvania. Prior to the conversion of the Company from an LLC to a Delaware corporation noted above, the Company’s capital structure was comprised of common limited liability membership interests, issued in the form of a single class of common units, with no stated limit to a members’ liability or a finite life to the Company.</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6" w:lineRule="exact"/>
        <w:rPr>
          <w:sz w:val="20"/>
          <w:szCs w:val="20"/>
          <w:color w:val="auto"/>
        </w:rPr>
      </w:pPr>
    </w:p>
    <w:p>
      <w:pPr>
        <w:ind w:left="1220" w:right="1779"/>
        <w:spacing w:after="0" w:line="265"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25"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10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Since inception, both the Company and Prior Century have incurred net losses and negative cash flows from operations. During the Successor year ended December 31, 2020, the Company incurred a net loss of $53,575 and used $41,269 of cash for operations. During the Successor period June 21, 2019 through December 31, 2019, the Company incurred a net loss of $238,767 and used $11,768 of cash for operations. During the Predecessor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4" w:name="page225"/>
    <w:bookmarkEnd w:id="224"/>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period January 1, 2019 through June 20, 2019, Prior Century incurred a net loss of $6,002 and used $4,400 of cash for operations. Management expects to incur additional losses in the future to fund its operations and conduct product research and development and recognizes the need to raise additional capital to fully implement its business plan. As further described in Note 3, the Company obtained a cash capital commitment from Bayer totaling $215,000, from which net proceeds of $74,839 were received in June 2019, $38,100 were received in November 2020 and $31,900 were received in January 2021. Bayer has no continuing obligation to invest any additional amounts under its commitment, which terminated on February 25, 2021. As further described in Note 9, the Company entered into a Loan Agreement pursuant to which it received net proceeds of $9,734 in September 2020. As described in Note 16,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200" w:lineRule="exact"/>
        <w:rPr>
          <w:sz w:val="20"/>
          <w:szCs w:val="20"/>
          <w:color w:val="auto"/>
        </w:rPr>
      </w:pPr>
    </w:p>
    <w:p>
      <w:pPr>
        <w:spacing w:after="0" w:line="286" w:lineRule="exact"/>
        <w:rPr>
          <w:sz w:val="20"/>
          <w:szCs w:val="20"/>
          <w:color w:val="auto"/>
        </w:rPr>
      </w:pPr>
    </w:p>
    <w:p>
      <w:pPr>
        <w:ind w:left="1220" w:right="2199"/>
        <w:spacing w:after="0" w:line="267"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5"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at the beginning of the successor period, June 21, 2019. See Note 10 for further information on the Company’s capital restructuring.</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36" w:lineRule="exact"/>
        <w:rPr>
          <w:sz w:val="20"/>
          <w:szCs w:val="20"/>
          <w:color w:val="auto"/>
        </w:rPr>
      </w:pPr>
    </w:p>
    <w:p>
      <w:pPr>
        <w:ind w:left="1220" w:right="1439"/>
        <w:spacing w:after="0" w:line="262"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5"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36"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5" w:name="page226"/>
    <w:bookmarkEnd w:id="225"/>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20" w:right="1239"/>
        <w:spacing w:after="0" w:line="281" w:lineRule="auto"/>
        <w:rPr>
          <w:sz w:val="20"/>
          <w:szCs w:val="20"/>
          <w:color w:val="auto"/>
        </w:rPr>
      </w:pPr>
      <w:r>
        <w:rPr>
          <w:rFonts w:ascii="Arial" w:cs="Arial" w:eastAsia="Arial" w:hAnsi="Arial"/>
          <w:sz w:val="14"/>
          <w:szCs w:val="14"/>
          <w:color w:val="auto"/>
        </w:rPr>
        <w:t>limited number of financial institutions. At times, such deposits may be in excess of insured limits. As of December 31, 2020 and 2019, the Company has not experienced any losses on its deposits of cash and cash equivalents.</w:t>
      </w:r>
    </w:p>
    <w:p>
      <w:pPr>
        <w:spacing w:after="0" w:line="93"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87"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07" w:lineRule="exact"/>
        <w:rPr>
          <w:sz w:val="20"/>
          <w:szCs w:val="20"/>
          <w:color w:val="auto"/>
        </w:rPr>
      </w:pPr>
    </w:p>
    <w:p>
      <w:pPr>
        <w:ind w:left="1220" w:right="1319"/>
        <w:spacing w:after="0" w:line="276"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36"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4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10" w:lineRule="exact"/>
        <w:rPr>
          <w:sz w:val="20"/>
          <w:szCs w:val="20"/>
          <w:color w:val="auto"/>
        </w:rPr>
      </w:pPr>
    </w:p>
    <w:p>
      <w:pPr>
        <w:ind w:left="1920" w:right="1539" w:hanging="690"/>
        <w:spacing w:after="0" w:line="290" w:lineRule="auto"/>
        <w:tabs>
          <w:tab w:leader="none" w:pos="1900" w:val="left"/>
        </w:tabs>
        <w:rPr>
          <w:sz w:val="20"/>
          <w:szCs w:val="20"/>
          <w:color w:val="auto"/>
        </w:rPr>
      </w:pPr>
      <w:r>
        <w:rPr>
          <w:rFonts w:ascii="Arial" w:cs="Arial" w:eastAsia="Arial" w:hAnsi="Arial"/>
          <w:sz w:val="14"/>
          <w:szCs w:val="14"/>
          <w:color w:val="auto"/>
        </w:rPr>
        <w:t>Level 1</w:t>
        <w:tab/>
        <w:t>Inputs that reflect unadjusted quoted prices in active markets for identical assets or liabilities that the Company has the ability to access at the measurement date;</w:t>
      </w:r>
    </w:p>
    <w:p>
      <w:pPr>
        <w:spacing w:after="0" w:line="86" w:lineRule="exact"/>
        <w:rPr>
          <w:sz w:val="20"/>
          <w:szCs w:val="20"/>
          <w:color w:val="auto"/>
        </w:rPr>
      </w:pPr>
    </w:p>
    <w:p>
      <w:pPr>
        <w:ind w:left="1920" w:right="1459" w:hanging="690"/>
        <w:spacing w:after="0" w:line="290" w:lineRule="auto"/>
        <w:tabs>
          <w:tab w:leader="none" w:pos="1900" w:val="left"/>
        </w:tabs>
        <w:rPr>
          <w:sz w:val="20"/>
          <w:szCs w:val="20"/>
          <w:color w:val="auto"/>
        </w:rPr>
      </w:pPr>
      <w:r>
        <w:rPr>
          <w:rFonts w:ascii="Arial" w:cs="Arial" w:eastAsia="Arial" w:hAnsi="Arial"/>
          <w:sz w:val="14"/>
          <w:szCs w:val="14"/>
          <w:color w:val="auto"/>
        </w:rPr>
        <w:t>Level 2</w:t>
        <w:tab/>
        <w:t>Inputs other than quoted prices that are observable for the asset or liability either directly or indirectly, including inputs in markets that are not considered to be active;</w:t>
      </w:r>
    </w:p>
    <w:p>
      <w:pPr>
        <w:spacing w:after="0" w:line="96" w:lineRule="exact"/>
        <w:rPr>
          <w:sz w:val="20"/>
          <w:szCs w:val="20"/>
          <w:color w:val="auto"/>
        </w:rPr>
      </w:pPr>
    </w:p>
    <w:p>
      <w:pPr>
        <w:ind w:left="1920" w:right="1619" w:hanging="690"/>
        <w:spacing w:after="0" w:line="290" w:lineRule="auto"/>
        <w:tabs>
          <w:tab w:leader="none" w:pos="1900" w:val="left"/>
        </w:tabs>
        <w:rPr>
          <w:sz w:val="20"/>
          <w:szCs w:val="20"/>
          <w:color w:val="auto"/>
        </w:rPr>
      </w:pPr>
      <w:r>
        <w:rPr>
          <w:rFonts w:ascii="Arial" w:cs="Arial" w:eastAsia="Arial" w:hAnsi="Arial"/>
          <w:sz w:val="14"/>
          <w:szCs w:val="14"/>
          <w:color w:val="auto"/>
        </w:rPr>
        <w:t>Level 3</w:t>
        <w:tab/>
        <w:t>Inputs are unobservable in which there is little or no market data available, which require the reporting entity to develop its own assumptions that are unobservable.</w:t>
      </w:r>
    </w:p>
    <w:p>
      <w:pPr>
        <w:spacing w:after="0" w:line="96"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6" w:name="page227"/>
    <w:bookmarkEnd w:id="226"/>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6" w:lineRule="exact"/>
        <w:rPr>
          <w:sz w:val="20"/>
          <w:szCs w:val="20"/>
          <w:color w:val="auto"/>
        </w:rPr>
      </w:pPr>
    </w:p>
    <w:p>
      <w:pPr>
        <w:jc w:val="both"/>
        <w:ind w:left="1220" w:right="1559"/>
        <w:spacing w:after="0" w:line="29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46" w:lineRule="exact"/>
        <w:rPr>
          <w:sz w:val="20"/>
          <w:szCs w:val="20"/>
          <w:color w:val="auto"/>
        </w:rPr>
      </w:pPr>
    </w:p>
    <w:p>
      <w:pPr>
        <w:jc w:val="both"/>
        <w:ind w:left="1220" w:right="1559"/>
        <w:spacing w:after="0" w:line="281" w:lineRule="auto"/>
        <w:rPr>
          <w:sz w:val="20"/>
          <w:szCs w:val="20"/>
          <w:color w:val="auto"/>
        </w:rPr>
      </w:pPr>
      <w:r>
        <w:rPr>
          <w:rFonts w:ascii="Arial" w:cs="Arial" w:eastAsia="Arial" w:hAnsi="Arial"/>
          <w:sz w:val="14"/>
          <w:szCs w:val="14"/>
          <w:color w:val="auto"/>
        </w:rPr>
        <w:t>As of December 31, 2020, the Company has $517 in cash on deposit to secure certain lease commitments. Restricted cash is recorded separately in the Company’s consolidated balance sheets.</w:t>
      </w:r>
    </w:p>
    <w:p>
      <w:pPr>
        <w:spacing w:after="0" w:line="10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165600" cy="139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34" w:lineRule="exact"/>
        <w:rPr>
          <w:sz w:val="20"/>
          <w:szCs w:val="20"/>
          <w:color w:val="auto"/>
        </w:rPr>
      </w:pPr>
    </w:p>
    <w:p>
      <w:pPr>
        <w:ind w:left="6140"/>
        <w:spacing w:after="0"/>
        <w:rPr>
          <w:sz w:val="20"/>
          <w:szCs w:val="20"/>
          <w:color w:val="auto"/>
        </w:rPr>
      </w:pPr>
      <w:r>
        <w:rPr>
          <w:rFonts w:ascii="Arial" w:cs="Arial" w:eastAsia="Arial" w:hAnsi="Arial"/>
          <w:sz w:val="13"/>
          <w:szCs w:val="13"/>
          <w:b w:val="1"/>
          <w:bCs w:val="1"/>
          <w:color w:val="auto"/>
        </w:rPr>
        <w:t>Successor</w:t>
      </w:r>
    </w:p>
    <w:p>
      <w:pPr>
        <w:spacing w:after="0" w:line="2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88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December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2019</w:t>
            </w:r>
          </w:p>
        </w:tc>
      </w:tr>
      <w:tr>
        <w:trPr>
          <w:trHeight w:val="166"/>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$ 27,211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182"/>
        </w:trPr>
        <w:tc>
          <w:tcPr>
            <w:tcW w:w="3880" w:type="dxa"/>
            <w:vAlign w:val="bottom"/>
          </w:tcPr>
          <w:p>
            <w:pPr>
              <w:spacing w:after="0"/>
              <w:rPr>
                <w:sz w:val="20"/>
                <w:szCs w:val="20"/>
                <w:color w:val="auto"/>
              </w:rPr>
            </w:pPr>
            <w:r>
              <w:rPr>
                <w:rFonts w:ascii="Arial" w:cs="Arial" w:eastAsia="Arial" w:hAnsi="Arial"/>
                <w:sz w:val="14"/>
                <w:szCs w:val="14"/>
                <w:color w:val="auto"/>
              </w:rPr>
              <w:t>Restricted cash</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517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$ 27,728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20"/>
        </w:trPr>
        <w:tc>
          <w:tcPr>
            <w:tcW w:w="3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-403860</wp:posOffset>
            </wp:positionV>
            <wp:extent cx="245999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59990"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3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46" w:lineRule="exact"/>
        <w:rPr>
          <w:sz w:val="20"/>
          <w:szCs w:val="20"/>
          <w:color w:val="auto"/>
        </w:rPr>
      </w:pPr>
    </w:p>
    <w:p>
      <w:pPr>
        <w:jc w:val="both"/>
        <w:ind w:left="1220" w:right="1479"/>
        <w:spacing w:after="0" w:line="283"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283"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639"/>
        <w:spacing w:after="0" w:line="277"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Employees and members of the board of managers of the Company have received stock options and restricted stock of Prior Century. The Company recognizes the cost of the stock-based compensation incurred by Prior Century on its behalf as its employees and board members vest in the awards. Prior Century accounts for stock-based compensation arrangements in accordance with provisions of Accounting Standards Codification (“ASC”) 718,</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7" w:name="page228"/>
    <w:bookmarkEnd w:id="227"/>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Prior Century uses the Black-Scholes option-pricing model (“Black Scholes”) to determine the fair value of options granted. Prior Century’s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68"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ind w:left="1220" w:right="1279" w:firstLine="4"/>
        <w:spacing w:after="0" w:line="258" w:lineRule="auto"/>
        <w:tabs>
          <w:tab w:leader="none" w:pos="1478"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Prior Century’s common stock and lack of company-specific historical and implied volatility data, Prior Century has based its computation of expected volatility on the historical volatility of a representative group of public companies with similar characteristics to Prior Century, including stage of product development and life science industry focus. The historical volatility is calculated based on a period of time commensurate with expected term assumption. Prior Century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Prior Century has never paid dividends and has no current plans to pay any dividends on its common stock. Forfeitures are recognized as they occur.</w:t>
      </w:r>
    </w:p>
    <w:p>
      <w:pPr>
        <w:spacing w:after="0" w:line="286" w:lineRule="exact"/>
        <w:rPr>
          <w:sz w:val="20"/>
          <w:szCs w:val="20"/>
          <w:color w:val="auto"/>
        </w:rPr>
      </w:pPr>
    </w:p>
    <w:p>
      <w:pPr>
        <w:ind w:left="1220" w:right="1359"/>
        <w:spacing w:after="0" w:line="258" w:lineRule="auto"/>
        <w:rPr>
          <w:sz w:val="20"/>
          <w:szCs w:val="20"/>
          <w:color w:val="auto"/>
        </w:rPr>
      </w:pPr>
      <w:r>
        <w:rPr>
          <w:rFonts w:ascii="Arial" w:cs="Arial" w:eastAsia="Arial" w:hAnsi="Arial"/>
          <w:sz w:val="14"/>
          <w:szCs w:val="14"/>
          <w:color w:val="auto"/>
        </w:rPr>
        <w:t>Due to the absence of an active market for Prior Century’s common stock, Prior Century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Prior Century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Prior Century’s financial position and historical financial performance, the status of technological developments within Prior Century’s research, the composition and ability of the current research and management team, an evaluation or benchmark of Prior Century’s competition, and the current business climate in the marketplace. Significant changes to the key assumptions underlying the factors used could result in different fair values of common stock at each valuation date.</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Warrants</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as either derivative liabilities or as equity instruments 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Non-cumulative convertible preferred stock</w:t>
      </w:r>
    </w:p>
    <w:p>
      <w:pPr>
        <w:spacing w:after="0" w:line="125"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The Company’s non-cumulative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non-cumulative convertible preferred stock to its redemption value until it is probable that the security will become redeemable.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8" w:name="page229"/>
    <w:bookmarkEnd w:id="228"/>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125"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Our basic and diluted net loss per common share is calculated by dividing the net loss by the weighted average number of shares of common shares outstanding during the periods presented. Stock options, restricted stock, stock purchase warrants and preferred stock are included in the diluted earnings per share calculations, unless the effects are anti-dilutive.</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83"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Company was organized as a limited liability company until February 25, 2021, which is</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considered a passthrough entity for federal and state income tax purposes. As such, any taxable</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income or loss realized by the Company is allocated to the Members’ in accordance with their</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respective membership interest and reported on their individual tax returns. Therefore, no</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provisions or liability for income taxes is necessary in the accompanying consolidated financial</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statements. Prior Century was a C-Corporation in the predecessor period and had losses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$6,002 and a full valuation allowance as realization of the related tax benefits was not more likely</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than not.</w:t>
      </w:r>
    </w:p>
    <w:p>
      <w:pPr>
        <w:spacing w:after="0" w:line="130"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The Company records uncertain tax positions as liabilities in accordance with ASC 740 and adjusts these liabilities when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2020 and 2019, the Company has not recorded any uncertain tax positions in its consolidated financial statements.</w:t>
      </w:r>
    </w:p>
    <w:p>
      <w:pPr>
        <w:spacing w:after="0" w:line="279"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The Company recognizes interest and penalties related to unrecognized tax benefits on the income tax expense line in the accompanying statement of operations. As of December 31, 2020 and 2019, no accrued interest or penalties are recorded in the consolidated balance sheets.</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5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34"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In March 2020, the Financial Accounting Standards Board (“FASB”) issued ASU 2020-03, “Codification Improvements to Financial Instruments” (“ASU 2020-03”). ASU 2020-03 improves and clarifies various financial instruments topics. ASU 2020-03 includes seven different issues that describe the areas of improvement and the related amendments to U.S. GAAP, intended to make the standards easier to understand and apply by eliminating inconsistencies and providing clarifications. The Company adopted ASU 2020-03, effective January 1, 2020, which did not have a material effect on the Company’s consolidated financial statements.</w:t>
      </w:r>
    </w:p>
    <w:p>
      <w:pPr>
        <w:spacing w:after="0" w:line="95" w:lineRule="exact"/>
        <w:rPr>
          <w:sz w:val="20"/>
          <w:szCs w:val="20"/>
          <w:color w:val="auto"/>
        </w:rPr>
      </w:pPr>
    </w:p>
    <w:p>
      <w:pPr>
        <w:jc w:val="both"/>
        <w:ind w:left="1220" w:right="1599"/>
        <w:spacing w:after="0" w:line="265" w:lineRule="auto"/>
        <w:rPr>
          <w:sz w:val="20"/>
          <w:szCs w:val="20"/>
          <w:color w:val="auto"/>
        </w:rPr>
      </w:pPr>
      <w:r>
        <w:rPr>
          <w:rFonts w:ascii="Arial" w:cs="Arial" w:eastAsia="Arial" w:hAnsi="Arial"/>
          <w:sz w:val="14"/>
          <w:szCs w:val="14"/>
          <w:color w:val="auto"/>
        </w:rPr>
        <w:t>In February 2016, the FASB issued ASU 2016-02 Leases (ASC 842). In July 2018, the FASB issued ASU No. 2018-10, “Codification Improvements to Topic 842, Leases” (ASU 2018-10), which provides narrow</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9" w:name="page230"/>
    <w:bookmarkEnd w:id="229"/>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91" w:lineRule="auto"/>
        <w:rPr>
          <w:sz w:val="20"/>
          <w:szCs w:val="20"/>
          <w:color w:val="auto"/>
        </w:rPr>
      </w:pPr>
      <w:r>
        <w:rPr>
          <w:rFonts w:ascii="Arial" w:cs="Arial" w:eastAsia="Arial" w:hAnsi="Arial"/>
          <w:sz w:val="14"/>
          <w:szCs w:val="14"/>
          <w:color w:val="auto"/>
        </w:rPr>
        <w:t>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Topic 840, Leases. ASC 842 establishes a right-of-use model that requires a lessee to record a right-of-use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The Company adopted ASC 842 on January 1, 2020 using the modified retrospective transition method. Prior period results continue to be presented under ASC 840 based on the accounting standards originally in effect for such periods.</w:t>
      </w:r>
    </w:p>
    <w:p>
      <w:pPr>
        <w:spacing w:after="0" w:line="290" w:lineRule="exact"/>
        <w:rPr>
          <w:sz w:val="20"/>
          <w:szCs w:val="20"/>
          <w:color w:val="auto"/>
        </w:rPr>
      </w:pPr>
    </w:p>
    <w:p>
      <w:pPr>
        <w:ind w:left="1220" w:right="1259"/>
        <w:spacing w:after="0" w:line="289" w:lineRule="auto"/>
        <w:rPr>
          <w:sz w:val="20"/>
          <w:szCs w:val="20"/>
          <w:color w:val="auto"/>
        </w:rPr>
      </w:pPr>
      <w:r>
        <w:rPr>
          <w:rFonts w:ascii="Arial" w:cs="Arial" w:eastAsia="Arial" w:hAnsi="Arial"/>
          <w:sz w:val="14"/>
          <w:szCs w:val="14"/>
          <w:color w:val="auto"/>
        </w:rPr>
        <w:t>The Company has elected certain practical expedients permitted under the transition guidance within ASC 842 to leases that commenced before January 1, 2020,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2020. The Company also elected the practical expedient to not record short-term leases on its consolidated balance sheet and to combine lease and non-lease components into a single lease component when measuring its leases. The adoption of ASU 2016-02 did not have a significant impact on the Company’s consolidated results of operations or cash flows. Upon adoption, the Company did not recognize a ROU asset and lease liability as no leases with an original term greater than</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12 months commenced prior to January 1, 2020. For the Successor period ended December 31,</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2020, the initial ROU asset and lease liability recognized was $9,735.</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 Accounting Pronouncements</w:t>
      </w:r>
    </w:p>
    <w:p>
      <w:pPr>
        <w:spacing w:after="0" w:line="144" w:lineRule="exact"/>
        <w:rPr>
          <w:sz w:val="20"/>
          <w:szCs w:val="20"/>
          <w:color w:val="auto"/>
        </w:rPr>
      </w:pPr>
    </w:p>
    <w:p>
      <w:pPr>
        <w:ind w:left="1220" w:right="1319"/>
        <w:spacing w:after="0" w:line="293"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ASU 2018-13, effective January 1, 2021, which did not have a material effect on the Company’s consolidated financial statements.</w:t>
      </w:r>
    </w:p>
    <w:p>
      <w:pPr>
        <w:spacing w:after="0" w:line="299"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is currently evaluating the impact the adoption of ASU 2020-06 will have on the consolidated financial statements.</w:t>
      </w:r>
    </w:p>
    <w:p>
      <w:pPr>
        <w:spacing w:after="0" w:line="290" w:lineRule="exact"/>
        <w:rPr>
          <w:sz w:val="20"/>
          <w:szCs w:val="20"/>
          <w:color w:val="auto"/>
        </w:rPr>
      </w:pPr>
    </w:p>
    <w:p>
      <w:pPr>
        <w:ind w:left="1220" w:right="1259"/>
        <w:spacing w:after="0" w:line="292" w:lineRule="auto"/>
        <w:rPr>
          <w:sz w:val="20"/>
          <w:szCs w:val="20"/>
          <w:color w:val="auto"/>
        </w:rPr>
      </w:pPr>
      <w:r>
        <w:rPr>
          <w:rFonts w:ascii="Arial" w:cs="Arial" w:eastAsia="Arial" w:hAnsi="Arial"/>
          <w:sz w:val="14"/>
          <w:szCs w:val="14"/>
          <w:color w:val="auto"/>
        </w:rPr>
        <w:t>In October 2020, the FASB issued ASU No. 2020-08, Codification Improvements to Subtopic 310-20, Receivables—Nonrefundable Fees and Other Costs (“ASU 2020-08”), and ASU No. 2020-10, Codification Improvements (“ASU 2020-10”). ASU 2020-08 and ASU 2020-10 provide changes to clarify or improve existing guidance. This guidance is effective for fiscal years beginning after December 15, 2021, including interim periods within those fiscal years. Early adoption is not permitted. The Company is currently evaluating the impact that ASU 2020-08 and ASU 2020-10 will have on our consolidated financial statements and disclosures.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0" w:name="page231"/>
    <w:bookmarkEnd w:id="230"/>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3—Initial capitalization</w:t>
      </w:r>
    </w:p>
    <w:p>
      <w:pPr>
        <w:spacing w:after="0" w:line="122"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36" w:lineRule="exact"/>
        <w:rPr>
          <w:sz w:val="20"/>
          <w:szCs w:val="20"/>
          <w:color w:val="auto"/>
        </w:rPr>
      </w:pPr>
    </w:p>
    <w:p>
      <w:pPr>
        <w:ind w:left="1220" w:right="1759"/>
        <w:spacing w:after="0" w:line="265"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103"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95"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95250</wp:posOffset>
            </wp:positionV>
            <wp:extent cx="4165600" cy="13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9"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00" w:type="dxa"/>
            <w:vAlign w:val="bottom"/>
          </w:tcPr>
          <w:p>
            <w:pPr>
              <w:spacing w:after="0"/>
              <w:rPr>
                <w:sz w:val="15"/>
                <w:szCs w:val="15"/>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3"/>
        </w:trPr>
        <w:tc>
          <w:tcPr>
            <w:tcW w:w="5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6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IPR&amp;D</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60" w:type="dxa"/>
            <w:vAlign w:val="bottom"/>
          </w:tcPr>
          <w:p>
            <w:pPr>
              <w:spacing w:after="0"/>
              <w:rPr>
                <w:sz w:val="15"/>
                <w:szCs w:val="15"/>
                <w:color w:val="auto"/>
              </w:rPr>
            </w:pPr>
          </w:p>
        </w:tc>
      </w:tr>
      <w:tr>
        <w:trPr>
          <w:trHeight w:val="23"/>
        </w:trPr>
        <w:tc>
          <w:tcPr>
            <w:tcW w:w="5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8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60" w:type="dxa"/>
            <w:vAlign w:val="bottom"/>
          </w:tcPr>
          <w:p>
            <w:pPr>
              <w:spacing w:after="0"/>
              <w:rPr>
                <w:sz w:val="16"/>
                <w:szCs w:val="16"/>
                <w:color w:val="auto"/>
              </w:rPr>
            </w:pPr>
          </w:p>
        </w:tc>
      </w:t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Other current assets</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60" w:type="dxa"/>
            <w:vAlign w:val="bottom"/>
          </w:tcPr>
          <w:p>
            <w:pPr>
              <w:spacing w:after="0"/>
              <w:rPr>
                <w:sz w:val="15"/>
                <w:szCs w:val="15"/>
                <w:color w:val="auto"/>
              </w:rPr>
            </w:pPr>
          </w:p>
        </w:tc>
      </w:tr>
      <w:tr>
        <w:trPr>
          <w:trHeight w:val="23"/>
        </w:trPr>
        <w:tc>
          <w:tcPr>
            <w:tcW w:w="5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8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60" w:type="dxa"/>
            <w:vAlign w:val="bottom"/>
          </w:tcPr>
          <w:p>
            <w:pPr>
              <w:spacing w:after="0"/>
              <w:rPr>
                <w:sz w:val="16"/>
                <w:szCs w:val="16"/>
                <w:color w:val="auto"/>
              </w:rPr>
            </w:pPr>
          </w:p>
        </w:tc>
      </w:tr>
      <w:tr>
        <w:trPr>
          <w:trHeight w:val="185"/>
        </w:trPr>
        <w:tc>
          <w:tcPr>
            <w:tcW w:w="5200" w:type="dxa"/>
            <w:vAlign w:val="bottom"/>
          </w:tcPr>
          <w:p>
            <w:pPr>
              <w:spacing w:after="0"/>
              <w:rPr>
                <w:sz w:val="20"/>
                <w:szCs w:val="20"/>
                <w:color w:val="auto"/>
              </w:rPr>
            </w:pPr>
            <w:r>
              <w:rPr>
                <w:rFonts w:ascii="Arial" w:cs="Arial" w:eastAsia="Arial" w:hAnsi="Arial"/>
                <w:sz w:val="14"/>
                <w:szCs w:val="14"/>
                <w:color w:val="auto"/>
              </w:rPr>
              <w:t>Current liabilities</w:t>
            </w:r>
          </w:p>
        </w:tc>
        <w:tc>
          <w:tcPr>
            <w:tcW w:w="8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198"/>
        </w:trPr>
        <w:tc>
          <w:tcPr>
            <w:tcW w:w="52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30263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02635" cy="6985"/>
                    </a:xfrm>
                    <a:prstGeom prst="rect">
                      <a:avLst/>
                    </a:prstGeom>
                    <a:noFill/>
                  </pic:spPr>
                </pic:pic>
              </a:graphicData>
            </a:graphic>
          </wp:anchor>
        </w:drawing>
      </w:r>
    </w:p>
    <w:p>
      <w:pPr>
        <w:spacing w:after="0" w:line="87"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allogeneic cell therapy platform. As the IPR&amp;D asset has no alternative future use to the Company, the Company charged $225,946 to expense within its consolidated statements of operations.</w:t>
      </w:r>
    </w:p>
    <w:p>
      <w:pPr>
        <w:spacing w:after="0" w:line="270"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 valuation of the equity interests issued to Prior Century was based on an assessment of the total purchase consideration implied by the transaction between Bayer and the Company at the formation of the Company for Bayer’s 28% equity interest. In determining the implied fair value of the Company, the Company first determined whether Bayer received anything incremental to its 28% equity interest in the Company and considered that Bayer received a disproportionate tax benefit given their allocation of 100 percent of the tax losses of the Company until Bayer’s tax basis in the Company is equal to their ownership interest in the equity of the Company, per the terms of the LLC operating agreement. Given this benefit, the Company estimated the fair value of these additional tax savings over the expected period Bayer would receive this disproportionate benefit. After adjusting for the tax benefits Bayer receives, an implied fair value for the Company was estimated at the date the Company was formed which was used to value the equity interests issued to Prior Century.</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36"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1" w:name="page232"/>
    <w:bookmarkEnd w:id="231"/>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659"/>
        <w:spacing w:after="0" w:line="306" w:lineRule="auto"/>
        <w:rPr>
          <w:sz w:val="20"/>
          <w:szCs w:val="20"/>
          <w:color w:val="auto"/>
        </w:rPr>
      </w:pPr>
      <w:r>
        <w:rPr>
          <w:rFonts w:ascii="Arial" w:cs="Arial" w:eastAsia="Arial" w:hAnsi="Arial"/>
          <w:sz w:val="14"/>
          <w:szCs w:val="14"/>
          <w:color w:val="auto"/>
        </w:rPr>
        <w:t>not recorded as a subscription receivable as of December 31, 2020 or 2019. Tranche 2 was eliminated in connection with the Series C preferred financing. See Note 17.</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Rights</w:t>
      </w:r>
    </w:p>
    <w:p>
      <w:pPr>
        <w:spacing w:after="0" w:line="136" w:lineRule="exact"/>
        <w:rPr>
          <w:sz w:val="20"/>
          <w:szCs w:val="20"/>
          <w:color w:val="auto"/>
        </w:rPr>
      </w:pPr>
    </w:p>
    <w:p>
      <w:pPr>
        <w:jc w:val="both"/>
        <w:ind w:left="1220" w:right="1259"/>
        <w:spacing w:after="0" w:line="297"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04" w:lineRule="exact"/>
        <w:rPr>
          <w:sz w:val="20"/>
          <w:szCs w:val="20"/>
          <w:color w:val="auto"/>
        </w:rPr>
      </w:pPr>
    </w:p>
    <w:p>
      <w:pPr>
        <w:ind w:left="1220" w:right="1239"/>
        <w:spacing w:after="0" w:line="290" w:lineRule="auto"/>
        <w:rPr>
          <w:sz w:val="20"/>
          <w:szCs w:val="20"/>
          <w:color w:val="auto"/>
        </w:rPr>
      </w:pPr>
      <w:r>
        <w:rPr>
          <w:rFonts w:ascii="Arial" w:cs="Arial" w:eastAsia="Arial" w:hAnsi="Arial"/>
          <w:sz w:val="14"/>
          <w:szCs w:val="14"/>
          <w:color w:val="auto"/>
        </w:rPr>
        <w:t>Management determined that Prior Century did not retain control of the Company as Prior Century did not have the power to direct the activities of the Company that would most significantly impact its economic performance as a result of the rights provided to Bayer. These rights included, but weren’t limited to, (1) approval rights over the Company’s initial business plan and budget, including the need for the Company to obtain consent from both Bayer and Prior Century to alter the budget prospectively by more than 20 percent. This had the effect of requiring both Bayer and Prior Century to approve the Company’s research and development plan, as the allocation of funds to the research and development plan are determined within the Company’s operating budget. This also included the decision-making around the FCDI collaboration agreement (Note 16) within the research plan; (2) approval rights over hiring and termination decisions of the Company’s Chief Executive Officer, which required consent from both Bayer and Prior Century; and (3) approval rights over equity and debt capital raising decisions. In the event of a disagreement over these decisions, independent mediation is required, providing no tie-breaking authority to Bayer or Prior Century. For the foregoing reasons, Prior Century determined it did not retain control of the Company.</w:t>
      </w:r>
    </w:p>
    <w:p>
      <w:pPr>
        <w:spacing w:after="0" w:line="308" w:lineRule="exact"/>
        <w:rPr>
          <w:sz w:val="20"/>
          <w:szCs w:val="20"/>
          <w:color w:val="auto"/>
        </w:rPr>
      </w:pPr>
    </w:p>
    <w:p>
      <w:pPr>
        <w:ind w:left="1220" w:right="1299"/>
        <w:spacing w:after="0" w:line="295"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6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33" w:lineRule="exact"/>
        <w:rPr>
          <w:sz w:val="20"/>
          <w:szCs w:val="20"/>
          <w:color w:val="auto"/>
        </w:rPr>
      </w:pPr>
    </w:p>
    <w:p>
      <w:pPr>
        <w:ind w:left="1220" w:right="1339"/>
        <w:spacing w:after="0" w:line="306"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members’ equity until received from Bayer.</w:t>
      </w:r>
    </w:p>
    <w:p>
      <w:pPr>
        <w:spacing w:after="0" w:line="97"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4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133"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December 31, 2020, accrued compensation expense on the promissory note was $282, which is presented within accrued expenses and other liabilities on the consolidated balance sheets.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2" w:name="page233"/>
    <w:bookmarkEnd w:id="232"/>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3"/>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3"/>
        </w:trPr>
        <w:tc>
          <w:tcPr>
            <w:tcW w:w="5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5"/>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1"/>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59029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590290" cy="6985"/>
                    </a:xfrm>
                    <a:prstGeom prst="rect">
                      <a:avLst/>
                    </a:prstGeom>
                    <a:noFill/>
                  </pic:spPr>
                </pic:pic>
              </a:graphicData>
            </a:graphic>
          </wp:anchor>
        </w:drawing>
      </w:r>
    </w:p>
    <w:p>
      <w:pPr>
        <w:spacing w:after="0" w:line="76"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20" w:right="1639"/>
        <w:spacing w:after="0" w:line="274"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$24,284</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9,525</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3"/>
        </w:trPr>
        <w:tc>
          <w:tcPr>
            <w:tcW w:w="3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$33,809</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3"/>
        </w:trPr>
        <w:tc>
          <w:tcPr>
            <w:tcW w:w="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2019,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$42,010</w:t>
            </w: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7,612</w:t>
            </w:r>
          </w:p>
        </w:tc>
        <w:tc>
          <w:tcPr>
            <w:tcW w:w="18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7,612</w:t>
            </w:r>
          </w:p>
        </w:tc>
      </w:tr>
      <w:tr>
        <w:trPr>
          <w:trHeight w:val="23"/>
        </w:trPr>
        <w:tc>
          <w:tcPr>
            <w:tcW w:w="3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33,943</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33,943</w:t>
            </w: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$49,622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33,943</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$83,565</w:t>
            </w:r>
          </w:p>
        </w:tc>
      </w:tr>
      <w:tr>
        <w:trPr>
          <w:trHeight w:val="33"/>
        </w:trPr>
        <w:tc>
          <w:tcPr>
            <w:tcW w:w="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jc w:val="both"/>
        <w:ind w:left="1220" w:right="1379"/>
        <w:spacing w:after="0" w:line="265" w:lineRule="auto"/>
        <w:rPr>
          <w:sz w:val="20"/>
          <w:szCs w:val="20"/>
          <w:color w:val="auto"/>
        </w:rPr>
      </w:pPr>
      <w:r>
        <w:rPr>
          <w:rFonts w:ascii="Arial" w:cs="Arial" w:eastAsia="Arial" w:hAnsi="Arial"/>
          <w:sz w:val="14"/>
          <w:szCs w:val="14"/>
          <w:color w:val="auto"/>
        </w:rPr>
        <w:t>There were no transfers between levels during the period ended December 31, 2020 and 2019. The Company uses the services of its investment manager, which uses widely accepted models for assumptions in valuing securities with inputs from major third-party data providers.</w:t>
      </w:r>
    </w:p>
    <w:p>
      <w:pPr>
        <w:spacing w:after="0" w:line="93"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96" w:lineRule="exact"/>
        <w:rPr>
          <w:sz w:val="20"/>
          <w:szCs w:val="20"/>
          <w:color w:val="auto"/>
        </w:rPr>
      </w:pPr>
    </w:p>
    <w:p>
      <w:pPr>
        <w:ind w:left="1220" w:right="1579"/>
        <w:spacing w:after="0" w:line="274"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ind w:left="192"/>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U.S. Treasury</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9,518</w:t>
            </w:r>
          </w:p>
        </w:tc>
        <w:tc>
          <w:tcPr>
            <w:tcW w:w="620" w:type="dxa"/>
            <w:vAlign w:val="bottom"/>
            <w:shd w:val="clear" w:color="auto" w:fill="CCEEFF"/>
          </w:tcPr>
          <w:p>
            <w:pPr>
              <w:jc w:val="center"/>
              <w:ind w:left="432"/>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Corporate bonds</w:t>
            </w:r>
          </w:p>
        </w:tc>
        <w:tc>
          <w:tcPr>
            <w:tcW w:w="14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40,069</w:t>
            </w:r>
          </w:p>
        </w:tc>
        <w:tc>
          <w:tcPr>
            <w:tcW w:w="6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c>
          <w:tcPr>
            <w:tcW w:w="1000" w:type="dxa"/>
            <w:vAlign w:val="bottom"/>
          </w:tcPr>
          <w:p>
            <w:pPr>
              <w:spacing w:after="0"/>
              <w:rPr>
                <w:sz w:val="14"/>
                <w:szCs w:val="14"/>
                <w:color w:val="auto"/>
              </w:rPr>
            </w:pPr>
          </w:p>
        </w:tc>
      </w:tr>
      <w:tr>
        <w:trPr>
          <w:trHeight w:val="210"/>
        </w:trPr>
        <w:tc>
          <w:tcPr>
            <w:tcW w:w="1000" w:type="dxa"/>
            <w:vAlign w:val="bottom"/>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49,587</w:t>
            </w:r>
          </w:p>
        </w:tc>
        <w:tc>
          <w:tcPr>
            <w:tcW w:w="6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c>
          <w:tcPr>
            <w:tcW w:w="1000" w:type="dxa"/>
            <w:vAlign w:val="bottom"/>
          </w:tcPr>
          <w:p>
            <w:pPr>
              <w:spacing w:after="0"/>
              <w:rPr>
                <w:sz w:val="17"/>
                <w:szCs w:val="17"/>
                <w:color w:val="auto"/>
              </w:rPr>
            </w:pPr>
          </w:p>
        </w:tc>
      </w:tr>
      <w:tr>
        <w:trPr>
          <w:trHeight w:val="508"/>
        </w:trPr>
        <w:tc>
          <w:tcPr>
            <w:tcW w:w="10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F-16</w:t>
            </w:r>
          </w:p>
        </w:tc>
        <w:tc>
          <w:tcPr>
            <w:tcW w:w="5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3" w:name="page234"/>
    <w:bookmarkEnd w:id="233"/>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79"/>
        <w:spacing w:after="0" w:line="274"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2019:</w:t>
      </w:r>
    </w:p>
    <w:p>
      <w:pPr>
        <w:spacing w:after="0" w:line="10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9"/>
        </w:trPr>
        <w:tc>
          <w:tcPr>
            <w:tcW w:w="2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3"/>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7,612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7,612</w:t>
            </w:r>
          </w:p>
        </w:tc>
      </w:tr>
      <w:tr>
        <w:trPr>
          <w:trHeight w:val="182"/>
        </w:trPr>
        <w:tc>
          <w:tcPr>
            <w:tcW w:w="2060" w:type="dxa"/>
            <w:vAlign w:val="bottom"/>
          </w:tcPr>
          <w:p>
            <w:pPr>
              <w:spacing w:after="0"/>
              <w:rPr>
                <w:sz w:val="20"/>
                <w:szCs w:val="20"/>
                <w:color w:val="auto"/>
              </w:rPr>
            </w:pPr>
            <w:r>
              <w:rPr>
                <w:rFonts w:ascii="Arial" w:cs="Arial" w:eastAsia="Arial" w:hAnsi="Arial"/>
                <w:sz w:val="14"/>
                <w:szCs w:val="14"/>
                <w:color w:val="auto"/>
              </w:rPr>
              <w:t>Corporate bonds</w:t>
            </w:r>
          </w:p>
        </w:tc>
        <w:tc>
          <w:tcPr>
            <w:tcW w:w="144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33,946</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33,943</w:t>
            </w:r>
          </w:p>
        </w:tc>
      </w:tr>
      <w:tr>
        <w:trPr>
          <w:trHeight w:val="23"/>
        </w:trPr>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41,558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4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3"/>
                <w:szCs w:val="13"/>
                <w:b w:val="1"/>
                <w:bCs w:val="1"/>
                <w:color w:val="auto"/>
              </w:rPr>
              <w:t>Successor</w:t>
            </w:r>
          </w:p>
        </w:tc>
        <w:tc>
          <w:tcPr>
            <w:tcW w:w="500" w:type="dxa"/>
            <w:vAlign w:val="bottom"/>
            <w:tcBorders>
              <w:bottom w:val="single" w:sz="8" w:color="auto"/>
            </w:tcBorders>
          </w:tcPr>
          <w:p>
            <w:pPr>
              <w:spacing w:after="0"/>
              <w:rPr>
                <w:sz w:val="15"/>
                <w:szCs w:val="15"/>
                <w:color w:val="auto"/>
              </w:rPr>
            </w:pPr>
          </w:p>
        </w:tc>
      </w:tr>
      <w:tr>
        <w:trPr>
          <w:trHeight w:val="135"/>
        </w:trPr>
        <w:tc>
          <w:tcPr>
            <w:tcW w:w="4460" w:type="dxa"/>
            <w:vAlign w:val="bottom"/>
          </w:tcPr>
          <w:p>
            <w:pPr>
              <w:spacing w:after="0"/>
              <w:rPr>
                <w:sz w:val="11"/>
                <w:szCs w:val="11"/>
                <w:color w:val="auto"/>
              </w:rPr>
            </w:pPr>
          </w:p>
        </w:tc>
        <w:tc>
          <w:tcPr>
            <w:tcW w:w="1100" w:type="dxa"/>
            <w:vAlign w:val="bottom"/>
            <w:gridSpan w:val="2"/>
          </w:tcPr>
          <w:p>
            <w:pPr>
              <w:jc w:val="right"/>
              <w:ind w:right="71"/>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December 31,</w:t>
            </w:r>
          </w:p>
        </w:tc>
      </w:tr>
      <w:tr>
        <w:trPr>
          <w:trHeight w:val="179"/>
        </w:trPr>
        <w:tc>
          <w:tcPr>
            <w:tcW w:w="4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48,542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37,475</w:t>
            </w:r>
          </w:p>
        </w:tc>
      </w:tr>
      <w:tr>
        <w:trPr>
          <w:trHeight w:val="182"/>
        </w:trPr>
        <w:tc>
          <w:tcPr>
            <w:tcW w:w="4460" w:type="dxa"/>
            <w:vAlign w:val="bottom"/>
          </w:tcPr>
          <w:p>
            <w:pPr>
              <w:spacing w:after="0"/>
              <w:rPr>
                <w:sz w:val="20"/>
                <w:szCs w:val="20"/>
                <w:color w:val="auto"/>
              </w:rPr>
            </w:pPr>
            <w:r>
              <w:rPr>
                <w:rFonts w:ascii="Arial" w:cs="Arial" w:eastAsia="Arial" w:hAnsi="Arial"/>
                <w:sz w:val="14"/>
                <w:szCs w:val="14"/>
                <w:color w:val="auto"/>
              </w:rPr>
              <w:t>One to five years</w:t>
            </w:r>
          </w:p>
        </w:tc>
        <w:tc>
          <w:tcPr>
            <w:tcW w:w="5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1,053</w:t>
            </w: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4,080</w:t>
            </w:r>
          </w:p>
        </w:tc>
      </w:tr>
      <w:tr>
        <w:trPr>
          <w:trHeight w:val="23"/>
        </w:trPr>
        <w:tc>
          <w:tcPr>
            <w:tcW w:w="4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49,595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4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9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r>
      <w:tr>
        <w:trPr>
          <w:trHeight w:val="179"/>
        </w:trPr>
        <w:tc>
          <w:tcPr>
            <w:tcW w:w="20" w:type="dxa"/>
            <w:vAlign w:val="bottom"/>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3"/>
        </w:trPr>
        <w:tc>
          <w:tcPr>
            <w:tcW w:w="20" w:type="dxa"/>
            <w:vAlign w:val="bottom"/>
          </w:tcPr>
          <w:p>
            <w:pPr>
              <w:spacing w:after="0"/>
              <w:rPr>
                <w:sz w:val="15"/>
                <w:szCs w:val="15"/>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Software licenses and other</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760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Miscellaneous receivables</w:t>
            </w: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908</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Warranties</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69"/>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Total prepaid expenses and other current assets</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2,261</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2,583</w:t>
            </w:r>
          </w:p>
        </w:tc>
      </w:tr>
      <w:tr>
        <w:trPr>
          <w:trHeight w:val="33"/>
        </w:trPr>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7—Property and equipment, net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3"/>
                <w:szCs w:val="13"/>
                <w:b w:val="1"/>
                <w:bCs w:val="1"/>
                <w:color w:val="auto"/>
              </w:rPr>
              <w:t>Successor</w:t>
            </w:r>
          </w:p>
        </w:tc>
        <w:tc>
          <w:tcPr>
            <w:tcW w:w="1000" w:type="dxa"/>
            <w:vAlign w:val="bottom"/>
          </w:tcPr>
          <w:p>
            <w:pPr>
              <w:spacing w:after="0"/>
              <w:rPr>
                <w:sz w:val="15"/>
                <w:szCs w:val="15"/>
                <w:color w:val="auto"/>
              </w:rPr>
            </w:pPr>
          </w:p>
        </w:tc>
      </w:tr>
      <w:tr>
        <w:trPr>
          <w:trHeight w:val="135"/>
        </w:trPr>
        <w:tc>
          <w:tcPr>
            <w:tcW w:w="1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jc w:val="right"/>
              <w:ind w:right="53"/>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1"/>
                <w:szCs w:val="11"/>
                <w:color w:val="auto"/>
              </w:rPr>
            </w:pPr>
          </w:p>
        </w:tc>
      </w:tr>
      <w:tr>
        <w:trPr>
          <w:trHeight w:val="178"/>
        </w:trPr>
        <w:tc>
          <w:tcPr>
            <w:tcW w:w="100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Lab equipment</w:t>
            </w:r>
          </w:p>
        </w:tc>
        <w:tc>
          <w:tcPr>
            <w:tcW w:w="284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   8,941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$ 2,633</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Leasehold improvements</w:t>
            </w:r>
          </w:p>
        </w:tc>
        <w:tc>
          <w:tcPr>
            <w:tcW w:w="2840" w:type="dxa"/>
            <w:vAlign w:val="bottom"/>
            <w:gridSpan w:val="2"/>
          </w:tcPr>
          <w:p>
            <w:pPr>
              <w:jc w:val="right"/>
              <w:ind w:right="13"/>
              <w:spacing w:after="0"/>
              <w:rPr>
                <w:sz w:val="20"/>
                <w:szCs w:val="20"/>
                <w:color w:val="auto"/>
              </w:rPr>
            </w:pPr>
            <w:r>
              <w:rPr>
                <w:rFonts w:ascii="Arial" w:cs="Arial" w:eastAsia="Arial" w:hAnsi="Arial"/>
                <w:sz w:val="14"/>
                <w:szCs w:val="14"/>
                <w:color w:val="auto"/>
              </w:rPr>
              <w:t>1,964</w:t>
            </w: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284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5,771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Computer software and equipment</w:t>
            </w:r>
          </w:p>
        </w:tc>
        <w:tc>
          <w:tcPr>
            <w:tcW w:w="2840" w:type="dxa"/>
            <w:vAlign w:val="bottom"/>
            <w:gridSpan w:val="2"/>
          </w:tcPr>
          <w:p>
            <w:pPr>
              <w:jc w:val="right"/>
              <w:ind w:right="13"/>
              <w:spacing w:after="0"/>
              <w:rPr>
                <w:sz w:val="20"/>
                <w:szCs w:val="20"/>
                <w:color w:val="auto"/>
              </w:rPr>
            </w:pPr>
            <w:r>
              <w:rPr>
                <w:rFonts w:ascii="Arial" w:cs="Arial" w:eastAsia="Arial" w:hAnsi="Arial"/>
                <w:sz w:val="14"/>
                <w:szCs w:val="14"/>
                <w:color w:val="auto"/>
              </w:rPr>
              <w:t>214</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84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76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272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w:t>
            </w:r>
          </w:p>
        </w:tc>
        <w:tc>
          <w:tcPr>
            <w:tcW w:w="176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16,966</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2,667</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8"/>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40" w:type="dxa"/>
            <w:vAlign w:val="bottom"/>
            <w:gridSpan w:val="2"/>
          </w:tcPr>
          <w:p>
            <w:pPr>
              <w:jc w:val="right"/>
              <w:ind w:right="2073"/>
              <w:spacing w:after="0"/>
              <w:rPr>
                <w:sz w:val="20"/>
                <w:szCs w:val="20"/>
                <w:color w:val="auto"/>
              </w:rPr>
            </w:pPr>
            <w:r>
              <w:rPr>
                <w:rFonts w:ascii="Arial" w:cs="Arial" w:eastAsia="Arial" w:hAnsi="Arial"/>
                <w:sz w:val="14"/>
                <w:szCs w:val="14"/>
                <w:color w:val="auto"/>
              </w:rPr>
              <w:t>F-17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4" w:name="page235"/>
    <w:bookmarkEnd w:id="234"/>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160" w:type="dxa"/>
            <w:vAlign w:val="bottom"/>
            <w:gridSpan w:val="3"/>
          </w:tcPr>
          <w:p>
            <w:pPr>
              <w:ind w:left="740"/>
              <w:spacing w:after="0"/>
              <w:rPr>
                <w:sz w:val="20"/>
                <w:szCs w:val="20"/>
                <w:color w:val="auto"/>
              </w:rPr>
            </w:pPr>
            <w:r>
              <w:rPr>
                <w:rFonts w:ascii="Arial" w:cs="Arial" w:eastAsia="Arial" w:hAnsi="Arial"/>
                <w:sz w:val="13"/>
                <w:szCs w:val="13"/>
                <w:b w:val="1"/>
                <w:bCs w:val="1"/>
                <w:color w:val="auto"/>
              </w:rPr>
              <w:t>Successor</w:t>
            </w:r>
          </w:p>
        </w:tc>
      </w:tr>
      <w:tr>
        <w:trPr>
          <w:trHeight w:val="137"/>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120" w:type="dxa"/>
            <w:vAlign w:val="bottom"/>
            <w:tcBorders>
              <w:top w:val="single" w:sz="8" w:color="auto"/>
            </w:tcBorders>
          </w:tcPr>
          <w:p>
            <w:pPr>
              <w:jc w:val="right"/>
              <w:ind w:right="92"/>
              <w:spacing w:after="0" w:line="137" w:lineRule="exact"/>
              <w:rPr>
                <w:sz w:val="20"/>
                <w:szCs w:val="20"/>
                <w:color w:val="auto"/>
              </w:rPr>
            </w:pPr>
            <w:r>
              <w:rPr>
                <w:rFonts w:ascii="Arial" w:cs="Arial" w:eastAsia="Arial" w:hAnsi="Arial"/>
                <w:sz w:val="13"/>
                <w:szCs w:val="13"/>
                <w:b w:val="1"/>
                <w:bCs w:val="1"/>
                <w:color w:val="auto"/>
              </w:rPr>
              <w:t>December 31,</w:t>
            </w:r>
          </w:p>
        </w:tc>
        <w:tc>
          <w:tcPr>
            <w:tcW w:w="9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1"/>
                <w:szCs w:val="11"/>
                <w:color w:val="auto"/>
              </w:rPr>
            </w:pPr>
          </w:p>
        </w:tc>
      </w:tr>
      <w:tr>
        <w:trPr>
          <w:trHeight w:val="179"/>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60" w:type="dxa"/>
            <w:vAlign w:val="bottom"/>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Property and equipment, net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  15,385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$ 2,488</w:t>
            </w:r>
          </w:p>
        </w:tc>
        <w:tc>
          <w:tcPr>
            <w:tcW w:w="60" w:type="dxa"/>
            <w:vAlign w:val="bottom"/>
          </w:tcPr>
          <w:p>
            <w:pPr>
              <w:spacing w:after="0"/>
              <w:rPr>
                <w:sz w:val="15"/>
                <w:szCs w:val="15"/>
                <w:color w:val="auto"/>
              </w:rPr>
            </w:pPr>
          </w:p>
        </w:tc>
      </w:tr>
    </w:tbl>
    <w:p>
      <w:pPr>
        <w:spacing w:after="0" w:line="96" w:lineRule="exact"/>
        <w:rPr>
          <w:sz w:val="20"/>
          <w:szCs w:val="20"/>
          <w:color w:val="auto"/>
        </w:rPr>
      </w:pPr>
    </w:p>
    <w:p>
      <w:pPr>
        <w:jc w:val="both"/>
        <w:ind w:left="1220" w:right="1339"/>
        <w:spacing w:after="0" w:line="265" w:lineRule="auto"/>
        <w:rPr>
          <w:sz w:val="20"/>
          <w:szCs w:val="20"/>
          <w:color w:val="auto"/>
        </w:rPr>
      </w:pPr>
      <w:r>
        <w:rPr>
          <w:rFonts w:ascii="Arial" w:cs="Arial" w:eastAsia="Arial" w:hAnsi="Arial"/>
          <w:sz w:val="14"/>
          <w:szCs w:val="14"/>
          <w:color w:val="auto"/>
        </w:rPr>
        <w:t>Depreciation expense was $1,402 and $179 for the Successor period ended December 31, 2020 and the Successor period June 21, 2019 through December 31, 2019, respectively. Depreciation expense for the Predecessor period January 1, 2019 through June 20, 2019 was $70.</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r>
      <w:tr>
        <w:trPr>
          <w:trHeight w:val="179"/>
        </w:trPr>
        <w:tc>
          <w:tcPr>
            <w:tcW w:w="20" w:type="dxa"/>
            <w:vAlign w:val="bottom"/>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3"/>
        </w:trPr>
        <w:tc>
          <w:tcPr>
            <w:tcW w:w="20" w:type="dxa"/>
            <w:vAlign w:val="bottom"/>
          </w:tcPr>
          <w:p>
            <w:pPr>
              <w:spacing w:after="0"/>
              <w:rPr>
                <w:sz w:val="15"/>
                <w:szCs w:val="15"/>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3,132</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524</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4,030</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1,446</w:t>
            </w:r>
          </w:p>
        </w:tc>
      </w:tr>
      <w:tr>
        <w:trPr>
          <w:trHeight w:val="33"/>
        </w:trPr>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9—Long-term debt</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Successor</w:t>
            </w:r>
          </w:p>
        </w:tc>
      </w:tr>
      <w:tr>
        <w:trPr>
          <w:trHeight w:val="172"/>
        </w:trPr>
        <w:tc>
          <w:tcPr>
            <w:tcW w:w="20" w:type="dxa"/>
            <w:vAlign w:val="bottom"/>
          </w:tcPr>
          <w:p>
            <w:pPr>
              <w:spacing w:after="0"/>
              <w:rPr>
                <w:sz w:val="14"/>
                <w:szCs w:val="14"/>
                <w:color w:val="auto"/>
              </w:rPr>
            </w:pPr>
          </w:p>
        </w:tc>
        <w:tc>
          <w:tcPr>
            <w:tcW w:w="5240" w:type="dxa"/>
            <w:vAlign w:val="bottom"/>
            <w:tcBorders>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6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Principal</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4"/>
                <w:szCs w:val="14"/>
                <w:color w:val="auto"/>
              </w:rPr>
            </w:pPr>
          </w:p>
        </w:tc>
      </w:tr>
      <w:tr>
        <w:trPr>
          <w:trHeight w:val="182"/>
        </w:trPr>
        <w:tc>
          <w:tcPr>
            <w:tcW w:w="5260" w:type="dxa"/>
            <w:vAlign w:val="bottom"/>
            <w:gridSpan w:val="2"/>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8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3"/>
        </w:trPr>
        <w:tc>
          <w:tcPr>
            <w:tcW w:w="5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Long-term debt, net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9,636</w:t>
            </w:r>
          </w:p>
        </w:tc>
        <w:tc>
          <w:tcPr>
            <w:tcW w:w="60" w:type="dxa"/>
            <w:vAlign w:val="bottom"/>
          </w:tcPr>
          <w:p>
            <w:pPr>
              <w:spacing w:after="0"/>
              <w:rPr>
                <w:sz w:val="14"/>
                <w:szCs w:val="14"/>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9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106" w:lineRule="exact"/>
        <w:rPr>
          <w:sz w:val="20"/>
          <w:szCs w:val="20"/>
          <w:color w:val="auto"/>
        </w:rPr>
      </w:pPr>
    </w:p>
    <w:p>
      <w:pPr>
        <w:ind w:left="1220" w:right="1399"/>
        <w:spacing w:after="0" w:line="259" w:lineRule="auto"/>
        <w:rPr>
          <w:sz w:val="20"/>
          <w:szCs w:val="20"/>
          <w:color w:val="auto"/>
        </w:rPr>
      </w:pPr>
      <w:r>
        <w:rPr>
          <w:rFonts w:ascii="Arial" w:cs="Arial" w:eastAsia="Arial" w:hAnsi="Arial"/>
          <w:sz w:val="14"/>
          <w:szCs w:val="14"/>
          <w:color w:val="auto"/>
        </w:rPr>
        <w:t xml:space="preserve">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December 31, 2020. Amounts borrowed under the Loan Agreement accrue 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December 31, 2020 was 9.55%.</w:t>
      </w:r>
    </w:p>
    <w:p>
      <w:pPr>
        <w:spacing w:after="0" w:line="272" w:lineRule="exact"/>
        <w:rPr>
          <w:sz w:val="20"/>
          <w:szCs w:val="20"/>
          <w:color w:val="auto"/>
        </w:rPr>
      </w:pPr>
    </w:p>
    <w:p>
      <w:pPr>
        <w:ind w:left="1220" w:right="1259"/>
        <w:spacing w:after="0" w:line="265"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5" w:name="page236"/>
    <w:bookmarkEnd w:id="235"/>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95" w:lineRule="auto"/>
        <w:rPr>
          <w:sz w:val="20"/>
          <w:szCs w:val="20"/>
          <w:color w:val="auto"/>
        </w:rPr>
      </w:pPr>
      <w:r>
        <w:rPr>
          <w:rFonts w:ascii="Arial" w:cs="Arial" w:eastAsia="Arial" w:hAnsi="Arial"/>
          <w:sz w:val="14"/>
          <w:szCs w:val="14"/>
          <w:color w:val="auto"/>
        </w:rPr>
        <w:t>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93" w:lineRule="exact"/>
        <w:rPr>
          <w:sz w:val="20"/>
          <w:szCs w:val="20"/>
          <w:color w:val="auto"/>
        </w:rPr>
      </w:pPr>
    </w:p>
    <w:p>
      <w:pPr>
        <w:ind w:left="1220" w:right="1539"/>
        <w:spacing w:after="0" w:line="306"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7" w:lineRule="exact"/>
        <w:rPr>
          <w:sz w:val="20"/>
          <w:szCs w:val="20"/>
          <w:color w:val="auto"/>
        </w:rPr>
      </w:pPr>
    </w:p>
    <w:p>
      <w:pPr>
        <w:ind w:left="1220" w:right="1239"/>
        <w:spacing w:after="0" w:line="292" w:lineRule="auto"/>
        <w:rPr>
          <w:sz w:val="20"/>
          <w:szCs w:val="20"/>
          <w:color w:val="auto"/>
        </w:rPr>
      </w:pPr>
      <w:r>
        <w:rPr>
          <w:rFonts w:ascii="Arial" w:cs="Arial" w:eastAsia="Arial" w:hAnsi="Arial"/>
          <w:sz w:val="14"/>
          <w:szCs w:val="14"/>
          <w:color w:val="auto"/>
        </w:rPr>
        <w:t>The Company issued to Hercules warrants to purchase up to an aggregate of 40,540 Units of the Company’s limited liability membership interests, issued in the form of common units. The warrants are exercisable for a period of ten years from the date of the issuance of each warrant at a per-unit exercise price equal to $5.55,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20" w:type="dxa"/>
            <w:vAlign w:val="bottom"/>
          </w:tcPr>
          <w:p>
            <w:pPr>
              <w:spacing w:after="0"/>
              <w:rPr>
                <w:sz w:val="15"/>
                <w:szCs w:val="15"/>
                <w:color w:val="auto"/>
              </w:rPr>
            </w:pP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Successor</w:t>
            </w:r>
          </w:p>
        </w:tc>
      </w:tr>
      <w:tr>
        <w:trPr>
          <w:trHeight w:val="135"/>
        </w:trPr>
        <w:tc>
          <w:tcPr>
            <w:tcW w:w="5220" w:type="dxa"/>
            <w:vAlign w:val="bottom"/>
          </w:tcPr>
          <w:p>
            <w:pPr>
              <w:spacing w:after="0"/>
              <w:rPr>
                <w:sz w:val="11"/>
                <w:szCs w:val="11"/>
                <w:color w:val="auto"/>
              </w:rPr>
            </w:pPr>
          </w:p>
        </w:tc>
        <w:tc>
          <w:tcPr>
            <w:tcW w:w="134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For the Year Ended</w:t>
            </w:r>
          </w:p>
        </w:tc>
      </w:tr>
      <w:tr>
        <w:trPr>
          <w:trHeight w:val="179"/>
        </w:trPr>
        <w:tc>
          <w:tcPr>
            <w:tcW w:w="5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$ 289</w:t>
            </w:r>
          </w:p>
        </w:tc>
      </w:tr>
      <w:tr>
        <w:trPr>
          <w:trHeight w:val="188"/>
        </w:trPr>
        <w:tc>
          <w:tcPr>
            <w:tcW w:w="5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Amortization of debt issuance costs, including end of term fee accretion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182"/>
        </w:trPr>
        <w:tc>
          <w:tcPr>
            <w:tcW w:w="5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$ 381</w:t>
            </w:r>
          </w:p>
        </w:tc>
      </w:tr>
      <w:tr>
        <w:trPr>
          <w:trHeight w:val="20"/>
        </w:trPr>
        <w:tc>
          <w:tcPr>
            <w:tcW w:w="5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30898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08985" cy="6985"/>
                    </a:xfrm>
                    <a:prstGeom prst="rect">
                      <a:avLst/>
                    </a:prstGeom>
                    <a:noFill/>
                  </pic:spPr>
                </pic:pic>
              </a:graphicData>
            </a:graphic>
          </wp:anchor>
        </w:drawing>
      </w:r>
    </w:p>
    <w:p>
      <w:pPr>
        <w:spacing w:after="0" w:line="10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Included in accrued expenses in the accompanying consolidated balance sheet as of</w:t>
      </w:r>
    </w:p>
    <w:p>
      <w:pPr>
        <w:spacing w:after="0" w:line="33" w:lineRule="exact"/>
        <w:rPr>
          <w:sz w:val="20"/>
          <w:szCs w:val="20"/>
          <w:color w:val="auto"/>
        </w:rPr>
      </w:pPr>
    </w:p>
    <w:p>
      <w:pPr>
        <w:jc w:val="both"/>
        <w:ind w:left="1220" w:right="1239"/>
        <w:spacing w:after="0" w:line="273" w:lineRule="auto"/>
        <w:rPr>
          <w:sz w:val="20"/>
          <w:szCs w:val="20"/>
          <w:color w:val="auto"/>
        </w:rPr>
      </w:pPr>
      <w:r>
        <w:rPr>
          <w:rFonts w:ascii="Arial" w:cs="Arial" w:eastAsia="Arial" w:hAnsi="Arial"/>
          <w:sz w:val="14"/>
          <w:szCs w:val="14"/>
          <w:color w:val="auto"/>
        </w:rPr>
        <w:t>December 31, 2020 is $82 of accrued interest. There was no accrued interest as of December 31, 2019.</w:t>
      </w:r>
    </w:p>
    <w:p>
      <w:pPr>
        <w:spacing w:after="0" w:line="324" w:lineRule="exact"/>
        <w:rPr>
          <w:sz w:val="20"/>
          <w:szCs w:val="20"/>
          <w:color w:val="auto"/>
        </w:rPr>
      </w:pPr>
    </w:p>
    <w:p>
      <w:pPr>
        <w:ind w:left="1220" w:right="1379"/>
        <w:spacing w:after="0" w:line="306"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9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58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Principal</w:t>
            </w:r>
          </w:p>
        </w:tc>
      </w:tr>
      <w:tr>
        <w:trPr>
          <w:trHeight w:val="179"/>
        </w:trPr>
        <w:tc>
          <w:tcPr>
            <w:tcW w:w="5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w:t>
            </w:r>
          </w:p>
        </w:tc>
      </w:tr>
      <w:tr>
        <w:trPr>
          <w:trHeight w:val="17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3"/>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5"/>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188"/>
        </w:trPr>
        <w:tc>
          <w:tcPr>
            <w:tcW w:w="5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2024</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r>
      <w:tr>
        <w:trPr>
          <w:trHeight w:val="182"/>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future payments</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r>
      <w:tr>
        <w:trPr>
          <w:trHeight w:val="22"/>
        </w:trPr>
        <w:tc>
          <w:tcPr>
            <w:tcW w:w="5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-149860</wp:posOffset>
            </wp:positionV>
            <wp:extent cx="370014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700145"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10—Stockholders’ Deficit</w:t>
      </w:r>
    </w:p>
    <w:p>
      <w:pPr>
        <w:spacing w:after="0" w:line="144" w:lineRule="exact"/>
        <w:rPr>
          <w:sz w:val="20"/>
          <w:szCs w:val="20"/>
          <w:color w:val="auto"/>
        </w:rPr>
      </w:pPr>
    </w:p>
    <w:p>
      <w:pPr>
        <w:ind w:left="1220" w:right="1259"/>
        <w:spacing w:after="0" w:line="297" w:lineRule="auto"/>
        <w:rPr>
          <w:sz w:val="20"/>
          <w:szCs w:val="20"/>
          <w:color w:val="auto"/>
        </w:rPr>
      </w:pPr>
      <w:r>
        <w:rPr>
          <w:rFonts w:ascii="Arial" w:cs="Arial" w:eastAsia="Arial" w:hAnsi="Arial"/>
          <w:sz w:val="14"/>
          <w:szCs w:val="14"/>
          <w:color w:val="auto"/>
        </w:rPr>
        <w:t>The Company’s capital structure was comprised of common limited liability membership interests, issued in the form of common units. The common units can be issued with the authorization of the Company’s Board of Managers, as governed by the Company’s Limited Liability Company Agreement. As of December 31, 2020 and 2019, 93,370,681 common units were issued and outstanding.</w:t>
      </w:r>
    </w:p>
    <w:p>
      <w:pPr>
        <w:spacing w:after="0" w:line="293" w:lineRule="exact"/>
        <w:rPr>
          <w:sz w:val="20"/>
          <w:szCs w:val="20"/>
          <w:color w:val="auto"/>
        </w:rPr>
      </w:pPr>
    </w:p>
    <w:p>
      <w:pPr>
        <w:ind w:left="1220" w:right="1239"/>
        <w:spacing w:after="0" w:line="293" w:lineRule="auto"/>
        <w:rPr>
          <w:sz w:val="20"/>
          <w:szCs w:val="20"/>
          <w:color w:val="auto"/>
        </w:rPr>
      </w:pPr>
      <w:r>
        <w:rPr>
          <w:rFonts w:ascii="Arial" w:cs="Arial" w:eastAsia="Arial" w:hAnsi="Arial"/>
          <w:sz w:val="14"/>
          <w:szCs w:val="14"/>
          <w:color w:val="auto"/>
        </w:rPr>
        <w:t>For the Predecessor period January 1, 2019 through June 20, 2019, the Prior Century had 35,000,000 of Series A Preferred Stock and Series A-1 Preferred Stock (“Preferred Stock”), with a par value of $0.0001 per share, issued and outstanding. Prior Century had 15,058,479 shares of common stock with a par value of $0.0001 per share issued and outstanding for the Predecessor period January 1, 2019 through June 20, 2019.</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6" w:name="page237"/>
    <w:bookmarkEnd w:id="236"/>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79"/>
        <w:spacing w:after="0" w:line="280" w:lineRule="auto"/>
        <w:rPr>
          <w:sz w:val="20"/>
          <w:szCs w:val="20"/>
          <w:color w:val="auto"/>
        </w:rPr>
      </w:pPr>
      <w:r>
        <w:rPr>
          <w:rFonts w:ascii="Arial" w:cs="Arial" w:eastAsia="Arial" w:hAnsi="Arial"/>
          <w:sz w:val="14"/>
          <w:szCs w:val="14"/>
          <w:color w:val="auto"/>
        </w:rPr>
        <w:t>On February 25, 2021, pursuant to a Plan of Conversion Agreement, the Company converted from a Delaware limited liability company (Century Therapeutics LLC or “Successor”) to a Delaware corporation. Upon completion of this conversion, Prior Century merged with and into CenturyTx, Inc., with CenturyTx, Inc. as the surviving entity that changed its name to “Century Therapeutics, Inc.”</w:t>
      </w:r>
    </w:p>
    <w:p>
      <w:pPr>
        <w:spacing w:after="0" w:line="274" w:lineRule="exact"/>
        <w:rPr>
          <w:sz w:val="20"/>
          <w:szCs w:val="20"/>
          <w:color w:val="auto"/>
        </w:rPr>
      </w:pPr>
    </w:p>
    <w:p>
      <w:pPr>
        <w:ind w:left="1220" w:right="1299"/>
        <w:spacing w:after="0" w:line="283" w:lineRule="auto"/>
        <w:rPr>
          <w:sz w:val="20"/>
          <w:szCs w:val="20"/>
          <w:color w:val="auto"/>
        </w:rPr>
      </w:pPr>
      <w:r>
        <w:rPr>
          <w:rFonts w:ascii="Arial" w:cs="Arial" w:eastAsia="Arial" w:hAnsi="Arial"/>
          <w:sz w:val="14"/>
          <w:szCs w:val="14"/>
          <w:color w:val="auto"/>
        </w:rPr>
        <w:t>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 See Note 17.</w:t>
      </w: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4"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4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8" w:lineRule="exact"/>
        <w:rPr>
          <w:sz w:val="20"/>
          <w:szCs w:val="20"/>
          <w:color w:val="auto"/>
        </w:rPr>
      </w:pPr>
    </w:p>
    <w:p>
      <w:pPr>
        <w:ind w:left="1220" w:right="1599"/>
        <w:spacing w:after="0" w:line="281" w:lineRule="auto"/>
        <w:rPr>
          <w:sz w:val="20"/>
          <w:szCs w:val="20"/>
          <w:color w:val="auto"/>
        </w:rPr>
      </w:pPr>
      <w:r>
        <w:rPr>
          <w:rFonts w:ascii="Arial" w:cs="Arial" w:eastAsia="Arial" w:hAnsi="Arial"/>
          <w:sz w:val="14"/>
          <w:szCs w:val="14"/>
          <w:color w:val="auto"/>
        </w:rPr>
        <w:t>The Company had accrued expenses of $244 and $327 within accrued expenses and other liabilities for the period ended December 31, 2020 and 2019, respectively, in its consolidated balance sheets related to the Master Service Agreement.</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4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12—Leases</w:t>
      </w:r>
    </w:p>
    <w:p>
      <w:pPr>
        <w:spacing w:after="0" w:line="144" w:lineRule="exact"/>
        <w:rPr>
          <w:sz w:val="20"/>
          <w:szCs w:val="20"/>
          <w:color w:val="auto"/>
        </w:rPr>
      </w:pPr>
    </w:p>
    <w:p>
      <w:pPr>
        <w:jc w:val="both"/>
        <w:ind w:left="1220" w:right="1339"/>
        <w:spacing w:after="0" w:line="273" w:lineRule="auto"/>
        <w:rPr>
          <w:sz w:val="20"/>
          <w:szCs w:val="20"/>
          <w:color w:val="auto"/>
        </w:rPr>
      </w:pPr>
      <w:r>
        <w:rPr>
          <w:rFonts w:ascii="Arial" w:cs="Arial" w:eastAsia="Arial" w:hAnsi="Arial"/>
          <w:sz w:val="14"/>
          <w:szCs w:val="14"/>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w:t>
      </w:r>
    </w:p>
    <w:p>
      <w:pPr>
        <w:spacing w:after="0" w:line="1"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276"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Operating lease ROU assets and liabilities are recognized at commencement date based on the present value of lease payments over the lease term. Operating lease payments are recognized as lease expense on a straight-line basis over the lease term. The Company has no finance leases. The Company primarily leases buildings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Company uses its incremental borrowing rate based on the information available at commencement date in determining the present value of lease payments.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7" w:name="page238"/>
    <w:bookmarkEnd w:id="237"/>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 lease term for all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For certain leases, the options for renewals have been included in the lease term as the reasonably certain threshold is met due to the Company having significant economic incentive for extending the lease.</w:t>
      </w:r>
    </w:p>
    <w:p>
      <w:pPr>
        <w:spacing w:after="0" w:line="268" w:lineRule="exact"/>
        <w:rPr>
          <w:sz w:val="20"/>
          <w:szCs w:val="20"/>
          <w:color w:val="auto"/>
        </w:rPr>
      </w:pPr>
    </w:p>
    <w:p>
      <w:pPr>
        <w:ind w:left="1220" w:right="1759"/>
        <w:spacing w:after="0" w:line="262" w:lineRule="auto"/>
        <w:rPr>
          <w:sz w:val="20"/>
          <w:szCs w:val="20"/>
          <w:color w:val="auto"/>
        </w:rPr>
      </w:pPr>
      <w:r>
        <w:rPr>
          <w:rFonts w:ascii="Arial" w:cs="Arial" w:eastAsia="Arial" w:hAnsi="Arial"/>
          <w:sz w:val="14"/>
          <w:szCs w:val="14"/>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106"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consolidated statements of operations and comprehensive loss in the same line item as expense arising from fixed lease payments.</w:t>
      </w:r>
    </w:p>
    <w:p>
      <w:pPr>
        <w:spacing w:after="0" w:line="106" w:lineRule="exact"/>
        <w:rPr>
          <w:sz w:val="20"/>
          <w:szCs w:val="20"/>
          <w:color w:val="auto"/>
        </w:rPr>
      </w:pPr>
    </w:p>
    <w:p>
      <w:pPr>
        <w:ind w:left="1220" w:right="1419"/>
        <w:spacing w:after="0" w:line="261"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$909 and $206 within security deposits in its consolidated balance sheets at December 31, 2020 and 2019,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208"/>
        </w:trPr>
        <w:tc>
          <w:tcPr>
            <w:tcW w:w="21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2"/>
          </w:tcPr>
          <w:p>
            <w:pPr>
              <w:jc w:val="right"/>
              <w:ind w:right="752"/>
              <w:spacing w:after="0"/>
              <w:rPr>
                <w:sz w:val="20"/>
                <w:szCs w:val="20"/>
                <w:color w:val="auto"/>
              </w:rPr>
            </w:pPr>
            <w:r>
              <w:rPr>
                <w:rFonts w:ascii="Arial" w:cs="Arial" w:eastAsia="Arial" w:hAnsi="Arial"/>
                <w:sz w:val="13"/>
                <w:szCs w:val="13"/>
                <w:b w:val="1"/>
                <w:bCs w:val="1"/>
                <w:color w:val="auto"/>
              </w:rPr>
              <w:t>Successor</w:t>
            </w:r>
          </w:p>
        </w:tc>
        <w:tc>
          <w:tcPr>
            <w:tcW w:w="320" w:type="dxa"/>
            <w:vAlign w:val="bottom"/>
            <w:tcBorders>
              <w:top w:val="single" w:sz="8" w:color="auto"/>
              <w:bottom w:val="single" w:sz="8" w:color="auto"/>
              <w:right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Borders>
              <w:top w:val="single" w:sz="8" w:color="auto"/>
              <w:bottom w:val="single" w:sz="8" w:color="auto"/>
            </w:tcBorders>
          </w:tcPr>
          <w:p>
            <w:pPr>
              <w:spacing w:after="0"/>
              <w:rPr>
                <w:sz w:val="18"/>
                <w:szCs w:val="18"/>
                <w:color w:val="auto"/>
              </w:rPr>
            </w:pPr>
          </w:p>
        </w:tc>
      </w:tr>
      <w:tr>
        <w:trPr>
          <w:trHeight w:val="135"/>
        </w:trPr>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Borders>
              <w:right w:val="single" w:sz="8" w:color="auto"/>
            </w:tcBorders>
            <w:gridSpan w:val="2"/>
          </w:tcPr>
          <w:p>
            <w:pPr>
              <w:jc w:val="right"/>
              <w:ind w:right="28"/>
              <w:spacing w:after="0" w:line="136" w:lineRule="exact"/>
              <w:rPr>
                <w:sz w:val="20"/>
                <w:szCs w:val="20"/>
                <w:color w:val="auto"/>
              </w:rPr>
            </w:pPr>
            <w:r>
              <w:rPr>
                <w:rFonts w:ascii="Arial" w:cs="Arial" w:eastAsia="Arial" w:hAnsi="Arial"/>
                <w:sz w:val="13"/>
                <w:szCs w:val="13"/>
                <w:b w:val="1"/>
                <w:bCs w:val="1"/>
                <w:color w:val="auto"/>
              </w:rPr>
              <w:t>Period from</w:t>
            </w:r>
          </w:p>
        </w:tc>
        <w:tc>
          <w:tcPr>
            <w:tcW w:w="146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Period from</w:t>
            </w:r>
          </w:p>
        </w:tc>
      </w:tr>
      <w:tr>
        <w:trPr>
          <w:trHeight w:val="151"/>
        </w:trPr>
        <w:tc>
          <w:tcPr>
            <w:tcW w:w="2180" w:type="dxa"/>
            <w:vAlign w:val="bottom"/>
          </w:tcPr>
          <w:p>
            <w:pPr>
              <w:spacing w:after="0"/>
              <w:rPr>
                <w:sz w:val="13"/>
                <w:szCs w:val="13"/>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For the Year Ended</w:t>
            </w:r>
          </w:p>
        </w:tc>
        <w:tc>
          <w:tcPr>
            <w:tcW w:w="158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June 21, 2019 through</w:t>
            </w: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January 1, 2019</w:t>
            </w:r>
          </w:p>
        </w:tc>
      </w:tr>
      <w:tr>
        <w:trPr>
          <w:trHeight w:val="179"/>
        </w:trPr>
        <w:tc>
          <w:tcPr>
            <w:tcW w:w="2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15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through June 20, 2019</w:t>
            </w:r>
          </w:p>
        </w:tc>
      </w:tr>
      <w:tr>
        <w:trPr>
          <w:trHeight w:val="173"/>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right w:val="single" w:sz="8" w:color="auto"/>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r>
      <w:tr>
        <w:trPr>
          <w:trHeight w:val="182"/>
        </w:trPr>
        <w:tc>
          <w:tcPr>
            <w:tcW w:w="218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935</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5"/>
        </w:trPr>
        <w:tc>
          <w:tcPr>
            <w:tcW w:w="2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26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r>
      <w:tr>
        <w:trPr>
          <w:trHeight w:val="182"/>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2"/>
        </w:trPr>
        <w:tc>
          <w:tcPr>
            <w:tcW w:w="2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-13335</wp:posOffset>
            </wp:positionV>
            <wp:extent cx="2032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-149860</wp:posOffset>
            </wp:positionV>
            <wp:extent cx="137731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7315" cy="6985"/>
                    </a:xfrm>
                    <a:prstGeom prst="rect">
                      <a:avLst/>
                    </a:prstGeom>
                    <a:noFill/>
                  </pic:spPr>
                </pic:pic>
              </a:graphicData>
            </a:graphic>
          </wp:anchor>
        </w:drawing>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3"/>
                <w:szCs w:val="13"/>
                <w:b w:val="1"/>
                <w:bCs w:val="1"/>
                <w:color w:val="auto"/>
              </w:rPr>
              <w:t>Successor</w:t>
            </w:r>
          </w:p>
        </w:tc>
      </w:tr>
      <w:tr>
        <w:trPr>
          <w:trHeight w:val="196"/>
        </w:trPr>
        <w:tc>
          <w:tcPr>
            <w:tcW w:w="24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Location in Balance Sheet</w:t>
            </w:r>
          </w:p>
        </w:tc>
        <w:tc>
          <w:tcPr>
            <w:tcW w:w="16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rPr>
              <w:t>As of December 31, 2020</w:t>
            </w:r>
          </w:p>
        </w:tc>
      </w:tr>
      <w:tr>
        <w:trPr>
          <w:trHeight w:val="203"/>
        </w:trPr>
        <w:tc>
          <w:tcPr>
            <w:tcW w:w="6800" w:type="dxa"/>
            <w:vAlign w:val="bottom"/>
            <w:gridSpan w:val="5"/>
          </w:tcPr>
          <w:p>
            <w:pPr>
              <w:spacing w:after="0"/>
              <w:rPr>
                <w:sz w:val="20"/>
                <w:szCs w:val="20"/>
                <w:color w:val="auto"/>
              </w:rPr>
            </w:pPr>
            <w:r>
              <w:rPr>
                <w:rFonts w:ascii="Arial" w:cs="Arial" w:eastAsia="Arial" w:hAnsi="Arial"/>
                <w:sz w:val="14"/>
                <w:szCs w:val="14"/>
                <w:color w:val="auto"/>
              </w:rPr>
              <w:t>Operating lease right-of-use asset, netOperating lease right-of-use asset, net$9,392</w:t>
            </w:r>
          </w:p>
        </w:tc>
      </w:tr>
      <w:tr>
        <w:trPr>
          <w:trHeight w:val="205"/>
        </w:trPr>
        <w:tc>
          <w:tcPr>
            <w:tcW w:w="2440" w:type="dxa"/>
            <w:vAlign w:val="bottom"/>
          </w:tcPr>
          <w:p>
            <w:pPr>
              <w:spacing w:after="0"/>
              <w:rPr>
                <w:sz w:val="20"/>
                <w:szCs w:val="20"/>
                <w:color w:val="auto"/>
              </w:rPr>
            </w:pPr>
            <w:r>
              <w:rPr>
                <w:rFonts w:ascii="Arial" w:cs="Arial" w:eastAsia="Arial" w:hAnsi="Arial"/>
                <w:sz w:val="14"/>
                <w:szCs w:val="14"/>
                <w:color w:val="auto"/>
              </w:rPr>
              <w:t>Operating lease liability, current</w:t>
            </w:r>
          </w:p>
        </w:tc>
        <w:tc>
          <w:tcPr>
            <w:tcW w:w="4360" w:type="dxa"/>
            <w:vAlign w:val="bottom"/>
            <w:gridSpan w:val="4"/>
          </w:tcPr>
          <w:p>
            <w:pPr>
              <w:ind w:left="160"/>
              <w:spacing w:after="0"/>
              <w:rPr>
                <w:sz w:val="20"/>
                <w:szCs w:val="20"/>
                <w:color w:val="auto"/>
              </w:rPr>
            </w:pPr>
            <w:r>
              <w:rPr>
                <w:rFonts w:ascii="Arial" w:cs="Arial" w:eastAsia="Arial" w:hAnsi="Arial"/>
                <w:sz w:val="14"/>
                <w:szCs w:val="14"/>
                <w:color w:val="auto"/>
              </w:rPr>
              <w:t>Accrued expenses and other liabilities $240</w:t>
            </w:r>
          </w:p>
        </w:tc>
      </w:tr>
      <w:tr>
        <w:trPr>
          <w:trHeight w:val="195"/>
        </w:trPr>
        <w:tc>
          <w:tcPr>
            <w:tcW w:w="2440" w:type="dxa"/>
            <w:vAlign w:val="bottom"/>
          </w:tcPr>
          <w:p>
            <w:pPr>
              <w:spacing w:after="0"/>
              <w:rPr>
                <w:sz w:val="20"/>
                <w:szCs w:val="20"/>
                <w:color w:val="auto"/>
              </w:rPr>
            </w:pPr>
            <w:r>
              <w:rPr>
                <w:rFonts w:ascii="Arial" w:cs="Arial" w:eastAsia="Arial" w:hAnsi="Arial"/>
                <w:sz w:val="14"/>
                <w:szCs w:val="14"/>
                <w:color w:val="auto"/>
              </w:rPr>
              <w:t>Operating lease liability, long-term</w:t>
            </w:r>
          </w:p>
        </w:tc>
        <w:tc>
          <w:tcPr>
            <w:tcW w:w="2740" w:type="dxa"/>
            <w:vAlign w:val="bottom"/>
          </w:tcPr>
          <w:p>
            <w:pPr>
              <w:ind w:left="160"/>
              <w:spacing w:after="0"/>
              <w:rPr>
                <w:sz w:val="20"/>
                <w:szCs w:val="20"/>
                <w:color w:val="auto"/>
              </w:rPr>
            </w:pPr>
            <w:r>
              <w:rPr>
                <w:rFonts w:ascii="Arial" w:cs="Arial" w:eastAsia="Arial" w:hAnsi="Arial"/>
                <w:sz w:val="14"/>
                <w:szCs w:val="14"/>
                <w:color w:val="auto"/>
              </w:rPr>
              <w:t>Operating lease liability, long-term</w:t>
            </w: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11,679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2440" w:type="dxa"/>
            <w:vAlign w:val="bottom"/>
          </w:tcPr>
          <w:p>
            <w:pPr>
              <w:spacing w:after="0"/>
              <w:rPr>
                <w:sz w:val="20"/>
                <w:szCs w:val="20"/>
                <w:color w:val="auto"/>
              </w:rPr>
            </w:pPr>
            <w:r>
              <w:rPr>
                <w:rFonts w:ascii="Arial" w:cs="Arial" w:eastAsia="Arial" w:hAnsi="Arial"/>
                <w:sz w:val="14"/>
                <w:szCs w:val="14"/>
                <w:color w:val="auto"/>
              </w:rPr>
              <w:t>Total operating lease liability</w:t>
            </w:r>
          </w:p>
        </w:tc>
        <w:tc>
          <w:tcPr>
            <w:tcW w:w="2740" w:type="dxa"/>
            <w:vAlign w:val="bottom"/>
          </w:tcPr>
          <w:p>
            <w:pPr>
              <w:spacing w:after="0"/>
              <w:rPr>
                <w:sz w:val="17"/>
                <w:szCs w:val="17"/>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11,919</w:t>
            </w:r>
          </w:p>
        </w:tc>
        <w:tc>
          <w:tcPr>
            <w:tcW w:w="1080" w:type="dxa"/>
            <w:vAlign w:val="bottom"/>
          </w:tcPr>
          <w:p>
            <w:pPr>
              <w:spacing w:after="0"/>
              <w:rPr>
                <w:sz w:val="17"/>
                <w:szCs w:val="17"/>
                <w:color w:val="auto"/>
              </w:rPr>
            </w:pPr>
          </w:p>
        </w:tc>
      </w:tr>
    </w:tbl>
    <w:p>
      <w:pPr>
        <w:spacing w:after="0" w:line="183"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The following table reflects supplement lease term and discount rate information related to leases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88900</wp:posOffset>
            </wp:positionV>
            <wp:extent cx="4165600" cy="139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49"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4880" w:type="dxa"/>
            <w:vAlign w:val="bottom"/>
          </w:tcPr>
          <w:p>
            <w:pPr>
              <w:spacing w:after="0"/>
              <w:rPr>
                <w:sz w:val="15"/>
                <w:szCs w:val="15"/>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Successor</w:t>
            </w:r>
          </w:p>
        </w:tc>
      </w:tr>
      <w:tr>
        <w:trPr>
          <w:trHeight w:val="172"/>
        </w:trPr>
        <w:tc>
          <w:tcPr>
            <w:tcW w:w="4880" w:type="dxa"/>
            <w:vAlign w:val="bottom"/>
            <w:tcBorders>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of December 31, 2020</w:t>
            </w:r>
          </w:p>
        </w:tc>
        <w:tc>
          <w:tcPr>
            <w:tcW w:w="140" w:type="dxa"/>
            <w:vAlign w:val="bottom"/>
          </w:tcPr>
          <w:p>
            <w:pPr>
              <w:spacing w:after="0"/>
              <w:rPr>
                <w:sz w:val="14"/>
                <w:szCs w:val="14"/>
                <w:color w:val="auto"/>
              </w:rPr>
            </w:pPr>
          </w:p>
        </w:tc>
      </w:tr>
      <w:tr>
        <w:trPr>
          <w:trHeight w:val="166"/>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 years</w:t>
            </w:r>
          </w:p>
        </w:tc>
        <w:tc>
          <w:tcPr>
            <w:tcW w:w="140" w:type="dxa"/>
            <w:vAlign w:val="bottom"/>
          </w:tcPr>
          <w:p>
            <w:pPr>
              <w:spacing w:after="0"/>
              <w:rPr>
                <w:sz w:val="14"/>
                <w:szCs w:val="14"/>
                <w:color w:val="auto"/>
              </w:rPr>
            </w:pPr>
          </w:p>
        </w:tc>
      </w:tr>
      <w:tr>
        <w:trPr>
          <w:trHeight w:val="182"/>
        </w:trPr>
        <w:tc>
          <w:tcPr>
            <w:tcW w:w="4880" w:type="dxa"/>
            <w:vAlign w:val="bottom"/>
          </w:tcPr>
          <w:p>
            <w:pPr>
              <w:spacing w:after="0"/>
              <w:rPr>
                <w:sz w:val="20"/>
                <w:szCs w:val="20"/>
                <w:color w:val="auto"/>
              </w:rPr>
            </w:pPr>
            <w:r>
              <w:rPr>
                <w:rFonts w:ascii="Arial" w:cs="Arial" w:eastAsia="Arial" w:hAnsi="Arial"/>
                <w:sz w:val="14"/>
                <w:szCs w:val="14"/>
                <w:color w:val="auto"/>
              </w:rPr>
              <w:t>Weighted-average discount rate—operating leases</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9.0%</w:t>
            </w:r>
          </w:p>
        </w:tc>
      </w:tr>
      <w:tr>
        <w:trPr>
          <w:trHeight w:val="35"/>
        </w:trPr>
        <w:tc>
          <w:tcPr>
            <w:tcW w:w="48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bl>
    <w:p>
      <w:pPr>
        <w:spacing w:after="0" w:line="107"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8" w:name="page239"/>
    <w:bookmarkEnd w:id="238"/>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2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3"/>
                <w:szCs w:val="13"/>
                <w:b w:val="1"/>
                <w:bCs w:val="1"/>
                <w:color w:val="auto"/>
              </w:rPr>
              <w:t>Successor</w:t>
            </w:r>
          </w:p>
        </w:tc>
      </w:tr>
      <w:tr>
        <w:trPr>
          <w:trHeight w:val="135"/>
        </w:trPr>
        <w:tc>
          <w:tcPr>
            <w:tcW w:w="5220" w:type="dxa"/>
            <w:vAlign w:val="bottom"/>
          </w:tcPr>
          <w:p>
            <w:pPr>
              <w:spacing w:after="0"/>
              <w:rPr>
                <w:sz w:val="11"/>
                <w:szCs w:val="11"/>
                <w:color w:val="auto"/>
              </w:rPr>
            </w:pPr>
          </w:p>
        </w:tc>
        <w:tc>
          <w:tcPr>
            <w:tcW w:w="13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Year Ended</w:t>
            </w:r>
          </w:p>
        </w:tc>
      </w:tr>
      <w:tr>
        <w:trPr>
          <w:trHeight w:val="179"/>
        </w:trPr>
        <w:tc>
          <w:tcPr>
            <w:tcW w:w="5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r>
      <w:tr>
        <w:trPr>
          <w:trHeight w:val="182"/>
        </w:trPr>
        <w:tc>
          <w:tcPr>
            <w:tcW w:w="5220" w:type="dxa"/>
            <w:vAlign w:val="bottom"/>
          </w:tcPr>
          <w:p>
            <w:pPr>
              <w:spacing w:after="0"/>
              <w:rPr>
                <w:sz w:val="20"/>
                <w:szCs w:val="20"/>
                <w:color w:val="auto"/>
              </w:rPr>
            </w:pPr>
            <w:r>
              <w:rPr>
                <w:rFonts w:ascii="Arial" w:cs="Arial" w:eastAsia="Arial" w:hAnsi="Arial"/>
                <w:sz w:val="14"/>
                <w:szCs w:val="14"/>
                <w:color w:val="auto"/>
              </w:rPr>
              <w:t>Operating cash flows from operating leases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2,175</w:t>
            </w:r>
          </w:p>
        </w:tc>
      </w:tr>
      <w:tr>
        <w:trPr>
          <w:trHeight w:val="23"/>
        </w:trPr>
        <w:tc>
          <w:tcPr>
            <w:tcW w:w="5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9,735</w:t>
            </w:r>
          </w:p>
        </w:tc>
      </w:tr>
      <w:tr>
        <w:trPr>
          <w:trHeight w:val="20"/>
        </w:trPr>
        <w:tc>
          <w:tcPr>
            <w:tcW w:w="5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320" w:type="dxa"/>
            <w:vAlign w:val="bottom"/>
          </w:tcPr>
          <w:p>
            <w:pPr>
              <w:spacing w:after="0"/>
              <w:rPr>
                <w:sz w:val="15"/>
                <w:szCs w:val="15"/>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3"/>
        </w:trPr>
        <w:tc>
          <w:tcPr>
            <w:tcW w:w="5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60" w:type="dxa"/>
            <w:vAlign w:val="bottom"/>
          </w:tcPr>
          <w:p>
            <w:pPr>
              <w:spacing w:after="0"/>
              <w:rPr>
                <w:sz w:val="15"/>
                <w:szCs w:val="15"/>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2022</w:t>
            </w:r>
          </w:p>
        </w:tc>
        <w:tc>
          <w:tcPr>
            <w:tcW w:w="7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1,594</w:t>
            </w:r>
          </w:p>
        </w:tc>
        <w:tc>
          <w:tcPr>
            <w:tcW w:w="60" w:type="dxa"/>
            <w:vAlign w:val="bottom"/>
          </w:tcPr>
          <w:p>
            <w:pPr>
              <w:spacing w:after="0"/>
              <w:rPr>
                <w:sz w:val="15"/>
                <w:szCs w:val="15"/>
                <w:color w:val="auto"/>
              </w:rPr>
            </w:pPr>
          </w:p>
        </w:tc>
      </w:tr>
      <w:tr>
        <w:trPr>
          <w:trHeight w:val="23"/>
        </w:trPr>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60" w:type="dxa"/>
            <w:vAlign w:val="bottom"/>
          </w:tcPr>
          <w:p>
            <w:pPr>
              <w:spacing w:after="0"/>
              <w:rPr>
                <w:sz w:val="16"/>
                <w:szCs w:val="16"/>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2024</w:t>
            </w:r>
          </w:p>
        </w:tc>
        <w:tc>
          <w:tcPr>
            <w:tcW w:w="7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1,801</w:t>
            </w:r>
          </w:p>
        </w:tc>
        <w:tc>
          <w:tcPr>
            <w:tcW w:w="60" w:type="dxa"/>
            <w:vAlign w:val="bottom"/>
          </w:tcPr>
          <w:p>
            <w:pPr>
              <w:spacing w:after="0"/>
              <w:rPr>
                <w:sz w:val="15"/>
                <w:szCs w:val="15"/>
                <w:color w:val="auto"/>
              </w:rPr>
            </w:pPr>
          </w:p>
        </w:tc>
      </w:tr>
      <w:tr>
        <w:trPr>
          <w:trHeight w:val="23"/>
        </w:trPr>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2025</w:t>
            </w:r>
          </w:p>
        </w:tc>
        <w:tc>
          <w:tcPr>
            <w:tcW w:w="7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60" w:type="dxa"/>
            <w:vAlign w:val="bottom"/>
          </w:tcPr>
          <w:p>
            <w:pPr>
              <w:spacing w:after="0"/>
              <w:rPr>
                <w:sz w:val="16"/>
                <w:szCs w:val="16"/>
                <w:color w:val="auto"/>
              </w:rPr>
            </w:pPr>
          </w:p>
        </w:tc>
      </w:tr>
      <w:tr>
        <w:trPr>
          <w:trHeight w:val="188"/>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13,207</w:t>
            </w:r>
          </w:p>
        </w:tc>
        <w:tc>
          <w:tcPr>
            <w:tcW w:w="60" w:type="dxa"/>
            <w:vAlign w:val="bottom"/>
          </w:tcPr>
          <w:p>
            <w:pPr>
              <w:spacing w:after="0"/>
              <w:rPr>
                <w:sz w:val="16"/>
                <w:szCs w:val="16"/>
                <w:color w:val="auto"/>
              </w:rPr>
            </w:pPr>
          </w:p>
        </w:tc>
      </w:tr>
      <w:tr>
        <w:trPr>
          <w:trHeight w:val="171"/>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7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60" w:type="dxa"/>
            <w:vAlign w:val="bottom"/>
          </w:tcPr>
          <w:p>
            <w:pPr>
              <w:spacing w:after="0"/>
              <w:rPr>
                <w:sz w:val="14"/>
                <w:szCs w:val="14"/>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4"/>
                <w:szCs w:val="14"/>
                <w:color w:val="auto"/>
              </w:rPr>
              <w:t>Less: Imputed Interest</w:t>
            </w:r>
          </w:p>
        </w:tc>
        <w:tc>
          <w:tcPr>
            <w:tcW w:w="7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(9,484)</w:t>
            </w:r>
          </w:p>
        </w:tc>
      </w:tr>
      <w:tr>
        <w:trPr>
          <w:trHeight w:val="182"/>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11,919</w:t>
            </w:r>
          </w:p>
        </w:tc>
        <w:tc>
          <w:tcPr>
            <w:tcW w:w="60" w:type="dxa"/>
            <w:vAlign w:val="bottom"/>
          </w:tcPr>
          <w:p>
            <w:pPr>
              <w:spacing w:after="0"/>
              <w:rPr>
                <w:sz w:val="15"/>
                <w:szCs w:val="15"/>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37756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7756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-396875</wp:posOffset>
            </wp:positionV>
            <wp:extent cx="337756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77565" cy="6985"/>
                    </a:xfrm>
                    <a:prstGeom prst="rect">
                      <a:avLst/>
                    </a:prstGeom>
                    <a:noFill/>
                  </pic:spPr>
                </pic:pic>
              </a:graphicData>
            </a:graphic>
          </wp:anchor>
        </w:drawing>
      </w:r>
    </w:p>
    <w:p>
      <w:pPr>
        <w:spacing w:after="0" w:line="98"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The Company entered into three leases that had not commenced at December 31, 2020. As a result, future lease payments of approximately $26.6 million are not recorded on the Company’s consolidated balance sheets. These leases commence during January 2021 and April 2022 with non-cancelable terms ranging from 29 months to 10 years.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13—Defined contribution plan</w:t>
      </w:r>
    </w:p>
    <w:p>
      <w:pPr>
        <w:spacing w:after="0" w:line="144"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$301, $89 and $33 for the Successor period ended December 31, 2020, the Successor period June 21, 2019 through December 31, 2019, and the Predecessor period January 1, 2019 through June 20, 2019, respectively. Such contribution expense has been recognized in the consolidated statement of operations for each period.</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14—Stock-based compensation</w:t>
      </w:r>
    </w:p>
    <w:p>
      <w:pPr>
        <w:spacing w:after="0" w:line="13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In June 2018, Prior Century, adopted the 2018 Stock Option and Grant Plan (the “Plan”). The Plan provides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 Under the terms of the Plan, options may be granted at an exercise price not less than fair market value. Prior Century generally grants stock based awards with service conditions only. Stock awards granted typically vest over a four-year period but may be granted with different vesting terms. As of December 31, 2020 and 2019, Prior Century had shares authorized for issuance under the Plan of 19,498,781 and 15,260,038, respectively.</w:t>
      </w:r>
    </w:p>
    <w:p>
      <w:pPr>
        <w:spacing w:after="0" w:line="293" w:lineRule="exact"/>
        <w:rPr>
          <w:sz w:val="20"/>
          <w:szCs w:val="20"/>
          <w:color w:val="auto"/>
        </w:rPr>
      </w:pPr>
    </w:p>
    <w:p>
      <w:pPr>
        <w:ind w:left="1220" w:right="1579"/>
        <w:spacing w:after="0" w:line="278" w:lineRule="auto"/>
        <w:rPr>
          <w:sz w:val="20"/>
          <w:szCs w:val="20"/>
          <w:color w:val="auto"/>
        </w:rPr>
      </w:pPr>
      <w:r>
        <w:rPr>
          <w:rFonts w:ascii="Arial" w:cs="Arial" w:eastAsia="Arial" w:hAnsi="Arial"/>
          <w:sz w:val="14"/>
          <w:szCs w:val="14"/>
          <w:color w:val="auto"/>
        </w:rPr>
        <w:t>During the Successor period June 21, 2019 through December 31, 2019 and the year ended December 31, 2020, equity awards were granted from Prior Century to employees of the Company. The Company recognizes the costs of the stock based payments incurred by Prior Century on its behalf as the employees vest in the awards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9" w:name="page240"/>
    <w:bookmarkEnd w:id="239"/>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559"/>
        <w:spacing w:after="0" w:line="290" w:lineRule="auto"/>
        <w:rPr>
          <w:sz w:val="20"/>
          <w:szCs w:val="20"/>
          <w:color w:val="auto"/>
        </w:rPr>
      </w:pPr>
      <w:r>
        <w:rPr>
          <w:rFonts w:ascii="Arial" w:cs="Arial" w:eastAsia="Arial" w:hAnsi="Arial"/>
          <w:sz w:val="14"/>
          <w:szCs w:val="14"/>
          <w:color w:val="auto"/>
        </w:rPr>
        <w:t>(i.e., the Company recognizes expense measured on the same basis as its investor, Prior Century). The Company also records a corresponding capital contribution from Prior Century.</w:t>
      </w:r>
    </w:p>
    <w:p>
      <w:pPr>
        <w:spacing w:after="0" w:line="86"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For the Successor year ended December 31, 2020, the Company recognized $876 of stock based compensation expense of which $675 was recorded within research and development expenses and $201 was recorded within general and administrative expense within the consolidated statement of operations. For the Successor period June 21, 2019 through December 31, 2019, the Company recognized $133 of stock based compensation expense within general and administrative expense of the consolidated statement of operations. A corresponding capital contribution from Prior Century was recorded within the Company’s consolidated balance sheets as of December 31, 2020 and 2019. For the Predecessor period January 1, 2019 through</w:t>
      </w:r>
    </w:p>
    <w:p>
      <w:pPr>
        <w:spacing w:after="0" w:line="2"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June 20, 2019, Prior Century recognized $14 of stock based compensation within general and administrative expense in its consolidated statements of operations.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 Options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stock option activity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3"/>
                <w:szCs w:val="13"/>
                <w:b w:val="1"/>
                <w:bCs w:val="1"/>
                <w:color w:val="auto"/>
              </w:rPr>
              <w:t>Weighted Average</w:t>
            </w: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Remaining</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r>
      <w:tr>
        <w:trPr>
          <w:trHeight w:val="179"/>
        </w:trPr>
        <w:tc>
          <w:tcPr>
            <w:tcW w:w="3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r>
      <w:tr>
        <w:trPr>
          <w:trHeight w:val="17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January 1, 2020</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4,393,185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6,132,580</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(358,464)</w:t>
            </w:r>
          </w:p>
        </w:tc>
        <w:tc>
          <w:tcPr>
            <w:tcW w:w="6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Exercised—unvested</w:t>
            </w:r>
          </w:p>
        </w:tc>
        <w:tc>
          <w:tcPr>
            <w:tcW w:w="780" w:type="dxa"/>
            <w:vAlign w:val="bottom"/>
          </w:tcPr>
          <w:p>
            <w:pPr>
              <w:jc w:val="right"/>
              <w:spacing w:after="0"/>
              <w:rPr>
                <w:sz w:val="20"/>
                <w:szCs w:val="20"/>
                <w:color w:val="auto"/>
              </w:rPr>
            </w:pPr>
            <w:r>
              <w:rPr>
                <w:rFonts w:ascii="Arial" w:cs="Arial" w:eastAsia="Arial" w:hAnsi="Arial"/>
                <w:sz w:val="14"/>
                <w:szCs w:val="14"/>
                <w:color w:val="auto"/>
              </w:rPr>
              <w:t>(396,149)</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6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Cancelled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w:t>
            </w: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December 31, 2020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9,768,326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r>
      <w:tr>
        <w:trPr>
          <w:trHeight w:val="20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December 31, 2020, Successor</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5,981,228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243903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stock option activity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3"/>
                <w:szCs w:val="13"/>
                <w:b w:val="1"/>
                <w:bCs w:val="1"/>
                <w:color w:val="auto"/>
              </w:rPr>
              <w:t>Weighted Average</w:t>
            </w: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Remaining</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r>
      <w:tr>
        <w:trPr>
          <w:trHeight w:val="179"/>
        </w:trPr>
        <w:tc>
          <w:tcPr>
            <w:tcW w:w="3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r>
      <w:tr>
        <w:trPr>
          <w:trHeight w:val="17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January 1, 2019, Predecessor</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1,929,820</w:t>
            </w: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auto"/>
            </w:tcBorders>
          </w:tcPr>
          <w:p>
            <w:pPr>
              <w:spacing w:after="0"/>
              <w:rPr>
                <w:sz w:val="16"/>
                <w:szCs w:val="16"/>
                <w:color w:val="auto"/>
              </w:rPr>
            </w:pPr>
          </w:p>
        </w:tc>
      </w:tr>
      <w:tr>
        <w:trPr>
          <w:trHeight w:val="171"/>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June 21, 2019, Successor</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1,929,820</w:t>
            </w:r>
          </w:p>
        </w:tc>
        <w:tc>
          <w:tcPr>
            <w:tcW w:w="6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3,363,626</w:t>
            </w:r>
          </w:p>
        </w:tc>
        <w:tc>
          <w:tcPr>
            <w:tcW w:w="6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(187,316)</w:t>
            </w:r>
          </w:p>
        </w:tc>
        <w:tc>
          <w:tcPr>
            <w:tcW w:w="6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Exercised—unvested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(712,945)</w:t>
            </w: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December 31, 2019</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4,393,185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20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December 31, 2019, Successor</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3,795,617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243903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3903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-787400</wp:posOffset>
            </wp:positionV>
            <wp:extent cx="243903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98"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The weighted average grant date fair value of awards for options granted during the Successor year and period ended December 31, 2020 and 2019 was $0.32 and $0.25, respectively. As of December 31, 2020, there was $1,862 of total unrecognized compensation expense related to unvested stock options with time-based vesting terms, which is expected to be recognized over a weighted average period of 2.87 years.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0" w:name="page241"/>
    <w:bookmarkEnd w:id="240"/>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During 2020, Prior Century issued 537,500 performance-based awards that vest upon contingent events. Prior Century determined the performance condition for these awards is not probable of being achieved. As a result, the Company has not recorded any compensation cost related to the awards. As of December 31, 2020, there was $213 of total unrecognized compensation expense related to the performance-based awards.</w:t>
      </w:r>
    </w:p>
    <w:p>
      <w:pPr>
        <w:spacing w:after="0" w:line="9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Prior Century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Prior Century has based its estimate of expected volatility on the historical volatility of a group of similar public companies. When selecting these companies on which it has based its expected stock price volatility, Prior Century selected companies with comparable characteristics to it, including enterprise value, risk profiles, position within the industry and with historical share price information sufficient to meet the expected term of the stock-based awards. Prior Century will continue to apply this process until a sufficient amount of historical information regarding the volatility of its own stock price becomes available.</w:t>
      </w:r>
    </w:p>
    <w:p>
      <w:pPr>
        <w:spacing w:after="0" w:line="107" w:lineRule="exact"/>
        <w:rPr>
          <w:sz w:val="20"/>
          <w:szCs w:val="20"/>
          <w:color w:val="auto"/>
        </w:rPr>
      </w:pPr>
    </w:p>
    <w:p>
      <w:pPr>
        <w:jc w:val="both"/>
        <w:ind w:left="1220" w:right="1439"/>
        <w:spacing w:after="0" w:line="276" w:lineRule="auto"/>
        <w:rPr>
          <w:sz w:val="20"/>
          <w:szCs w:val="20"/>
          <w:color w:val="auto"/>
        </w:rPr>
      </w:pPr>
      <w:r>
        <w:rPr>
          <w:rFonts w:ascii="Arial" w:cs="Arial" w:eastAsia="Arial" w:hAnsi="Arial"/>
          <w:sz w:val="14"/>
          <w:szCs w:val="14"/>
          <w:color w:val="auto"/>
        </w:rPr>
        <w:t>Prior Century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Prior Century will account for actual forfeitures as they occur.</w:t>
      </w:r>
    </w:p>
    <w:p>
      <w:pPr>
        <w:spacing w:after="0" w:line="108"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75565</wp:posOffset>
            </wp:positionV>
            <wp:extent cx="4165600" cy="139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27"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3620" w:type="dxa"/>
            <w:vAlign w:val="bottom"/>
          </w:tcPr>
          <w:p>
            <w:pPr>
              <w:spacing w:after="0"/>
              <w:rPr>
                <w:sz w:val="15"/>
                <w:szCs w:val="15"/>
                <w:color w:val="auto"/>
              </w:rPr>
            </w:pPr>
          </w:p>
        </w:tc>
        <w:tc>
          <w:tcPr>
            <w:tcW w:w="3080" w:type="dxa"/>
            <w:vAlign w:val="bottom"/>
            <w:gridSpan w:val="3"/>
          </w:tcPr>
          <w:p>
            <w:pPr>
              <w:jc w:val="right"/>
              <w:ind w:right="1240"/>
              <w:spacing w:after="0"/>
              <w:rPr>
                <w:sz w:val="20"/>
                <w:szCs w:val="20"/>
                <w:color w:val="auto"/>
              </w:rPr>
            </w:pPr>
            <w:r>
              <w:rPr>
                <w:rFonts w:ascii="Arial" w:cs="Arial" w:eastAsia="Arial" w:hAnsi="Arial"/>
                <w:sz w:val="13"/>
                <w:szCs w:val="13"/>
                <w:b w:val="1"/>
                <w:bCs w:val="1"/>
                <w:color w:val="auto"/>
              </w:rPr>
              <w:t>Successor</w:t>
            </w:r>
          </w:p>
        </w:tc>
      </w:tr>
      <w:tr>
        <w:trPr>
          <w:trHeight w:val="137"/>
        </w:trPr>
        <w:tc>
          <w:tcPr>
            <w:tcW w:w="362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Period ended</w:t>
            </w:r>
          </w:p>
        </w:tc>
        <w:tc>
          <w:tcPr>
            <w:tcW w:w="140" w:type="dxa"/>
            <w:vAlign w:val="bottom"/>
          </w:tcPr>
          <w:p>
            <w:pPr>
              <w:spacing w:after="0"/>
              <w:rPr>
                <w:sz w:val="11"/>
                <w:szCs w:val="11"/>
                <w:color w:val="auto"/>
              </w:rPr>
            </w:pPr>
          </w:p>
        </w:tc>
      </w:tr>
      <w:tr>
        <w:trPr>
          <w:trHeight w:val="151"/>
        </w:trPr>
        <w:tc>
          <w:tcPr>
            <w:tcW w:w="3620" w:type="dxa"/>
            <w:vAlign w:val="bottom"/>
          </w:tcPr>
          <w:p>
            <w:pPr>
              <w:spacing w:after="0"/>
              <w:rPr>
                <w:sz w:val="13"/>
                <w:szCs w:val="13"/>
                <w:color w:val="auto"/>
              </w:rPr>
            </w:pPr>
          </w:p>
        </w:tc>
        <w:tc>
          <w:tcPr>
            <w:tcW w:w="1440" w:type="dxa"/>
            <w:vAlign w:val="bottom"/>
          </w:tcPr>
          <w:p>
            <w:pPr>
              <w:jc w:val="right"/>
              <w:ind w:right="111"/>
              <w:spacing w:after="0"/>
              <w:rPr>
                <w:sz w:val="20"/>
                <w:szCs w:val="20"/>
                <w:color w:val="auto"/>
              </w:rPr>
            </w:pPr>
            <w:r>
              <w:rPr>
                <w:rFonts w:ascii="Arial" w:cs="Arial" w:eastAsia="Arial" w:hAnsi="Arial"/>
                <w:sz w:val="13"/>
                <w:szCs w:val="13"/>
                <w:b w:val="1"/>
                <w:bCs w:val="1"/>
                <w:color w:val="auto"/>
              </w:rPr>
              <w:t>Year ended</w:t>
            </w:r>
          </w:p>
        </w:tc>
        <w:tc>
          <w:tcPr>
            <w:tcW w:w="1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June 21, 2019 through</w:t>
            </w:r>
          </w:p>
        </w:tc>
      </w:tr>
      <w:tr>
        <w:trPr>
          <w:trHeight w:val="179"/>
        </w:trPr>
        <w:tc>
          <w:tcPr>
            <w:tcW w:w="362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3"/>
                <w:szCs w:val="13"/>
                <w:b w:val="1"/>
                <w:bCs w:val="1"/>
                <w:color w:val="auto"/>
              </w:rPr>
              <w:t>December 31, 2020</w:t>
            </w:r>
          </w:p>
        </w:tc>
        <w:tc>
          <w:tcPr>
            <w:tcW w:w="1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 2019</w:t>
            </w:r>
          </w:p>
        </w:tc>
      </w:tr>
      <w:tr>
        <w:trPr>
          <w:trHeight w:val="17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4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Expected option term (years)</w:t>
            </w: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5.85</w:t>
            </w:r>
          </w:p>
        </w:tc>
        <w:tc>
          <w:tcPr>
            <w:tcW w:w="1500" w:type="dxa"/>
            <w:vAlign w:val="bottom"/>
          </w:tcPr>
          <w:p>
            <w:pPr>
              <w:jc w:val="right"/>
              <w:spacing w:after="0"/>
              <w:rPr>
                <w:sz w:val="20"/>
                <w:szCs w:val="20"/>
                <w:color w:val="auto"/>
              </w:rPr>
            </w:pPr>
            <w:r>
              <w:rPr>
                <w:rFonts w:ascii="Arial" w:cs="Arial" w:eastAsia="Arial" w:hAnsi="Arial"/>
                <w:sz w:val="14"/>
                <w:szCs w:val="14"/>
                <w:color w:val="auto"/>
              </w:rPr>
              <w:t>5.97</w:t>
            </w:r>
          </w:p>
        </w:tc>
        <w:tc>
          <w:tcPr>
            <w:tcW w:w="140" w:type="dxa"/>
            <w:vAlign w:val="bottom"/>
          </w:tcPr>
          <w:p>
            <w:pPr>
              <w:spacing w:after="0"/>
              <w:rPr>
                <w:sz w:val="15"/>
                <w:szCs w:val="15"/>
                <w:color w:val="auto"/>
              </w:rPr>
            </w:pPr>
          </w:p>
        </w:tc>
      </w:tr>
      <w:tr>
        <w:trPr>
          <w:trHeight w:val="205"/>
        </w:trPr>
        <w:tc>
          <w:tcPr>
            <w:tcW w:w="3620" w:type="dxa"/>
            <w:vAlign w:val="bottom"/>
          </w:tcPr>
          <w:p>
            <w:pPr>
              <w:spacing w:after="0"/>
              <w:rPr>
                <w:sz w:val="20"/>
                <w:szCs w:val="20"/>
                <w:color w:val="auto"/>
              </w:rPr>
            </w:pPr>
            <w:r>
              <w:rPr>
                <w:rFonts w:ascii="Arial" w:cs="Arial" w:eastAsia="Arial" w:hAnsi="Arial"/>
                <w:sz w:val="14"/>
                <w:szCs w:val="14"/>
                <w:color w:val="auto"/>
              </w:rPr>
              <w:t>Expected volatility</w:t>
            </w:r>
          </w:p>
        </w:tc>
        <w:tc>
          <w:tcPr>
            <w:tcW w:w="1440" w:type="dxa"/>
            <w:vAlign w:val="bottom"/>
          </w:tcPr>
          <w:p>
            <w:pPr>
              <w:jc w:val="right"/>
              <w:spacing w:after="0"/>
              <w:rPr>
                <w:sz w:val="20"/>
                <w:szCs w:val="20"/>
                <w:color w:val="auto"/>
              </w:rPr>
            </w:pPr>
            <w:r>
              <w:rPr>
                <w:rFonts w:ascii="Arial" w:cs="Arial" w:eastAsia="Arial" w:hAnsi="Arial"/>
                <w:sz w:val="14"/>
                <w:szCs w:val="14"/>
                <w:color w:val="auto"/>
              </w:rPr>
              <w:t>68.38%</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65.63%</w:t>
            </w:r>
          </w:p>
        </w:tc>
      </w:tr>
      <w:tr>
        <w:trPr>
          <w:trHeight w:val="205"/>
        </w:trPr>
        <w:tc>
          <w:tcPr>
            <w:tcW w:w="362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440" w:type="dxa"/>
            <w:vAlign w:val="bottom"/>
          </w:tcPr>
          <w:p>
            <w:pPr>
              <w:jc w:val="right"/>
              <w:spacing w:after="0"/>
              <w:rPr>
                <w:sz w:val="20"/>
                <w:szCs w:val="20"/>
                <w:color w:val="auto"/>
              </w:rPr>
            </w:pPr>
            <w:r>
              <w:rPr>
                <w:rFonts w:ascii="Arial" w:cs="Arial" w:eastAsia="Arial" w:hAnsi="Arial"/>
                <w:sz w:val="14"/>
                <w:szCs w:val="14"/>
                <w:color w:val="auto"/>
              </w:rPr>
              <w:t>0.58%</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1.77%</w:t>
            </w:r>
          </w:p>
        </w:tc>
      </w:tr>
      <w:tr>
        <w:trPr>
          <w:trHeight w:val="34"/>
        </w:trPr>
        <w:tc>
          <w:tcPr>
            <w:tcW w:w="3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4165600" cy="1301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165600" cy="13017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-534035</wp:posOffset>
            </wp:positionV>
            <wp:extent cx="229552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295525"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46" w:lineRule="exact"/>
        <w:rPr>
          <w:sz w:val="20"/>
          <w:szCs w:val="20"/>
          <w:color w:val="auto"/>
        </w:rPr>
      </w:pPr>
    </w:p>
    <w:p>
      <w:pPr>
        <w:ind w:left="1220" w:right="1459"/>
        <w:spacing w:after="0" w:line="290" w:lineRule="auto"/>
        <w:rPr>
          <w:sz w:val="20"/>
          <w:szCs w:val="20"/>
          <w:color w:val="auto"/>
        </w:rPr>
      </w:pPr>
      <w:r>
        <w:rPr>
          <w:rFonts w:ascii="Arial" w:cs="Arial" w:eastAsia="Arial" w:hAnsi="Arial"/>
          <w:sz w:val="14"/>
          <w:szCs w:val="14"/>
          <w:color w:val="auto"/>
        </w:rPr>
        <w:t>The following table summarizes restricted stock activity for the year ended December 31, 2020 and December 31, 2019:</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4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Unvested January 1, 2019, Predecessor</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4,288,080</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$ 0.01</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Issued</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701,754</w:t>
            </w:r>
          </w:p>
        </w:tc>
        <w:tc>
          <w:tcPr>
            <w:tcW w:w="1440" w:type="dxa"/>
            <w:vAlign w:val="bottom"/>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(58,479)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Unvested June 21, 2019, Successor</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4,931,355</w:t>
            </w:r>
          </w:p>
        </w:tc>
        <w:tc>
          <w:tcPr>
            <w:tcW w:w="1440" w:type="dxa"/>
            <w:vAlign w:val="bottom"/>
          </w:tcPr>
          <w:p>
            <w:pPr>
              <w:jc w:val="right"/>
              <w:spacing w:after="0"/>
              <w:rPr>
                <w:sz w:val="20"/>
                <w:szCs w:val="20"/>
                <w:color w:val="auto"/>
              </w:rPr>
            </w:pPr>
            <w:r>
              <w:rPr>
                <w:rFonts w:ascii="Arial" w:cs="Arial" w:eastAsia="Arial" w:hAnsi="Arial"/>
                <w:sz w:val="14"/>
                <w:szCs w:val="14"/>
                <w:color w:val="auto"/>
              </w:rPr>
              <w:t>$ 0.01</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Issued</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1,437,719</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Repurchased</w:t>
            </w:r>
          </w:p>
        </w:tc>
        <w:tc>
          <w:tcPr>
            <w:tcW w:w="880" w:type="dxa"/>
            <w:vAlign w:val="bottom"/>
          </w:tcPr>
          <w:p>
            <w:pPr>
              <w:jc w:val="right"/>
              <w:spacing w:after="0"/>
              <w:rPr>
                <w:sz w:val="20"/>
                <w:szCs w:val="20"/>
                <w:color w:val="auto"/>
              </w:rPr>
            </w:pPr>
            <w:r>
              <w:rPr>
                <w:rFonts w:ascii="Arial" w:cs="Arial" w:eastAsia="Arial" w:hAnsi="Arial"/>
                <w:sz w:val="14"/>
                <w:szCs w:val="14"/>
                <w:color w:val="auto"/>
              </w:rPr>
              <w:t>(750,000)</w:t>
            </w:r>
          </w:p>
        </w:tc>
        <w:tc>
          <w:tcPr>
            <w:tcW w:w="1440" w:type="dxa"/>
            <w:vAlign w:val="bottom"/>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(1,299,455)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2019, Successor</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4,319,619</w:t>
            </w:r>
          </w:p>
        </w:tc>
        <w:tc>
          <w:tcPr>
            <w:tcW w:w="1440" w:type="dxa"/>
            <w:vAlign w:val="bottom"/>
          </w:tcPr>
          <w:p>
            <w:pPr>
              <w:jc w:val="right"/>
              <w:spacing w:after="0"/>
              <w:rPr>
                <w:sz w:val="20"/>
                <w:szCs w:val="20"/>
                <w:color w:val="auto"/>
              </w:rPr>
            </w:pPr>
            <w:r>
              <w:rPr>
                <w:rFonts w:ascii="Arial" w:cs="Arial" w:eastAsia="Arial" w:hAnsi="Arial"/>
                <w:sz w:val="14"/>
                <w:szCs w:val="14"/>
                <w:color w:val="auto"/>
              </w:rPr>
              <w:t>0.14</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(1,668,895)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2020, Successor</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2,650,724</w:t>
            </w:r>
          </w:p>
        </w:tc>
        <w:tc>
          <w:tcPr>
            <w:tcW w:w="1440" w:type="dxa"/>
            <w:vAlign w:val="bottom"/>
          </w:tcPr>
          <w:p>
            <w:pPr>
              <w:jc w:val="right"/>
              <w:spacing w:after="0"/>
              <w:rPr>
                <w:sz w:val="20"/>
                <w:szCs w:val="20"/>
                <w:color w:val="auto"/>
              </w:rPr>
            </w:pPr>
            <w:r>
              <w:rPr>
                <w:rFonts w:ascii="Arial" w:cs="Arial" w:eastAsia="Arial" w:hAnsi="Arial"/>
                <w:sz w:val="14"/>
                <w:szCs w:val="14"/>
                <w:color w:val="auto"/>
              </w:rPr>
              <w:t>$ 0.14</w:t>
            </w:r>
          </w:p>
        </w:tc>
        <w:tc>
          <w:tcPr>
            <w:tcW w:w="1000" w:type="dxa"/>
            <w:vAlign w:val="bottom"/>
          </w:tcPr>
          <w:p>
            <w:pPr>
              <w:spacing w:after="0"/>
              <w:rPr>
                <w:sz w:val="14"/>
                <w:szCs w:val="14"/>
                <w:color w:val="auto"/>
              </w:rPr>
            </w:pPr>
          </w:p>
        </w:tc>
      </w:tr>
      <w:tr>
        <w:trPr>
          <w:trHeight w:val="98"/>
        </w:trPr>
        <w:tc>
          <w:tcPr>
            <w:tcW w:w="10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r>
      <w:tr>
        <w:trPr>
          <w:trHeight w:val="56"/>
        </w:trPr>
        <w:tc>
          <w:tcPr>
            <w:tcW w:w="100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508"/>
        </w:trPr>
        <w:tc>
          <w:tcPr>
            <w:tcW w:w="1000" w:type="dxa"/>
            <w:vAlign w:val="bottom"/>
          </w:tcPr>
          <w:p>
            <w:pPr>
              <w:spacing w:after="0"/>
              <w:rPr>
                <w:sz w:val="24"/>
                <w:szCs w:val="24"/>
                <w:color w:val="auto"/>
              </w:rPr>
            </w:pPr>
          </w:p>
        </w:tc>
        <w:tc>
          <w:tcPr>
            <w:tcW w:w="4240" w:type="dxa"/>
            <w:vAlign w:val="bottom"/>
          </w:tcPr>
          <w:p>
            <w:pPr>
              <w:ind w:left="3100"/>
              <w:spacing w:after="0"/>
              <w:rPr>
                <w:sz w:val="20"/>
                <w:szCs w:val="20"/>
                <w:color w:val="auto"/>
              </w:rPr>
            </w:pPr>
            <w:r>
              <w:rPr>
                <w:rFonts w:ascii="Arial" w:cs="Arial" w:eastAsia="Arial" w:hAnsi="Arial"/>
                <w:sz w:val="14"/>
                <w:szCs w:val="14"/>
                <w:color w:val="auto"/>
              </w:rPr>
              <w:t>F-24</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1" w:name="page242"/>
    <w:bookmarkEnd w:id="241"/>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During 2018, Prior Century issued 1,500,000 shares of common stock at a purchase price of</w:t>
      </w:r>
    </w:p>
    <w:p>
      <w:pPr>
        <w:spacing w:after="0" w:line="12"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$0.01 per share. Also, during 2018, Prior Century issued 2,788,080 shares of restricted common stock. Pursuant to certain stock purchase agreements containing vesting and other provisions, Prior Century has the right to repurchase unvested shares. In October 2019, Prior Century repurchased 750,000 shares at $0.41 per share for a cost of $307.</w:t>
      </w:r>
    </w:p>
    <w:p>
      <w:pPr>
        <w:spacing w:after="0" w:line="95"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As of December 31, 2020, there was $372 of total unrecognized compensation expense related to the unvested restricted stock with time-based vesting terms, which is expected to be recognized over a weighted average period of 1.94 years. All restricted stock vests over a four-year period.</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15—Basic and diluted net loss per common share</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4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3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3"/>
                <w:szCs w:val="13"/>
                <w:b w:val="1"/>
                <w:bCs w:val="1"/>
                <w:color w:val="auto"/>
              </w:rPr>
              <w:t>Successor</w:t>
            </w:r>
          </w:p>
        </w:tc>
        <w:tc>
          <w:tcPr>
            <w:tcW w:w="82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right"/>
              <w:ind w:right="248"/>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r>
      <w:tr>
        <w:trPr>
          <w:trHeight w:val="137"/>
        </w:trPr>
        <w:tc>
          <w:tcPr>
            <w:tcW w:w="3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20" w:type="dxa"/>
            <w:vAlign w:val="bottom"/>
            <w:tcBorders>
              <w:right w:val="single" w:sz="8" w:color="auto"/>
            </w:tcBorders>
            <w:gridSpan w:val="3"/>
          </w:tcPr>
          <w:p>
            <w:pPr>
              <w:jc w:val="right"/>
              <w:spacing w:after="0" w:line="137" w:lineRule="exact"/>
              <w:rPr>
                <w:sz w:val="20"/>
                <w:szCs w:val="20"/>
                <w:color w:val="auto"/>
              </w:rPr>
            </w:pPr>
            <w:r>
              <w:rPr>
                <w:rFonts w:ascii="Arial" w:cs="Arial" w:eastAsia="Arial" w:hAnsi="Arial"/>
                <w:sz w:val="13"/>
                <w:szCs w:val="13"/>
                <w:b w:val="1"/>
                <w:bCs w:val="1"/>
                <w:color w:val="auto"/>
              </w:rPr>
              <w:t>For the period June</w:t>
            </w:r>
          </w:p>
        </w:tc>
        <w:tc>
          <w:tcPr>
            <w:tcW w:w="144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1"/>
                <w:szCs w:val="11"/>
                <w:color w:val="auto"/>
              </w:rPr>
            </w:pPr>
          </w:p>
        </w:tc>
      </w:tr>
      <w:tr>
        <w:trPr>
          <w:trHeight w:val="151"/>
        </w:trPr>
        <w:tc>
          <w:tcPr>
            <w:tcW w:w="3060" w:type="dxa"/>
            <w:vAlign w:val="bottom"/>
          </w:tcPr>
          <w:p>
            <w:pPr>
              <w:spacing w:after="0"/>
              <w:rPr>
                <w:sz w:val="13"/>
                <w:szCs w:val="13"/>
                <w:color w:val="auto"/>
              </w:rPr>
            </w:pPr>
          </w:p>
        </w:tc>
        <w:tc>
          <w:tcPr>
            <w:tcW w:w="1420" w:type="dxa"/>
            <w:vAlign w:val="bottom"/>
            <w:gridSpan w:val="3"/>
          </w:tcPr>
          <w:p>
            <w:pPr>
              <w:jc w:val="right"/>
              <w:ind w:right="91"/>
              <w:spacing w:after="0"/>
              <w:rPr>
                <w:sz w:val="20"/>
                <w:szCs w:val="20"/>
                <w:color w:val="auto"/>
              </w:rPr>
            </w:pPr>
            <w:r>
              <w:rPr>
                <w:rFonts w:ascii="Arial" w:cs="Arial" w:eastAsia="Arial" w:hAnsi="Arial"/>
                <w:sz w:val="13"/>
                <w:szCs w:val="13"/>
                <w:b w:val="1"/>
                <w:bCs w:val="1"/>
                <w:color w:val="auto"/>
              </w:rPr>
              <w:t>For the Year Ended</w:t>
            </w: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21, 2019 through</w:t>
            </w:r>
          </w:p>
        </w:tc>
        <w:tc>
          <w:tcPr>
            <w:tcW w:w="14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January 1, 2019</w:t>
            </w:r>
          </w:p>
        </w:tc>
      </w:tr>
      <w:tr>
        <w:trPr>
          <w:trHeight w:val="179"/>
        </w:trPr>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through June 20, 2019</w:t>
            </w:r>
          </w:p>
        </w:tc>
      </w:tr>
      <w:tr>
        <w:trPr>
          <w:trHeight w:val="173"/>
        </w:trPr>
        <w:tc>
          <w:tcPr>
            <w:tcW w:w="30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right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060" w:type="dxa"/>
            <w:vAlign w:val="bottom"/>
          </w:tcPr>
          <w:p>
            <w:pPr>
              <w:ind w:left="300"/>
              <w:spacing w:after="0"/>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(53,575)</w:t>
            </w: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(238,767)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(6,002)</w:t>
            </w:r>
          </w:p>
        </w:tc>
      </w:tr>
      <w:tr>
        <w:trPr>
          <w:trHeight w:val="23"/>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72"/>
        </w:trPr>
        <w:tc>
          <w:tcPr>
            <w:tcW w:w="3060" w:type="dxa"/>
            <w:vAlign w:val="bottom"/>
          </w:tcPr>
          <w:p>
            <w:pPr>
              <w:ind w:left="140"/>
              <w:spacing w:after="0"/>
              <w:rPr>
                <w:sz w:val="20"/>
                <w:szCs w:val="20"/>
                <w:color w:val="auto"/>
              </w:rPr>
            </w:pPr>
            <w:r>
              <w:rPr>
                <w:rFonts w:ascii="Arial" w:cs="Arial" w:eastAsia="Arial" w:hAnsi="Arial"/>
                <w:sz w:val="14"/>
                <w:szCs w:val="14"/>
                <w:color w:val="auto"/>
              </w:rPr>
              <w:t>Weighted-average common share for basic</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060" w:type="dxa"/>
            <w:vAlign w:val="bottom"/>
          </w:tcPr>
          <w:p>
            <w:pPr>
              <w:ind w:left="300"/>
              <w:spacing w:after="0"/>
              <w:rPr>
                <w:sz w:val="20"/>
                <w:szCs w:val="20"/>
                <w:color w:val="auto"/>
              </w:rPr>
            </w:pPr>
            <w:r>
              <w:rPr>
                <w:rFonts w:ascii="Arial" w:cs="Arial" w:eastAsia="Arial" w:hAnsi="Arial"/>
                <w:sz w:val="14"/>
                <w:szCs w:val="14"/>
                <w:color w:val="auto"/>
              </w:rPr>
              <w:t>and diluted net loss per share</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18,825,136</w:t>
            </w:r>
          </w:p>
        </w:tc>
        <w:tc>
          <w:tcPr>
            <w:tcW w:w="40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18,825,136</w:t>
            </w: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15,029,240</w:t>
            </w:r>
          </w:p>
        </w:tc>
        <w:tc>
          <w:tcPr>
            <w:tcW w:w="40" w:type="dxa"/>
            <w:vAlign w:val="bottom"/>
          </w:tcPr>
          <w:p>
            <w:pPr>
              <w:spacing w:after="0"/>
              <w:rPr>
                <w:sz w:val="14"/>
                <w:szCs w:val="14"/>
                <w:color w:val="auto"/>
              </w:rPr>
            </w:pPr>
          </w:p>
        </w:tc>
      </w:tr>
      <w:tr>
        <w:trPr>
          <w:trHeight w:val="34"/>
        </w:trPr>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r>
      <w:tr>
        <w:trPr>
          <w:trHeight w:val="196"/>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5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tcPr>
          <w:p>
            <w:pPr>
              <w:spacing w:after="0"/>
              <w:rPr>
                <w:sz w:val="17"/>
                <w:szCs w:val="17"/>
                <w:color w:val="auto"/>
              </w:rPr>
            </w:pPr>
          </w:p>
        </w:tc>
      </w:tr>
      <w:tr>
        <w:trPr>
          <w:trHeight w:val="22"/>
        </w:trPr>
        <w:tc>
          <w:tcPr>
            <w:tcW w:w="3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The following table summarizes the potentially dilutive securities convertible into common shares that were excluded from the calculation of diluted net loss per common share because their inclusion would have been antidilutive:</w:t>
      </w:r>
    </w:p>
    <w:p>
      <w:pPr>
        <w:spacing w:after="0" w:line="116" w:lineRule="exact"/>
        <w:rPr>
          <w:sz w:val="20"/>
          <w:szCs w:val="20"/>
          <w:color w:val="auto"/>
        </w:rPr>
      </w:pPr>
    </w:p>
    <w:tbl>
      <w:tblPr>
        <w:tblLayout w:type="fixed"/>
        <w:tblInd w:w="12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20" w:type="dxa"/>
            <w:vAlign w:val="bottom"/>
            <w:tcBorders>
              <w:top w:val="single" w:sz="8" w:color="auto"/>
              <w:bottom w:val="single" w:sz="8" w:color="auto"/>
              <w:right w:val="single" w:sz="8" w:color="auto"/>
            </w:tcBorders>
            <w:gridSpan w:val="2"/>
          </w:tcPr>
          <w:p>
            <w:pPr>
              <w:jc w:val="right"/>
              <w:ind w:right="910"/>
              <w:spacing w:after="0"/>
              <w:rPr>
                <w:sz w:val="20"/>
                <w:szCs w:val="20"/>
                <w:color w:val="auto"/>
              </w:rPr>
            </w:pPr>
            <w:r>
              <w:rPr>
                <w:rFonts w:ascii="Arial" w:cs="Arial" w:eastAsia="Arial" w:hAnsi="Arial"/>
                <w:sz w:val="13"/>
                <w:szCs w:val="13"/>
                <w:b w:val="1"/>
                <w:bCs w:val="1"/>
                <w:color w:val="auto"/>
              </w:rPr>
              <w:t>Successor</w:t>
            </w:r>
          </w:p>
        </w:tc>
        <w:tc>
          <w:tcPr>
            <w:tcW w:w="1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For the period June</w:t>
            </w:r>
          </w:p>
        </w:tc>
        <w:tc>
          <w:tcPr>
            <w:tcW w:w="144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the Year Ended</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21, 2019 through</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January 1, 2019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through June 20, 2019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9,768,326</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4,393,185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1,929,820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Early exercised stock options subject to future</w:t>
            </w: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vesting</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831,896</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712,945</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award subject to future</w:t>
            </w: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vesting</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2,650,724</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4,319,619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4,931,355</w:t>
            </w:r>
          </w:p>
        </w:tc>
        <w:tc>
          <w:tcPr>
            <w:tcW w:w="0" w:type="dxa"/>
            <w:vAlign w:val="bottom"/>
          </w:tcPr>
          <w:p>
            <w:pPr>
              <w:spacing w:after="0"/>
              <w:rPr>
                <w:sz w:val="1"/>
                <w:szCs w:val="1"/>
                <w:color w:val="auto"/>
              </w:rPr>
            </w:pPr>
          </w:p>
        </w:tc>
      </w:tr>
      <w:tr>
        <w:trPr>
          <w:trHeight w:val="182"/>
        </w:trPr>
        <w:tc>
          <w:tcPr>
            <w:tcW w:w="3120" w:type="dxa"/>
            <w:vAlign w:val="bottom"/>
            <w:gridSpan w:val="2"/>
          </w:tcPr>
          <w:p>
            <w:pPr>
              <w:spacing w:after="0"/>
              <w:rPr>
                <w:sz w:val="20"/>
                <w:szCs w:val="20"/>
                <w:color w:val="auto"/>
              </w:rPr>
            </w:pPr>
            <w:r>
              <w:rPr>
                <w:rFonts w:ascii="Arial" w:cs="Arial" w:eastAsia="Arial" w:hAnsi="Arial"/>
                <w:sz w:val="14"/>
                <w:szCs w:val="14"/>
                <w:color w:val="auto"/>
              </w:rPr>
              <w:t>Warrants on long term debt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40,540</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0" w:type="dxa"/>
            <w:vAlign w:val="bottom"/>
          </w:tcPr>
          <w:p>
            <w:pPr>
              <w:spacing w:after="0"/>
              <w:rPr>
                <w:sz w:val="1"/>
                <w:szCs w:val="1"/>
                <w:color w:val="auto"/>
              </w:rPr>
            </w:pPr>
          </w:p>
        </w:tc>
      </w:tr>
      <w:tr>
        <w:trPr>
          <w:trHeight w:val="179"/>
        </w:trPr>
        <w:tc>
          <w:tcPr>
            <w:tcW w:w="3120" w:type="dxa"/>
            <w:vAlign w:val="bottom"/>
            <w:gridSpan w:val="2"/>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74,435,276</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70,569,539</w:t>
            </w:r>
          </w:p>
        </w:tc>
        <w:tc>
          <w:tcPr>
            <w:tcW w:w="1440" w:type="dxa"/>
            <w:vAlign w:val="bottom"/>
          </w:tcPr>
          <w:p>
            <w:pPr>
              <w:jc w:val="right"/>
              <w:spacing w:after="0"/>
              <w:rPr>
                <w:sz w:val="20"/>
                <w:szCs w:val="20"/>
                <w:color w:val="auto"/>
              </w:rPr>
            </w:pPr>
            <w:r>
              <w:rPr>
                <w:rFonts w:ascii="Arial" w:cs="Arial" w:eastAsia="Arial" w:hAnsi="Arial"/>
                <w:sz w:val="14"/>
                <w:szCs w:val="14"/>
                <w:color w:val="auto"/>
              </w:rPr>
              <w:t>41,861,175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16—Related party transactions</w:t>
      </w:r>
    </w:p>
    <w:p>
      <w:pPr>
        <w:spacing w:after="0" w:line="128" w:lineRule="exact"/>
        <w:rPr>
          <w:sz w:val="20"/>
          <w:szCs w:val="20"/>
          <w:color w:val="auto"/>
        </w:rPr>
      </w:pPr>
    </w:p>
    <w:p>
      <w:pPr>
        <w:ind w:left="1220" w:right="1579"/>
        <w:spacing w:after="0" w:line="265"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81"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Prior Century. The acquired licenses and other contracts with FCDI are as follows:</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Acquired FCDI Licenses</w:t>
      </w:r>
    </w:p>
    <w:p>
      <w:pPr>
        <w:spacing w:after="0" w:line="123"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2" w:name="page243"/>
    <w:bookmarkEnd w:id="242"/>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83" w:lineRule="auto"/>
        <w:rPr>
          <w:sz w:val="20"/>
          <w:szCs w:val="20"/>
          <w:color w:val="auto"/>
        </w:rPr>
      </w:pPr>
      <w:r>
        <w:rPr>
          <w:rFonts w:ascii="Arial" w:cs="Arial" w:eastAsia="Arial" w:hAnsi="Arial"/>
          <w:sz w:val="14"/>
          <w:szCs w:val="14"/>
          <w:color w:val="auto"/>
        </w:rPr>
        <w:t>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272"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103" w:lineRule="exact"/>
        <w:rPr>
          <w:sz w:val="20"/>
          <w:szCs w:val="20"/>
          <w:color w:val="auto"/>
        </w:rPr>
      </w:pPr>
    </w:p>
    <w:p>
      <w:pPr>
        <w:ind w:left="1220" w:right="1599"/>
        <w:spacing w:after="0" w:line="290"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FCDI Collaboration Agreement</w:t>
      </w:r>
    </w:p>
    <w:p>
      <w:pPr>
        <w:spacing w:after="0" w:line="144"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T-cell-derived iPSCs and immune cells derived therefrom. FCDI will provide services in accordance with the approved research plan and related research budget. The initial research plan covers the period from October 2019 through March 31, 2022. The original research budget of $19,700 was increased to $30,400 in March 2021.</w:t>
      </w:r>
    </w:p>
    <w:p>
      <w:pPr>
        <w:spacing w:after="0" w:line="276" w:lineRule="exact"/>
        <w:rPr>
          <w:sz w:val="20"/>
          <w:szCs w:val="20"/>
          <w:color w:val="auto"/>
        </w:rPr>
      </w:pPr>
    </w:p>
    <w:p>
      <w:pPr>
        <w:ind w:left="1220" w:right="1279"/>
        <w:spacing w:after="0" w:line="280" w:lineRule="auto"/>
        <w:rPr>
          <w:sz w:val="20"/>
          <w:szCs w:val="20"/>
          <w:color w:val="auto"/>
        </w:rPr>
      </w:pPr>
      <w:r>
        <w:rPr>
          <w:rFonts w:ascii="Arial" w:cs="Arial" w:eastAsia="Arial" w:hAnsi="Arial"/>
          <w:sz w:val="14"/>
          <w:szCs w:val="14"/>
          <w:color w:val="auto"/>
        </w:rPr>
        <w:t>During the Successor period ended December 31, 2020, the Company made payments of $5,311 and incurred research and development expenses of $9,002 and legal fees of $52 recorded within general and administrative expenses in its consolidated statements of operations and comprehensive loss. As of December 31, 2020, there was $1,844 in accounts payable on the consolidated balance sheets.</w:t>
      </w:r>
    </w:p>
    <w:p>
      <w:pPr>
        <w:spacing w:after="0" w:line="285"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During the Successor period June 21, 2019 through December 31, 2019, the Company made payments of $4,847, of which $2,140 is classified in prepaid expenses and other current assets in the consolidated balance sheet as of December 31, 2019. During the Successor period June 21, 2019 through December 31, 2019, the Company incurred research and development operating expenses of $3,139 and legal fees of $118 recorded as general and administrative expenses in the consolidated statements of operations and comprehensive loss.</w:t>
      </w:r>
    </w:p>
    <w:p>
      <w:pPr>
        <w:spacing w:after="0" w:line="108" w:lineRule="exact"/>
        <w:rPr>
          <w:sz w:val="20"/>
          <w:szCs w:val="20"/>
          <w:color w:val="auto"/>
        </w:rPr>
      </w:pPr>
    </w:p>
    <w:p>
      <w:pPr>
        <w:ind w:left="1220" w:right="1479"/>
        <w:spacing w:after="0" w:line="290" w:lineRule="auto"/>
        <w:rPr>
          <w:sz w:val="20"/>
          <w:szCs w:val="20"/>
          <w:color w:val="auto"/>
        </w:rPr>
      </w:pPr>
      <w:r>
        <w:rPr>
          <w:rFonts w:ascii="Arial" w:cs="Arial" w:eastAsia="Arial" w:hAnsi="Arial"/>
          <w:sz w:val="14"/>
          <w:szCs w:val="14"/>
          <w:color w:val="auto"/>
        </w:rPr>
        <w:t>During the Predecessor period January 1, 2019 through June 20, 2019, the Company incurred research and development operating expenses of $1,643.</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3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2019, the Company entered into arrangements with two shareholders of Prior Century,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$94, $106 and $44 related to these consulting arrangements that were included in research and development expenses in the consolidated statements of operations and comprehensive loss for the Successor period ended December 31, 2020, the Successor period June 21, 2019 through December 31, 2019, and the Predecessor period January 1, 2019 through June 20, 2019, respectively.</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17—Subsequent Events</w:t>
      </w:r>
    </w:p>
    <w:p>
      <w:pPr>
        <w:spacing w:after="0" w:line="144" w:lineRule="exact"/>
        <w:rPr>
          <w:sz w:val="20"/>
          <w:szCs w:val="20"/>
          <w:color w:val="auto"/>
        </w:rPr>
      </w:pPr>
    </w:p>
    <w:p>
      <w:pPr>
        <w:jc w:val="both"/>
        <w:ind w:left="1220" w:right="1259"/>
        <w:spacing w:after="0" w:line="281" w:lineRule="auto"/>
        <w:rPr>
          <w:sz w:val="20"/>
          <w:szCs w:val="20"/>
          <w:color w:val="auto"/>
        </w:rPr>
      </w:pPr>
      <w:r>
        <w:rPr>
          <w:rFonts w:ascii="Arial" w:cs="Arial" w:eastAsia="Arial" w:hAnsi="Arial"/>
          <w:sz w:val="14"/>
          <w:szCs w:val="14"/>
          <w:color w:val="auto"/>
        </w:rPr>
        <w:t>The Company has evaluated subsequent events for the year ended December 31, 2020, the date of these consolidated financial statements, through May 5, 2021, which represents the date these consolidated financial statements were issued.</w:t>
      </w:r>
    </w:p>
    <w:p>
      <w:pPr>
        <w:spacing w:after="0" w:line="10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3" w:name="page244"/>
    <w:bookmarkEnd w:id="243"/>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$6.4720 per shares for gross proceeds of $160,000.</w:t>
      </w:r>
    </w:p>
    <w:p>
      <w:pPr>
        <w:spacing w:after="0" w:line="96" w:lineRule="exact"/>
        <w:rPr>
          <w:sz w:val="20"/>
          <w:szCs w:val="20"/>
          <w:color w:val="auto"/>
        </w:rPr>
      </w:pPr>
    </w:p>
    <w:p>
      <w:pPr>
        <w:ind w:left="1220" w:right="1539"/>
        <w:spacing w:after="0" w:line="277"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07"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$6.4720, respectively. No dividends have been declared or paid as of December 31, 2020.</w:t>
      </w:r>
    </w:p>
    <w:p>
      <w:pPr>
        <w:spacing w:after="0" w:line="108"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79"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6"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107"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9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4" w:name="page245"/>
    <w:bookmarkEnd w:id="244"/>
    <w:p>
      <w:pPr>
        <w:ind w:left="220"/>
        <w:spacing w:after="0"/>
        <w:rPr>
          <w:rFonts w:ascii="Arial" w:cs="Arial" w:eastAsia="Arial" w:hAnsi="Arial"/>
          <w:sz w:val="12"/>
          <w:szCs w:val="12"/>
          <w:color w:val="003366"/>
        </w:rPr>
      </w:pPr>
      <w:hyperlink w:anchor="page217">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3" w:lineRule="auto"/>
        <w:rPr>
          <w:sz w:val="20"/>
          <w:szCs w:val="20"/>
          <w:color w:val="auto"/>
        </w:rPr>
      </w:pPr>
      <w:r>
        <w:rPr>
          <w:rFonts w:ascii="Arial" w:cs="Arial" w:eastAsia="Arial" w:hAnsi="Arial"/>
          <w:sz w:val="23"/>
          <w:szCs w:val="23"/>
          <w:b w:val="1"/>
          <w:bCs w:val="1"/>
          <w:color w:val="auto"/>
        </w:rPr>
        <w:t>Century Therapeutics, Inc. and Subsidiary Table of Contents</w:t>
      </w:r>
    </w:p>
    <w:p>
      <w:pPr>
        <w:ind w:left="1220" w:right="1259"/>
        <w:spacing w:after="0" w:line="233" w:lineRule="auto"/>
        <w:rPr>
          <w:sz w:val="20"/>
          <w:szCs w:val="20"/>
          <w:color w:val="auto"/>
        </w:rPr>
      </w:pPr>
      <w:r>
        <w:rPr>
          <w:rFonts w:ascii="Arial" w:cs="Arial" w:eastAsia="Arial" w:hAnsi="Arial"/>
          <w:sz w:val="23"/>
          <w:szCs w:val="23"/>
          <w:b w:val="1"/>
          <w:bCs w:val="1"/>
          <w:color w:val="auto"/>
        </w:rPr>
        <w:t>As of and for the three months ended March 31, 2021 and March 31, 2020</w:t>
      </w:r>
    </w:p>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63"/>
        </w:trPr>
        <w:tc>
          <w:tcPr>
            <w:tcW w:w="694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Unaudited consolidated financial statements</w:t>
            </w:r>
          </w:p>
        </w:tc>
        <w:tc>
          <w:tcPr>
            <w:tcW w:w="320" w:type="dxa"/>
            <w:vAlign w:val="bottom"/>
            <w:shd w:val="clear" w:color="auto" w:fill="CCEEFF"/>
          </w:tcPr>
          <w:p>
            <w:pPr>
              <w:spacing w:after="0"/>
              <w:rPr>
                <w:sz w:val="14"/>
                <w:szCs w:val="14"/>
                <w:color w:val="auto"/>
              </w:rPr>
            </w:pPr>
          </w:p>
        </w:tc>
      </w:tr>
      <w:tr>
        <w:trPr>
          <w:trHeight w:val="179"/>
        </w:trPr>
        <w:tc>
          <w:tcPr>
            <w:tcW w:w="5080" w:type="dxa"/>
            <w:vAlign w:val="bottom"/>
            <w:tcBorders>
              <w:bottom w:val="single" w:sz="8" w:color="0000EE"/>
            </w:tcBorders>
            <w:gridSpan w:val="4"/>
          </w:tcPr>
          <w:p>
            <w:pPr>
              <w:spacing w:after="0"/>
              <w:rPr>
                <w:rFonts w:ascii="Arial" w:cs="Arial" w:eastAsia="Arial" w:hAnsi="Arial"/>
                <w:sz w:val="14"/>
                <w:szCs w:val="14"/>
                <w:color w:val="0000EE"/>
              </w:rPr>
            </w:pPr>
            <w:hyperlink w:anchor="page245">
              <w:r>
                <w:rPr>
                  <w:rFonts w:ascii="Arial" w:cs="Arial" w:eastAsia="Arial" w:hAnsi="Arial"/>
                  <w:sz w:val="14"/>
                  <w:szCs w:val="14"/>
                  <w:color w:val="0000EE"/>
                </w:rPr>
                <w:t>Consolidated balance sheets as of March 31, 2021 and December 31, 2020</w:t>
              </w:r>
            </w:hyperlink>
          </w:p>
        </w:tc>
        <w:tc>
          <w:tcPr>
            <w:tcW w:w="1860" w:type="dxa"/>
            <w:vAlign w:val="bottom"/>
            <w:gridSpan w:val="3"/>
          </w:tcPr>
          <w:p>
            <w:pPr>
              <w:spacing w:after="0"/>
              <w:rPr>
                <w:sz w:val="15"/>
                <w:szCs w:val="15"/>
                <w:color w:val="auto"/>
              </w:rPr>
            </w:pPr>
          </w:p>
        </w:tc>
        <w:tc>
          <w:tcPr>
            <w:tcW w:w="320" w:type="dxa"/>
            <w:vAlign w:val="bottom"/>
            <w:tcBorders>
              <w:bottom w:val="single" w:sz="8" w:color="0000EE"/>
            </w:tcBorders>
          </w:tcPr>
          <w:p>
            <w:pPr>
              <w:spacing w:after="0"/>
              <w:rPr>
                <w:rFonts w:ascii="Arial" w:cs="Arial" w:eastAsia="Arial" w:hAnsi="Arial"/>
                <w:sz w:val="14"/>
                <w:szCs w:val="14"/>
                <w:color w:val="0000EE"/>
              </w:rPr>
            </w:pPr>
            <w:hyperlink w:anchor="page245">
              <w:r>
                <w:rPr>
                  <w:rFonts w:ascii="Arial" w:cs="Arial" w:eastAsia="Arial" w:hAnsi="Arial"/>
                  <w:sz w:val="14"/>
                  <w:szCs w:val="14"/>
                  <w:color w:val="0000EE"/>
                </w:rPr>
                <w:t>F-29</w:t>
              </w:r>
            </w:hyperlink>
          </w:p>
        </w:tc>
      </w:tr>
      <w:tr>
        <w:trPr>
          <w:trHeight w:val="179"/>
        </w:trPr>
        <w:tc>
          <w:tcPr>
            <w:tcW w:w="6940" w:type="dxa"/>
            <w:vAlign w:val="bottom"/>
            <w:gridSpan w:val="7"/>
            <w:shd w:val="clear" w:color="auto" w:fill="CCEEFF"/>
          </w:tcPr>
          <w:p>
            <w:pPr>
              <w:spacing w:after="0"/>
              <w:rPr>
                <w:rFonts w:ascii="Arial" w:cs="Arial" w:eastAsia="Arial" w:hAnsi="Arial"/>
                <w:sz w:val="14"/>
                <w:szCs w:val="14"/>
                <w:color w:val="0000EE"/>
              </w:rPr>
            </w:pPr>
            <w:hyperlink w:anchor="page246">
              <w:r>
                <w:rPr>
                  <w:rFonts w:ascii="Arial" w:cs="Arial" w:eastAsia="Arial" w:hAnsi="Arial"/>
                  <w:sz w:val="14"/>
                  <w:szCs w:val="14"/>
                  <w:color w:val="0000EE"/>
                </w:rPr>
                <w:t>Consolidated statements of operations and comprehensive loss for the three months ended March 31,</w:t>
              </w:r>
            </w:hyperlink>
          </w:p>
        </w:tc>
        <w:tc>
          <w:tcPr>
            <w:tcW w:w="320" w:type="dxa"/>
            <w:vAlign w:val="bottom"/>
            <w:shd w:val="clear" w:color="auto" w:fill="CCEEFF"/>
          </w:tcPr>
          <w:p>
            <w:pPr>
              <w:spacing w:after="0"/>
              <w:rPr>
                <w:sz w:val="15"/>
                <w:szCs w:val="15"/>
                <w:color w:val="auto"/>
              </w:rPr>
            </w:pP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700" w:type="dxa"/>
            <w:vAlign w:val="bottom"/>
            <w:tcBorders>
              <w:top w:val="single" w:sz="8" w:color="0000EE"/>
            </w:tcBorders>
            <w:gridSpan w:val="5"/>
            <w:shd w:val="clear" w:color="auto" w:fill="CCEEFF"/>
          </w:tcPr>
          <w:p>
            <w:pPr>
              <w:spacing w:after="0" w:line="153" w:lineRule="exact"/>
              <w:rPr>
                <w:rFonts w:ascii="Arial" w:cs="Arial" w:eastAsia="Arial" w:hAnsi="Arial"/>
                <w:sz w:val="14"/>
                <w:szCs w:val="14"/>
                <w:color w:val="0000EE"/>
              </w:rPr>
            </w:pPr>
            <w:hyperlink w:anchor="page246">
              <w:r>
                <w:rPr>
                  <w:rFonts w:ascii="Arial" w:cs="Arial" w:eastAsia="Arial" w:hAnsi="Arial"/>
                  <w:sz w:val="14"/>
                  <w:szCs w:val="14"/>
                  <w:color w:val="0000EE"/>
                </w:rPr>
                <w:t>2021 and March 31, 2020</w:t>
              </w:r>
            </w:hyperlink>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line="153" w:lineRule="exact"/>
              <w:rPr>
                <w:rFonts w:ascii="Arial" w:cs="Arial" w:eastAsia="Arial" w:hAnsi="Arial"/>
                <w:sz w:val="14"/>
                <w:szCs w:val="14"/>
                <w:color w:val="0000EE"/>
              </w:rPr>
            </w:pPr>
            <w:hyperlink w:anchor="page246">
              <w:r>
                <w:rPr>
                  <w:rFonts w:ascii="Arial" w:cs="Arial" w:eastAsia="Arial" w:hAnsi="Arial"/>
                  <w:sz w:val="14"/>
                  <w:szCs w:val="14"/>
                  <w:color w:val="0000EE"/>
                </w:rPr>
                <w:t>F-30</w:t>
              </w:r>
            </w:hyperlink>
          </w:p>
        </w:tc>
      </w:tr>
      <w:tr>
        <w:trPr>
          <w:trHeight w:val="23"/>
        </w:trPr>
        <w:tc>
          <w:tcPr>
            <w:tcW w:w="14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r>
      <w:tr>
        <w:trPr>
          <w:trHeight w:val="173"/>
        </w:trPr>
        <w:tc>
          <w:tcPr>
            <w:tcW w:w="6600" w:type="dxa"/>
            <w:vAlign w:val="bottom"/>
            <w:tcBorders>
              <w:bottom w:val="single" w:sz="8" w:color="0000EE"/>
            </w:tcBorders>
            <w:gridSpan w:val="5"/>
          </w:tcPr>
          <w:p>
            <w:pPr>
              <w:spacing w:after="0"/>
              <w:rPr>
                <w:rFonts w:ascii="Arial" w:cs="Arial" w:eastAsia="Arial" w:hAnsi="Arial"/>
                <w:sz w:val="14"/>
                <w:szCs w:val="14"/>
                <w:color w:val="0000EE"/>
              </w:rPr>
            </w:pPr>
            <w:hyperlink w:anchor="page247">
              <w:r>
                <w:rPr>
                  <w:rFonts w:ascii="Arial" w:cs="Arial" w:eastAsia="Arial" w:hAnsi="Arial"/>
                  <w:sz w:val="14"/>
                  <w:szCs w:val="14"/>
                  <w:color w:val="0000EE"/>
                </w:rPr>
                <w:t>Consolidated statements of changes in convertible preferred stock and stockholders’ deficit for the</w:t>
              </w:r>
            </w:hyperlink>
          </w:p>
        </w:tc>
        <w:tc>
          <w:tcPr>
            <w:tcW w:w="3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r>
      <w:tr>
        <w:trPr>
          <w:trHeight w:val="153"/>
        </w:trPr>
        <w:tc>
          <w:tcPr>
            <w:tcW w:w="140" w:type="dxa"/>
            <w:vAlign w:val="bottom"/>
          </w:tcPr>
          <w:p>
            <w:pPr>
              <w:spacing w:after="0"/>
              <w:rPr>
                <w:sz w:val="13"/>
                <w:szCs w:val="13"/>
                <w:color w:val="auto"/>
              </w:rPr>
            </w:pPr>
          </w:p>
        </w:tc>
        <w:tc>
          <w:tcPr>
            <w:tcW w:w="3840" w:type="dxa"/>
            <w:vAlign w:val="bottom"/>
            <w:tcBorders>
              <w:bottom w:val="single" w:sz="8" w:color="0000EE"/>
            </w:tcBorders>
            <w:gridSpan w:val="2"/>
          </w:tcPr>
          <w:p>
            <w:pPr>
              <w:spacing w:after="0" w:line="153" w:lineRule="exact"/>
              <w:rPr>
                <w:rFonts w:ascii="Arial" w:cs="Arial" w:eastAsia="Arial" w:hAnsi="Arial"/>
                <w:sz w:val="14"/>
                <w:szCs w:val="14"/>
                <w:color w:val="0000EE"/>
              </w:rPr>
            </w:pPr>
            <w:hyperlink w:anchor="page247">
              <w:r>
                <w:rPr>
                  <w:rFonts w:ascii="Arial" w:cs="Arial" w:eastAsia="Arial" w:hAnsi="Arial"/>
                  <w:sz w:val="14"/>
                  <w:szCs w:val="14"/>
                  <w:color w:val="0000EE"/>
                </w:rPr>
                <w:t>three months ended March 31, 2021 and March 31, 2020</w:t>
              </w:r>
            </w:hyperlink>
          </w:p>
        </w:tc>
        <w:tc>
          <w:tcPr>
            <w:tcW w:w="2960" w:type="dxa"/>
            <w:vAlign w:val="bottom"/>
            <w:gridSpan w:val="4"/>
          </w:tcPr>
          <w:p>
            <w:pPr>
              <w:spacing w:after="0"/>
              <w:rPr>
                <w:sz w:val="13"/>
                <w:szCs w:val="13"/>
                <w:color w:val="auto"/>
              </w:rPr>
            </w:pPr>
          </w:p>
        </w:tc>
        <w:tc>
          <w:tcPr>
            <w:tcW w:w="320" w:type="dxa"/>
            <w:vAlign w:val="bottom"/>
            <w:tcBorders>
              <w:bottom w:val="single" w:sz="8" w:color="0000EE"/>
            </w:tcBorders>
          </w:tcPr>
          <w:p>
            <w:pPr>
              <w:spacing w:after="0" w:line="153" w:lineRule="exact"/>
              <w:rPr>
                <w:rFonts w:ascii="Arial" w:cs="Arial" w:eastAsia="Arial" w:hAnsi="Arial"/>
                <w:sz w:val="14"/>
                <w:szCs w:val="14"/>
                <w:color w:val="0000EE"/>
              </w:rPr>
            </w:pPr>
            <w:hyperlink w:anchor="page247">
              <w:r>
                <w:rPr>
                  <w:rFonts w:ascii="Arial" w:cs="Arial" w:eastAsia="Arial" w:hAnsi="Arial"/>
                  <w:sz w:val="14"/>
                  <w:szCs w:val="14"/>
                  <w:color w:val="0000EE"/>
                </w:rPr>
                <w:t>F-31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20320</wp:posOffset>
            </wp:positionV>
            <wp:extent cx="4604385"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604385" cy="137160"/>
                    </a:xfrm>
                    <a:prstGeom prst="rect">
                      <a:avLst/>
                    </a:prstGeom>
                    <a:noFill/>
                  </pic:spPr>
                </pic:pic>
              </a:graphicData>
            </a:graphic>
          </wp:anchor>
        </w:drawing>
      </w:r>
    </w:p>
    <w:p>
      <w:pPr>
        <w:spacing w:after="0" w:line="55" w:lineRule="exact"/>
        <w:rPr>
          <w:sz w:val="20"/>
          <w:szCs w:val="20"/>
          <w:color w:val="auto"/>
        </w:rPr>
      </w:pPr>
    </w:p>
    <w:p>
      <w:pPr>
        <w:jc w:val="right"/>
        <w:ind w:right="539"/>
        <w:spacing w:after="0"/>
        <w:rPr>
          <w:rFonts w:ascii="Arial" w:cs="Arial" w:eastAsia="Arial" w:hAnsi="Arial"/>
          <w:sz w:val="14"/>
          <w:szCs w:val="14"/>
          <w:u w:val="single" w:color="auto"/>
          <w:color w:val="0000EE"/>
        </w:rPr>
      </w:pPr>
      <w:hyperlink w:anchor="page248">
        <w:r>
          <w:rPr>
            <w:rFonts w:ascii="Arial" w:cs="Arial" w:eastAsia="Arial" w:hAnsi="Arial"/>
            <w:sz w:val="14"/>
            <w:szCs w:val="14"/>
            <w:u w:val="single" w:color="auto"/>
            <w:color w:val="0000EE"/>
          </w:rPr>
          <w:t>Consolidated statements of cash flows for the three months ended March 31, 2021 and March 31, 2020F-32</w:t>
        </w:r>
      </w:hyperlink>
    </w:p>
    <w:p>
      <w:pPr>
        <w:spacing w:after="0" w:line="35"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840" w:type="dxa"/>
            <w:vAlign w:val="bottom"/>
            <w:tcBorders>
              <w:bottom w:val="single" w:sz="8" w:color="0000EE"/>
            </w:tcBorders>
          </w:tcPr>
          <w:p>
            <w:pPr>
              <w:spacing w:after="0"/>
              <w:rPr>
                <w:rFonts w:ascii="Arial" w:cs="Arial" w:eastAsia="Arial" w:hAnsi="Arial"/>
                <w:sz w:val="14"/>
                <w:szCs w:val="14"/>
                <w:color w:val="0000EE"/>
              </w:rPr>
            </w:pPr>
            <w:hyperlink w:anchor="page249">
              <w:r>
                <w:rPr>
                  <w:rFonts w:ascii="Arial" w:cs="Arial" w:eastAsia="Arial" w:hAnsi="Arial"/>
                  <w:sz w:val="14"/>
                  <w:szCs w:val="14"/>
                  <w:color w:val="0000EE"/>
                </w:rPr>
                <w:t>Notes to consolidated financial statements</w:t>
              </w:r>
            </w:hyperlink>
          </w:p>
        </w:tc>
        <w:tc>
          <w:tcPr>
            <w:tcW w:w="4100" w:type="dxa"/>
            <w:vAlign w:val="bottom"/>
          </w:tcPr>
          <w:p>
            <w:pPr>
              <w:spacing w:after="0"/>
              <w:rPr>
                <w:sz w:val="14"/>
                <w:szCs w:val="14"/>
                <w:color w:val="auto"/>
              </w:rPr>
            </w:pPr>
          </w:p>
        </w:tc>
        <w:tc>
          <w:tcPr>
            <w:tcW w:w="320" w:type="dxa"/>
            <w:vAlign w:val="bottom"/>
            <w:tcBorders>
              <w:bottom w:val="single" w:sz="8" w:color="0000EE"/>
            </w:tcBorders>
          </w:tcPr>
          <w:p>
            <w:pPr>
              <w:spacing w:after="0"/>
              <w:rPr>
                <w:rFonts w:ascii="Arial" w:cs="Arial" w:eastAsia="Arial" w:hAnsi="Arial"/>
                <w:sz w:val="14"/>
                <w:szCs w:val="14"/>
                <w:color w:val="0000EE"/>
              </w:rPr>
            </w:pPr>
            <w:hyperlink w:anchor="page249">
              <w:r>
                <w:rPr>
                  <w:rFonts w:ascii="Arial" w:cs="Arial" w:eastAsia="Arial" w:hAnsi="Arial"/>
                  <w:sz w:val="14"/>
                  <w:szCs w:val="14"/>
                  <w:color w:val="0000EE"/>
                </w:rPr>
                <w:t>F-33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5" w:name="page246"/>
    <w:bookmarkEnd w:id="245"/>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7"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0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9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 2021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(unaudited)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Assets</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Current assets:</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79,483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103,459</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48,542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Escrow deposits, current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ind w:left="140"/>
              <w:spacing w:after="0" w:line="151" w:lineRule="exact"/>
              <w:rPr>
                <w:sz w:val="20"/>
                <w:szCs w:val="20"/>
                <w:color w:val="auto"/>
              </w:rPr>
            </w:pPr>
            <w:r>
              <w:rPr>
                <w:rFonts w:ascii="Arial" w:cs="Arial" w:eastAsia="Arial" w:hAnsi="Arial"/>
                <w:sz w:val="14"/>
                <w:szCs w:val="14"/>
                <w:color w:val="auto"/>
              </w:rPr>
              <w:t>Prepaid expenses and other current assets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1,980</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2,261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Total current assets</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185,299</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78,797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20,657</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2,119</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Operating lease right-of-use asset, net</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12,460</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Escrow deposits, non-current</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723</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63,138</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color w:val="auto"/>
              </w:rPr>
              <w:t>Security deposits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1,142</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286,055</w:t>
            </w:r>
          </w:p>
        </w:tc>
        <w:tc>
          <w:tcPr>
            <w:tcW w:w="2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106,776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line="143"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9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8,816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3,815</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ind w:left="140"/>
              <w:spacing w:after="0" w:line="151" w:lineRule="exact"/>
              <w:rPr>
                <w:sz w:val="20"/>
                <w:szCs w:val="20"/>
                <w:color w:val="auto"/>
              </w:rPr>
            </w:pPr>
            <w:r>
              <w:rPr>
                <w:rFonts w:ascii="Arial" w:cs="Arial" w:eastAsia="Arial" w:hAnsi="Arial"/>
                <w:sz w:val="14"/>
                <w:szCs w:val="14"/>
                <w:color w:val="auto"/>
              </w:rPr>
              <w:t>Deposit liability</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281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Total current liabilities</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b w:val="1"/>
                <w:bCs w:val="1"/>
                <w:color w:val="auto"/>
              </w:rPr>
              <w:t>12,912</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12,112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Operating lease liability, long-term</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14,745</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Deposit liability, non-current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color w:val="auto"/>
              </w:rPr>
              <w:t>Long-term debt, net</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9,711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9,636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38,223</w:t>
            </w: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line="143" w:lineRule="exact"/>
              <w:rPr>
                <w:sz w:val="20"/>
                <w:szCs w:val="20"/>
                <w:color w:val="auto"/>
              </w:rPr>
            </w:pPr>
            <w:r>
              <w:rPr>
                <w:rFonts w:ascii="Arial" w:cs="Arial" w:eastAsia="Arial" w:hAnsi="Arial"/>
                <w:sz w:val="14"/>
                <w:szCs w:val="14"/>
                <w:color w:val="auto"/>
              </w:rPr>
              <w:t>Commitments and contingencies (Note 11)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9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A, $0.0001 par value,</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35,000,000 shares authorized, issued and outstanding at March 31,</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34,922</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Arial" w:cs="Arial" w:eastAsia="Arial" w:hAnsi="Arial"/>
                <w:sz w:val="14"/>
                <w:szCs w:val="14"/>
                <w:color w:val="auto"/>
              </w:rPr>
              <w:t>Non-cumulative convertible preferred stock, Series B, $0.0001 par value,</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ind w:left="140"/>
              <w:spacing w:after="0"/>
              <w:rPr>
                <w:sz w:val="20"/>
                <w:szCs w:val="20"/>
                <w:color w:val="auto"/>
              </w:rPr>
            </w:pPr>
            <w:r>
              <w:rPr>
                <w:rFonts w:ascii="Arial" w:cs="Arial" w:eastAsia="Arial" w:hAnsi="Arial"/>
                <w:sz w:val="14"/>
                <w:szCs w:val="14"/>
                <w:color w:val="auto"/>
              </w:rPr>
              <w:t>26,143,790 shares authorized, issued and outstanding at March 31,</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tcPr>
          <w:p>
            <w:pPr>
              <w:ind w:left="140"/>
              <w:spacing w:after="0"/>
              <w:rPr>
                <w:sz w:val="20"/>
                <w:szCs w:val="20"/>
                <w:color w:val="auto"/>
              </w:rPr>
            </w:pPr>
            <w:r>
              <w:rPr>
                <w:rFonts w:ascii="Arial" w:cs="Arial" w:eastAsia="Arial" w:hAnsi="Arial"/>
                <w:sz w:val="14"/>
                <w:szCs w:val="14"/>
                <w:color w:val="auto"/>
              </w:rPr>
              <w:t>2021 and December 31, 2020</w:t>
            </w:r>
          </w:p>
        </w:tc>
        <w:tc>
          <w:tcPr>
            <w:tcW w:w="4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144,839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C, $0.0001 par value,</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24,721,999 and 0 shares authorized, issued and outstanding at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March 31, 2021 and December 31, 2020, respectively</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159,628</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920" w:type="dxa"/>
            <w:vAlign w:val="bottom"/>
          </w:tcPr>
          <w:p>
            <w:pPr>
              <w:spacing w:after="0" w:line="141" w:lineRule="exact"/>
              <w:rPr>
                <w:sz w:val="20"/>
                <w:szCs w:val="20"/>
                <w:color w:val="auto"/>
              </w:rPr>
            </w:pPr>
            <w:r>
              <w:rPr>
                <w:rFonts w:ascii="Arial" w:cs="Arial" w:eastAsia="Arial" w:hAnsi="Arial"/>
                <w:sz w:val="14"/>
                <w:szCs w:val="14"/>
                <w:color w:val="auto"/>
              </w:rPr>
              <w:t>Stockholders’ deficit:</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 125,236,190 shares authorized;</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19,732,637 and 18,825,136 shares issued and outstanding at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March 31, 2021 and December 31, 2020, respectively</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219,156</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217,831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receivable</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Accumulated deficit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(310,690)</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(292,342)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(26)</w:t>
            </w: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stockholders’ deficit</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(91,557)</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liabilities, convertible preferred stock and stockholders’ deficit</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shd w:val="clear" w:color="auto" w:fill="CCEEFF"/>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shd w:val="clear" w:color="auto" w:fill="CCEEFF"/>
              </w:rPr>
              <w:t>286,055</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106,776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-136525</wp:posOffset>
            </wp:positionV>
            <wp:extent cx="312420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-2266950</wp:posOffset>
            </wp:positionV>
            <wp:extent cx="312420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-2678430</wp:posOffset>
            </wp:positionV>
            <wp:extent cx="312420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-3302000</wp:posOffset>
            </wp:positionV>
            <wp:extent cx="312420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-4123690</wp:posOffset>
            </wp:positionV>
            <wp:extent cx="312420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-4740910</wp:posOffset>
            </wp:positionV>
            <wp:extent cx="312420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124200" cy="6985"/>
                    </a:xfrm>
                    <a:prstGeom prst="rect">
                      <a:avLst/>
                    </a:prstGeom>
                    <a:noFill/>
                  </pic:spPr>
                </pic:pic>
              </a:graphicData>
            </a:graphic>
          </wp:anchor>
        </w:drawing>
      </w:r>
    </w:p>
    <w:p>
      <w:pPr>
        <w:spacing w:after="0" w:line="67"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6" w:name="page247"/>
    <w:bookmarkEnd w:id="246"/>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220" w:right="2839"/>
        <w:spacing w:after="0" w:line="223"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6"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March 31, 2021</w:t>
            </w:r>
          </w:p>
        </w:tc>
        <w:tc>
          <w:tcPr>
            <w:tcW w:w="14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 2020</w:t>
            </w: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3"/>
                <w:szCs w:val="13"/>
                <w:b w:val="1"/>
                <w:bCs w:val="1"/>
                <w:color w:val="auto"/>
              </w:rPr>
              <w:t>(unaudited)</w:t>
            </w:r>
          </w:p>
        </w:tc>
        <w:tc>
          <w:tcPr>
            <w:tcW w:w="5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(unaudited)</w:t>
            </w:r>
          </w:p>
        </w:tc>
      </w:tr>
      <w:tr>
        <w:trPr>
          <w:trHeight w:val="194"/>
        </w:trPr>
        <w:tc>
          <w:tcPr>
            <w:tcW w:w="20" w:type="dxa"/>
            <w:vAlign w:val="bottom"/>
          </w:tcPr>
          <w:p>
            <w:pPr>
              <w:spacing w:after="0"/>
              <w:rPr>
                <w:sz w:val="16"/>
                <w:szCs w:val="16"/>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6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660" w:type="dxa"/>
            <w:vAlign w:val="bottom"/>
            <w:gridSpan w:val="3"/>
          </w:tcPr>
          <w:p>
            <w:pPr>
              <w:spacing w:after="0"/>
              <w:rPr>
                <w:sz w:val="20"/>
                <w:szCs w:val="20"/>
                <w:color w:val="auto"/>
              </w:rPr>
            </w:pPr>
            <w:r>
              <w:rPr>
                <w:rFonts w:ascii="Arial" w:cs="Arial" w:eastAsia="Arial" w:hAnsi="Arial"/>
                <w:sz w:val="14"/>
                <w:szCs w:val="14"/>
                <w:color w:val="auto"/>
              </w:rPr>
              <w:t>Research and development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15,374</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7,943</w:t>
            </w:r>
          </w:p>
        </w:tc>
        <w:tc>
          <w:tcPr>
            <w:tcW w:w="60" w:type="dxa"/>
            <w:vAlign w:val="bottom"/>
          </w:tcPr>
          <w:p>
            <w:pPr>
              <w:spacing w:after="0"/>
              <w:rPr>
                <w:sz w:val="15"/>
                <w:szCs w:val="15"/>
                <w:color w:val="auto"/>
              </w:rPr>
            </w:pPr>
          </w:p>
        </w:tc>
      </w:tr>
      <w:tr>
        <w:trPr>
          <w:trHeight w:val="23"/>
        </w:trPr>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2,688</w:t>
            </w: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18,062</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c>
          <w:tcPr>
            <w:tcW w:w="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5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60" w:type="dxa"/>
            <w:vAlign w:val="bottom"/>
          </w:tcPr>
          <w:p>
            <w:pPr>
              <w:spacing w:after="0"/>
              <w:rPr>
                <w:sz w:val="16"/>
                <w:szCs w:val="16"/>
                <w:color w:val="auto"/>
              </w:rPr>
            </w:pPr>
          </w:p>
        </w:tc>
      </w:tr>
      <w:tr>
        <w:trPr>
          <w:trHeight w:val="182"/>
        </w:trPr>
        <w:tc>
          <w:tcPr>
            <w:tcW w:w="366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(314)</w:t>
            </w:r>
          </w:p>
        </w:tc>
        <w:tc>
          <w:tcPr>
            <w:tcW w:w="5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3"/>
        </w:trPr>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w:t>
            </w: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20" w:type="dxa"/>
            <w:vAlign w:val="bottom"/>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(18,348)</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(9,673)</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tcBorders>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4"/>
                <w:szCs w:val="14"/>
                <w:color w:val="auto"/>
              </w:rPr>
              <w:t>Net loss per common share</w:t>
            </w:r>
          </w:p>
        </w:tc>
        <w:tc>
          <w:tcPr>
            <w:tcW w:w="6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r>
      <w:tr>
        <w:trPr>
          <w:trHeight w:val="194"/>
        </w:trPr>
        <w:tc>
          <w:tcPr>
            <w:tcW w:w="20" w:type="dxa"/>
            <w:vAlign w:val="bottom"/>
          </w:tcPr>
          <w:p>
            <w:pPr>
              <w:spacing w:after="0"/>
              <w:rPr>
                <w:sz w:val="16"/>
                <w:szCs w:val="16"/>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color w:val="auto"/>
              </w:rPr>
              <w:t>Basic and Diluted</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(0.95)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(0.51)</w:t>
            </w:r>
          </w:p>
        </w:tc>
      </w:tr>
      <w:tr>
        <w:trPr>
          <w:trHeight w:val="20"/>
        </w:trPr>
        <w:tc>
          <w:tcPr>
            <w:tcW w:w="20" w:type="dxa"/>
            <w:vAlign w:val="bottom"/>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tcBorders>
              <w:bottom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Weighted average common shares outstanding</w:t>
            </w:r>
          </w:p>
        </w:tc>
        <w:tc>
          <w:tcPr>
            <w:tcW w:w="6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3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Basic and Diluted</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19,278,887</w:t>
            </w: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6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(18,348)</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3"/>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Unrealized (loss) gain on short-term investments</w:t>
            </w: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5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6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5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(18,371)</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(9,646)</w:t>
            </w:r>
          </w:p>
        </w:tc>
        <w:tc>
          <w:tcPr>
            <w:tcW w:w="6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-13335</wp:posOffset>
            </wp:positionV>
            <wp:extent cx="2032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-149860</wp:posOffset>
            </wp:positionV>
            <wp:extent cx="232283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2283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-664210</wp:posOffset>
            </wp:positionV>
            <wp:extent cx="232283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22830" cy="698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-1308100</wp:posOffset>
            </wp:positionV>
            <wp:extent cx="2032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-1691640</wp:posOffset>
            </wp:positionV>
            <wp:extent cx="232283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322830" cy="698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-1814830</wp:posOffset>
            </wp:positionV>
            <wp:extent cx="2032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-2199005</wp:posOffset>
            </wp:positionV>
            <wp:extent cx="232283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228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7" w:name="page248"/>
    <w:bookmarkEnd w:id="247"/>
    <w:p>
      <w:pPr>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spacing w:after="0" w:line="1" w:lineRule="exact"/>
        <w:rPr>
          <w:sz w:val="20"/>
          <w:szCs w:val="20"/>
          <w:color w:val="auto"/>
        </w:rPr>
      </w:pPr>
    </w:p>
    <w:p>
      <w:pPr>
        <w:ind w:left="680" w:right="2360"/>
        <w:spacing w:after="0" w:line="215"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 (unaudited)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73660</wp:posOffset>
            </wp:positionV>
            <wp:extent cx="6673215" cy="139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73215" cy="13970"/>
                    </a:xfrm>
                    <a:prstGeom prst="rect">
                      <a:avLst/>
                    </a:prstGeom>
                    <a:noFill/>
                  </pic:spPr>
                </pic:pic>
              </a:graphicData>
            </a:graphic>
          </wp:anchor>
        </w:drawing>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06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Series A</w:t>
            </w: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Series B</w:t>
            </w:r>
          </w:p>
        </w:tc>
        <w:tc>
          <w:tcPr>
            <w:tcW w:w="1180" w:type="dxa"/>
            <w:vAlign w:val="bottom"/>
            <w:gridSpan w:val="2"/>
            <w:vMerge w:val="restart"/>
          </w:tcPr>
          <w:p>
            <w:pPr>
              <w:jc w:val="right"/>
              <w:ind w:right="82"/>
              <w:spacing w:after="0"/>
              <w:rPr>
                <w:sz w:val="20"/>
                <w:szCs w:val="20"/>
                <w:color w:val="auto"/>
              </w:rPr>
            </w:pPr>
            <w:r>
              <w:rPr>
                <w:rFonts w:ascii="Arial" w:cs="Arial" w:eastAsia="Arial" w:hAnsi="Arial"/>
                <w:sz w:val="12"/>
                <w:szCs w:val="12"/>
                <w:b w:val="1"/>
                <w:bCs w:val="1"/>
                <w:color w:val="auto"/>
              </w:rPr>
              <w:t>Series C</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gridSpan w:val="2"/>
            <w:vMerge w:val="restart"/>
          </w:tcPr>
          <w:p>
            <w:pPr>
              <w:jc w:val="right"/>
              <w:ind w:right="102"/>
              <w:spacing w:after="0" w:line="108" w:lineRule="exact"/>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restart"/>
          </w:tcPr>
          <w:p>
            <w:pPr>
              <w:jc w:val="right"/>
              <w:ind w:right="2"/>
              <w:spacing w:after="0" w:line="108" w:lineRule="exact"/>
              <w:rPr>
                <w:sz w:val="20"/>
                <w:szCs w:val="20"/>
                <w:color w:val="auto"/>
              </w:rPr>
            </w:pPr>
            <w:r>
              <w:rPr>
                <w:rFonts w:ascii="Arial" w:cs="Arial" w:eastAsia="Arial" w:hAnsi="Arial"/>
                <w:sz w:val="12"/>
                <w:szCs w:val="12"/>
                <w:b w:val="1"/>
                <w:bCs w:val="1"/>
                <w:color w:val="auto"/>
              </w:rPr>
              <w:t>Convertible</w:t>
            </w:r>
          </w:p>
        </w:tc>
        <w:tc>
          <w:tcPr>
            <w:tcW w:w="1080" w:type="dxa"/>
            <w:vAlign w:val="bottom"/>
            <w:gridSpan w:val="2"/>
            <w:vMerge w:val="restart"/>
          </w:tcPr>
          <w:p>
            <w:pPr>
              <w:jc w:val="right"/>
              <w:spacing w:after="0" w:line="108" w:lineRule="exact"/>
              <w:rPr>
                <w:sz w:val="20"/>
                <w:szCs w:val="20"/>
                <w:color w:val="auto"/>
              </w:rPr>
            </w:pPr>
            <w:r>
              <w:rPr>
                <w:rFonts w:ascii="Arial" w:cs="Arial" w:eastAsia="Arial" w:hAnsi="Arial"/>
                <w:sz w:val="12"/>
                <w:szCs w:val="12"/>
                <w:b w:val="1"/>
                <w:bCs w:val="1"/>
                <w:color w:val="auto"/>
              </w:rPr>
              <w:t>Convertible</w:t>
            </w:r>
          </w:p>
        </w:tc>
        <w:tc>
          <w:tcPr>
            <w:tcW w:w="1180" w:type="dxa"/>
            <w:vAlign w:val="bottom"/>
            <w:gridSpan w:val="2"/>
            <w:vMerge w:val="restart"/>
          </w:tcPr>
          <w:p>
            <w:pPr>
              <w:jc w:val="right"/>
              <w:ind w:right="82"/>
              <w:spacing w:after="0" w:line="108" w:lineRule="exact"/>
              <w:rPr>
                <w:sz w:val="20"/>
                <w:szCs w:val="20"/>
                <w:color w:val="auto"/>
              </w:rPr>
            </w:pPr>
            <w:r>
              <w:rPr>
                <w:rFonts w:ascii="Arial" w:cs="Arial" w:eastAsia="Arial" w:hAnsi="Arial"/>
                <w:sz w:val="12"/>
                <w:szCs w:val="12"/>
                <w:b w:val="1"/>
                <w:bCs w:val="1"/>
                <w:color w:val="auto"/>
              </w:rPr>
              <w:t>Convertible</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gridSpan w:val="3"/>
            <w:vMerge w:val="restart"/>
          </w:tcPr>
          <w:p>
            <w:pPr>
              <w:jc w:val="right"/>
              <w:ind w:right="102"/>
              <w:spacing w:after="0" w:line="108"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4"/>
                <w:szCs w:val="4"/>
                <w:color w:val="auto"/>
              </w:rPr>
            </w:pPr>
          </w:p>
        </w:tc>
        <w:tc>
          <w:tcPr>
            <w:tcW w:w="560" w:type="dxa"/>
            <w:vAlign w:val="bottom"/>
            <w:gridSpan w:val="2"/>
            <w:vMerge w:val="restart"/>
          </w:tcPr>
          <w:p>
            <w:pPr>
              <w:jc w:val="right"/>
              <w:ind w:right="80"/>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restart"/>
          </w:tcPr>
          <w:p>
            <w:pPr>
              <w:jc w:val="right"/>
              <w:spacing w:after="0" w:line="121" w:lineRule="exact"/>
              <w:rPr>
                <w:sz w:val="20"/>
                <w:szCs w:val="20"/>
                <w:color w:val="auto"/>
              </w:rPr>
            </w:pPr>
            <w:r>
              <w:rPr>
                <w:rFonts w:ascii="Arial" w:cs="Arial" w:eastAsia="Arial" w:hAnsi="Arial"/>
                <w:sz w:val="12"/>
                <w:szCs w:val="12"/>
                <w:b w:val="1"/>
                <w:bCs w:val="1"/>
                <w:color w:val="auto"/>
              </w:rPr>
              <w:t>Preferred Stock</w:t>
            </w:r>
          </w:p>
        </w:tc>
        <w:tc>
          <w:tcPr>
            <w:tcW w:w="1080" w:type="dxa"/>
            <w:vAlign w:val="bottom"/>
            <w:gridSpan w:val="2"/>
            <w:vMerge w:val="restart"/>
          </w:tcPr>
          <w:p>
            <w:pPr>
              <w:jc w:val="right"/>
              <w:spacing w:after="0" w:line="121" w:lineRule="exact"/>
              <w:rPr>
                <w:sz w:val="20"/>
                <w:szCs w:val="20"/>
                <w:color w:val="auto"/>
              </w:rPr>
            </w:pPr>
            <w:r>
              <w:rPr>
                <w:rFonts w:ascii="Arial" w:cs="Arial" w:eastAsia="Arial" w:hAnsi="Arial"/>
                <w:sz w:val="12"/>
                <w:szCs w:val="12"/>
                <w:b w:val="1"/>
                <w:bCs w:val="1"/>
                <w:color w:val="auto"/>
              </w:rPr>
              <w:t>Preferred Stock</w:t>
            </w:r>
          </w:p>
        </w:tc>
        <w:tc>
          <w:tcPr>
            <w:tcW w:w="1180" w:type="dxa"/>
            <w:vAlign w:val="bottom"/>
            <w:gridSpan w:val="2"/>
            <w:vMerge w:val="restart"/>
          </w:tcPr>
          <w:p>
            <w:pPr>
              <w:jc w:val="right"/>
              <w:ind w:right="42"/>
              <w:spacing w:after="0" w:line="121" w:lineRule="exact"/>
              <w:rPr>
                <w:sz w:val="20"/>
                <w:szCs w:val="20"/>
                <w:color w:val="auto"/>
              </w:rPr>
            </w:pPr>
            <w:r>
              <w:rPr>
                <w:rFonts w:ascii="Arial" w:cs="Arial" w:eastAsia="Arial" w:hAnsi="Arial"/>
                <w:sz w:val="12"/>
                <w:szCs w:val="12"/>
                <w:b w:val="1"/>
                <w:bCs w:val="1"/>
                <w:color w:val="auto"/>
              </w:rPr>
              <w:t>Preferred Stock</w:t>
            </w:r>
          </w:p>
        </w:tc>
        <w:tc>
          <w:tcPr>
            <w:tcW w:w="960" w:type="dxa"/>
            <w:vAlign w:val="bottom"/>
            <w:gridSpan w:val="3"/>
            <w:vMerge w:val="restart"/>
          </w:tcPr>
          <w:p>
            <w:pPr>
              <w:jc w:val="right"/>
              <w:spacing w:after="0" w:line="121" w:lineRule="exact"/>
              <w:rPr>
                <w:sz w:val="20"/>
                <w:szCs w:val="20"/>
                <w:color w:val="auto"/>
              </w:rPr>
            </w:pPr>
            <w:r>
              <w:rPr>
                <w:rFonts w:ascii="Arial" w:cs="Arial" w:eastAsia="Arial" w:hAnsi="Arial"/>
                <w:sz w:val="12"/>
                <w:szCs w:val="12"/>
                <w:b w:val="1"/>
                <w:bCs w:val="1"/>
                <w:color w:val="auto"/>
              </w:rPr>
              <w:t>Common Stock</w:t>
            </w:r>
          </w:p>
        </w:tc>
        <w:tc>
          <w:tcPr>
            <w:tcW w:w="7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220" w:type="dxa"/>
            <w:vAlign w:val="bottom"/>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1080" w:type="dxa"/>
            <w:vAlign w:val="bottom"/>
            <w:tcBorders>
              <w:bottom w:val="single" w:sz="8" w:color="auto"/>
            </w:tcBorders>
            <w:gridSpan w:val="2"/>
            <w:vMerge w:val="continue"/>
          </w:tcPr>
          <w:p>
            <w:pPr>
              <w:spacing w:after="0"/>
              <w:rPr>
                <w:sz w:val="7"/>
                <w:szCs w:val="7"/>
                <w:color w:val="auto"/>
              </w:rPr>
            </w:pPr>
          </w:p>
        </w:tc>
        <w:tc>
          <w:tcPr>
            <w:tcW w:w="1180" w:type="dxa"/>
            <w:vAlign w:val="bottom"/>
            <w:tcBorders>
              <w:bottom w:val="single" w:sz="8" w:color="auto"/>
            </w:tcBorders>
            <w:gridSpan w:val="2"/>
            <w:vMerge w:val="continue"/>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180" w:type="dxa"/>
            <w:vAlign w:val="bottom"/>
            <w:gridSpan w:val="5"/>
          </w:tcPr>
          <w:p>
            <w:pPr>
              <w:jc w:val="right"/>
              <w:ind w:right="82"/>
              <w:spacing w:after="0" w:line="87" w:lineRule="exact"/>
              <w:rPr>
                <w:sz w:val="20"/>
                <w:szCs w:val="20"/>
                <w:color w:val="auto"/>
              </w:rPr>
            </w:pPr>
            <w:r>
              <w:rPr>
                <w:rFonts w:ascii="Arial" w:cs="Arial" w:eastAsia="Arial" w:hAnsi="Arial"/>
                <w:sz w:val="10"/>
                <w:szCs w:val="10"/>
                <w:b w:val="1"/>
                <w:bCs w:val="1"/>
                <w:color w:val="auto"/>
              </w:rPr>
              <w:t>Paid-In Subscription Accumulated</w:t>
            </w:r>
          </w:p>
        </w:tc>
        <w:tc>
          <w:tcPr>
            <w:tcW w:w="1720" w:type="dxa"/>
            <w:vAlign w:val="bottom"/>
            <w:gridSpan w:val="5"/>
          </w:tcPr>
          <w:p>
            <w:pPr>
              <w:jc w:val="right"/>
              <w:ind w:right="80"/>
              <w:spacing w:after="0" w:line="87" w:lineRule="exact"/>
              <w:rPr>
                <w:sz w:val="20"/>
                <w:szCs w:val="20"/>
                <w:color w:val="auto"/>
              </w:rPr>
            </w:pPr>
            <w:r>
              <w:rPr>
                <w:rFonts w:ascii="Arial" w:cs="Arial" w:eastAsia="Arial" w:hAnsi="Arial"/>
                <w:sz w:val="10"/>
                <w:szCs w:val="10"/>
                <w:b w:val="1"/>
                <w:bCs w:val="1"/>
                <w:color w:val="auto"/>
              </w:rPr>
              <w:t>Income Stockholders’</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SharesAmount</w:t>
            </w:r>
          </w:p>
        </w:tc>
        <w:tc>
          <w:tcPr>
            <w:tcW w:w="1080" w:type="dxa"/>
            <w:vAlign w:val="bottom"/>
            <w:gridSpan w:val="2"/>
          </w:tcPr>
          <w:p>
            <w:pPr>
              <w:jc w:val="right"/>
              <w:spacing w:after="0"/>
              <w:rPr>
                <w:sz w:val="20"/>
                <w:szCs w:val="20"/>
                <w:color w:val="auto"/>
              </w:rPr>
            </w:pPr>
            <w:r>
              <w:rPr>
                <w:rFonts w:ascii="Arial" w:cs="Arial" w:eastAsia="Arial" w:hAnsi="Arial"/>
                <w:sz w:val="12"/>
                <w:szCs w:val="12"/>
                <w:b w:val="1"/>
                <w:bCs w:val="1"/>
                <w:color w:val="auto"/>
              </w:rPr>
              <w:t>Shares Amount</w:t>
            </w:r>
          </w:p>
        </w:tc>
        <w:tc>
          <w:tcPr>
            <w:tcW w:w="118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Shares Amount</w:t>
            </w:r>
          </w:p>
        </w:tc>
        <w:tc>
          <w:tcPr>
            <w:tcW w:w="960" w:type="dxa"/>
            <w:vAlign w:val="bottom"/>
            <w:gridSpan w:val="3"/>
          </w:tcPr>
          <w:p>
            <w:pPr>
              <w:jc w:val="right"/>
              <w:spacing w:after="0"/>
              <w:rPr>
                <w:sz w:val="20"/>
                <w:szCs w:val="20"/>
                <w:color w:val="auto"/>
              </w:rPr>
            </w:pPr>
            <w:r>
              <w:rPr>
                <w:rFonts w:ascii="Arial" w:cs="Arial" w:eastAsia="Arial" w:hAnsi="Arial"/>
                <w:sz w:val="12"/>
                <w:szCs w:val="12"/>
                <w:b w:val="1"/>
                <w:bCs w:val="1"/>
                <w:color w:val="auto"/>
              </w:rPr>
              <w:t>SharesAmount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b w:val="1"/>
                <w:bCs w:val="1"/>
                <w:color w:val="auto"/>
              </w:rPr>
              <w:t>Capital</w:t>
            </w:r>
          </w:p>
        </w:tc>
        <w:tc>
          <w:tcPr>
            <w:tcW w:w="78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Receivable</w:t>
            </w:r>
          </w:p>
        </w:tc>
        <w:tc>
          <w:tcPr>
            <w:tcW w:w="2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rPr>
              <w:t>Deficit</w:t>
            </w:r>
          </w:p>
        </w:tc>
        <w:tc>
          <w:tcPr>
            <w:tcW w:w="96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(Loss)</w:t>
            </w:r>
          </w:p>
        </w:tc>
        <w:tc>
          <w:tcPr>
            <w:tcW w:w="2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31"/>
        </w:trPr>
        <w:tc>
          <w:tcPr>
            <w:tcW w:w="222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2"/>
                <w:szCs w:val="12"/>
                <w:b w:val="1"/>
                <w:bCs w:val="1"/>
                <w:color w:val="auto"/>
              </w:rPr>
              <w:t>Balance, December 31, 2020</w:t>
            </w: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3"/>
              </w:rPr>
              <w:t>35,000,000</w:t>
            </w:r>
          </w:p>
        </w:tc>
        <w:tc>
          <w:tcPr>
            <w:tcW w:w="4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4"/>
              </w:rPr>
              <w:t>$ 34,922</w:t>
            </w: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3"/>
              </w:rPr>
              <w:t>26,143,790</w:t>
            </w: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5"/>
              </w:rPr>
              <w:t>$144,839</w:t>
            </w:r>
          </w:p>
        </w:tc>
        <w:tc>
          <w:tcPr>
            <w:tcW w:w="6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w:t>
            </w:r>
          </w:p>
        </w:tc>
        <w:tc>
          <w:tcPr>
            <w:tcW w:w="1160" w:type="dxa"/>
            <w:vAlign w:val="bottom"/>
            <w:tcBorders>
              <w:top w:val="single" w:sz="8" w:color="auto"/>
            </w:tcBorders>
            <w:gridSpan w:val="2"/>
            <w:shd w:val="clear" w:color="auto" w:fill="CCEEFF"/>
          </w:tcPr>
          <w:p>
            <w:pPr>
              <w:jc w:val="right"/>
              <w:ind w:right="82"/>
              <w:spacing w:after="0" w:line="131" w:lineRule="exact"/>
              <w:rPr>
                <w:sz w:val="20"/>
                <w:szCs w:val="20"/>
                <w:color w:val="auto"/>
              </w:rPr>
            </w:pPr>
            <w:r>
              <w:rPr>
                <w:rFonts w:ascii="Arial" w:cs="Arial" w:eastAsia="Arial" w:hAnsi="Arial"/>
                <w:sz w:val="12"/>
                <w:szCs w:val="12"/>
                <w:b w:val="1"/>
                <w:bCs w:val="1"/>
                <w:color w:val="auto"/>
              </w:rPr>
              <w:t>— 18,825,136</w:t>
            </w:r>
          </w:p>
        </w:tc>
        <w:tc>
          <w:tcPr>
            <w:tcW w:w="2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2</w:t>
            </w:r>
          </w:p>
        </w:tc>
        <w:tc>
          <w:tcPr>
            <w:tcW w:w="140" w:type="dxa"/>
            <w:vAlign w:val="bottom"/>
            <w:tcBorders>
              <w:top w:val="single" w:sz="8" w:color="auto"/>
            </w:tcBorders>
            <w:shd w:val="clear" w:color="auto" w:fill="CCEEFF"/>
          </w:tcPr>
          <w:p>
            <w:pPr>
              <w:ind w:left="40"/>
              <w:spacing w:after="0" w:line="131" w:lineRule="exact"/>
              <w:rPr>
                <w:sz w:val="20"/>
                <w:szCs w:val="20"/>
                <w:color w:val="auto"/>
              </w:rPr>
            </w:pPr>
            <w:r>
              <w:rPr>
                <w:rFonts w:ascii="Arial" w:cs="Arial" w:eastAsia="Arial" w:hAnsi="Arial"/>
                <w:sz w:val="12"/>
                <w:szCs w:val="12"/>
                <w:b w:val="1"/>
                <w:bCs w:val="1"/>
                <w:color w:val="auto"/>
              </w:rPr>
              <w:t>$</w:t>
            </w:r>
          </w:p>
        </w:tc>
        <w:tc>
          <w:tcPr>
            <w:tcW w:w="580" w:type="dxa"/>
            <w:vAlign w:val="bottom"/>
            <w:tcBorders>
              <w:top w:val="single" w:sz="8" w:color="auto"/>
            </w:tcBorders>
            <w:shd w:val="clear" w:color="auto" w:fill="CCEEFF"/>
          </w:tcPr>
          <w:p>
            <w:pPr>
              <w:jc w:val="right"/>
              <w:ind w:right="23"/>
              <w:spacing w:after="0" w:line="131" w:lineRule="exact"/>
              <w:rPr>
                <w:sz w:val="20"/>
                <w:szCs w:val="20"/>
                <w:color w:val="auto"/>
              </w:rPr>
            </w:pPr>
            <w:r>
              <w:rPr>
                <w:rFonts w:ascii="Arial" w:cs="Arial" w:eastAsia="Arial" w:hAnsi="Arial"/>
                <w:sz w:val="12"/>
                <w:szCs w:val="12"/>
                <w:b w:val="1"/>
                <w:bCs w:val="1"/>
                <w:color w:val="auto"/>
              </w:rPr>
              <w:t>217,831</w:t>
            </w:r>
          </w:p>
        </w:tc>
        <w:tc>
          <w:tcPr>
            <w:tcW w:w="240" w:type="dxa"/>
            <w:vAlign w:val="bottom"/>
            <w:tcBorders>
              <w:top w:val="single" w:sz="8" w:color="auto"/>
            </w:tcBorders>
            <w:shd w:val="clear" w:color="auto" w:fill="CCEEFF"/>
          </w:tcPr>
          <w:p>
            <w:pPr>
              <w:jc w:val="right"/>
              <w:ind w:right="2"/>
              <w:spacing w:after="0" w:line="131" w:lineRule="exact"/>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(31,900)</w:t>
            </w:r>
          </w:p>
        </w:tc>
        <w:tc>
          <w:tcPr>
            <w:tcW w:w="200" w:type="dxa"/>
            <w:vAlign w:val="bottom"/>
            <w:tcBorders>
              <w:top w:val="single" w:sz="8" w:color="auto"/>
            </w:tcBorders>
            <w:shd w:val="clear" w:color="auto" w:fill="CCEEFF"/>
          </w:tcPr>
          <w:p>
            <w:pPr>
              <w:jc w:val="right"/>
              <w:ind w:right="22"/>
              <w:spacing w:after="0" w:line="131" w:lineRule="exact"/>
              <w:rPr>
                <w:sz w:val="20"/>
                <w:szCs w:val="20"/>
                <w:color w:val="auto"/>
              </w:rPr>
            </w:pPr>
            <w:r>
              <w:rPr>
                <w:rFonts w:ascii="Arial" w:cs="Arial" w:eastAsia="Arial" w:hAnsi="Arial"/>
                <w:sz w:val="12"/>
                <w:szCs w:val="12"/>
                <w:b w:val="1"/>
                <w:bCs w:val="1"/>
                <w:color w:val="auto"/>
              </w:rPr>
              <w:t>$</w:t>
            </w:r>
          </w:p>
        </w:tc>
        <w:tc>
          <w:tcPr>
            <w:tcW w:w="620" w:type="dxa"/>
            <w:vAlign w:val="bottom"/>
            <w:tcBorders>
              <w:top w:val="single" w:sz="8" w:color="auto"/>
            </w:tcBorders>
            <w:shd w:val="clear" w:color="auto" w:fill="CCEEFF"/>
          </w:tcPr>
          <w:p>
            <w:pPr>
              <w:jc w:val="right"/>
              <w:ind w:right="2"/>
              <w:spacing w:after="0" w:line="131" w:lineRule="exact"/>
              <w:rPr>
                <w:sz w:val="20"/>
                <w:szCs w:val="20"/>
                <w:color w:val="auto"/>
              </w:rPr>
            </w:pPr>
            <w:r>
              <w:rPr>
                <w:rFonts w:ascii="Arial" w:cs="Arial" w:eastAsia="Arial" w:hAnsi="Arial"/>
                <w:sz w:val="12"/>
                <w:szCs w:val="12"/>
                <w:b w:val="1"/>
                <w:bCs w:val="1"/>
                <w:color w:val="auto"/>
              </w:rPr>
              <w:t>(292,342)</w:t>
            </w: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w:t>
            </w:r>
          </w:p>
        </w:tc>
        <w:tc>
          <w:tcPr>
            <w:tcW w:w="320" w:type="dxa"/>
            <w:vAlign w:val="bottom"/>
            <w:tcBorders>
              <w:top w:val="single" w:sz="8" w:color="auto"/>
            </w:tcBorders>
            <w:shd w:val="clear" w:color="auto" w:fill="CCEEFF"/>
          </w:tcPr>
          <w:p>
            <w:pPr>
              <w:jc w:val="right"/>
              <w:ind w:right="22"/>
              <w:spacing w:after="0" w:line="131" w:lineRule="exact"/>
              <w:rPr>
                <w:sz w:val="20"/>
                <w:szCs w:val="20"/>
                <w:color w:val="auto"/>
              </w:rPr>
            </w:pPr>
            <w:r>
              <w:rPr>
                <w:rFonts w:ascii="Arial" w:cs="Arial" w:eastAsia="Arial" w:hAnsi="Arial"/>
                <w:sz w:val="12"/>
                <w:szCs w:val="12"/>
                <w:b w:val="1"/>
                <w:bCs w:val="1"/>
                <w:color w:val="auto"/>
              </w:rPr>
              <w:t>(3)</w:t>
            </w:r>
          </w:p>
        </w:tc>
        <w:tc>
          <w:tcPr>
            <w:tcW w:w="200" w:type="dxa"/>
            <w:vAlign w:val="bottom"/>
            <w:tcBorders>
              <w:top w:val="single" w:sz="8" w:color="auto"/>
            </w:tcBorders>
            <w:shd w:val="clear" w:color="auto" w:fill="CCEEFF"/>
          </w:tcPr>
          <w:p>
            <w:pPr>
              <w:jc w:val="right"/>
              <w:ind w:right="2"/>
              <w:spacing w:after="0" w:line="131" w:lineRule="exact"/>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7"/>
              </w:rPr>
              <w:t>(106,412)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20"/>
                <w:szCs w:val="20"/>
                <w:color w:val="auto"/>
              </w:rPr>
            </w:pPr>
            <w:r>
              <w:rPr>
                <w:rFonts w:ascii="Arial" w:cs="Arial" w:eastAsia="Arial" w:hAnsi="Arial"/>
                <w:sz w:val="12"/>
                <w:szCs w:val="12"/>
                <w:color w:val="auto"/>
              </w:rPr>
              <w:t>Receipt of subscription receivable</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31,900</w:t>
            </w:r>
          </w:p>
        </w:tc>
        <w:tc>
          <w:tcPr>
            <w:tcW w:w="20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31,900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Issuance of Series C preferred stock, net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6"/>
              </w:rPr>
              <w:t>24,721,999</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2"/>
              </w:rPr>
              <w:t>159,628</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line="101" w:lineRule="exact"/>
              <w:rPr>
                <w:sz w:val="20"/>
                <w:szCs w:val="20"/>
                <w:color w:val="auto"/>
              </w:rPr>
            </w:pPr>
            <w:r>
              <w:rPr>
                <w:rFonts w:ascii="Arial" w:cs="Arial" w:eastAsia="Arial" w:hAnsi="Arial"/>
                <w:sz w:val="10"/>
                <w:szCs w:val="10"/>
                <w:color w:val="auto"/>
              </w:rPr>
              <w:t>Net assets contributed as result of</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1,061</w:t>
            </w:r>
          </w:p>
        </w:tc>
        <w:tc>
          <w:tcPr>
            <w:tcW w:w="240" w:type="dxa"/>
            <w:vAlign w:val="bottom"/>
          </w:tcPr>
          <w:p>
            <w:pPr>
              <w:spacing w:after="0"/>
              <w:rPr>
                <w:sz w:val="8"/>
                <w:szCs w:val="8"/>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8"/>
                <w:szCs w:val="8"/>
                <w:color w:val="auto"/>
              </w:rPr>
            </w:pPr>
          </w:p>
        </w:tc>
        <w:tc>
          <w:tcPr>
            <w:tcW w:w="32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220" w:type="dxa"/>
            <w:vAlign w:val="bottom"/>
          </w:tcPr>
          <w:p>
            <w:pPr>
              <w:ind w:left="120"/>
              <w:spacing w:after="0"/>
              <w:rPr>
                <w:sz w:val="20"/>
                <w:szCs w:val="20"/>
                <w:color w:val="auto"/>
              </w:rPr>
            </w:pPr>
            <w:r>
              <w:rPr>
                <w:rFonts w:ascii="Arial" w:cs="Arial" w:eastAsia="Arial" w:hAnsi="Arial"/>
                <w:sz w:val="12"/>
                <w:szCs w:val="12"/>
                <w:color w:val="auto"/>
              </w:rPr>
              <w:t>merger</w:t>
            </w:r>
          </w:p>
        </w:tc>
        <w:tc>
          <w:tcPr>
            <w:tcW w:w="5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Issuance of common stock upon the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102,647</w:t>
            </w:r>
          </w:p>
        </w:tc>
        <w:tc>
          <w:tcPr>
            <w:tcW w:w="2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rPr>
              <w:t>46</w:t>
            </w:r>
          </w:p>
        </w:tc>
        <w:tc>
          <w:tcPr>
            <w:tcW w:w="2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stock options</w:t>
            </w:r>
          </w:p>
        </w:tc>
        <w:tc>
          <w:tcPr>
            <w:tcW w:w="5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20"/>
                <w:szCs w:val="20"/>
                <w:color w:val="auto"/>
              </w:rPr>
            </w:pPr>
            <w:r>
              <w:rPr>
                <w:rFonts w:ascii="Arial" w:cs="Arial" w:eastAsia="Arial" w:hAnsi="Arial"/>
                <w:sz w:val="12"/>
                <w:szCs w:val="12"/>
                <w:color w:val="auto"/>
              </w:rPr>
              <w:t>Vesting of restricted stock</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rPr>
                <w:sz w:val="20"/>
                <w:szCs w:val="20"/>
                <w:color w:val="auto"/>
              </w:rPr>
            </w:pPr>
            <w:r>
              <w:rPr>
                <w:rFonts w:ascii="Arial" w:cs="Arial" w:eastAsia="Arial" w:hAnsi="Arial"/>
                <w:sz w:val="12"/>
                <w:szCs w:val="12"/>
                <w:color w:val="auto"/>
              </w:rPr>
              <w:t>379,426</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Vesting of early exercise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425,428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123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line="101" w:lineRule="exact"/>
              <w:rPr>
                <w:sz w:val="20"/>
                <w:szCs w:val="20"/>
                <w:color w:val="auto"/>
              </w:rPr>
            </w:pPr>
            <w:r>
              <w:rPr>
                <w:rFonts w:ascii="Arial" w:cs="Arial" w:eastAsia="Arial" w:hAnsi="Arial"/>
                <w:sz w:val="10"/>
                <w:szCs w:val="10"/>
                <w:color w:val="auto"/>
              </w:rPr>
              <w:t>Unrealized loss on short-term</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8"/>
                <w:szCs w:val="8"/>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8"/>
                <w:szCs w:val="8"/>
                <w:color w:val="auto"/>
              </w:rPr>
            </w:pPr>
          </w:p>
        </w:tc>
        <w:tc>
          <w:tcPr>
            <w:tcW w:w="320" w:type="dxa"/>
            <w:vAlign w:val="bottom"/>
            <w:vMerge w:val="restart"/>
          </w:tcPr>
          <w:p>
            <w:pPr>
              <w:jc w:val="right"/>
              <w:ind w:right="22"/>
              <w:spacing w:after="0"/>
              <w:rPr>
                <w:sz w:val="20"/>
                <w:szCs w:val="20"/>
                <w:color w:val="auto"/>
              </w:rPr>
            </w:pPr>
            <w:r>
              <w:rPr>
                <w:rFonts w:ascii="Arial" w:cs="Arial" w:eastAsia="Arial" w:hAnsi="Arial"/>
                <w:sz w:val="12"/>
                <w:szCs w:val="12"/>
                <w:color w:val="auto"/>
              </w:rPr>
              <w:t>(27)</w:t>
            </w:r>
          </w:p>
        </w:tc>
        <w:tc>
          <w:tcPr>
            <w:tcW w:w="200" w:type="dxa"/>
            <w:vAlign w:val="bottom"/>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(27)</w:t>
            </w:r>
          </w:p>
        </w:tc>
        <w:tc>
          <w:tcPr>
            <w:tcW w:w="0" w:type="dxa"/>
            <w:vAlign w:val="bottom"/>
          </w:tcPr>
          <w:p>
            <w:pPr>
              <w:spacing w:after="0"/>
              <w:rPr>
                <w:sz w:val="1"/>
                <w:szCs w:val="1"/>
                <w:color w:val="auto"/>
              </w:rPr>
            </w:pPr>
          </w:p>
        </w:tc>
      </w:tr>
      <w:tr>
        <w:trPr>
          <w:trHeight w:val="138"/>
        </w:trPr>
        <w:tc>
          <w:tcPr>
            <w:tcW w:w="2220" w:type="dxa"/>
            <w:vAlign w:val="bottom"/>
          </w:tcPr>
          <w:p>
            <w:pPr>
              <w:ind w:left="120"/>
              <w:spacing w:after="0"/>
              <w:rPr>
                <w:sz w:val="20"/>
                <w:szCs w:val="20"/>
                <w:color w:val="auto"/>
              </w:rPr>
            </w:pPr>
            <w:r>
              <w:rPr>
                <w:rFonts w:ascii="Arial" w:cs="Arial" w:eastAsia="Arial" w:hAnsi="Arial"/>
                <w:sz w:val="12"/>
                <w:szCs w:val="12"/>
                <w:color w:val="auto"/>
              </w:rPr>
              <w:t>investments</w:t>
            </w:r>
          </w:p>
        </w:tc>
        <w:tc>
          <w:tcPr>
            <w:tcW w:w="5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20"/>
                <w:szCs w:val="20"/>
                <w:color w:val="auto"/>
              </w:rPr>
            </w:pPr>
            <w:r>
              <w:rPr>
                <w:rFonts w:ascii="Arial" w:cs="Arial" w:eastAsia="Arial" w:hAnsi="Arial"/>
                <w:sz w:val="12"/>
                <w:szCs w:val="12"/>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color w:val="auto"/>
              </w:rPr>
              <w:t>95</w:t>
            </w:r>
          </w:p>
        </w:tc>
        <w:tc>
          <w:tcPr>
            <w:tcW w:w="240" w:type="dxa"/>
            <w:vAlign w:val="bottom"/>
          </w:tcPr>
          <w:p>
            <w:pPr>
              <w:spacing w:after="0"/>
              <w:rPr>
                <w:sz w:val="12"/>
                <w:szCs w:val="12"/>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20" w:type="dxa"/>
            <w:vAlign w:val="bottom"/>
            <w:tcBorders>
              <w:bottom w:val="single" w:sz="8" w:color="CCEEFF"/>
            </w:tcBorders>
            <w:shd w:val="clear" w:color="auto" w:fill="CCEEFF"/>
          </w:tcPr>
          <w:p>
            <w:pPr>
              <w:spacing w:after="0" w:line="130" w:lineRule="exact"/>
              <w:rPr>
                <w:sz w:val="20"/>
                <w:szCs w:val="20"/>
                <w:color w:val="auto"/>
              </w:rPr>
            </w:pPr>
            <w:r>
              <w:rPr>
                <w:rFonts w:ascii="Arial" w:cs="Arial" w:eastAsia="Arial" w:hAnsi="Arial"/>
                <w:sz w:val="12"/>
                <w:szCs w:val="12"/>
                <w:color w:val="auto"/>
              </w:rPr>
              <w:t>Net loss</w:t>
            </w:r>
          </w:p>
        </w:tc>
        <w:tc>
          <w:tcPr>
            <w:tcW w:w="5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2"/>
              <w:spacing w:after="0" w:line="130"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ind w:right="42"/>
              <w:spacing w:after="0" w:line="130"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82"/>
              <w:spacing w:after="0" w:line="130"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w w:val="82"/>
              </w:rPr>
              <w:t>—</w:t>
            </w: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23"/>
              <w:spacing w:after="0" w:line="130"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22"/>
              <w:spacing w:after="0" w:line="130"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2"/>
              <w:spacing w:after="0" w:line="130" w:lineRule="exact"/>
              <w:rPr>
                <w:sz w:val="20"/>
                <w:szCs w:val="20"/>
                <w:color w:val="auto"/>
              </w:rPr>
            </w:pPr>
            <w:r>
              <w:rPr>
                <w:rFonts w:ascii="Arial" w:cs="Arial" w:eastAsia="Arial" w:hAnsi="Arial"/>
                <w:sz w:val="12"/>
                <w:szCs w:val="12"/>
                <w:color w:val="auto"/>
              </w:rPr>
              <w:t>(18,348)</w:t>
            </w:r>
          </w:p>
        </w:tc>
        <w:tc>
          <w:tcPr>
            <w:tcW w:w="6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62"/>
              <w:spacing w:after="0" w:line="130"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b w:val="1"/>
                <w:bCs w:val="1"/>
                <w:color w:val="auto"/>
              </w:rPr>
              <w:t>(18,348)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20"/>
                <w:szCs w:val="20"/>
                <w:color w:val="auto"/>
              </w:rPr>
            </w:pPr>
            <w:r>
              <w:rPr>
                <w:rFonts w:ascii="Arial" w:cs="Arial" w:eastAsia="Arial" w:hAnsi="Arial"/>
                <w:sz w:val="12"/>
                <w:szCs w:val="12"/>
                <w:b w:val="1"/>
                <w:bCs w:val="1"/>
                <w:color w:val="auto"/>
              </w:rPr>
              <w:t>Balance, March 31,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35,000,000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$ 34,922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26,143,790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$144,839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24,721,999$</w:t>
            </w:r>
          </w:p>
        </w:tc>
        <w:tc>
          <w:tcPr>
            <w:tcW w:w="11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b w:val="1"/>
                <w:bCs w:val="1"/>
                <w:color w:val="auto"/>
                <w:w w:val="93"/>
              </w:rPr>
              <w:t>159,628 19,732,637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219,156</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(310,690)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(26)</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(91,557)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-1403985</wp:posOffset>
            </wp:positionV>
            <wp:extent cx="140462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404620" cy="6985"/>
                    </a:xfrm>
                    <a:prstGeom prst="rect">
                      <a:avLst/>
                    </a:prstGeom>
                    <a:noFill/>
                  </pic:spPr>
                </pic:pic>
              </a:graphicData>
            </a:graphic>
          </wp:anchor>
        </w:drawing>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140"/>
        </w:trPr>
        <w:tc>
          <w:tcPr>
            <w:tcW w:w="1620" w:type="dxa"/>
            <w:vAlign w:val="bottom"/>
          </w:tcPr>
          <w:p>
            <w:pPr>
              <w:spacing w:after="0"/>
              <w:rPr>
                <w:sz w:val="12"/>
                <w:szCs w:val="12"/>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Series A</w:t>
            </w:r>
          </w:p>
        </w:tc>
        <w:tc>
          <w:tcPr>
            <w:tcW w:w="1140" w:type="dxa"/>
            <w:vAlign w:val="bottom"/>
            <w:gridSpan w:val="2"/>
          </w:tcPr>
          <w:p>
            <w:pPr>
              <w:jc w:val="right"/>
              <w:ind w:right="122"/>
              <w:spacing w:after="0"/>
              <w:rPr>
                <w:sz w:val="20"/>
                <w:szCs w:val="20"/>
                <w:color w:val="auto"/>
              </w:rPr>
            </w:pPr>
            <w:r>
              <w:rPr>
                <w:rFonts w:ascii="Arial" w:cs="Arial" w:eastAsia="Arial" w:hAnsi="Arial"/>
                <w:sz w:val="12"/>
                <w:szCs w:val="12"/>
                <w:b w:val="1"/>
                <w:bCs w:val="1"/>
                <w:color w:val="auto"/>
              </w:rPr>
              <w:t>Series B</w:t>
            </w:r>
          </w:p>
        </w:tc>
        <w:tc>
          <w:tcPr>
            <w:tcW w:w="280" w:type="dxa"/>
            <w:vAlign w:val="bottom"/>
          </w:tcPr>
          <w:p>
            <w:pPr>
              <w:spacing w:after="0"/>
              <w:rPr>
                <w:sz w:val="12"/>
                <w:szCs w:val="12"/>
                <w:color w:val="auto"/>
              </w:rPr>
            </w:pPr>
          </w:p>
        </w:tc>
        <w:tc>
          <w:tcPr>
            <w:tcW w:w="640" w:type="dxa"/>
            <w:vAlign w:val="bottom"/>
          </w:tcPr>
          <w:p>
            <w:pPr>
              <w:jc w:val="right"/>
              <w:ind w:right="82"/>
              <w:spacing w:after="0"/>
              <w:rPr>
                <w:sz w:val="20"/>
                <w:szCs w:val="20"/>
                <w:color w:val="auto"/>
              </w:rPr>
            </w:pPr>
            <w:r>
              <w:rPr>
                <w:rFonts w:ascii="Arial" w:cs="Arial" w:eastAsia="Arial" w:hAnsi="Arial"/>
                <w:sz w:val="12"/>
                <w:szCs w:val="12"/>
                <w:b w:val="1"/>
                <w:bCs w:val="1"/>
                <w:color w:val="auto"/>
                <w:w w:val="99"/>
              </w:rPr>
              <w:t>Series 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140" w:type="dxa"/>
            <w:vAlign w:val="bottom"/>
            <w:gridSpan w:val="2"/>
          </w:tcPr>
          <w:p>
            <w:pPr>
              <w:jc w:val="right"/>
              <w:ind w:right="62"/>
              <w:spacing w:after="0" w:line="108" w:lineRule="exact"/>
              <w:rPr>
                <w:sz w:val="20"/>
                <w:szCs w:val="20"/>
                <w:color w:val="auto"/>
              </w:rPr>
            </w:pPr>
            <w:r>
              <w:rPr>
                <w:rFonts w:ascii="Arial" w:cs="Arial" w:eastAsia="Arial" w:hAnsi="Arial"/>
                <w:sz w:val="12"/>
                <w:szCs w:val="12"/>
                <w:b w:val="1"/>
                <w:bCs w:val="1"/>
                <w:color w:val="auto"/>
              </w:rPr>
              <w:t>Convertible</w:t>
            </w:r>
          </w:p>
        </w:tc>
        <w:tc>
          <w:tcPr>
            <w:tcW w:w="1140" w:type="dxa"/>
            <w:vAlign w:val="bottom"/>
            <w:gridSpan w:val="2"/>
          </w:tcPr>
          <w:p>
            <w:pPr>
              <w:jc w:val="right"/>
              <w:ind w:right="122"/>
              <w:spacing w:after="0" w:line="108" w:lineRule="exact"/>
              <w:rPr>
                <w:sz w:val="20"/>
                <w:szCs w:val="20"/>
                <w:color w:val="auto"/>
              </w:rPr>
            </w:pPr>
            <w:r>
              <w:rPr>
                <w:rFonts w:ascii="Arial" w:cs="Arial" w:eastAsia="Arial" w:hAnsi="Arial"/>
                <w:sz w:val="12"/>
                <w:szCs w:val="12"/>
                <w:b w:val="1"/>
                <w:bCs w:val="1"/>
                <w:color w:val="auto"/>
              </w:rPr>
              <w:t>Convertible</w:t>
            </w:r>
          </w:p>
        </w:tc>
        <w:tc>
          <w:tcPr>
            <w:tcW w:w="920" w:type="dxa"/>
            <w:vAlign w:val="bottom"/>
            <w:gridSpan w:val="2"/>
          </w:tcPr>
          <w:p>
            <w:pPr>
              <w:jc w:val="right"/>
              <w:ind w:right="82"/>
              <w:spacing w:after="0" w:line="108" w:lineRule="exact"/>
              <w:rPr>
                <w:sz w:val="20"/>
                <w:szCs w:val="20"/>
                <w:color w:val="auto"/>
              </w:rPr>
            </w:pPr>
            <w:r>
              <w:rPr>
                <w:rFonts w:ascii="Arial" w:cs="Arial" w:eastAsia="Arial" w:hAnsi="Arial"/>
                <w:sz w:val="12"/>
                <w:szCs w:val="12"/>
                <w:b w:val="1"/>
                <w:bCs w:val="1"/>
                <w:color w:val="auto"/>
              </w:rPr>
              <w:t>Convertible</w:t>
            </w:r>
          </w:p>
        </w:tc>
        <w:tc>
          <w:tcPr>
            <w:tcW w:w="1660" w:type="dxa"/>
            <w:vAlign w:val="bottom"/>
            <w:gridSpan w:val="5"/>
            <w:vMerge w:val="restart"/>
          </w:tcPr>
          <w:p>
            <w:pPr>
              <w:jc w:val="right"/>
              <w:ind w:right="43"/>
              <w:spacing w:after="0" w:line="215" w:lineRule="exact"/>
              <w:rPr>
                <w:sz w:val="20"/>
                <w:szCs w:val="20"/>
                <w:color w:val="auto"/>
              </w:rPr>
            </w:pPr>
            <w:r>
              <w:rPr>
                <w:rFonts w:ascii="Arial" w:cs="Arial" w:eastAsia="Arial" w:hAnsi="Arial"/>
                <w:sz w:val="12"/>
                <w:szCs w:val="12"/>
                <w:b w:val="1"/>
                <w:bCs w:val="1"/>
                <w:color w:val="auto"/>
                <w:w w:val="92"/>
              </w:rPr>
              <w:t xml:space="preserve">Common Stock </w:t>
            </w:r>
            <w:r>
              <w:rPr>
                <w:rFonts w:ascii="Arial" w:cs="Arial" w:eastAsia="Arial" w:hAnsi="Arial"/>
                <w:sz w:val="23"/>
                <w:szCs w:val="23"/>
                <w:b w:val="1"/>
                <w:bCs w:val="1"/>
                <w:color w:val="auto"/>
                <w:w w:val="92"/>
                <w:vertAlign w:val="superscript"/>
              </w:rPr>
              <w:t>Additional</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gridSpan w:val="2"/>
          </w:tcPr>
          <w:p>
            <w:pPr>
              <w:jc w:val="center"/>
              <w:ind w:left="263"/>
              <w:spacing w:after="0" w:line="108" w:lineRule="exact"/>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140" w:type="dxa"/>
            <w:vAlign w:val="bottom"/>
            <w:gridSpan w:val="2"/>
          </w:tcPr>
          <w:p>
            <w:pPr>
              <w:jc w:val="right"/>
              <w:ind w:right="42"/>
              <w:spacing w:after="0" w:line="108" w:lineRule="exact"/>
              <w:rPr>
                <w:sz w:val="20"/>
                <w:szCs w:val="20"/>
                <w:color w:val="auto"/>
              </w:rPr>
            </w:pPr>
            <w:r>
              <w:rPr>
                <w:rFonts w:ascii="Arial" w:cs="Arial" w:eastAsia="Arial" w:hAnsi="Arial"/>
                <w:sz w:val="12"/>
                <w:szCs w:val="12"/>
                <w:b w:val="1"/>
                <w:bCs w:val="1"/>
                <w:color w:val="auto"/>
              </w:rPr>
              <w:t>Preferred Stock</w:t>
            </w:r>
          </w:p>
        </w:tc>
        <w:tc>
          <w:tcPr>
            <w:tcW w:w="2060" w:type="dxa"/>
            <w:vAlign w:val="bottom"/>
            <w:gridSpan w:val="4"/>
          </w:tcPr>
          <w:p>
            <w:pPr>
              <w:jc w:val="right"/>
              <w:ind w:right="42"/>
              <w:spacing w:after="0" w:line="108" w:lineRule="exact"/>
              <w:rPr>
                <w:sz w:val="20"/>
                <w:szCs w:val="20"/>
                <w:color w:val="auto"/>
              </w:rPr>
            </w:pPr>
            <w:r>
              <w:rPr>
                <w:rFonts w:ascii="Arial" w:cs="Arial" w:eastAsia="Arial" w:hAnsi="Arial"/>
                <w:sz w:val="12"/>
                <w:szCs w:val="12"/>
                <w:b w:val="1"/>
                <w:bCs w:val="1"/>
                <w:color w:val="auto"/>
              </w:rPr>
              <w:t>Preferred Stock Preferred Stock</w:t>
            </w:r>
          </w:p>
        </w:tc>
        <w:tc>
          <w:tcPr>
            <w:tcW w:w="166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3"/>
          </w:tcPr>
          <w:p>
            <w:pPr>
              <w:jc w:val="right"/>
              <w:ind w:right="102"/>
              <w:spacing w:after="0" w:line="108"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6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gridSpan w:val="5"/>
            <w:vMerge w:val="restart"/>
          </w:tcPr>
          <w:p>
            <w:pPr>
              <w:jc w:val="right"/>
              <w:ind w:right="82"/>
              <w:spacing w:after="0" w:line="87" w:lineRule="exact"/>
              <w:rPr>
                <w:sz w:val="20"/>
                <w:szCs w:val="20"/>
                <w:color w:val="auto"/>
              </w:rPr>
            </w:pPr>
            <w:r>
              <w:rPr>
                <w:rFonts w:ascii="Arial" w:cs="Arial" w:eastAsia="Arial" w:hAnsi="Arial"/>
                <w:sz w:val="10"/>
                <w:szCs w:val="10"/>
                <w:b w:val="1"/>
                <w:bCs w:val="1"/>
                <w:color w:val="auto"/>
              </w:rPr>
              <w:t>Paid-In Subscription Accumulated</w:t>
            </w:r>
          </w:p>
        </w:tc>
        <w:tc>
          <w:tcPr>
            <w:tcW w:w="1720" w:type="dxa"/>
            <w:vAlign w:val="bottom"/>
            <w:gridSpan w:val="5"/>
            <w:vMerge w:val="restart"/>
          </w:tcPr>
          <w:p>
            <w:pPr>
              <w:jc w:val="right"/>
              <w:ind w:right="80"/>
              <w:spacing w:after="0" w:line="87" w:lineRule="exact"/>
              <w:rPr>
                <w:sz w:val="20"/>
                <w:szCs w:val="20"/>
                <w:color w:val="auto"/>
              </w:rPr>
            </w:pPr>
            <w:r>
              <w:rPr>
                <w:rFonts w:ascii="Arial" w:cs="Arial" w:eastAsia="Arial" w:hAnsi="Arial"/>
                <w:sz w:val="10"/>
                <w:szCs w:val="10"/>
                <w:b w:val="1"/>
                <w:bCs w:val="1"/>
                <w:color w:val="auto"/>
              </w:rPr>
              <w:t>Income Stockholders’</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140" w:type="dxa"/>
            <w:vAlign w:val="bottom"/>
            <w:gridSpan w:val="2"/>
            <w:vMerge w:val="restart"/>
          </w:tcPr>
          <w:p>
            <w:pPr>
              <w:jc w:val="right"/>
              <w:ind w:right="42"/>
              <w:spacing w:after="0"/>
              <w:rPr>
                <w:sz w:val="20"/>
                <w:szCs w:val="20"/>
                <w:color w:val="auto"/>
              </w:rPr>
            </w:pPr>
            <w:r>
              <w:rPr>
                <w:rFonts w:ascii="Arial" w:cs="Arial" w:eastAsia="Arial" w:hAnsi="Arial"/>
                <w:sz w:val="12"/>
                <w:szCs w:val="12"/>
                <w:b w:val="1"/>
                <w:bCs w:val="1"/>
                <w:color w:val="auto"/>
              </w:rPr>
              <w:t>SharesAmount</w:t>
            </w:r>
          </w:p>
        </w:tc>
        <w:tc>
          <w:tcPr>
            <w:tcW w:w="14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Shares AmountShares</w:t>
            </w: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SharesAmount</w:t>
            </w:r>
          </w:p>
        </w:tc>
        <w:tc>
          <w:tcPr>
            <w:tcW w:w="140" w:type="dxa"/>
            <w:vAlign w:val="bottom"/>
          </w:tcPr>
          <w:p>
            <w:pPr>
              <w:spacing w:after="0"/>
              <w:rPr>
                <w:sz w:val="2"/>
                <w:szCs w:val="2"/>
                <w:color w:val="auto"/>
              </w:rPr>
            </w:pPr>
          </w:p>
        </w:tc>
        <w:tc>
          <w:tcPr>
            <w:tcW w:w="2180" w:type="dxa"/>
            <w:vAlign w:val="bottom"/>
            <w:gridSpan w:val="5"/>
            <w:vMerge w:val="continue"/>
          </w:tcPr>
          <w:p>
            <w:pPr>
              <w:spacing w:after="0"/>
              <w:rPr>
                <w:sz w:val="2"/>
                <w:szCs w:val="2"/>
                <w:color w:val="auto"/>
              </w:rPr>
            </w:pPr>
          </w:p>
        </w:tc>
        <w:tc>
          <w:tcPr>
            <w:tcW w:w="17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16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2"/>
                <w:szCs w:val="12"/>
                <w:b w:val="1"/>
                <w:bCs w:val="1"/>
                <w:color w:val="auto"/>
              </w:rPr>
              <w:t>Capital</w:t>
            </w:r>
          </w:p>
        </w:tc>
        <w:tc>
          <w:tcPr>
            <w:tcW w:w="80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Receivable</w:t>
            </w:r>
          </w:p>
        </w:tc>
        <w:tc>
          <w:tcPr>
            <w:tcW w:w="180" w:type="dxa"/>
            <w:vAlign w:val="bottom"/>
          </w:tcPr>
          <w:p>
            <w:pPr>
              <w:spacing w:after="0"/>
              <w:rPr>
                <w:sz w:val="13"/>
                <w:szCs w:val="1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b w:val="1"/>
                <w:bCs w:val="1"/>
                <w:color w:val="auto"/>
              </w:rPr>
              <w:t>Deficit</w:t>
            </w:r>
          </w:p>
        </w:tc>
        <w:tc>
          <w:tcPr>
            <w:tcW w:w="960" w:type="dxa"/>
            <w:vAlign w:val="bottom"/>
            <w:gridSpan w:val="2"/>
          </w:tcPr>
          <w:p>
            <w:pPr>
              <w:jc w:val="center"/>
              <w:ind w:left="303"/>
              <w:spacing w:after="0"/>
              <w:rPr>
                <w:sz w:val="20"/>
                <w:szCs w:val="20"/>
                <w:color w:val="auto"/>
              </w:rPr>
            </w:pPr>
            <w:r>
              <w:rPr>
                <w:rFonts w:ascii="Arial" w:cs="Arial" w:eastAsia="Arial" w:hAnsi="Arial"/>
                <w:sz w:val="12"/>
                <w:szCs w:val="12"/>
                <w:b w:val="1"/>
                <w:bCs w:val="1"/>
                <w:color w:val="auto"/>
                <w:w w:val="99"/>
              </w:rPr>
              <w:t>(Loss)</w:t>
            </w:r>
          </w:p>
        </w:tc>
        <w:tc>
          <w:tcPr>
            <w:tcW w:w="2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53"/>
        </w:trPr>
        <w:tc>
          <w:tcPr>
            <w:tcW w:w="1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w w:val="99"/>
              </w:rPr>
              <w:t>Balance,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35,000,000</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$ 34,922 26,143,790</w:t>
            </w:r>
          </w:p>
        </w:tc>
        <w:tc>
          <w:tcPr>
            <w:tcW w:w="6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b w:val="1"/>
                <w:bCs w:val="1"/>
                <w:color w:val="auto"/>
                <w:w w:val="91"/>
              </w:rPr>
              <w:t>$144,839</w:t>
            </w:r>
          </w:p>
        </w:tc>
        <w:tc>
          <w:tcPr>
            <w:tcW w:w="2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b w:val="1"/>
                <w:bCs w:val="1"/>
                <w:color w:val="auto"/>
                <w:w w:val="82"/>
              </w:rPr>
              <w:t>—</w:t>
            </w:r>
          </w:p>
        </w:tc>
        <w:tc>
          <w:tcPr>
            <w:tcW w:w="1260" w:type="dxa"/>
            <w:vAlign w:val="bottom"/>
            <w:tcBorders>
              <w:top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 — 18,825,136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216,909</w:t>
            </w:r>
          </w:p>
        </w:tc>
        <w:tc>
          <w:tcPr>
            <w:tcW w:w="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(70,000)</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(238,767)</w:t>
            </w:r>
          </w:p>
        </w:tc>
        <w:tc>
          <w:tcPr>
            <w:tcW w:w="700" w:type="dxa"/>
            <w:vAlign w:val="bottom"/>
            <w:tcBorders>
              <w:top w:val="single" w:sz="8" w:color="auto"/>
            </w:tcBorders>
            <w:shd w:val="clear" w:color="auto" w:fill="CCEEFF"/>
          </w:tcPr>
          <w:p>
            <w:pPr>
              <w:jc w:val="center"/>
              <w:ind w:left="523"/>
              <w:spacing w:after="0"/>
              <w:rPr>
                <w:sz w:val="20"/>
                <w:szCs w:val="20"/>
                <w:color w:val="auto"/>
              </w:rPr>
            </w:pPr>
            <w:r>
              <w:rPr>
                <w:rFonts w:ascii="Arial" w:cs="Arial" w:eastAsia="Arial" w:hAnsi="Arial"/>
                <w:sz w:val="12"/>
                <w:szCs w:val="12"/>
                <w:b w:val="1"/>
                <w:bCs w:val="1"/>
                <w:color w:val="auto"/>
              </w:rPr>
              <w:t>$</w:t>
            </w:r>
          </w:p>
        </w:tc>
        <w:tc>
          <w:tcPr>
            <w:tcW w:w="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(3)</w:t>
            </w:r>
          </w:p>
        </w:tc>
        <w:tc>
          <w:tcPr>
            <w:tcW w:w="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(91,859)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line="123" w:lineRule="exact"/>
              <w:rPr>
                <w:sz w:val="20"/>
                <w:szCs w:val="20"/>
                <w:color w:val="auto"/>
              </w:rPr>
            </w:pPr>
            <w:r>
              <w:rPr>
                <w:rFonts w:ascii="Arial" w:cs="Arial" w:eastAsia="Arial" w:hAnsi="Arial"/>
                <w:sz w:val="12"/>
                <w:szCs w:val="12"/>
                <w:color w:val="auto"/>
              </w:rPr>
              <w:t>Unrealized gain on short-term</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ind w:left="34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ind w:left="160"/>
              <w:spacing w:after="0"/>
              <w:rPr>
                <w:sz w:val="20"/>
                <w:szCs w:val="20"/>
                <w:color w:val="auto"/>
              </w:rPr>
            </w:pPr>
            <w:r>
              <w:rPr>
                <w:rFonts w:ascii="Arial" w:cs="Arial" w:eastAsia="Arial" w:hAnsi="Arial"/>
                <w:sz w:val="12"/>
                <w:szCs w:val="12"/>
                <w:color w:val="auto"/>
                <w:w w:val="82"/>
              </w:rPr>
              <w:t>—</w:t>
            </w:r>
          </w:p>
        </w:tc>
        <w:tc>
          <w:tcPr>
            <w:tcW w:w="640" w:type="dxa"/>
            <w:vAlign w:val="bottom"/>
            <w:vMerge w:val="restart"/>
          </w:tcPr>
          <w:p>
            <w:pPr>
              <w:ind w:left="4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0"/>
                <w:szCs w:val="10"/>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0"/>
                <w:szCs w:val="10"/>
                <w:color w:val="auto"/>
              </w:rPr>
            </w:pPr>
          </w:p>
        </w:tc>
        <w:tc>
          <w:tcPr>
            <w:tcW w:w="260" w:type="dxa"/>
            <w:vAlign w:val="bottom"/>
            <w:vMerge w:val="restart"/>
          </w:tcPr>
          <w:p>
            <w:pPr>
              <w:jc w:val="right"/>
              <w:ind w:right="62"/>
              <w:spacing w:after="0"/>
              <w:rPr>
                <w:sz w:val="20"/>
                <w:szCs w:val="20"/>
                <w:color w:val="auto"/>
              </w:rPr>
            </w:pPr>
            <w:r>
              <w:rPr>
                <w:rFonts w:ascii="Arial" w:cs="Arial" w:eastAsia="Arial" w:hAnsi="Arial"/>
                <w:sz w:val="12"/>
                <w:szCs w:val="12"/>
                <w:color w:val="auto"/>
                <w:w w:val="89"/>
              </w:rPr>
              <w:t>27</w:t>
            </w:r>
          </w:p>
        </w:tc>
        <w:tc>
          <w:tcPr>
            <w:tcW w:w="2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20"/>
              <w:spacing w:after="0"/>
              <w:rPr>
                <w:sz w:val="20"/>
                <w:szCs w:val="20"/>
                <w:color w:val="auto"/>
              </w:rPr>
            </w:pPr>
            <w:r>
              <w:rPr>
                <w:rFonts w:ascii="Arial" w:cs="Arial" w:eastAsia="Arial" w:hAnsi="Arial"/>
                <w:sz w:val="12"/>
                <w:szCs w:val="12"/>
                <w:color w:val="auto"/>
              </w:rPr>
              <w:t>investments</w:t>
            </w: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spacing w:after="0"/>
              <w:rPr>
                <w:sz w:val="20"/>
                <w:szCs w:val="20"/>
                <w:color w:val="auto"/>
              </w:rPr>
            </w:pPr>
            <w:r>
              <w:rPr>
                <w:rFonts w:ascii="Arial" w:cs="Arial" w:eastAsia="Arial" w:hAnsi="Arial"/>
                <w:sz w:val="12"/>
                <w:szCs w:val="12"/>
                <w:color w:val="auto"/>
              </w:rPr>
              <w:t>Stock 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82"/>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221</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20"/>
                <w:szCs w:val="20"/>
                <w:color w:val="auto"/>
              </w:rPr>
            </w:pPr>
            <w:r>
              <w:rPr>
                <w:rFonts w:ascii="Arial" w:cs="Arial" w:eastAsia="Arial" w:hAnsi="Arial"/>
                <w:sz w:val="12"/>
                <w:szCs w:val="12"/>
                <w:color w:val="auto"/>
              </w:rPr>
              <w:t>Net loss</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tcPr>
          <w:p>
            <w:pPr>
              <w:ind w:left="160"/>
              <w:spacing w:after="0"/>
              <w:rPr>
                <w:sz w:val="20"/>
                <w:szCs w:val="20"/>
                <w:color w:val="auto"/>
              </w:rPr>
            </w:pPr>
            <w:r>
              <w:rPr>
                <w:rFonts w:ascii="Arial" w:cs="Arial" w:eastAsia="Arial" w:hAnsi="Arial"/>
                <w:sz w:val="12"/>
                <w:szCs w:val="12"/>
                <w:color w:val="auto"/>
                <w:w w:val="82"/>
              </w:rPr>
              <w:t>—</w:t>
            </w:r>
          </w:p>
        </w:tc>
        <w:tc>
          <w:tcPr>
            <w:tcW w:w="640" w:type="dxa"/>
            <w:vAlign w:val="bottom"/>
          </w:tcPr>
          <w:p>
            <w:pPr>
              <w:ind w:left="4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(9,673)</w:t>
            </w:r>
          </w:p>
        </w:tc>
        <w:tc>
          <w:tcPr>
            <w:tcW w:w="700" w:type="dxa"/>
            <w:vAlign w:val="bottom"/>
          </w:tcPr>
          <w:p>
            <w:pPr>
              <w:spacing w:after="0"/>
              <w:rPr>
                <w:sz w:val="13"/>
                <w:szCs w:val="13"/>
                <w:color w:val="auto"/>
              </w:rPr>
            </w:pP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(9,673)</w:t>
            </w:r>
          </w:p>
        </w:tc>
        <w:tc>
          <w:tcPr>
            <w:tcW w:w="0" w:type="dxa"/>
            <w:vAlign w:val="bottom"/>
          </w:tcPr>
          <w:p>
            <w:pPr>
              <w:spacing w:after="0"/>
              <w:rPr>
                <w:sz w:val="1"/>
                <w:szCs w:val="1"/>
                <w:color w:val="auto"/>
              </w:rPr>
            </w:pPr>
          </w:p>
        </w:tc>
      </w:tr>
      <w:tr>
        <w:trPr>
          <w:trHeight w:val="148"/>
        </w:trPr>
        <w:tc>
          <w:tcPr>
            <w:tcW w:w="1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March 31, 2020</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35,000,000</w:t>
            </w:r>
          </w:p>
        </w:tc>
        <w:tc>
          <w:tcPr>
            <w:tcW w:w="10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$ 34,922 26,143,790</w:t>
            </w:r>
          </w:p>
        </w:tc>
        <w:tc>
          <w:tcPr>
            <w:tcW w:w="6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b w:val="1"/>
                <w:bCs w:val="1"/>
                <w:color w:val="auto"/>
                <w:w w:val="91"/>
              </w:rPr>
              <w:t>$144,839</w:t>
            </w:r>
          </w:p>
        </w:tc>
        <w:tc>
          <w:tcPr>
            <w:tcW w:w="28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w w:val="82"/>
              </w:rPr>
              <w:t>—</w:t>
            </w:r>
          </w:p>
        </w:tc>
        <w:tc>
          <w:tcPr>
            <w:tcW w:w="1260" w:type="dxa"/>
            <w:vAlign w:val="bottom"/>
            <w:tcBorders>
              <w:top w:val="single" w:sz="8" w:color="auto"/>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 — 18,825,136</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217,130</w:t>
            </w:r>
          </w:p>
        </w:tc>
        <w:tc>
          <w:tcPr>
            <w:tcW w:w="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(70,000)</w:t>
            </w:r>
          </w:p>
        </w:tc>
        <w:tc>
          <w:tcPr>
            <w:tcW w:w="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(248,440)</w:t>
            </w:r>
          </w:p>
        </w:tc>
        <w:tc>
          <w:tcPr>
            <w:tcW w:w="700" w:type="dxa"/>
            <w:vAlign w:val="bottom"/>
            <w:tcBorders>
              <w:top w:val="single" w:sz="8" w:color="auto"/>
              <w:bottom w:val="single" w:sz="8" w:color="CCEEFF"/>
            </w:tcBorders>
            <w:shd w:val="clear" w:color="auto" w:fill="CCEEFF"/>
          </w:tcPr>
          <w:p>
            <w:pPr>
              <w:jc w:val="center"/>
              <w:ind w:left="523"/>
              <w:spacing w:after="0"/>
              <w:rPr>
                <w:sz w:val="20"/>
                <w:szCs w:val="20"/>
                <w:color w:val="auto"/>
              </w:rPr>
            </w:pPr>
            <w:r>
              <w:rPr>
                <w:rFonts w:ascii="Arial" w:cs="Arial" w:eastAsia="Arial" w:hAnsi="Arial"/>
                <w:sz w:val="12"/>
                <w:szCs w:val="12"/>
                <w:b w:val="1"/>
                <w:bCs w:val="1"/>
                <w:color w:val="auto"/>
              </w:rPr>
              <w:t>$</w:t>
            </w:r>
          </w:p>
        </w:tc>
        <w:tc>
          <w:tcPr>
            <w:tcW w:w="2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b w:val="1"/>
                <w:bCs w:val="1"/>
                <w:color w:val="auto"/>
                <w:w w:val="89"/>
              </w:rPr>
              <w:t>24</w:t>
            </w: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(101,284)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-129540</wp:posOffset>
            </wp:positionV>
            <wp:extent cx="1027430"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743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-629920</wp:posOffset>
            </wp:positionV>
            <wp:extent cx="102743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74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116445"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16445" cy="39370"/>
                    </a:xfrm>
                    <a:prstGeom prst="rect">
                      <a:avLst/>
                    </a:prstGeom>
                    <a:noFill/>
                  </pic:spPr>
                </pic:pic>
              </a:graphicData>
            </a:graphic>
          </wp:anchor>
        </w:drawing>
      </w:r>
    </w:p>
    <w:p>
      <w:pPr>
        <w:sectPr>
          <w:pgSz w:w="11900" w:h="16838" w:orient="portrait"/>
          <w:cols w:equalWidth="0" w:num="1">
            <w:col w:w="11220"/>
          </w:cols>
          <w:pgMar w:left="360" w:top="133" w:right="319" w:bottom="1440" w:gutter="0" w:footer="0" w:header="0"/>
        </w:sectPr>
      </w:pPr>
    </w:p>
    <w:bookmarkStart w:id="248" w:name="page249"/>
    <w:bookmarkEnd w:id="248"/>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1939"/>
        <w:spacing w:after="0" w:line="235" w:lineRule="auto"/>
        <w:rPr>
          <w:sz w:val="20"/>
          <w:szCs w:val="20"/>
          <w:color w:val="auto"/>
        </w:rPr>
      </w:pPr>
      <w:r>
        <w:rPr>
          <w:rFonts w:ascii="Arial" w:cs="Arial" w:eastAsia="Arial" w:hAnsi="Arial"/>
          <w:sz w:val="23"/>
          <w:szCs w:val="23"/>
          <w:b w:val="1"/>
          <w:bCs w:val="1"/>
          <w:color w:val="auto"/>
        </w:rPr>
        <w:t>Century Therapeutics, Inc. and Subsidiary Consolidated statements of cash flows (unaudited) (In thousands)</w:t>
      </w:r>
    </w:p>
    <w:p>
      <w:pPr>
        <w:spacing w:after="0" w:line="8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2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280" w:type="dxa"/>
            <w:vAlign w:val="bottom"/>
          </w:tcPr>
          <w:p>
            <w:pPr>
              <w:spacing w:after="0"/>
              <w:rPr>
                <w:sz w:val="13"/>
                <w:szCs w:val="13"/>
                <w:color w:val="auto"/>
              </w:rPr>
            </w:pPr>
          </w:p>
        </w:tc>
        <w:tc>
          <w:tcPr>
            <w:tcW w:w="160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March 31, 2021</w:t>
            </w:r>
          </w:p>
        </w:tc>
        <w:tc>
          <w:tcPr>
            <w:tcW w:w="12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Arial" w:cs="Arial" w:eastAsia="Arial" w:hAnsi="Arial"/>
                <w:sz w:val="13"/>
                <w:szCs w:val="13"/>
                <w:b w:val="1"/>
                <w:bCs w:val="1"/>
                <w:color w:val="auto"/>
              </w:rPr>
              <w:t>(unaudited)</w:t>
            </w:r>
          </w:p>
        </w:tc>
        <w:tc>
          <w:tcPr>
            <w:tcW w:w="12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63"/>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8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b w:val="1"/>
                <w:bCs w:val="1"/>
                <w:color w:val="auto"/>
              </w:rPr>
              <w:t>Adjustments to reconcile net loss to net cash used in</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operating activities:</w:t>
            </w: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Depreciation</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718</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deferred financing cost</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Non-cash operating lease expense</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230</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95</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Change in operating assets and liabilities:</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 and other assets</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173</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Operating lease liability</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127</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payable</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(4,938)</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Accrued expenses and other liabilities</w:t>
            </w: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(311)</w:t>
            </w: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shd w:val="clear" w:color="auto" w:fill="CCEEFF"/>
          </w:tcPr>
          <w:p>
            <w:pPr>
              <w:ind w:left="440"/>
              <w:spacing w:after="0" w:line="153" w:lineRule="exact"/>
              <w:rPr>
                <w:sz w:val="20"/>
                <w:szCs w:val="20"/>
                <w:color w:val="auto"/>
              </w:rPr>
            </w:pPr>
            <w:r>
              <w:rPr>
                <w:rFonts w:ascii="Arial" w:cs="Arial" w:eastAsia="Arial" w:hAnsi="Arial"/>
                <w:sz w:val="14"/>
                <w:szCs w:val="14"/>
                <w:b w:val="1"/>
                <w:bCs w:val="1"/>
                <w:color w:val="auto"/>
              </w:rPr>
              <w:t>Net cash used in operating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(22,179)</w:t>
            </w:r>
          </w:p>
        </w:tc>
        <w:tc>
          <w:tcPr>
            <w:tcW w:w="6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(6,884)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and equipment</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(1,884)</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Payments for purchase of fixed maturity securities, available</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for sale</w:t>
            </w:r>
          </w:p>
        </w:tc>
        <w:tc>
          <w:tcPr>
            <w:tcW w:w="7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(124,850)</w:t>
            </w:r>
          </w:p>
        </w:tc>
        <w:tc>
          <w:tcPr>
            <w:tcW w:w="6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63"/>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 of fixed maturity securities, available for sale</w:t>
            </w:r>
          </w:p>
        </w:tc>
        <w:tc>
          <w:tcPr>
            <w:tcW w:w="7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7,700</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spacing w:after="0" w:line="153" w:lineRule="exact"/>
              <w:rPr>
                <w:sz w:val="20"/>
                <w:szCs w:val="20"/>
                <w:color w:val="auto"/>
              </w:rPr>
            </w:pPr>
            <w:r>
              <w:rPr>
                <w:rFonts w:ascii="Arial" w:cs="Arial" w:eastAsia="Arial" w:hAnsi="Arial"/>
                <w:sz w:val="14"/>
                <w:szCs w:val="14"/>
                <w:b w:val="1"/>
                <w:bCs w:val="1"/>
                <w:color w:val="auto"/>
              </w:rPr>
              <w:t>Net cash used in investing activities</w:t>
            </w:r>
          </w:p>
        </w:tc>
        <w:tc>
          <w:tcPr>
            <w:tcW w:w="7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(119,034)</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(4,178)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Payments of deferred offering costs</w:t>
            </w:r>
          </w:p>
        </w:tc>
        <w:tc>
          <w:tcPr>
            <w:tcW w:w="7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(554)</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Proceeds from early exercises of common stock options, net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of expense</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138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subscription receivable</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31,900</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Proceeds from issuance of Series C preferred stock, net of</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159,628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contributed as a result of merger</w:t>
            </w:r>
          </w:p>
        </w:tc>
        <w:tc>
          <w:tcPr>
            <w:tcW w:w="7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2,326</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Net cash provided by financing activities</w:t>
            </w:r>
          </w:p>
        </w:tc>
        <w:tc>
          <w:tcPr>
            <w:tcW w:w="740" w:type="dxa"/>
            <w:vAlign w:val="bottom"/>
          </w:tcPr>
          <w:p>
            <w:pPr>
              <w:spacing w:after="0"/>
              <w:rPr>
                <w:sz w:val="13"/>
                <w:szCs w:val="13"/>
                <w:color w:val="auto"/>
              </w:rPr>
            </w:pPr>
          </w:p>
        </w:tc>
        <w:tc>
          <w:tcPr>
            <w:tcW w:w="8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193,485</w:t>
            </w:r>
          </w:p>
        </w:tc>
        <w:tc>
          <w:tcPr>
            <w:tcW w:w="6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80" w:type="dxa"/>
            <w:vAlign w:val="bottom"/>
            <w:shd w:val="clear" w:color="auto" w:fill="CCEEFF"/>
          </w:tcPr>
          <w:p>
            <w:pPr>
              <w:ind w:left="440"/>
              <w:spacing w:after="0" w:line="154" w:lineRule="exact"/>
              <w:rPr>
                <w:sz w:val="20"/>
                <w:szCs w:val="20"/>
                <w:color w:val="auto"/>
              </w:rPr>
            </w:pPr>
            <w:r>
              <w:rPr>
                <w:rFonts w:ascii="Arial" w:cs="Arial" w:eastAsia="Arial" w:hAnsi="Arial"/>
                <w:sz w:val="14"/>
                <w:szCs w:val="14"/>
                <w:b w:val="1"/>
                <w:bCs w:val="1"/>
                <w:color w:val="auto"/>
              </w:rPr>
              <w:t>Net increase (decrease) in cash, cash equivalents,</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and restricted cash</w:t>
            </w: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52,272</w:t>
            </w: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27,728</w:t>
            </w: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Cash, cash equivalents and restricted cash, end of period</w:t>
            </w:r>
          </w:p>
        </w:tc>
        <w:tc>
          <w:tcPr>
            <w:tcW w:w="740" w:type="dxa"/>
            <w:vAlign w:val="bottom"/>
            <w:tcBorders>
              <w:bottom w:val="single" w:sz="8" w:color="auto"/>
            </w:tcBorders>
            <w:shd w:val="clear" w:color="auto" w:fill="CCEEFF"/>
          </w:tcPr>
          <w:p>
            <w:pPr>
              <w:jc w:val="right"/>
              <w:ind w:right="11"/>
              <w:spacing w:after="0" w:line="131"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48"/>
              <w:spacing w:after="0" w:line="131" w:lineRule="exact"/>
              <w:rPr>
                <w:sz w:val="20"/>
                <w:szCs w:val="20"/>
                <w:color w:val="auto"/>
              </w:rPr>
            </w:pPr>
            <w:r>
              <w:rPr>
                <w:rFonts w:ascii="Arial" w:cs="Arial" w:eastAsia="Arial" w:hAnsi="Arial"/>
                <w:sz w:val="14"/>
                <w:szCs w:val="14"/>
                <w:b w:val="1"/>
                <w:bCs w:val="1"/>
                <w:color w:val="auto"/>
              </w:rPr>
              <w:t>80,000</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33,002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line="136" w:lineRule="exact"/>
              <w:rPr>
                <w:sz w:val="20"/>
                <w:szCs w:val="20"/>
                <w:color w:val="auto"/>
              </w:rPr>
            </w:pPr>
            <w:r>
              <w:rPr>
                <w:rFonts w:ascii="Arial" w:cs="Arial" w:eastAsia="Arial" w:hAnsi="Arial"/>
                <w:sz w:val="14"/>
                <w:szCs w:val="14"/>
                <w:b w:val="1"/>
                <w:bCs w:val="1"/>
                <w:color w:val="auto"/>
              </w:rPr>
              <w:t>Supplemental disclosure of cash and non-cash operating</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2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activities:</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Cash paid for interest</w:t>
            </w:r>
          </w:p>
        </w:tc>
        <w:tc>
          <w:tcPr>
            <w:tcW w:w="740" w:type="dxa"/>
            <w:vAlign w:val="bottom"/>
            <w:tcBorders>
              <w:bottom w:val="single" w:sz="8" w:color="auto"/>
            </w:tcBorders>
            <w:shd w:val="clear" w:color="auto" w:fill="CCEEFF"/>
          </w:tcPr>
          <w:p>
            <w:pPr>
              <w:jc w:val="right"/>
              <w:ind w:right="11"/>
              <w:spacing w:after="0" w:line="133"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48"/>
              <w:spacing w:after="0" w:line="133" w:lineRule="exact"/>
              <w:rPr>
                <w:sz w:val="20"/>
                <w:szCs w:val="20"/>
                <w:color w:val="auto"/>
              </w:rPr>
            </w:pPr>
            <w:r>
              <w:rPr>
                <w:rFonts w:ascii="Arial" w:cs="Arial" w:eastAsia="Arial" w:hAnsi="Arial"/>
                <w:sz w:val="14"/>
                <w:szCs w:val="14"/>
                <w:b w:val="1"/>
                <w:bCs w:val="1"/>
                <w:color w:val="auto"/>
              </w:rPr>
              <w:t>239</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line="136" w:lineRule="exact"/>
              <w:rPr>
                <w:sz w:val="20"/>
                <w:szCs w:val="20"/>
                <w:color w:val="auto"/>
              </w:rPr>
            </w:pPr>
            <w:r>
              <w:rPr>
                <w:rFonts w:ascii="Arial" w:cs="Arial" w:eastAsia="Arial" w:hAnsi="Arial"/>
                <w:sz w:val="14"/>
                <w:szCs w:val="14"/>
                <w:b w:val="1"/>
                <w:bCs w:val="1"/>
                <w:color w:val="auto"/>
              </w:rPr>
              <w:t>Supplemental disclosure of non-cash investing and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2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financing activities:</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140"/>
              <w:spacing w:after="0" w:line="152" w:lineRule="exact"/>
              <w:rPr>
                <w:sz w:val="20"/>
                <w:szCs w:val="20"/>
                <w:color w:val="auto"/>
              </w:rPr>
            </w:pPr>
            <w:r>
              <w:rPr>
                <w:rFonts w:ascii="Arial" w:cs="Arial" w:eastAsia="Arial" w:hAnsi="Arial"/>
                <w:sz w:val="14"/>
                <w:szCs w:val="14"/>
                <w:color w:val="auto"/>
              </w:rPr>
              <w:t>Purchase of property and equipment, accrued and unpaid</w:t>
            </w:r>
          </w:p>
        </w:tc>
        <w:tc>
          <w:tcPr>
            <w:tcW w:w="740" w:type="dxa"/>
            <w:vAlign w:val="bottom"/>
            <w:tcBorders>
              <w:bottom w:val="single" w:sz="8" w:color="auto"/>
            </w:tcBorders>
            <w:shd w:val="clear" w:color="auto" w:fill="CCEEFF"/>
          </w:tcPr>
          <w:p>
            <w:pPr>
              <w:jc w:val="right"/>
              <w:ind w:right="11"/>
              <w:spacing w:after="0" w:line="15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48"/>
              <w:spacing w:after="0" w:line="152" w:lineRule="exact"/>
              <w:rPr>
                <w:sz w:val="20"/>
                <w:szCs w:val="20"/>
                <w:color w:val="auto"/>
              </w:rPr>
            </w:pPr>
            <w:r>
              <w:rPr>
                <w:rFonts w:ascii="Arial" w:cs="Arial" w:eastAsia="Arial" w:hAnsi="Arial"/>
                <w:sz w:val="14"/>
                <w:szCs w:val="14"/>
                <w:b w:val="1"/>
                <w:bCs w:val="1"/>
                <w:color w:val="auto"/>
              </w:rPr>
              <w:t>4,107</w:t>
            </w:r>
          </w:p>
        </w:tc>
        <w:tc>
          <w:tcPr>
            <w:tcW w:w="6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Deferred offering cost, accrued and unpaid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7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1,565</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-930910</wp:posOffset>
            </wp:positionV>
            <wp:extent cx="271335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-2335530</wp:posOffset>
            </wp:positionV>
            <wp:extent cx="271335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-3096260</wp:posOffset>
            </wp:positionV>
            <wp:extent cx="271335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-4514215</wp:posOffset>
            </wp:positionV>
            <wp:extent cx="271335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13355" cy="6985"/>
                    </a:xfrm>
                    <a:prstGeom prst="rect">
                      <a:avLst/>
                    </a:prstGeom>
                    <a:noFill/>
                  </pic:spPr>
                </pic:pic>
              </a:graphicData>
            </a:graphic>
          </wp:anchor>
        </w:drawing>
      </w:r>
    </w:p>
    <w:p>
      <w:pPr>
        <w:spacing w:after="0" w:line="250"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9" w:name="page250"/>
    <w:bookmarkEnd w:id="249"/>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439"/>
        <w:spacing w:after="0" w:line="223"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(unaudited)</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3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22"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20" w:right="1379"/>
        <w:spacing w:after="0" w:line="259" w:lineRule="auto"/>
        <w:rPr>
          <w:sz w:val="20"/>
          <w:szCs w:val="20"/>
          <w:color w:val="auto"/>
        </w:rPr>
      </w:pPr>
      <w:r>
        <w:rPr>
          <w:rFonts w:ascii="Arial" w:cs="Arial" w:eastAsia="Arial" w:hAnsi="Arial"/>
          <w:sz w:val="14"/>
          <w:szCs w:val="14"/>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279"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86" w:lineRule="exact"/>
        <w:rPr>
          <w:sz w:val="20"/>
          <w:szCs w:val="20"/>
          <w:color w:val="auto"/>
        </w:rPr>
      </w:pPr>
    </w:p>
    <w:p>
      <w:pPr>
        <w:ind w:left="1220" w:right="1439"/>
        <w:spacing w:after="0" w:line="260"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6" w:lineRule="exact"/>
        <w:rPr>
          <w:sz w:val="20"/>
          <w:szCs w:val="20"/>
          <w:color w:val="auto"/>
        </w:rPr>
      </w:pPr>
    </w:p>
    <w:p>
      <w:pPr>
        <w:ind w:left="1220" w:right="1779"/>
        <w:spacing w:after="0" w:line="265"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3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9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Since inception, the Company has incurred net losses and negative cash flows from operations. During the three months ended March 31, 2021, the Company incurred a net loss of $18,348 and used $22,179 of cash for operations. During the three months ended March 31, 2020, the Company incurred a net loss of $9,673 and used $6,884 of cash for operations. Management expects to incur additional losses in the future to fund its operations and conduct product research and development and recognizes the need to raise additional capital to fully implement its business plan. As further described in Note 3, Prior Century obtained a cash capital commitment from Bayer totaling $215,000, from which net proceeds of $74,839 were received in June 2019, $38,100 were received in November 2020 and $31,900 were received in</w:t>
      </w:r>
    </w:p>
    <w:p>
      <w:pPr>
        <w:spacing w:after="0" w:line="164" w:lineRule="exact"/>
        <w:rPr>
          <w:sz w:val="20"/>
          <w:szCs w:val="20"/>
          <w:color w:val="auto"/>
        </w:rPr>
      </w:pPr>
    </w:p>
    <w:p>
      <w:pPr>
        <w:ind w:left="1220" w:right="1639"/>
        <w:spacing w:after="0" w:line="265" w:lineRule="auto"/>
        <w:rPr>
          <w:sz w:val="20"/>
          <w:szCs w:val="20"/>
          <w:color w:val="auto"/>
        </w:rPr>
      </w:pPr>
      <w:r>
        <w:rPr>
          <w:rFonts w:ascii="Arial" w:cs="Arial" w:eastAsia="Arial" w:hAnsi="Arial"/>
          <w:sz w:val="14"/>
          <w:szCs w:val="14"/>
          <w:color w:val="auto"/>
        </w:rPr>
        <w:t>January 2021. Bayer has no continuing obligation to invest any additional amounts under its commitment, which terminated on February 25, 2021. As further described in Note 9, the Company entered into a Loan Agreement pursuant to which it received net proceeds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0" w:name="page251"/>
    <w:bookmarkEnd w:id="250"/>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of $9,734 in September 2020. Beginning January 1, 2021 and upon the achievement of certain development milestones and continuing through September 30, 2021 the Company may borrow an additional $10.0 million under the Loan Agreement. As described in Note 10,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04" w:lineRule="exact"/>
        <w:rPr>
          <w:sz w:val="20"/>
          <w:szCs w:val="20"/>
          <w:color w:val="auto"/>
        </w:rPr>
      </w:pPr>
    </w:p>
    <w:p>
      <w:pPr>
        <w:ind w:left="1220" w:right="2199"/>
        <w:spacing w:after="0" w:line="267"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6"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4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this Registration Statement.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46" w:lineRule="exact"/>
        <w:rPr>
          <w:sz w:val="20"/>
          <w:szCs w:val="20"/>
          <w:color w:val="auto"/>
        </w:rPr>
      </w:pPr>
    </w:p>
    <w:p>
      <w:pPr>
        <w:ind w:left="1220" w:right="1439"/>
        <w:spacing w:after="0" w:line="278"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6" w:lineRule="exact"/>
        <w:rPr>
          <w:sz w:val="20"/>
          <w:szCs w:val="20"/>
          <w:color w:val="auto"/>
        </w:rPr>
      </w:pPr>
    </w:p>
    <w:p>
      <w:pPr>
        <w:ind w:left="1220" w:right="1319"/>
        <w:spacing w:after="0" w:line="276"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4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2021 and 2020, the Company has not experienced any losses on its deposits of cash and cash equivalents.</w:t>
      </w:r>
    </w:p>
    <w:p>
      <w:pPr>
        <w:spacing w:after="0" w:line="108" w:lineRule="exact"/>
        <w:rPr>
          <w:sz w:val="20"/>
          <w:szCs w:val="20"/>
          <w:color w:val="auto"/>
        </w:rPr>
      </w:pPr>
    </w:p>
    <w:p>
      <w:pPr>
        <w:ind w:left="1220" w:right="1379"/>
        <w:spacing w:after="0" w:line="278"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1" w:name="page252"/>
    <w:bookmarkEnd w:id="251"/>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from substitute products and larger companies, protection of proprietary technology, strategic relationships, and dependence on key individuals.</w:t>
      </w:r>
    </w:p>
    <w:p>
      <w:pPr>
        <w:spacing w:after="0" w:line="86"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06"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3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25" w:lineRule="exact"/>
        <w:rPr>
          <w:sz w:val="20"/>
          <w:szCs w:val="20"/>
          <w:color w:val="auto"/>
        </w:rPr>
      </w:pPr>
    </w:p>
    <w:p>
      <w:pPr>
        <w:ind w:left="1220" w:right="1479"/>
        <w:spacing w:after="0" w:line="260" w:lineRule="auto"/>
        <w:rPr>
          <w:sz w:val="20"/>
          <w:szCs w:val="20"/>
          <w:color w:val="auto"/>
        </w:rPr>
      </w:pPr>
      <w:r>
        <w:rPr>
          <w:rFonts w:ascii="Arial" w:cs="Arial" w:eastAsia="Arial" w:hAnsi="Arial"/>
          <w:sz w:val="14"/>
          <w:szCs w:val="14"/>
          <w:color w:val="auto"/>
        </w:rPr>
        <w:t>Deferred offering costs, which primarily consist of direct incremental legal and accounting fees relating to the initial public offering (IPO) of the Company’s common stock are capitalized. The deferred offering costs will be offset against IPO proceeds upon the consummation of the offering. In the event the offering is terminated, deferred offering costs will be expensed. The Company had $2,119 deferred offering costs recorded as of March 31, 2021. There were no deferred offering costs recorded as of December 31, 2020.</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6"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10" w:lineRule="exact"/>
        <w:rPr>
          <w:sz w:val="20"/>
          <w:szCs w:val="20"/>
          <w:color w:val="auto"/>
        </w:rPr>
      </w:pPr>
    </w:p>
    <w:p>
      <w:pPr>
        <w:ind w:left="1740" w:right="1699" w:hanging="517"/>
        <w:spacing w:after="0" w:line="290" w:lineRule="auto"/>
        <w:rPr>
          <w:sz w:val="20"/>
          <w:szCs w:val="20"/>
          <w:color w:val="auto"/>
        </w:rPr>
      </w:pPr>
      <w:r>
        <w:rPr>
          <w:rFonts w:ascii="Arial" w:cs="Arial" w:eastAsia="Arial" w:hAnsi="Arial"/>
          <w:sz w:val="14"/>
          <w:szCs w:val="14"/>
          <w:color w:val="auto"/>
        </w:rPr>
        <w:t>Level 1 Inputs that reflect unadjusted quoted prices in active markets for identical assets or liabilities that the Company has the ability to access at the measurement date;</w:t>
      </w:r>
    </w:p>
    <w:p>
      <w:pPr>
        <w:spacing w:after="0" w:line="96" w:lineRule="exact"/>
        <w:rPr>
          <w:sz w:val="20"/>
          <w:szCs w:val="20"/>
          <w:color w:val="auto"/>
        </w:rPr>
      </w:pPr>
    </w:p>
    <w:p>
      <w:pPr>
        <w:ind w:left="1740" w:right="1319" w:hanging="517"/>
        <w:spacing w:after="0" w:line="290" w:lineRule="auto"/>
        <w:rPr>
          <w:sz w:val="20"/>
          <w:szCs w:val="20"/>
          <w:color w:val="auto"/>
        </w:rPr>
      </w:pPr>
      <w:r>
        <w:rPr>
          <w:rFonts w:ascii="Arial" w:cs="Arial" w:eastAsia="Arial" w:hAnsi="Arial"/>
          <w:sz w:val="14"/>
          <w:szCs w:val="14"/>
          <w:color w:val="auto"/>
        </w:rPr>
        <w:t>Level 2 Inputs other than quoted prices that are observable for the asset or liability either directly or indirectly, including inputs in markets that are not considered to be active;</w:t>
      </w:r>
    </w:p>
    <w:p>
      <w:pPr>
        <w:spacing w:after="0" w:line="86" w:lineRule="exact"/>
        <w:rPr>
          <w:sz w:val="20"/>
          <w:szCs w:val="20"/>
          <w:color w:val="auto"/>
        </w:rPr>
      </w:pPr>
    </w:p>
    <w:p>
      <w:pPr>
        <w:ind w:left="1740" w:right="1339" w:hanging="517"/>
        <w:spacing w:after="0" w:line="290" w:lineRule="auto"/>
        <w:rPr>
          <w:sz w:val="20"/>
          <w:szCs w:val="20"/>
          <w:color w:val="auto"/>
        </w:rPr>
      </w:pPr>
      <w:r>
        <w:rPr>
          <w:rFonts w:ascii="Arial" w:cs="Arial" w:eastAsia="Arial" w:hAnsi="Arial"/>
          <w:sz w:val="14"/>
          <w:szCs w:val="14"/>
          <w:color w:val="auto"/>
        </w:rPr>
        <w:t>Level 3 Inputs are unobservable in which there is little or no market data available, which require the reporting entity to develop its own assumptions that are unobservable.</w:t>
      </w:r>
    </w:p>
    <w:p>
      <w:pPr>
        <w:spacing w:after="0" w:line="86"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2" w:name="page253"/>
    <w:bookmarkEnd w:id="252"/>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6" w:lineRule="exact"/>
        <w:rPr>
          <w:sz w:val="20"/>
          <w:szCs w:val="20"/>
          <w:color w:val="auto"/>
        </w:rPr>
      </w:pPr>
    </w:p>
    <w:p>
      <w:pPr>
        <w:ind w:left="1220" w:right="1559"/>
        <w:spacing w:after="0" w:line="29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46" w:lineRule="exact"/>
        <w:rPr>
          <w:sz w:val="20"/>
          <w:szCs w:val="20"/>
          <w:color w:val="auto"/>
        </w:rPr>
      </w:pPr>
    </w:p>
    <w:p>
      <w:pPr>
        <w:jc w:val="both"/>
        <w:ind w:left="1220" w:right="1599"/>
        <w:spacing w:after="0" w:line="281" w:lineRule="auto"/>
        <w:rPr>
          <w:sz w:val="20"/>
          <w:szCs w:val="20"/>
          <w:color w:val="auto"/>
        </w:rPr>
      </w:pPr>
      <w:r>
        <w:rPr>
          <w:rFonts w:ascii="Arial" w:cs="Arial" w:eastAsia="Arial" w:hAnsi="Arial"/>
          <w:sz w:val="14"/>
          <w:szCs w:val="14"/>
          <w:color w:val="auto"/>
        </w:rPr>
        <w:t>As of March 31, 2021 and December 31, 2020, the Company had $517 in cash on deposit to secure certain lease commitments. Restricted cash is recorded separately in the Company’s consolidated balance sheets.</w:t>
      </w:r>
    </w:p>
    <w:p>
      <w:pPr>
        <w:spacing w:after="0" w:line="10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165600" cy="139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34"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4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$ 79,483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$ 27,211</w:t>
            </w:r>
          </w:p>
        </w:tc>
      </w:tr>
      <w:tr>
        <w:trPr>
          <w:trHeight w:val="188"/>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Restricted cash</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517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r>
      <w:tr>
        <w:trPr>
          <w:trHeight w:val="22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$ 80,000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$ 27,728</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261747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1747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-417195</wp:posOffset>
            </wp:positionV>
            <wp:extent cx="261747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3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46" w:lineRule="exact"/>
        <w:rPr>
          <w:sz w:val="20"/>
          <w:szCs w:val="20"/>
          <w:color w:val="auto"/>
        </w:rPr>
      </w:pPr>
    </w:p>
    <w:p>
      <w:pPr>
        <w:jc w:val="both"/>
        <w:ind w:left="1220" w:right="1479"/>
        <w:spacing w:after="0" w:line="283"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283"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639"/>
        <w:spacing w:after="0" w:line="277"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6" w:lineRule="exact"/>
        <w:rPr>
          <w:sz w:val="20"/>
          <w:szCs w:val="20"/>
          <w:color w:val="auto"/>
        </w:rPr>
      </w:pPr>
    </w:p>
    <w:p>
      <w:pPr>
        <w:ind w:left="1220" w:right="1359"/>
        <w:spacing w:after="0" w:line="277" w:lineRule="auto"/>
        <w:rPr>
          <w:sz w:val="20"/>
          <w:szCs w:val="20"/>
          <w:color w:val="auto"/>
        </w:rPr>
      </w:pPr>
      <w:r>
        <w:rPr>
          <w:rFonts w:ascii="Arial" w:cs="Arial" w:eastAsia="Arial" w:hAnsi="Arial"/>
          <w:sz w:val="14"/>
          <w:szCs w:val="14"/>
          <w:color w:val="auto"/>
        </w:rPr>
        <w:t>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3" w:name="page254"/>
    <w:bookmarkEnd w:id="253"/>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68"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ind w:left="1220" w:right="1279" w:firstLine="4"/>
        <w:spacing w:after="0" w:line="258" w:lineRule="auto"/>
        <w:tabs>
          <w:tab w:leader="none" w:pos="147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286" w:lineRule="exact"/>
        <w:rPr>
          <w:sz w:val="20"/>
          <w:szCs w:val="20"/>
          <w:color w:val="auto"/>
        </w:rPr>
      </w:pPr>
    </w:p>
    <w:p>
      <w:pPr>
        <w:ind w:left="1220" w:right="1359"/>
        <w:spacing w:after="0" w:line="258" w:lineRule="auto"/>
        <w:rPr>
          <w:sz w:val="20"/>
          <w:szCs w:val="20"/>
          <w:color w:val="auto"/>
        </w:rPr>
      </w:pPr>
      <w:r>
        <w:rPr>
          <w:rFonts w:ascii="Arial" w:cs="Arial" w:eastAsia="Arial" w:hAnsi="Arial"/>
          <w:sz w:val="14"/>
          <w:szCs w:val="14"/>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Warrants</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as either derivative liabilities or as equity instruments 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25"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4" w:name="page255"/>
    <w:bookmarkEnd w:id="254"/>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74" w:lineRule="auto"/>
        <w:rPr>
          <w:sz w:val="20"/>
          <w:szCs w:val="20"/>
          <w:color w:val="auto"/>
        </w:rPr>
      </w:pPr>
      <w:r>
        <w:rPr>
          <w:rFonts w:ascii="Arial" w:cs="Arial" w:eastAsia="Arial" w:hAnsi="Arial"/>
          <w:sz w:val="14"/>
          <w:szCs w:val="14"/>
          <w:color w:val="auto"/>
        </w:rPr>
        <w:t>operations and comprehensive loss. The Company has not utilized any foreign currency hedging strategies to mitigate the effect of its foreign currency exposure.</w:t>
      </w:r>
    </w:p>
    <w:p>
      <w:pPr>
        <w:spacing w:after="0" w:line="8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Basic and diluted net loss per common shares</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months ended March 31, 2021 and 2020.</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Early exercised options</w:t>
      </w:r>
    </w:p>
    <w:p>
      <w:pPr>
        <w:spacing w:after="0" w:line="13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Company allows certain of its employees and its consultants to exercise options granted under the 2018 Plan (Note 15) prior to vesting.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March 31, 2021, $1,136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200" w:lineRule="exact"/>
        <w:rPr>
          <w:sz w:val="20"/>
          <w:szCs w:val="20"/>
          <w:color w:val="auto"/>
        </w:rPr>
      </w:pPr>
    </w:p>
    <w:p>
      <w:pPr>
        <w:spacing w:after="0" w:line="247"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93345</wp:posOffset>
            </wp:positionV>
            <wp:extent cx="4165600" cy="139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6"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40" w:type="dxa"/>
            <w:vAlign w:val="bottom"/>
          </w:tcPr>
          <w:p>
            <w:pPr>
              <w:spacing w:after="0"/>
              <w:rPr>
                <w:sz w:val="15"/>
                <w:szCs w:val="15"/>
                <w:color w:val="auto"/>
              </w:rPr>
            </w:pPr>
          </w:p>
        </w:tc>
        <w:tc>
          <w:tcPr>
            <w:tcW w:w="2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legally outstanding</w:t>
            </w:r>
          </w:p>
        </w:tc>
        <w:tc>
          <w:tcPr>
            <w:tcW w:w="14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4"/>
                <w:szCs w:val="14"/>
                <w:color w:val="auto"/>
              </w:rPr>
              <w:t>24,381,382</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22,307,756</w:t>
            </w:r>
          </w:p>
        </w:tc>
        <w:tc>
          <w:tcPr>
            <w:tcW w:w="60" w:type="dxa"/>
            <w:vAlign w:val="bottom"/>
          </w:tcPr>
          <w:p>
            <w:pPr>
              <w:spacing w:after="0"/>
              <w:rPr>
                <w:sz w:val="15"/>
                <w:szCs w:val="15"/>
                <w:color w:val="auto"/>
              </w:rPr>
            </w:pPr>
          </w:p>
        </w:tc>
      </w:t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Less: unvested early exercised shares</w:t>
            </w:r>
          </w:p>
        </w:tc>
        <w:tc>
          <w:tcPr>
            <w:tcW w:w="1400" w:type="dxa"/>
            <w:vAlign w:val="bottom"/>
          </w:tcPr>
          <w:p>
            <w:pPr>
              <w:jc w:val="right"/>
              <w:ind w:right="230"/>
              <w:spacing w:after="0"/>
              <w:rPr>
                <w:sz w:val="20"/>
                <w:szCs w:val="20"/>
                <w:color w:val="auto"/>
              </w:rPr>
            </w:pPr>
            <w:r>
              <w:rPr>
                <w:rFonts w:ascii="Arial" w:cs="Arial" w:eastAsia="Arial" w:hAnsi="Arial"/>
                <w:sz w:val="14"/>
                <w:szCs w:val="14"/>
                <w:color w:val="auto"/>
              </w:rPr>
              <w:t>(2,377,447)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(831,896)</w:t>
            </w:r>
          </w:p>
        </w:tc>
      </w:tr>
      <w:tr>
        <w:trPr>
          <w:trHeight w:val="23"/>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88"/>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unvested restricted stock</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(2,271,298)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(2,650,724)</w:t>
            </w:r>
          </w:p>
        </w:tc>
        <w:tc>
          <w:tcPr>
            <w:tcW w:w="60" w:type="dxa"/>
            <w:vAlign w:val="bottom"/>
          </w:tcPr>
          <w:p>
            <w:pPr>
              <w:spacing w:after="0"/>
              <w:rPr>
                <w:sz w:val="16"/>
                <w:szCs w:val="16"/>
                <w:color w:val="auto"/>
              </w:rPr>
            </w:pPr>
          </w:p>
        </w:tc>
      </w:tr>
      <w:tr>
        <w:trPr>
          <w:trHeight w:val="179"/>
        </w:trPr>
        <w:tc>
          <w:tcPr>
            <w:tcW w:w="4140" w:type="dxa"/>
            <w:vAlign w:val="bottom"/>
          </w:tcPr>
          <w:p>
            <w:pPr>
              <w:spacing w:after="0"/>
              <w:rPr>
                <w:sz w:val="20"/>
                <w:szCs w:val="20"/>
                <w:color w:val="auto"/>
              </w:rPr>
            </w:pPr>
            <w:r>
              <w:rPr>
                <w:rFonts w:ascii="Arial" w:cs="Arial" w:eastAsia="Arial" w:hAnsi="Arial"/>
                <w:sz w:val="14"/>
                <w:szCs w:val="14"/>
                <w:color w:val="auto"/>
              </w:rPr>
              <w:t>Total shares issued and outstanding</w:t>
            </w: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19,732,637</w:t>
            </w:r>
          </w:p>
        </w:tc>
        <w:tc>
          <w:tcPr>
            <w:tcW w:w="1020" w:type="dxa"/>
            <w:vAlign w:val="bottom"/>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tcPr>
          <w:p>
            <w:pPr>
              <w:spacing w:after="0"/>
              <w:rPr>
                <w:sz w:val="15"/>
                <w:szCs w:val="15"/>
                <w:color w:val="auto"/>
              </w:rPr>
            </w:pPr>
          </w:p>
        </w:tc>
      </w:tr>
      <w:tr>
        <w:trPr>
          <w:trHeight w:val="23"/>
        </w:trPr>
        <w:tc>
          <w:tcPr>
            <w:tcW w:w="4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261747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spacing w:after="0" w:line="1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3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2018, the Company issued 4,288,080 restricted stock awards at a purchase price of $0.01 per share. In 2019, the Company issued 2,139,473 restricted stock awards at a weighted average purchase price of $0.28 per share. In October 2019, the Company repurchased 750,000 shares at $0.41 per share. As of March 31, 2021, the number of restricted stock awards vested were 3,406,255.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5" w:name="page256"/>
    <w:bookmarkEnd w:id="255"/>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74" w:lineRule="auto"/>
        <w:rPr>
          <w:sz w:val="20"/>
          <w:szCs w:val="20"/>
          <w:color w:val="auto"/>
        </w:rPr>
      </w:pPr>
      <w:r>
        <w:rPr>
          <w:rFonts w:ascii="Arial" w:cs="Arial" w:eastAsia="Arial" w:hAnsi="Arial"/>
          <w:sz w:val="14"/>
          <w:szCs w:val="14"/>
          <w:color w:val="auto"/>
        </w:rPr>
        <w:t>compensation expense for these awards of $39, for the three months ended March 31, 2021 and 2020, in the statements of operations and comprehensive loss.</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01"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29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 Accounting Pronouncements</w:t>
      </w:r>
    </w:p>
    <w:p>
      <w:pPr>
        <w:spacing w:after="0" w:line="101"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this standard on January 1, 2021 and adoption had no impact on its consolidated financial statements.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3—Initial capitalization</w:t>
      </w:r>
    </w:p>
    <w:p>
      <w:pPr>
        <w:spacing w:after="0" w:line="101"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0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14" w:lineRule="exact"/>
        <w:rPr>
          <w:sz w:val="20"/>
          <w:szCs w:val="20"/>
          <w:color w:val="auto"/>
        </w:rPr>
      </w:pPr>
    </w:p>
    <w:p>
      <w:pPr>
        <w:ind w:left="1220" w:right="1759"/>
        <w:spacing w:after="0" w:line="265"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93"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06"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95250</wp:posOffset>
            </wp:positionV>
            <wp:extent cx="4165600" cy="139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9"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360" w:type="dxa"/>
            <w:vAlign w:val="bottom"/>
            <w:gridSpan w:val="3"/>
          </w:tcPr>
          <w:p>
            <w:pPr>
              <w:ind w:left="100"/>
              <w:spacing w:after="0"/>
              <w:rPr>
                <w:sz w:val="20"/>
                <w:szCs w:val="20"/>
                <w:color w:val="auto"/>
              </w:rPr>
            </w:pPr>
            <w:r>
              <w:rPr>
                <w:rFonts w:ascii="Arial" w:cs="Arial" w:eastAsia="Arial" w:hAnsi="Arial"/>
                <w:sz w:val="13"/>
                <w:szCs w:val="13"/>
                <w:b w:val="1"/>
                <w:bCs w:val="1"/>
                <w:color w:val="auto"/>
              </w:rPr>
              <w:t>As of June 21, 2019</w:t>
            </w:r>
          </w:p>
        </w:tc>
      </w:tr>
      <w:tr>
        <w:trPr>
          <w:trHeight w:val="183"/>
        </w:trPr>
        <w:tc>
          <w:tcPr>
            <w:tcW w:w="1000" w:type="dxa"/>
            <w:vAlign w:val="bottom"/>
          </w:tcPr>
          <w:p>
            <w:pPr>
              <w:spacing w:after="0"/>
              <w:rPr>
                <w:sz w:val="15"/>
                <w:szCs w:val="15"/>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7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IPR&amp;D</w:t>
            </w: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2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Other current assets</w:t>
            </w: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2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Current liabilities</w:t>
            </w:r>
          </w:p>
        </w:tc>
        <w:tc>
          <w:tcPr>
            <w:tcW w:w="2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0" w:type="dxa"/>
            <w:vAlign w:val="bottom"/>
          </w:tcPr>
          <w:p>
            <w:pPr>
              <w:spacing w:after="0"/>
              <w:rPr>
                <w:sz w:val="14"/>
                <w:szCs w:val="14"/>
                <w:color w:val="auto"/>
              </w:rPr>
            </w:pPr>
          </w:p>
        </w:tc>
      </w:tr>
      <w:tr>
        <w:trPr>
          <w:trHeight w:val="187"/>
        </w:trPr>
        <w:tc>
          <w:tcPr>
            <w:tcW w:w="1000" w:type="dxa"/>
            <w:vAlign w:val="bottom"/>
          </w:tcPr>
          <w:p>
            <w:pPr>
              <w:spacing w:after="0"/>
              <w:rPr>
                <w:sz w:val="16"/>
                <w:szCs w:val="16"/>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7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1000" w:type="dxa"/>
            <w:vAlign w:val="bottom"/>
          </w:tcPr>
          <w:p>
            <w:pPr>
              <w:spacing w:after="0"/>
              <w:rPr>
                <w:sz w:val="16"/>
                <w:szCs w:val="16"/>
                <w:color w:val="auto"/>
              </w:rPr>
            </w:pPr>
          </w:p>
        </w:tc>
      </w:tr>
      <w:tr>
        <w:trPr>
          <w:trHeight w:val="517"/>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540" w:type="dxa"/>
            <w:vAlign w:val="bottom"/>
            <w:gridSpan w:val="2"/>
          </w:tcPr>
          <w:p>
            <w:pPr>
              <w:jc w:val="right"/>
              <w:ind w:right="2510"/>
              <w:spacing w:after="0"/>
              <w:rPr>
                <w:sz w:val="20"/>
                <w:szCs w:val="20"/>
                <w:color w:val="auto"/>
              </w:rPr>
            </w:pPr>
            <w:r>
              <w:rPr>
                <w:rFonts w:ascii="Arial" w:cs="Arial" w:eastAsia="Arial" w:hAnsi="Arial"/>
                <w:sz w:val="14"/>
                <w:szCs w:val="14"/>
                <w:color w:val="auto"/>
              </w:rPr>
              <w:t>F-39</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-684530</wp:posOffset>
            </wp:positionV>
            <wp:extent cx="330263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0263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-1383665</wp:posOffset>
            </wp:positionV>
            <wp:extent cx="330263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0263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6" w:name="page257"/>
    <w:bookmarkEnd w:id="256"/>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36"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March 31, 2021. Tranche 2 was eliminated in connection with the Series C preferred financing. See Note 10.</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Rights</w:t>
      </w:r>
    </w:p>
    <w:p>
      <w:pPr>
        <w:spacing w:after="0" w:line="146" w:lineRule="exact"/>
        <w:rPr>
          <w:sz w:val="20"/>
          <w:szCs w:val="20"/>
          <w:color w:val="auto"/>
        </w:rPr>
      </w:pPr>
    </w:p>
    <w:p>
      <w:pPr>
        <w:jc w:val="both"/>
        <w:ind w:left="1220" w:right="1259"/>
        <w:spacing w:after="0" w:line="281"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03" w:lineRule="exact"/>
        <w:rPr>
          <w:sz w:val="20"/>
          <w:szCs w:val="20"/>
          <w:color w:val="auto"/>
        </w:rPr>
      </w:pPr>
    </w:p>
    <w:p>
      <w:pPr>
        <w:ind w:left="1220" w:right="1299"/>
        <w:spacing w:after="0" w:line="295"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6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22"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changes in convertible preferred stock and stockholders’ deficit.</w:t>
      </w:r>
    </w:p>
    <w:p>
      <w:pPr>
        <w:spacing w:after="0" w:line="10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4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133"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March 31, 2021 and December 31, 2020, accrued compensation expense on the promissory note was $407 and $282, which is presented within accrued expenses and other liabilities on the consolidated balance sheets.</w:t>
      </w:r>
    </w:p>
    <w:p>
      <w:pPr>
        <w:spacing w:after="0" w:line="29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7" w:name="page258"/>
    <w:bookmarkEnd w:id="257"/>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3"/>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3"/>
        </w:trPr>
        <w:tc>
          <w:tcPr>
            <w:tcW w:w="5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5"/>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1"/>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2"/>
        </w:trPr>
        <w:tc>
          <w:tcPr>
            <w:tcW w:w="20" w:type="dxa"/>
            <w:vAlign w:val="bottom"/>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-149860</wp:posOffset>
            </wp:positionV>
            <wp:extent cx="359029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59029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-657225</wp:posOffset>
            </wp:positionV>
            <wp:extent cx="359029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590290" cy="6985"/>
                    </a:xfrm>
                    <a:prstGeom prst="rect">
                      <a:avLst/>
                    </a:prstGeom>
                    <a:noFill/>
                  </pic:spPr>
                </pic:pic>
              </a:graphicData>
            </a:graphic>
          </wp:anchor>
        </w:drawing>
      </w:r>
    </w:p>
    <w:p>
      <w:pPr>
        <w:spacing w:after="0" w:line="98"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7" w:lineRule="exact"/>
        <w:rPr>
          <w:sz w:val="20"/>
          <w:szCs w:val="20"/>
          <w:color w:val="auto"/>
        </w:rPr>
      </w:pPr>
    </w:p>
    <w:p>
      <w:pPr>
        <w:ind w:left="1220" w:right="1479"/>
        <w:spacing w:after="0" w:line="283"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 There was no write off of in-process research and development asset for the three months ended March 31, 2021 and 2020.</w:t>
      </w: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March 31, 2021,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7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Level 1</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$75,686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75,686</w:t>
            </w:r>
          </w:p>
        </w:tc>
      </w:tr>
      <w:tr>
        <w:trPr>
          <w:trHeight w:val="182"/>
        </w:trPr>
        <w:tc>
          <w:tcPr>
            <w:tcW w:w="3700" w:type="dxa"/>
            <w:vAlign w:val="bottom"/>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11,999</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11,999</w:t>
            </w:r>
          </w:p>
        </w:tc>
      </w:tr>
      <w:tr>
        <w:trPr>
          <w:trHeight w:val="23"/>
        </w:trPr>
        <w:tc>
          <w:tcPr>
            <w:tcW w:w="3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8"/>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154,598</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154,598</w:t>
            </w:r>
          </w:p>
        </w:tc>
      </w:tr>
      <w:tr>
        <w:trPr>
          <w:trHeight w:val="179"/>
        </w:trPr>
        <w:tc>
          <w:tcPr>
            <w:tcW w:w="370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$87,685</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$154,598</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242,283</w:t>
            </w:r>
          </w:p>
        </w:tc>
      </w:tr>
      <w:tr>
        <w:trPr>
          <w:trHeight w:val="23"/>
        </w:trPr>
        <w:tc>
          <w:tcPr>
            <w:tcW w:w="3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234315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$24,284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9,525</w:t>
            </w:r>
          </w:p>
        </w:tc>
        <w:tc>
          <w:tcPr>
            <w:tcW w:w="18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3"/>
        </w:trPr>
        <w:tc>
          <w:tcPr>
            <w:tcW w:w="3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$33,809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4"/>
        </w:trPr>
        <w:tc>
          <w:tcPr>
            <w:tcW w:w="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-534035</wp:posOffset>
            </wp:positionV>
            <wp:extent cx="245300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53005" cy="6985"/>
                    </a:xfrm>
                    <a:prstGeom prst="rect">
                      <a:avLst/>
                    </a:prstGeom>
                    <a:noFill/>
                  </pic:spPr>
                </pic:pic>
              </a:graphicData>
            </a:graphic>
          </wp:anchor>
        </w:drawing>
      </w:r>
    </w:p>
    <w:p>
      <w:pPr>
        <w:spacing w:after="0" w:line="98"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There were no transfers between levels during the period ended March 31, 2021. The Company uses the services of its investment manager, which uses widely accepted models for assumptions in valuing securities with inputs from major third-party data providers.</w:t>
      </w:r>
    </w:p>
    <w:p>
      <w:pPr>
        <w:spacing w:after="0" w:line="103" w:lineRule="exact"/>
        <w:rPr>
          <w:sz w:val="20"/>
          <w:szCs w:val="20"/>
          <w:color w:val="auto"/>
        </w:rPr>
      </w:pPr>
    </w:p>
    <w:p>
      <w:pPr>
        <w:ind w:left="1220" w:right="1519"/>
        <w:spacing w:after="0" w:line="290"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96" w:lineRule="exact"/>
        <w:rPr>
          <w:sz w:val="20"/>
          <w:szCs w:val="20"/>
          <w:color w:val="auto"/>
        </w:rPr>
      </w:pPr>
    </w:p>
    <w:p>
      <w:pPr>
        <w:ind w:left="1220" w:right="1579"/>
        <w:spacing w:after="0" w:line="290"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March 31, 2021:</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9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7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U.S. Treasury</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11,996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11,999</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Corporate bonds</w:t>
            </w: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154,628</w:t>
            </w: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700" w:type="dxa"/>
            <w:vAlign w:val="bottom"/>
          </w:tcPr>
          <w:p>
            <w:pPr>
              <w:jc w:val="right"/>
              <w:spacing w:after="0"/>
              <w:rPr>
                <w:sz w:val="20"/>
                <w:szCs w:val="20"/>
                <w:color w:val="auto"/>
              </w:rPr>
            </w:pPr>
            <w:r>
              <w:rPr>
                <w:rFonts w:ascii="Arial" w:cs="Arial" w:eastAsia="Arial" w:hAnsi="Arial"/>
                <w:sz w:val="14"/>
                <w:szCs w:val="14"/>
                <w:color w:val="auto"/>
              </w:rPr>
              <w:t>154,598</w:t>
            </w:r>
          </w:p>
        </w:tc>
        <w:tc>
          <w:tcPr>
            <w:tcW w:w="1000" w:type="dxa"/>
            <w:vAlign w:val="bottom"/>
          </w:tcPr>
          <w:p>
            <w:pPr>
              <w:spacing w:after="0"/>
              <w:rPr>
                <w:sz w:val="14"/>
                <w:szCs w:val="14"/>
                <w:color w:val="auto"/>
              </w:rPr>
            </w:pPr>
          </w:p>
        </w:tc>
      </w:tr>
      <w:tr>
        <w:trPr>
          <w:trHeight w:val="24"/>
        </w:trPr>
        <w:tc>
          <w:tcPr>
            <w:tcW w:w="10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17"/>
        </w:trPr>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4"/>
                <w:szCs w:val="14"/>
                <w:color w:val="auto"/>
              </w:rPr>
              <w:t>F-41</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-800735</wp:posOffset>
            </wp:positionV>
            <wp:extent cx="183642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836420"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8" w:name="page259"/>
    <w:bookmarkEnd w:id="258"/>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Gross</w:t>
            </w:r>
          </w:p>
        </w:tc>
        <w:tc>
          <w:tcPr>
            <w:tcW w:w="700" w:type="dxa"/>
            <w:vAlign w:val="bottom"/>
            <w:tcBorders>
              <w:top w:val="single" w:sz="8" w:color="auto"/>
            </w:tcBorders>
          </w:tcPr>
          <w:p>
            <w:pPr>
              <w:spacing w:after="0"/>
              <w:rPr>
                <w:sz w:val="14"/>
                <w:szCs w:val="14"/>
                <w:color w:val="auto"/>
              </w:rPr>
            </w:pPr>
          </w:p>
        </w:tc>
      </w:tr>
      <w:tr>
        <w:trPr>
          <w:trHeight w:val="151"/>
        </w:trPr>
        <w:tc>
          <w:tcPr>
            <w:tcW w:w="2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3"/>
              <w:spacing w:after="0"/>
              <w:rPr>
                <w:sz w:val="20"/>
                <w:szCs w:val="20"/>
                <w:color w:val="auto"/>
              </w:rPr>
            </w:pPr>
            <w:r>
              <w:rPr>
                <w:rFonts w:ascii="Arial" w:cs="Arial" w:eastAsia="Arial" w:hAnsi="Arial"/>
                <w:sz w:val="13"/>
                <w:szCs w:val="13"/>
                <w:b w:val="1"/>
                <w:bCs w:val="1"/>
                <w:color w:val="auto"/>
              </w:rPr>
              <w:t>Unrealized</w:t>
            </w:r>
          </w:p>
        </w:tc>
        <w:tc>
          <w:tcPr>
            <w:tcW w:w="700" w:type="dxa"/>
            <w:vAlign w:val="bottom"/>
          </w:tcPr>
          <w:p>
            <w:pPr>
              <w:spacing w:after="0"/>
              <w:rPr>
                <w:sz w:val="13"/>
                <w:szCs w:val="13"/>
                <w:color w:val="auto"/>
              </w:rPr>
            </w:pPr>
          </w:p>
        </w:tc>
      </w:tr>
      <w:tr>
        <w:trPr>
          <w:trHeight w:val="179"/>
        </w:trPr>
        <w:tc>
          <w:tcPr>
            <w:tcW w:w="29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3"/>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  166,624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$ 166,597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-129540</wp:posOffset>
            </wp:positionV>
            <wp:extent cx="184277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842770" cy="6985"/>
                    </a:xfrm>
                    <a:prstGeom prst="rect">
                      <a:avLst/>
                    </a:prstGeom>
                    <a:noFill/>
                  </pic:spPr>
                </pic:pic>
              </a:graphicData>
            </a:graphic>
          </wp:anchor>
        </w:drawing>
      </w:r>
    </w:p>
    <w:p>
      <w:pPr>
        <w:spacing w:after="0" w:line="109" w:lineRule="exact"/>
        <w:rPr>
          <w:sz w:val="20"/>
          <w:szCs w:val="20"/>
          <w:color w:val="auto"/>
        </w:rPr>
      </w:pPr>
    </w:p>
    <w:p>
      <w:pPr>
        <w:ind w:left="1220" w:right="1579"/>
        <w:spacing w:after="0" w:line="306"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10"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92"/>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1"/>
        </w:trPr>
        <w:tc>
          <w:tcPr>
            <w:tcW w:w="2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9"/>
        </w:trPr>
        <w:tc>
          <w:tcPr>
            <w:tcW w:w="29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8"/>
        </w:trPr>
        <w:tc>
          <w:tcPr>
            <w:tcW w:w="2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 bonds</w:t>
            </w: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40,069</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40,070</w:t>
            </w:r>
          </w:p>
        </w:tc>
      </w:tr>
      <w:tr>
        <w:trPr>
          <w:trHeight w:val="227"/>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49,587</w:t>
            </w:r>
          </w:p>
        </w:tc>
        <w:tc>
          <w:tcPr>
            <w:tcW w:w="6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183642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8364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-417195</wp:posOffset>
            </wp:positionV>
            <wp:extent cx="183642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836420" cy="6985"/>
                    </a:xfrm>
                    <a:prstGeom prst="rect">
                      <a:avLst/>
                    </a:prstGeom>
                    <a:noFill/>
                  </pic:spPr>
                </pic:pic>
              </a:graphicData>
            </a:graphic>
          </wp:anchor>
        </w:drawing>
      </w:r>
    </w:p>
    <w:p>
      <w:pPr>
        <w:spacing w:after="0" w:line="10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00" w:type="dxa"/>
            <w:vAlign w:val="bottom"/>
            <w:tcBorders>
              <w:bottom w:val="single" w:sz="8" w:color="CCEEFF"/>
            </w:tcBorders>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103,459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$ 48,542</w:t>
            </w:r>
          </w:p>
        </w:tc>
      </w:tr>
      <w:tr>
        <w:trPr>
          <w:trHeight w:val="188"/>
        </w:trPr>
        <w:tc>
          <w:tcPr>
            <w:tcW w:w="4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One to five years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63,138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w:t>
            </w:r>
          </w:p>
        </w:tc>
      </w:tr>
      <w:tr>
        <w:trPr>
          <w:trHeight w:val="182"/>
        </w:trPr>
        <w:tc>
          <w:tcPr>
            <w:tcW w:w="4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166,597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$ 49,595</w:t>
            </w:r>
          </w:p>
        </w:tc>
      </w:tr>
      <w:tr>
        <w:trPr>
          <w:trHeight w:val="20"/>
        </w:trPr>
        <w:tc>
          <w:tcPr>
            <w:tcW w:w="4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259651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9651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-396875</wp:posOffset>
            </wp:positionV>
            <wp:extent cx="259651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96515" cy="6985"/>
                    </a:xfrm>
                    <a:prstGeom prst="rect">
                      <a:avLst/>
                    </a:prstGeom>
                    <a:noFill/>
                  </pic:spPr>
                </pic:pic>
              </a:graphicData>
            </a:graphic>
          </wp:anchor>
        </w:drawing>
      </w:r>
    </w:p>
    <w:p>
      <w:pPr>
        <w:spacing w:after="0" w:line="120" w:lineRule="exact"/>
        <w:rPr>
          <w:sz w:val="20"/>
          <w:szCs w:val="20"/>
          <w:color w:val="auto"/>
        </w:rPr>
      </w:pPr>
    </w:p>
    <w:p>
      <w:pPr>
        <w:ind w:left="1220" w:right="1259"/>
        <w:spacing w:after="0" w:line="297"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7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9"/>
        </w:trPr>
        <w:tc>
          <w:tcPr>
            <w:tcW w:w="4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130</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Software licenses and other</w:t>
            </w:r>
          </w:p>
        </w:tc>
        <w:tc>
          <w:tcPr>
            <w:tcW w:w="34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1,145</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760</w:t>
            </w:r>
          </w:p>
        </w:tc>
      </w:tr>
      <w:tr>
        <w:trPr>
          <w:trHeight w:val="23"/>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Reimbursement receivable</w:t>
            </w:r>
          </w:p>
        </w:tc>
        <w:tc>
          <w:tcPr>
            <w:tcW w:w="3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137</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Warranties</w:t>
            </w:r>
          </w:p>
        </w:tc>
        <w:tc>
          <w:tcPr>
            <w:tcW w:w="34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299</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3"/>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269</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79"/>
        </w:trPr>
        <w:tc>
          <w:tcPr>
            <w:tcW w:w="4740" w:type="dxa"/>
            <w:vAlign w:val="bottom"/>
          </w:tcPr>
          <w:p>
            <w:pPr>
              <w:spacing w:after="0"/>
              <w:rPr>
                <w:sz w:val="20"/>
                <w:szCs w:val="20"/>
                <w:color w:val="auto"/>
              </w:rPr>
            </w:pPr>
            <w:r>
              <w:rPr>
                <w:rFonts w:ascii="Arial" w:cs="Arial" w:eastAsia="Arial" w:hAnsi="Arial"/>
                <w:sz w:val="14"/>
                <w:szCs w:val="14"/>
                <w:color w:val="auto"/>
              </w:rPr>
              <w:t>Total prepaid expenses and other current assets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1,980</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2,261</w:t>
            </w:r>
          </w:p>
        </w:tc>
      </w:tr>
      <w:tr>
        <w:trPr>
          <w:trHeight w:val="23"/>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-807720</wp:posOffset>
            </wp:positionV>
            <wp:extent cx="3001010"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0010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9" w:name="page260"/>
    <w:bookmarkEnd w:id="259"/>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7—Property and equipment, net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3"/>
                <w:szCs w:val="13"/>
                <w:b w:val="1"/>
                <w:bCs w:val="1"/>
                <w:color w:val="auto"/>
              </w:rPr>
              <w:t>March 31,</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11,427</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60" w:type="dxa"/>
            <w:vAlign w:val="bottom"/>
          </w:tcPr>
          <w:p>
            <w:pPr>
              <w:spacing w:after="0"/>
              <w:rPr>
                <w:sz w:val="15"/>
                <w:szCs w:val="15"/>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7,746</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1,964</w:t>
            </w:r>
          </w:p>
        </w:tc>
        <w:tc>
          <w:tcPr>
            <w:tcW w:w="60" w:type="dxa"/>
            <w:vAlign w:val="bottom"/>
          </w:tcPr>
          <w:p>
            <w:pPr>
              <w:spacing w:after="0"/>
              <w:rPr>
                <w:sz w:val="15"/>
                <w:szCs w:val="15"/>
                <w:color w:val="auto"/>
              </w:rPr>
            </w:pPr>
          </w:p>
        </w:tc>
      </w:tr>
      <w:tr>
        <w:trPr>
          <w:trHeight w:val="23"/>
        </w:trPr>
        <w:tc>
          <w:tcPr>
            <w:tcW w:w="4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3,401</w:t>
            </w:r>
          </w:p>
        </w:tc>
        <w:tc>
          <w:tcPr>
            <w:tcW w:w="4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60" w:type="dxa"/>
            <w:vAlign w:val="bottom"/>
          </w:tcPr>
          <w:p>
            <w:pPr>
              <w:spacing w:after="0"/>
              <w:rPr>
                <w:sz w:val="16"/>
                <w:szCs w:val="16"/>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26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228</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214</w:t>
            </w:r>
          </w:p>
        </w:tc>
        <w:tc>
          <w:tcPr>
            <w:tcW w:w="60" w:type="dxa"/>
            <w:vAlign w:val="bottom"/>
          </w:tcPr>
          <w:p>
            <w:pPr>
              <w:spacing w:after="0"/>
              <w:rPr>
                <w:sz w:val="15"/>
                <w:szCs w:val="15"/>
                <w:color w:val="auto"/>
              </w:rPr>
            </w:pPr>
          </w:p>
        </w:tc>
      </w:tr>
      <w:tr>
        <w:trPr>
          <w:trHeight w:val="23"/>
        </w:trPr>
        <w:tc>
          <w:tcPr>
            <w:tcW w:w="4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22,955</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16,966</w:t>
            </w:r>
          </w:p>
        </w:tc>
        <w:tc>
          <w:tcPr>
            <w:tcW w:w="60" w:type="dxa"/>
            <w:vAlign w:val="bottom"/>
          </w:tcPr>
          <w:p>
            <w:pPr>
              <w:spacing w:after="0"/>
              <w:rPr>
                <w:sz w:val="14"/>
                <w:szCs w:val="14"/>
                <w:color w:val="auto"/>
              </w:rPr>
            </w:pPr>
          </w:p>
        </w:tc>
      </w:tr>
      <w:tr>
        <w:trPr>
          <w:trHeight w:val="22"/>
        </w:trPr>
        <w:tc>
          <w:tcPr>
            <w:tcW w:w="4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20,657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15,385</w:t>
            </w:r>
          </w:p>
        </w:tc>
        <w:tc>
          <w:tcPr>
            <w:tcW w:w="60" w:type="dxa"/>
            <w:vAlign w:val="bottom"/>
          </w:tcPr>
          <w:p>
            <w:pPr>
              <w:spacing w:after="0"/>
              <w:rPr>
                <w:sz w:val="14"/>
                <w:szCs w:val="1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-1047750</wp:posOffset>
            </wp:positionV>
            <wp:extent cx="298069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80690" cy="6985"/>
                    </a:xfrm>
                    <a:prstGeom prst="rect">
                      <a:avLst/>
                    </a:prstGeom>
                    <a:noFill/>
                  </pic:spPr>
                </pic:pic>
              </a:graphicData>
            </a:graphic>
          </wp:anchor>
        </w:drawing>
      </w:r>
    </w:p>
    <w:p>
      <w:pPr>
        <w:spacing w:after="0" w:line="98" w:lineRule="exact"/>
        <w:rPr>
          <w:sz w:val="20"/>
          <w:szCs w:val="20"/>
          <w:color w:val="auto"/>
        </w:rPr>
      </w:pPr>
    </w:p>
    <w:p>
      <w:pPr>
        <w:ind w:left="1220" w:right="1299"/>
        <w:spacing w:after="0" w:line="290" w:lineRule="auto"/>
        <w:rPr>
          <w:sz w:val="20"/>
          <w:szCs w:val="20"/>
          <w:color w:val="auto"/>
        </w:rPr>
      </w:pPr>
      <w:r>
        <w:rPr>
          <w:rFonts w:ascii="Arial" w:cs="Arial" w:eastAsia="Arial" w:hAnsi="Arial"/>
          <w:sz w:val="14"/>
          <w:szCs w:val="14"/>
          <w:color w:val="auto"/>
        </w:rPr>
        <w:t>Depreciation expense was $718 and $200 for the three months ended March 31, 2021 and 2020, respectively.</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accrued expenses: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7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9"/>
        </w:trPr>
        <w:tc>
          <w:tcPr>
            <w:tcW w:w="4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868</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Interest</w:t>
            </w:r>
          </w:p>
        </w:tc>
        <w:tc>
          <w:tcPr>
            <w:tcW w:w="30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3"/>
        </w:trPr>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2,213</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Operating lease liability, current</w:t>
            </w:r>
          </w:p>
        </w:tc>
        <w:tc>
          <w:tcPr>
            <w:tcW w:w="30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596</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3"/>
        </w:trPr>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79"/>
        </w:trPr>
        <w:tc>
          <w:tcPr>
            <w:tcW w:w="478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3,815</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4,030</w:t>
            </w:r>
          </w:p>
        </w:tc>
      </w:tr>
      <w:tr>
        <w:trPr>
          <w:trHeight w:val="23"/>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-807720</wp:posOffset>
            </wp:positionV>
            <wp:extent cx="302831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028315" cy="6985"/>
                    </a:xfrm>
                    <a:prstGeom prst="rect">
                      <a:avLst/>
                    </a:prstGeom>
                    <a:noFill/>
                  </pic:spPr>
                </pic:pic>
              </a:graphicData>
            </a:graphic>
          </wp:anchor>
        </w:drawing>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9—Long-term debt</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Principal</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10,000</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r>
      <w:tr>
        <w:trPr>
          <w:trHeight w:val="182"/>
        </w:trPr>
        <w:tc>
          <w:tcPr>
            <w:tcW w:w="4220" w:type="dxa"/>
            <w:vAlign w:val="bottom"/>
            <w:gridSpan w:val="2"/>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54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(39)</w:t>
            </w:r>
          </w:p>
        </w:tc>
        <w:tc>
          <w:tcPr>
            <w:tcW w:w="4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3"/>
        </w:trPr>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8"/>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(250)</w:t>
            </w:r>
          </w:p>
        </w:tc>
        <w:tc>
          <w:tcPr>
            <w:tcW w:w="4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6"/>
                <w:szCs w:val="16"/>
                <w:color w:val="auto"/>
              </w:rPr>
            </w:pP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Long-term debt, net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9,711</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9,636</w:t>
            </w:r>
          </w:p>
        </w:tc>
        <w:tc>
          <w:tcPr>
            <w:tcW w:w="60" w:type="dxa"/>
            <w:vAlign w:val="bottom"/>
          </w:tcPr>
          <w:p>
            <w:pPr>
              <w:spacing w:after="0"/>
              <w:rPr>
                <w:sz w:val="15"/>
                <w:szCs w:val="15"/>
                <w:color w:val="auto"/>
              </w:rPr>
            </w:pPr>
          </w:p>
        </w:tc>
      </w:tr>
      <w:tr>
        <w:trPr>
          <w:trHeight w:val="23"/>
        </w:trPr>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-163830</wp:posOffset>
            </wp:positionV>
            <wp:extent cx="2730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-547370</wp:posOffset>
            </wp:positionV>
            <wp:extent cx="267208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672080" cy="6985"/>
                    </a:xfrm>
                    <a:prstGeom prst="rect">
                      <a:avLst/>
                    </a:prstGeom>
                    <a:noFill/>
                  </pic:spPr>
                </pic:pic>
              </a:graphicData>
            </a:graphic>
          </wp:anchor>
        </w:drawing>
      </w:r>
    </w:p>
    <w:p>
      <w:pPr>
        <w:spacing w:after="0" w:line="109"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96"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March 31, 2021. Amounts borrowed under the Loan Agreement accrue</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0" w:name="page261"/>
    <w:bookmarkEnd w:id="260"/>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 xml:space="preserve">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March 31, 2021 was 9.55%.</w:t>
      </w:r>
    </w:p>
    <w:p>
      <w:pPr>
        <w:spacing w:after="0" w:line="106"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88" w:lineRule="exact"/>
        <w:rPr>
          <w:sz w:val="20"/>
          <w:szCs w:val="20"/>
          <w:color w:val="auto"/>
        </w:rPr>
      </w:pPr>
    </w:p>
    <w:p>
      <w:pPr>
        <w:ind w:left="1220" w:right="1539"/>
        <w:spacing w:after="0" w:line="290"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Company issued to Hercules warrants to purchase up to an aggregate of 40,540 shares of common stock. The warrants are exercisable for a period of ten years from the date of the issuance of each warrant at a per-unit exercise price equal to $5.55,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7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Interest expense of the Loan Agreement is as follows: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For the Three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 Three</w:t>
            </w:r>
          </w:p>
        </w:tc>
      </w:tr>
      <w:tr>
        <w:trPr>
          <w:trHeight w:val="151"/>
        </w:trPr>
        <w:tc>
          <w:tcPr>
            <w:tcW w:w="4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Months Ended</w:t>
            </w: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Months Ended</w:t>
            </w:r>
          </w:p>
        </w:tc>
      </w:tr>
      <w:tr>
        <w:trPr>
          <w:trHeight w:val="179"/>
        </w:trPr>
        <w:tc>
          <w:tcPr>
            <w:tcW w:w="43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March 31, 2021</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March 31, 2020</w:t>
            </w:r>
          </w:p>
        </w:tc>
      </w:tr>
      <w:tr>
        <w:trPr>
          <w:trHeight w:val="173"/>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expense for loan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2"/>
        </w:trPr>
        <w:tc>
          <w:tcPr>
            <w:tcW w:w="4420" w:type="dxa"/>
            <w:vAlign w:val="bottom"/>
            <w:gridSpan w:val="2"/>
          </w:tcPr>
          <w:p>
            <w:pPr>
              <w:spacing w:after="0"/>
              <w:rPr>
                <w:sz w:val="20"/>
                <w:szCs w:val="20"/>
                <w:color w:val="auto"/>
              </w:rPr>
            </w:pPr>
            <w:r>
              <w:rPr>
                <w:rFonts w:ascii="Arial" w:cs="Arial" w:eastAsia="Arial" w:hAnsi="Arial"/>
                <w:sz w:val="14"/>
                <w:szCs w:val="14"/>
                <w:color w:val="auto"/>
              </w:rPr>
              <w:t>Amortization of debt issuance costs, including end of term fee</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8"/>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w:t>
            </w:r>
          </w:p>
        </w:tc>
        <w:tc>
          <w:tcPr>
            <w:tcW w:w="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4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$ 314</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33"/>
        </w:trPr>
        <w:tc>
          <w:tcPr>
            <w:tcW w:w="4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-143510</wp:posOffset>
            </wp:positionV>
            <wp:extent cx="3429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-527050</wp:posOffset>
            </wp:positionV>
            <wp:extent cx="279527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95270" cy="6985"/>
                    </a:xfrm>
                    <a:prstGeom prst="rect">
                      <a:avLst/>
                    </a:prstGeom>
                    <a:noFill/>
                  </pic:spPr>
                </pic:pic>
              </a:graphicData>
            </a:graphic>
          </wp:anchor>
        </w:drawing>
      </w:r>
    </w:p>
    <w:p>
      <w:pPr>
        <w:spacing w:after="0" w:line="98" w:lineRule="exact"/>
        <w:rPr>
          <w:sz w:val="20"/>
          <w:szCs w:val="20"/>
          <w:color w:val="auto"/>
        </w:rPr>
      </w:pPr>
    </w:p>
    <w:p>
      <w:pPr>
        <w:ind w:left="1220" w:right="1319"/>
        <w:spacing w:after="0" w:line="290" w:lineRule="auto"/>
        <w:rPr>
          <w:sz w:val="20"/>
          <w:szCs w:val="20"/>
          <w:color w:val="auto"/>
        </w:rPr>
      </w:pPr>
      <w:r>
        <w:rPr>
          <w:rFonts w:ascii="Arial" w:cs="Arial" w:eastAsia="Arial" w:hAnsi="Arial"/>
          <w:sz w:val="14"/>
          <w:szCs w:val="14"/>
          <w:color w:val="auto"/>
        </w:rPr>
        <w:t>Included in accrued expenses in the accompanying consolidated balance sheets as of March 31, 2021 and December 31, 2020 were both $82 of accrued interest.</w:t>
      </w:r>
    </w:p>
    <w:p>
      <w:pPr>
        <w:spacing w:after="0" w:line="96"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75565</wp:posOffset>
            </wp:positionV>
            <wp:extent cx="4165600" cy="139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27"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Principal Payments</w:t>
            </w:r>
          </w:p>
        </w:tc>
      </w:tr>
      <w:tr>
        <w:trPr>
          <w:trHeight w:val="173"/>
        </w:trPr>
        <w:tc>
          <w:tcPr>
            <w:tcW w:w="5220" w:type="dxa"/>
            <w:vAlign w:val="bottom"/>
            <w:tcBorders>
              <w:bottom w:val="single" w:sz="8" w:color="CCEEFF"/>
            </w:tcBorders>
            <w:shd w:val="clear" w:color="auto" w:fill="CCEEFF"/>
          </w:tcPr>
          <w:p>
            <w:pPr>
              <w:jc w:val="right"/>
              <w:ind w:right="4808"/>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220" w:type="dxa"/>
            <w:vAlign w:val="bottom"/>
          </w:tcPr>
          <w:p>
            <w:pPr>
              <w:jc w:val="right"/>
              <w:ind w:right="4808"/>
              <w:spacing w:after="0"/>
              <w:rPr>
                <w:sz w:val="20"/>
                <w:szCs w:val="20"/>
                <w:color w:val="auto"/>
              </w:rPr>
            </w:pPr>
            <w:r>
              <w:rPr>
                <w:rFonts w:ascii="Arial" w:cs="Arial" w:eastAsia="Arial" w:hAnsi="Arial"/>
                <w:sz w:val="14"/>
                <w:szCs w:val="14"/>
                <w:color w:val="auto"/>
              </w:rPr>
              <w:t>2022</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3"/>
        </w:trPr>
        <w:tc>
          <w:tcPr>
            <w:tcW w:w="5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5"/>
        </w:trPr>
        <w:tc>
          <w:tcPr>
            <w:tcW w:w="5220" w:type="dxa"/>
            <w:vAlign w:val="bottom"/>
            <w:tcBorders>
              <w:bottom w:val="single" w:sz="8" w:color="CCEEFF"/>
            </w:tcBorders>
            <w:shd w:val="clear" w:color="auto" w:fill="CCEEFF"/>
          </w:tcPr>
          <w:p>
            <w:pPr>
              <w:jc w:val="right"/>
              <w:ind w:right="4808"/>
              <w:spacing w:after="0"/>
              <w:rPr>
                <w:sz w:val="20"/>
                <w:szCs w:val="20"/>
                <w:color w:val="auto"/>
              </w:rPr>
            </w:pPr>
            <w:r>
              <w:rPr>
                <w:rFonts w:ascii="Arial" w:cs="Arial" w:eastAsia="Arial" w:hAnsi="Arial"/>
                <w:sz w:val="14"/>
                <w:szCs w:val="14"/>
                <w:color w:val="auto"/>
              </w:rPr>
              <w:t>2023</w:t>
            </w:r>
          </w:p>
        </w:tc>
        <w:tc>
          <w:tcPr>
            <w:tcW w:w="8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182"/>
        </w:trPr>
        <w:tc>
          <w:tcPr>
            <w:tcW w:w="5220" w:type="dxa"/>
            <w:vAlign w:val="bottom"/>
          </w:tcPr>
          <w:p>
            <w:pPr>
              <w:jc w:val="right"/>
              <w:ind w:right="4808"/>
              <w:spacing w:after="0"/>
              <w:rPr>
                <w:sz w:val="20"/>
                <w:szCs w:val="20"/>
                <w:color w:val="auto"/>
              </w:rPr>
            </w:pPr>
            <w:r>
              <w:rPr>
                <w:rFonts w:ascii="Arial" w:cs="Arial" w:eastAsia="Arial" w:hAnsi="Arial"/>
                <w:sz w:val="14"/>
                <w:szCs w:val="14"/>
                <w:color w:val="auto"/>
              </w:rPr>
              <w:t>2024</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w:t>
            </w:r>
          </w:p>
        </w:tc>
      </w:tr>
      <w:tr>
        <w:trPr>
          <w:trHeight w:val="23"/>
        </w:trPr>
        <w:tc>
          <w:tcPr>
            <w:tcW w:w="5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8"/>
        </w:trPr>
        <w:tc>
          <w:tcPr>
            <w:tcW w:w="5220" w:type="dxa"/>
            <w:vAlign w:val="bottom"/>
            <w:tcBorders>
              <w:bottom w:val="single" w:sz="8" w:color="CCEEFF"/>
            </w:tcBorders>
            <w:shd w:val="clear" w:color="auto" w:fill="CCEEFF"/>
          </w:tcPr>
          <w:p>
            <w:pPr>
              <w:jc w:val="right"/>
              <w:ind w:right="4808"/>
              <w:spacing w:after="0"/>
              <w:rPr>
                <w:sz w:val="20"/>
                <w:szCs w:val="20"/>
                <w:color w:val="auto"/>
              </w:rPr>
            </w:pPr>
            <w:r>
              <w:rPr>
                <w:rFonts w:ascii="Arial" w:cs="Arial" w:eastAsia="Arial" w:hAnsi="Arial"/>
                <w:sz w:val="14"/>
                <w:szCs w:val="14"/>
                <w:color w:val="auto"/>
              </w:rPr>
              <w:t>2025</w:t>
            </w: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5220" w:type="dxa"/>
            <w:vAlign w:val="bottom"/>
          </w:tcPr>
          <w:p>
            <w:pPr>
              <w:jc w:val="right"/>
              <w:ind w:right="3548"/>
              <w:spacing w:after="0"/>
              <w:rPr>
                <w:sz w:val="20"/>
                <w:szCs w:val="20"/>
                <w:color w:val="auto"/>
              </w:rPr>
            </w:pPr>
            <w:r>
              <w:rPr>
                <w:rFonts w:ascii="Arial" w:cs="Arial" w:eastAsia="Arial" w:hAnsi="Arial"/>
                <w:sz w:val="14"/>
                <w:szCs w:val="14"/>
                <w:color w:val="auto"/>
              </w:rPr>
              <w:t>Total future payments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10,395</w:t>
            </w:r>
          </w:p>
        </w:tc>
      </w:tr>
      <w:tr>
        <w:trPr>
          <w:trHeight w:val="34"/>
        </w:trPr>
        <w:tc>
          <w:tcPr>
            <w:tcW w:w="5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10—Stockholders’ Equity</w:t>
      </w:r>
    </w:p>
    <w:p>
      <w:pPr>
        <w:spacing w:after="0" w:line="133" w:lineRule="exact"/>
        <w:rPr>
          <w:sz w:val="20"/>
          <w:szCs w:val="20"/>
          <w:color w:val="auto"/>
        </w:rPr>
      </w:pPr>
    </w:p>
    <w:p>
      <w:pPr>
        <w:ind w:left="1220" w:right="1539"/>
        <w:spacing w:after="0" w:line="278"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1" w:name="page262"/>
    <w:bookmarkEnd w:id="261"/>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96"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$6.4720 per shares for gross proceeds of $160,000.</w:t>
      </w:r>
    </w:p>
    <w:p>
      <w:pPr>
        <w:spacing w:after="0" w:line="10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07"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$6.4720, respectively. No dividends have been declared or paid as of December 31, 2020.</w:t>
      </w:r>
    </w:p>
    <w:p>
      <w:pPr>
        <w:spacing w:after="0" w:line="98"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90"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6"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9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10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4"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2" w:name="page263"/>
    <w:bookmarkEnd w:id="262"/>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03"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The Company had accrued expenses of $420 and $244 within accrued expenses and other liabilities as of March 31, 2021 and December 31, 2020, respectively, in its consolidated balance sheets related to the Master Service Agreement.</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14"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12—Leases</w:t>
      </w:r>
    </w:p>
    <w:p>
      <w:pPr>
        <w:spacing w:after="0" w:line="101"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$1,142 and $909 within security deposits in its consolidated balance sheets at March 31, 2021 and December 31, 2020,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35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For the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w:t>
            </w:r>
          </w:p>
        </w:tc>
      </w:tr>
      <w:tr>
        <w:trPr>
          <w:trHeight w:val="151"/>
        </w:trPr>
        <w:tc>
          <w:tcPr>
            <w:tcW w:w="3560" w:type="dxa"/>
            <w:vAlign w:val="bottom"/>
          </w:tcPr>
          <w:p>
            <w:pPr>
              <w:spacing w:after="0"/>
              <w:rPr>
                <w:sz w:val="13"/>
                <w:szCs w:val="13"/>
                <w:color w:val="auto"/>
              </w:rPr>
            </w:pPr>
          </w:p>
        </w:tc>
        <w:tc>
          <w:tcPr>
            <w:tcW w:w="154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Three Months Ended</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79"/>
        </w:trPr>
        <w:tc>
          <w:tcPr>
            <w:tcW w:w="35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13"/>
                <w:szCs w:val="13"/>
                <w:b w:val="1"/>
                <w:bCs w:val="1"/>
                <w:color w:val="auto"/>
              </w:rPr>
              <w:t>March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r>
      <w:tr>
        <w:trPr>
          <w:trHeight w:val="17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10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2"/>
        </w:trPr>
        <w:tc>
          <w:tcPr>
            <w:tcW w:w="356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1040" w:type="dxa"/>
            <w:vAlign w:val="bottom"/>
          </w:tcPr>
          <w:p>
            <w:pPr>
              <w:jc w:val="center"/>
              <w:ind w:left="81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1460" w:type="dxa"/>
            <w:vAlign w:val="bottom"/>
          </w:tcPr>
          <w:p>
            <w:pPr>
              <w:jc w:val="right"/>
              <w:spacing w:after="0"/>
              <w:rPr>
                <w:sz w:val="20"/>
                <w:szCs w:val="20"/>
                <w:color w:val="auto"/>
              </w:rPr>
            </w:pPr>
            <w:r>
              <w:rPr>
                <w:rFonts w:ascii="Arial" w:cs="Arial" w:eastAsia="Arial" w:hAnsi="Arial"/>
                <w:sz w:val="14"/>
                <w:szCs w:val="14"/>
                <w:color w:val="auto"/>
              </w:rPr>
              <w:t>$ 126</w:t>
            </w:r>
          </w:p>
        </w:tc>
      </w:tr>
      <w:tr>
        <w:trPr>
          <w:trHeight w:val="23"/>
        </w:trPr>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r>
      <w:tr>
        <w:trPr>
          <w:trHeight w:val="22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1040" w:type="dxa"/>
            <w:vAlign w:val="bottom"/>
            <w:tcBorders>
              <w:bottom w:val="single" w:sz="8" w:color="CCEEFF"/>
            </w:tcBorders>
            <w:shd w:val="clear" w:color="auto" w:fill="CCEEFF"/>
          </w:tcPr>
          <w:p>
            <w:pPr>
              <w:jc w:val="center"/>
              <w:ind w:left="8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1,488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$ 622</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226123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26123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-677545</wp:posOffset>
            </wp:positionV>
            <wp:extent cx="226123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261235" cy="6985"/>
                    </a:xfrm>
                    <a:prstGeom prst="rect">
                      <a:avLst/>
                    </a:prstGeom>
                    <a:noFill/>
                  </pic:spPr>
                </pic:pic>
              </a:graphicData>
            </a:graphic>
          </wp:anchor>
        </w:drawing>
      </w:r>
    </w:p>
    <w:p>
      <w:pPr>
        <w:spacing w:after="0" w:line="7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As of</w:t>
            </w: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As of</w:t>
            </w:r>
          </w:p>
        </w:tc>
      </w:tr>
      <w:tr>
        <w:trPr>
          <w:trHeight w:val="151"/>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3"/>
                <w:szCs w:val="13"/>
                <w:b w:val="1"/>
                <w:bCs w:val="1"/>
                <w:color w:val="auto"/>
              </w:rPr>
              <w:t>March 31, December 31,</w:t>
            </w:r>
          </w:p>
        </w:tc>
      </w:tr>
      <w:tr>
        <w:trPr>
          <w:trHeight w:val="179"/>
        </w:trPr>
        <w:tc>
          <w:tcPr>
            <w:tcW w:w="24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gridSpan w:val="2"/>
          </w:tcPr>
          <w:p>
            <w:pPr>
              <w:ind w:left="880"/>
              <w:spacing w:after="0"/>
              <w:rPr>
                <w:sz w:val="20"/>
                <w:szCs w:val="20"/>
                <w:color w:val="auto"/>
              </w:rPr>
            </w:pPr>
            <w:r>
              <w:rPr>
                <w:rFonts w:ascii="Arial" w:cs="Arial" w:eastAsia="Arial" w:hAnsi="Arial"/>
                <w:sz w:val="13"/>
                <w:szCs w:val="13"/>
                <w:b w:val="1"/>
                <w:bCs w:val="1"/>
                <w:color w:val="auto"/>
              </w:rPr>
              <w:t>Location in Balance Sheet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5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Operating lease right-of-use asset, netOperating lease right-of-use asset, net $</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12,460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9,392</w:t>
            </w:r>
          </w:p>
        </w:tc>
      </w:tr>
      <w:tr>
        <w:trPr>
          <w:trHeight w:val="182"/>
        </w:trPr>
        <w:tc>
          <w:tcPr>
            <w:tcW w:w="2440" w:type="dxa"/>
            <w:vAlign w:val="bottom"/>
          </w:tcPr>
          <w:p>
            <w:pPr>
              <w:spacing w:after="0"/>
              <w:rPr>
                <w:sz w:val="20"/>
                <w:szCs w:val="20"/>
                <w:color w:val="auto"/>
              </w:rPr>
            </w:pPr>
            <w:r>
              <w:rPr>
                <w:rFonts w:ascii="Arial" w:cs="Arial" w:eastAsia="Arial" w:hAnsi="Arial"/>
                <w:sz w:val="14"/>
                <w:szCs w:val="14"/>
                <w:color w:val="auto"/>
              </w:rPr>
              <w:t>Operating lease liability, current</w:t>
            </w:r>
          </w:p>
        </w:tc>
        <w:tc>
          <w:tcPr>
            <w:tcW w:w="2920" w:type="dxa"/>
            <w:vAlign w:val="bottom"/>
            <w:gridSpan w:val="3"/>
          </w:tcPr>
          <w:p>
            <w:pPr>
              <w:ind w:left="160"/>
              <w:spacing w:after="0"/>
              <w:rPr>
                <w:sz w:val="20"/>
                <w:szCs w:val="20"/>
                <w:color w:val="auto"/>
              </w:rPr>
            </w:pPr>
            <w:r>
              <w:rPr>
                <w:rFonts w:ascii="Arial" w:cs="Arial" w:eastAsia="Arial" w:hAnsi="Arial"/>
                <w:sz w:val="14"/>
                <w:szCs w:val="14"/>
                <w:color w:val="auto"/>
              </w:rPr>
              <w:t>Accrued expenses and other liabilities</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596</w:t>
            </w: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3"/>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8"/>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14,745</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11,679</w:t>
            </w:r>
          </w:p>
        </w:tc>
      </w:tr>
      <w:tr>
        <w:trPr>
          <w:trHeight w:val="179"/>
        </w:trPr>
        <w:tc>
          <w:tcPr>
            <w:tcW w:w="244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operating lease liability</w:t>
            </w:r>
          </w:p>
        </w:tc>
        <w:tc>
          <w:tcPr>
            <w:tcW w:w="160" w:type="dxa"/>
            <w:vAlign w:val="bottom"/>
            <w:tcBorders>
              <w:top w:val="single" w:sz="8" w:color="CCEEFF"/>
            </w:tcBorders>
          </w:tcPr>
          <w:p>
            <w:pPr>
              <w:spacing w:after="0"/>
              <w:rPr>
                <w:sz w:val="15"/>
                <w:szCs w:val="15"/>
                <w:color w:val="auto"/>
              </w:rPr>
            </w:pPr>
          </w:p>
        </w:tc>
        <w:tc>
          <w:tcPr>
            <w:tcW w:w="25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15,341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11,919</w:t>
            </w:r>
          </w:p>
        </w:tc>
      </w:tr>
      <w:tr>
        <w:trPr>
          <w:trHeight w:val="23"/>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164465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44650" cy="6985"/>
                    </a:xfrm>
                    <a:prstGeom prst="rect">
                      <a:avLst/>
                    </a:prstGeom>
                    <a:noFill/>
                  </pic:spPr>
                </pic:pic>
              </a:graphicData>
            </a:graphic>
          </wp:anchor>
        </w:drawing>
      </w:r>
    </w:p>
    <w:p>
      <w:pPr>
        <w:spacing w:after="0" w:line="66" w:lineRule="exact"/>
        <w:rPr>
          <w:sz w:val="20"/>
          <w:szCs w:val="20"/>
          <w:color w:val="auto"/>
        </w:rPr>
      </w:pPr>
    </w:p>
    <w:p>
      <w:pPr>
        <w:ind w:left="1220" w:right="1739"/>
        <w:spacing w:after="0" w:line="290" w:lineRule="auto"/>
        <w:rPr>
          <w:sz w:val="20"/>
          <w:szCs w:val="20"/>
          <w:color w:val="auto"/>
        </w:rPr>
      </w:pPr>
      <w:r>
        <w:rPr>
          <w:rFonts w:ascii="Arial" w:cs="Arial" w:eastAsia="Arial" w:hAnsi="Arial"/>
          <w:sz w:val="14"/>
          <w:szCs w:val="14"/>
          <w:color w:val="auto"/>
        </w:rPr>
        <w:t>The following table reflects supplement lease term and discount rate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82550</wp:posOffset>
            </wp:positionV>
            <wp:extent cx="4439920" cy="139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439920" cy="13970"/>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 of March 31, 2021As of December 31, 2020</w:t>
            </w:r>
          </w:p>
        </w:tc>
        <w:tc>
          <w:tcPr>
            <w:tcW w:w="56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8.74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10.2 years</w:t>
            </w:r>
          </w:p>
        </w:tc>
        <w:tc>
          <w:tcPr>
            <w:tcW w:w="56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Weighted-average discount rate—operating leases</w:t>
            </w:r>
          </w:p>
        </w:tc>
        <w:tc>
          <w:tcPr>
            <w:tcW w:w="1400" w:type="dxa"/>
            <w:vAlign w:val="bottom"/>
          </w:tcPr>
          <w:p>
            <w:pPr>
              <w:jc w:val="right"/>
              <w:ind w:right="550"/>
              <w:spacing w:after="0"/>
              <w:rPr>
                <w:sz w:val="20"/>
                <w:szCs w:val="20"/>
                <w:color w:val="auto"/>
              </w:rPr>
            </w:pPr>
            <w:r>
              <w:rPr>
                <w:rFonts w:ascii="Arial" w:cs="Arial" w:eastAsia="Arial" w:hAnsi="Arial"/>
                <w:sz w:val="14"/>
                <w:szCs w:val="14"/>
                <w:color w:val="auto"/>
              </w:rPr>
              <w:t>9%</w:t>
            </w:r>
          </w:p>
        </w:tc>
        <w:tc>
          <w:tcPr>
            <w:tcW w:w="1560" w:type="dxa"/>
            <w:vAlign w:val="bottom"/>
          </w:tcPr>
          <w:p>
            <w:pPr>
              <w:jc w:val="right"/>
              <w:ind w:right="628"/>
              <w:spacing w:after="0"/>
              <w:rPr>
                <w:sz w:val="20"/>
                <w:szCs w:val="20"/>
                <w:color w:val="auto"/>
              </w:rPr>
            </w:pPr>
            <w:r>
              <w:rPr>
                <w:rFonts w:ascii="Arial" w:cs="Arial" w:eastAsia="Arial" w:hAnsi="Arial"/>
                <w:sz w:val="14"/>
                <w:szCs w:val="14"/>
                <w:color w:val="auto"/>
              </w:rPr>
              <w:t>9%</w:t>
            </w:r>
          </w:p>
        </w:tc>
        <w:tc>
          <w:tcPr>
            <w:tcW w:w="56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8"/>
        </w:trPr>
        <w:tc>
          <w:tcPr>
            <w:tcW w:w="1000" w:type="dxa"/>
            <w:vAlign w:val="bottom"/>
          </w:tcPr>
          <w:p>
            <w:pPr>
              <w:spacing w:after="0"/>
              <w:rPr>
                <w:sz w:val="24"/>
                <w:szCs w:val="24"/>
                <w:color w:val="auto"/>
              </w:rPr>
            </w:pPr>
          </w:p>
        </w:tc>
        <w:tc>
          <w:tcPr>
            <w:tcW w:w="4040" w:type="dxa"/>
            <w:vAlign w:val="bottom"/>
          </w:tcPr>
          <w:p>
            <w:pPr>
              <w:ind w:left="3100"/>
              <w:spacing w:after="0"/>
              <w:rPr>
                <w:sz w:val="20"/>
                <w:szCs w:val="20"/>
                <w:color w:val="auto"/>
              </w:rPr>
            </w:pPr>
            <w:r>
              <w:rPr>
                <w:rFonts w:ascii="Arial" w:cs="Arial" w:eastAsia="Arial" w:hAnsi="Arial"/>
                <w:sz w:val="14"/>
                <w:szCs w:val="14"/>
                <w:color w:val="auto"/>
              </w:rPr>
              <w:t>F-46</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-794385</wp:posOffset>
            </wp:positionV>
            <wp:extent cx="255587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5587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3" w:name="page264"/>
    <w:bookmarkEnd w:id="263"/>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75565</wp:posOffset>
            </wp:positionV>
            <wp:extent cx="4241165" cy="1397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241165" cy="13970"/>
                    </a:xfrm>
                    <a:prstGeom prst="rect">
                      <a:avLst/>
                    </a:prstGeom>
                    <a:noFill/>
                  </pic:spPr>
                </pic:pic>
              </a:graphicData>
            </a:graphic>
          </wp:anchor>
        </w:drawing>
      </w:r>
    </w:p>
    <w:p>
      <w:pPr>
        <w:spacing w:after="0" w:line="117" w:lineRule="exact"/>
        <w:rPr>
          <w:sz w:val="20"/>
          <w:szCs w:val="20"/>
          <w:color w:val="auto"/>
        </w:rPr>
      </w:pPr>
    </w:p>
    <w:p>
      <w:pPr>
        <w:ind w:left="6000"/>
        <w:spacing w:after="0"/>
        <w:tabs>
          <w:tab w:leader="none" w:pos="6980" w:val="left"/>
        </w:tabs>
        <w:rPr>
          <w:sz w:val="20"/>
          <w:szCs w:val="20"/>
          <w:color w:val="auto"/>
        </w:rPr>
      </w:pPr>
      <w:r>
        <w:rPr>
          <w:rFonts w:ascii="Arial" w:cs="Arial" w:eastAsia="Arial" w:hAnsi="Arial"/>
          <w:sz w:val="13"/>
          <w:szCs w:val="13"/>
          <w:b w:val="1"/>
          <w:bCs w:val="1"/>
          <w:color w:val="auto"/>
        </w:rPr>
        <w:t>For the Three</w:t>
        <w:tab/>
        <w:t>For the Three</w:t>
      </w:r>
    </w:p>
    <w:p>
      <w:pPr>
        <w:spacing w:after="0" w:line="18" w:lineRule="exact"/>
        <w:rPr>
          <w:sz w:val="20"/>
          <w:szCs w:val="20"/>
          <w:color w:val="auto"/>
        </w:rPr>
      </w:pPr>
    </w:p>
    <w:p>
      <w:pPr>
        <w:ind w:left="5940"/>
        <w:spacing w:after="0"/>
        <w:rPr>
          <w:sz w:val="20"/>
          <w:szCs w:val="20"/>
          <w:color w:val="auto"/>
        </w:rPr>
      </w:pPr>
      <w:r>
        <w:rPr>
          <w:rFonts w:ascii="Arial" w:cs="Arial" w:eastAsia="Arial" w:hAnsi="Arial"/>
          <w:sz w:val="13"/>
          <w:szCs w:val="13"/>
          <w:b w:val="1"/>
          <w:bCs w:val="1"/>
          <w:color w:val="auto"/>
        </w:rPr>
        <w:t>Months Ended Months Ended</w:t>
      </w:r>
    </w:p>
    <w:p>
      <w:pPr>
        <w:spacing w:after="0" w:line="2" w:lineRule="exact"/>
        <w:rPr>
          <w:sz w:val="20"/>
          <w:szCs w:val="20"/>
          <w:color w:val="auto"/>
        </w:rPr>
      </w:pPr>
    </w:p>
    <w:p>
      <w:pPr>
        <w:jc w:val="right"/>
        <w:ind w:right="1119"/>
        <w:spacing w:after="0"/>
        <w:rPr>
          <w:sz w:val="20"/>
          <w:szCs w:val="20"/>
          <w:color w:val="auto"/>
        </w:rPr>
      </w:pPr>
      <w:r>
        <w:rPr>
          <w:rFonts w:ascii="Arial" w:cs="Arial" w:eastAsia="Arial" w:hAnsi="Arial"/>
          <w:sz w:val="13"/>
          <w:szCs w:val="13"/>
          <w:b w:val="1"/>
          <w:bCs w:val="1"/>
          <w:color w:val="auto"/>
        </w:rPr>
        <w:t>March 31, 2021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13970</wp:posOffset>
            </wp:positionV>
            <wp:extent cx="299402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994025" cy="6985"/>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201"/>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182"/>
        </w:trPr>
        <w:tc>
          <w:tcPr>
            <w:tcW w:w="4720" w:type="dxa"/>
            <w:vAlign w:val="bottom"/>
          </w:tcPr>
          <w:p>
            <w:pPr>
              <w:spacing w:after="0"/>
              <w:rPr>
                <w:sz w:val="20"/>
                <w:szCs w:val="20"/>
                <w:color w:val="auto"/>
              </w:rPr>
            </w:pPr>
            <w:r>
              <w:rPr>
                <w:rFonts w:ascii="Arial" w:cs="Arial" w:eastAsia="Arial" w:hAnsi="Arial"/>
                <w:sz w:val="14"/>
                <w:szCs w:val="14"/>
                <w:color w:val="auto"/>
              </w:rPr>
              <w:t>Operating cash flows from operating leases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127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3"/>
        </w:trPr>
        <w:tc>
          <w:tcPr>
            <w:tcW w:w="4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3,295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2,998</w:t>
            </w:r>
          </w:p>
        </w:tc>
      </w:tr>
      <w:tr>
        <w:trPr>
          <w:trHeight w:val="20"/>
        </w:trPr>
        <w:tc>
          <w:tcPr>
            <w:tcW w:w="4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140"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3"/>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60" w:type="dxa"/>
            <w:vAlign w:val="bottom"/>
          </w:tcPr>
          <w:p>
            <w:pPr>
              <w:spacing w:after="0"/>
              <w:rPr>
                <w:sz w:val="15"/>
                <w:szCs w:val="15"/>
                <w:color w:val="auto"/>
              </w:rPr>
            </w:pPr>
          </w:p>
        </w:tc>
      </w:tr>
      <w:tr>
        <w:trPr>
          <w:trHeight w:val="182"/>
        </w:trPr>
        <w:tc>
          <w:tcPr>
            <w:tcW w:w="5240" w:type="dxa"/>
            <w:vAlign w:val="bottom"/>
          </w:tcPr>
          <w:p>
            <w:pPr>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2,813</w:t>
            </w:r>
          </w:p>
        </w:tc>
        <w:tc>
          <w:tcPr>
            <w:tcW w:w="60" w:type="dxa"/>
            <w:vAlign w:val="bottom"/>
          </w:tcPr>
          <w:p>
            <w:pPr>
              <w:spacing w:after="0"/>
              <w:rPr>
                <w:sz w:val="15"/>
                <w:szCs w:val="15"/>
                <w:color w:val="auto"/>
              </w:rPr>
            </w:pP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60" w:type="dxa"/>
            <w:vAlign w:val="bottom"/>
          </w:tcPr>
          <w:p>
            <w:pPr>
              <w:spacing w:after="0"/>
              <w:rPr>
                <w:sz w:val="16"/>
                <w:szCs w:val="16"/>
                <w:color w:val="auto"/>
              </w:rPr>
            </w:pPr>
          </w:p>
        </w:tc>
      </w:tr>
      <w:tr>
        <w:trPr>
          <w:trHeight w:val="182"/>
        </w:trPr>
        <w:tc>
          <w:tcPr>
            <w:tcW w:w="5240" w:type="dxa"/>
            <w:vAlign w:val="bottom"/>
          </w:tcPr>
          <w:p>
            <w:pPr>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2,708</w:t>
            </w:r>
          </w:p>
        </w:tc>
        <w:tc>
          <w:tcPr>
            <w:tcW w:w="60" w:type="dxa"/>
            <w:vAlign w:val="bottom"/>
          </w:tcPr>
          <w:p>
            <w:pPr>
              <w:spacing w:after="0"/>
              <w:rPr>
                <w:sz w:val="15"/>
                <w:szCs w:val="15"/>
                <w:color w:val="auto"/>
              </w:rPr>
            </w:pP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2025</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60" w:type="dxa"/>
            <w:vAlign w:val="bottom"/>
          </w:tcPr>
          <w:p>
            <w:pPr>
              <w:spacing w:after="0"/>
              <w:rPr>
                <w:sz w:val="16"/>
                <w:szCs w:val="16"/>
                <w:color w:val="auto"/>
              </w:rPr>
            </w:pPr>
          </w:p>
        </w:tc>
      </w:tr>
      <w:tr>
        <w:trPr>
          <w:trHeight w:val="188"/>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18,300</w:t>
            </w:r>
          </w:p>
        </w:tc>
        <w:tc>
          <w:tcPr>
            <w:tcW w:w="60" w:type="dxa"/>
            <w:vAlign w:val="bottom"/>
          </w:tcPr>
          <w:p>
            <w:pPr>
              <w:spacing w:after="0"/>
              <w:rPr>
                <w:sz w:val="16"/>
                <w:szCs w:val="16"/>
                <w:color w:val="auto"/>
              </w:rPr>
            </w:pPr>
          </w:p>
        </w:tc>
      </w:tr>
      <w:tr>
        <w:trPr>
          <w:trHeight w:val="171"/>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31,111</w:t>
            </w:r>
          </w:p>
        </w:tc>
        <w:tc>
          <w:tcPr>
            <w:tcW w:w="60" w:type="dxa"/>
            <w:vAlign w:val="bottom"/>
          </w:tcPr>
          <w:p>
            <w:pPr>
              <w:spacing w:after="0"/>
              <w:rPr>
                <w:sz w:val="14"/>
                <w:szCs w:val="14"/>
                <w:color w:val="auto"/>
              </w:rPr>
            </w:pPr>
          </w:p>
        </w:tc>
      </w:tr>
      <w:tr>
        <w:trPr>
          <w:trHeight w:val="182"/>
        </w:trPr>
        <w:tc>
          <w:tcPr>
            <w:tcW w:w="5320" w:type="dxa"/>
            <w:vAlign w:val="bottom"/>
            <w:gridSpan w:val="2"/>
          </w:tcPr>
          <w:p>
            <w:pPr>
              <w:spacing w:after="0"/>
              <w:rPr>
                <w:sz w:val="20"/>
                <w:szCs w:val="20"/>
                <w:color w:val="auto"/>
              </w:rPr>
            </w:pPr>
            <w:r>
              <w:rPr>
                <w:rFonts w:ascii="Arial" w:cs="Arial" w:eastAsia="Arial" w:hAnsi="Arial"/>
                <w:sz w:val="14"/>
                <w:szCs w:val="14"/>
                <w:color w:val="auto"/>
              </w:rPr>
              <w:t>Less: imputed Interest</w:t>
            </w:r>
          </w:p>
        </w:tc>
        <w:tc>
          <w:tcPr>
            <w:tcW w:w="7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(12,065)</w:t>
            </w: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88"/>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tenant incentive receivable</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60" w:type="dxa"/>
            <w:vAlign w:val="bottom"/>
          </w:tcPr>
          <w:p>
            <w:pPr>
              <w:spacing w:after="0"/>
              <w:rPr>
                <w:sz w:val="16"/>
                <w:szCs w:val="16"/>
                <w:color w:val="auto"/>
              </w:rPr>
            </w:pPr>
          </w:p>
        </w:tc>
      </w:tr>
      <w:tr>
        <w:trPr>
          <w:trHeight w:val="179"/>
        </w:trPr>
        <w:tc>
          <w:tcPr>
            <w:tcW w:w="5320" w:type="dxa"/>
            <w:vAlign w:val="bottom"/>
            <w:gridSpan w:val="2"/>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15,341</w:t>
            </w:r>
          </w:p>
        </w:tc>
        <w:tc>
          <w:tcPr>
            <w:tcW w:w="60" w:type="dxa"/>
            <w:vAlign w:val="bottom"/>
          </w:tcPr>
          <w:p>
            <w:pPr>
              <w:spacing w:after="0"/>
              <w:rPr>
                <w:sz w:val="15"/>
                <w:szCs w:val="15"/>
                <w:color w:val="auto"/>
              </w:rPr>
            </w:pP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337756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7756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-1321435</wp:posOffset>
            </wp:positionV>
            <wp:extent cx="337756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77565" cy="6985"/>
                    </a:xfrm>
                    <a:prstGeom prst="rect">
                      <a:avLst/>
                    </a:prstGeom>
                    <a:noFill/>
                  </pic:spPr>
                </pic:pic>
              </a:graphicData>
            </a:graphic>
          </wp:anchor>
        </w:drawing>
      </w:r>
    </w:p>
    <w:p>
      <w:pPr>
        <w:spacing w:after="0" w:line="109" w:lineRule="exact"/>
        <w:rPr>
          <w:sz w:val="20"/>
          <w:szCs w:val="20"/>
          <w:color w:val="auto"/>
        </w:rPr>
      </w:pPr>
    </w:p>
    <w:p>
      <w:pPr>
        <w:ind w:left="1220" w:right="1299"/>
        <w:spacing w:after="0" w:line="301" w:lineRule="auto"/>
        <w:rPr>
          <w:sz w:val="20"/>
          <w:szCs w:val="20"/>
          <w:color w:val="auto"/>
        </w:rPr>
      </w:pPr>
      <w:r>
        <w:rPr>
          <w:rFonts w:ascii="Arial" w:cs="Arial" w:eastAsia="Arial" w:hAnsi="Arial"/>
          <w:sz w:val="14"/>
          <w:szCs w:val="14"/>
          <w:color w:val="auto"/>
        </w:rPr>
        <w:t>The Company entered into one lease that had not commenced at March 31, 2021. As a result, future lease payments of approximately $17.3 million are not recorded on the Company’s consolidated balance sheets. The lease commences in January 2022 with a non-cancelable term of 10 years.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13—Basic and diluted net loss per common share</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43"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6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3"/>
                <w:szCs w:val="13"/>
                <w:b w:val="1"/>
                <w:bCs w:val="1"/>
                <w:color w:val="auto"/>
              </w:rPr>
              <w:t>Three Months</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w:t>
            </w:r>
          </w:p>
        </w:tc>
        <w:tc>
          <w:tcPr>
            <w:tcW w:w="60" w:type="dxa"/>
            <w:vAlign w:val="bottom"/>
          </w:tcPr>
          <w:p>
            <w:pPr>
              <w:spacing w:after="0"/>
              <w:rPr>
                <w:sz w:val="14"/>
                <w:szCs w:val="14"/>
                <w:color w:val="auto"/>
              </w:rPr>
            </w:pPr>
          </w:p>
        </w:tc>
      </w:tr>
      <w:tr>
        <w:trPr>
          <w:trHeight w:val="151"/>
        </w:trPr>
        <w:tc>
          <w:tcPr>
            <w:tcW w:w="4680" w:type="dxa"/>
            <w:vAlign w:val="bottom"/>
          </w:tcPr>
          <w:p>
            <w:pPr>
              <w:spacing w:after="0"/>
              <w:rPr>
                <w:sz w:val="13"/>
                <w:szCs w:val="13"/>
                <w:color w:val="auto"/>
              </w:rPr>
            </w:pPr>
          </w:p>
        </w:tc>
        <w:tc>
          <w:tcPr>
            <w:tcW w:w="232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Ended March 31, Ended March 31,</w:t>
            </w:r>
          </w:p>
        </w:tc>
      </w:tr>
      <w:tr>
        <w:trPr>
          <w:trHeight w:val="179"/>
        </w:trPr>
        <w:tc>
          <w:tcPr>
            <w:tcW w:w="4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17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680" w:type="dxa"/>
            <w:vAlign w:val="bottom"/>
          </w:tcPr>
          <w:p>
            <w:pPr>
              <w:ind w:left="300"/>
              <w:spacing w:after="0"/>
              <w:rPr>
                <w:sz w:val="20"/>
                <w:szCs w:val="20"/>
                <w:color w:val="auto"/>
              </w:rPr>
            </w:pPr>
            <w:r>
              <w:rPr>
                <w:rFonts w:ascii="Arial" w:cs="Arial" w:eastAsia="Arial" w:hAnsi="Arial"/>
                <w:sz w:val="14"/>
                <w:szCs w:val="14"/>
                <w:color w:val="auto"/>
              </w:rPr>
              <w:t>Net loss</w:t>
            </w:r>
          </w:p>
        </w:tc>
        <w:tc>
          <w:tcPr>
            <w:tcW w:w="3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(18,348)</w:t>
            </w:r>
          </w:p>
        </w:tc>
        <w:tc>
          <w:tcPr>
            <w:tcW w:w="2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3"/>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72"/>
        </w:trPr>
        <w:tc>
          <w:tcPr>
            <w:tcW w:w="4680" w:type="dxa"/>
            <w:vAlign w:val="bottom"/>
          </w:tcPr>
          <w:p>
            <w:pPr>
              <w:ind w:left="140"/>
              <w:spacing w:after="0"/>
              <w:rPr>
                <w:sz w:val="20"/>
                <w:szCs w:val="20"/>
                <w:color w:val="auto"/>
              </w:rPr>
            </w:pPr>
            <w:r>
              <w:rPr>
                <w:rFonts w:ascii="Arial" w:cs="Arial" w:eastAsia="Arial" w:hAnsi="Arial"/>
                <w:sz w:val="14"/>
                <w:szCs w:val="14"/>
                <w:color w:val="auto"/>
              </w:rPr>
              <w:t>Weighted-average common share for basic and diluted net loss per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680" w:type="dxa"/>
            <w:vAlign w:val="bottom"/>
          </w:tcPr>
          <w:p>
            <w:pPr>
              <w:ind w:left="300"/>
              <w:spacing w:after="0"/>
              <w:rPr>
                <w:sz w:val="20"/>
                <w:szCs w:val="20"/>
                <w:color w:val="auto"/>
              </w:rPr>
            </w:pPr>
            <w:r>
              <w:rPr>
                <w:rFonts w:ascii="Arial" w:cs="Arial" w:eastAsia="Arial" w:hAnsi="Arial"/>
                <w:sz w:val="14"/>
                <w:szCs w:val="14"/>
                <w:color w:val="auto"/>
              </w:rPr>
              <w:t>share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19,278,887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tcPr>
          <w:p>
            <w:pPr>
              <w:spacing w:after="0"/>
              <w:rPr>
                <w:sz w:val="14"/>
                <w:szCs w:val="14"/>
                <w:color w:val="auto"/>
              </w:rPr>
            </w:pPr>
          </w:p>
        </w:tc>
      </w:tr>
      <w:tr>
        <w:trPr>
          <w:trHeight w:val="23"/>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21"/>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60" w:type="dxa"/>
            <w:vAlign w:val="bottom"/>
          </w:tcPr>
          <w:p>
            <w:pPr>
              <w:spacing w:after="0"/>
              <w:rPr>
                <w:sz w:val="18"/>
                <w:szCs w:val="18"/>
                <w:color w:val="auto"/>
              </w:rPr>
            </w:pP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298069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980690" cy="6985"/>
                    </a:xfrm>
                    <a:prstGeom prst="rect">
                      <a:avLst/>
                    </a:prstGeom>
                    <a:noFill/>
                  </pic:spPr>
                </pic:pic>
              </a:graphicData>
            </a:graphic>
          </wp:anchor>
        </w:drawing>
      </w:r>
    </w:p>
    <w:p>
      <w:pPr>
        <w:spacing w:after="0" w:line="120"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The Company’s potentially dilutive securities, which include the Preferred Stock, restricted stock, warrants, early exercised stock options and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2021 and 2020 because including them would have had an anti-dilutive effect.</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4" w:name="page265"/>
    <w:bookmarkEnd w:id="264"/>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Three Months</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w:t>
            </w:r>
          </w:p>
        </w:tc>
      </w:tr>
      <w:tr>
        <w:trPr>
          <w:trHeight w:val="151"/>
        </w:trPr>
        <w:tc>
          <w:tcPr>
            <w:tcW w:w="4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30"/>
              <w:spacing w:after="0"/>
              <w:rPr>
                <w:sz w:val="20"/>
                <w:szCs w:val="20"/>
                <w:color w:val="auto"/>
              </w:rPr>
            </w:pPr>
            <w:r>
              <w:rPr>
                <w:rFonts w:ascii="Arial" w:cs="Arial" w:eastAsia="Arial" w:hAnsi="Arial"/>
                <w:sz w:val="13"/>
                <w:szCs w:val="13"/>
                <w:b w:val="1"/>
                <w:bCs w:val="1"/>
                <w:color w:val="auto"/>
              </w:rPr>
              <w:t>Ended March 31,</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Ended March 31,</w:t>
            </w:r>
          </w:p>
        </w:tc>
      </w:tr>
      <w:tr>
        <w:trPr>
          <w:trHeight w:val="179"/>
        </w:trPr>
        <w:tc>
          <w:tcPr>
            <w:tcW w:w="4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8,603,052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6,100,045</w:t>
            </w:r>
          </w:p>
        </w:tc>
      </w:tr>
      <w:tr>
        <w:trPr>
          <w:trHeight w:val="182"/>
        </w:trPr>
        <w:tc>
          <w:tcPr>
            <w:tcW w:w="4160" w:type="dxa"/>
            <w:vAlign w:val="bottom"/>
            <w:gridSpan w:val="2"/>
          </w:tcPr>
          <w:p>
            <w:pPr>
              <w:spacing w:after="0"/>
              <w:rPr>
                <w:sz w:val="20"/>
                <w:szCs w:val="20"/>
                <w:color w:val="auto"/>
              </w:rPr>
            </w:pPr>
            <w:r>
              <w:rPr>
                <w:rFonts w:ascii="Arial" w:cs="Arial" w:eastAsia="Arial" w:hAnsi="Arial"/>
                <w:sz w:val="14"/>
                <w:szCs w:val="14"/>
                <w:color w:val="auto"/>
              </w:rPr>
              <w:t>Early exercised stock options subject to future vesting</w:t>
            </w:r>
          </w:p>
        </w:tc>
        <w:tc>
          <w:tcPr>
            <w:tcW w:w="1220" w:type="dxa"/>
            <w:vAlign w:val="bottom"/>
          </w:tcPr>
          <w:p>
            <w:pPr>
              <w:jc w:val="right"/>
              <w:spacing w:after="0"/>
              <w:rPr>
                <w:sz w:val="20"/>
                <w:szCs w:val="20"/>
                <w:color w:val="auto"/>
              </w:rPr>
            </w:pPr>
            <w:r>
              <w:rPr>
                <w:rFonts w:ascii="Arial" w:cs="Arial" w:eastAsia="Arial" w:hAnsi="Arial"/>
                <w:sz w:val="14"/>
                <w:szCs w:val="14"/>
                <w:color w:val="auto"/>
              </w:rPr>
              <w:t>2,377,447</w:t>
            </w:r>
          </w:p>
        </w:tc>
        <w:tc>
          <w:tcPr>
            <w:tcW w:w="1180" w:type="dxa"/>
            <w:vAlign w:val="bottom"/>
          </w:tcPr>
          <w:p>
            <w:pPr>
              <w:jc w:val="right"/>
              <w:spacing w:after="0"/>
              <w:rPr>
                <w:sz w:val="20"/>
                <w:szCs w:val="20"/>
                <w:color w:val="auto"/>
              </w:rPr>
            </w:pPr>
            <w:r>
              <w:rPr>
                <w:rFonts w:ascii="Arial" w:cs="Arial" w:eastAsia="Arial" w:hAnsi="Arial"/>
                <w:sz w:val="14"/>
                <w:szCs w:val="14"/>
                <w:color w:val="auto"/>
              </w:rPr>
              <w:t>560,224</w:t>
            </w:r>
          </w:p>
        </w:tc>
      </w:tr>
      <w:tr>
        <w:trPr>
          <w:trHeight w:val="23"/>
        </w:trPr>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5"/>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Restricted stock award subject to future vesting</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2,271,298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3,865,577</w:t>
            </w:r>
          </w:p>
        </w:tc>
      </w:tr>
      <w:tr>
        <w:trPr>
          <w:trHeight w:val="182"/>
        </w:trPr>
        <w:tc>
          <w:tcPr>
            <w:tcW w:w="4160" w:type="dxa"/>
            <w:vAlign w:val="bottom"/>
            <w:gridSpan w:val="2"/>
          </w:tcPr>
          <w:p>
            <w:pPr>
              <w:spacing w:after="0"/>
              <w:rPr>
                <w:sz w:val="20"/>
                <w:szCs w:val="20"/>
                <w:color w:val="auto"/>
              </w:rPr>
            </w:pPr>
            <w:r>
              <w:rPr>
                <w:rFonts w:ascii="Arial" w:cs="Arial" w:eastAsia="Arial" w:hAnsi="Arial"/>
                <w:sz w:val="14"/>
                <w:szCs w:val="14"/>
                <w:color w:val="auto"/>
              </w:rPr>
              <w:t>Warrants on long term debt</w:t>
            </w:r>
          </w:p>
        </w:tc>
        <w:tc>
          <w:tcPr>
            <w:tcW w:w="1220" w:type="dxa"/>
            <w:vAlign w:val="bottom"/>
          </w:tcPr>
          <w:p>
            <w:pPr>
              <w:jc w:val="right"/>
              <w:spacing w:after="0"/>
              <w:rPr>
                <w:sz w:val="20"/>
                <w:szCs w:val="20"/>
                <w:color w:val="auto"/>
              </w:rPr>
            </w:pPr>
            <w:r>
              <w:rPr>
                <w:rFonts w:ascii="Arial" w:cs="Arial" w:eastAsia="Arial" w:hAnsi="Arial"/>
                <w:sz w:val="14"/>
                <w:szCs w:val="14"/>
                <w:color w:val="auto"/>
              </w:rPr>
              <w:t>40,540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8"/>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6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85,865,789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r>
      <w:tr>
        <w:trPr>
          <w:trHeight w:val="179"/>
        </w:trPr>
        <w:tc>
          <w:tcPr>
            <w:tcW w:w="41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220" w:type="dxa"/>
            <w:vAlign w:val="bottom"/>
          </w:tcPr>
          <w:p>
            <w:pPr>
              <w:jc w:val="right"/>
              <w:spacing w:after="0"/>
              <w:rPr>
                <w:sz w:val="20"/>
                <w:szCs w:val="20"/>
                <w:color w:val="auto"/>
              </w:rPr>
            </w:pPr>
            <w:r>
              <w:rPr>
                <w:rFonts w:ascii="Arial" w:cs="Arial" w:eastAsia="Arial" w:hAnsi="Arial"/>
                <w:sz w:val="14"/>
                <w:szCs w:val="14"/>
                <w:color w:val="auto"/>
              </w:rPr>
              <w:t>99,158,126</w:t>
            </w:r>
          </w:p>
        </w:tc>
        <w:tc>
          <w:tcPr>
            <w:tcW w:w="1180" w:type="dxa"/>
            <w:vAlign w:val="bottom"/>
          </w:tcPr>
          <w:p>
            <w:pPr>
              <w:jc w:val="right"/>
              <w:spacing w:after="0"/>
              <w:rPr>
                <w:sz w:val="20"/>
                <w:szCs w:val="20"/>
                <w:color w:val="auto"/>
              </w:rPr>
            </w:pPr>
            <w:r>
              <w:rPr>
                <w:rFonts w:ascii="Arial" w:cs="Arial" w:eastAsia="Arial" w:hAnsi="Arial"/>
                <w:sz w:val="14"/>
                <w:szCs w:val="14"/>
                <w:color w:val="auto"/>
              </w:rPr>
              <w:t>71,669,636</w:t>
            </w:r>
          </w:p>
        </w:tc>
      </w:tr>
      <w:tr>
        <w:trPr>
          <w:trHeight w:val="23"/>
        </w:trPr>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-163830</wp:posOffset>
            </wp:positionV>
            <wp:extent cx="3429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-807720</wp:posOffset>
            </wp:positionV>
            <wp:extent cx="2637790"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637790" cy="6985"/>
                    </a:xfrm>
                    <a:prstGeom prst="rect">
                      <a:avLst/>
                    </a:prstGeom>
                    <a:noFill/>
                  </pic:spPr>
                </pic:pic>
              </a:graphicData>
            </a:graphic>
          </wp:anchor>
        </w:drawing>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14—Defined contribution plan</w:t>
      </w:r>
    </w:p>
    <w:p>
      <w:pPr>
        <w:spacing w:after="0" w:line="122"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$212 and $63 for the three months ended March 31, 2021 and 2020, respectively. Such contribution expense has been recognized in the consolidated statement of operations for each period.</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15—Stock-based compensation</w:t>
      </w:r>
    </w:p>
    <w:p>
      <w:pPr>
        <w:spacing w:after="0" w:line="122"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As of March 31, 2021 the Company had 23,498,781 shares authorized for issuance under the Plan.</w:t>
      </w:r>
    </w:p>
    <w:p>
      <w:pPr>
        <w:spacing w:after="0" w:line="271" w:lineRule="exact"/>
        <w:rPr>
          <w:sz w:val="20"/>
          <w:szCs w:val="20"/>
          <w:color w:val="auto"/>
        </w:rPr>
      </w:pPr>
    </w:p>
    <w:p>
      <w:pPr>
        <w:ind w:left="1220" w:right="1479"/>
        <w:spacing w:after="0" w:line="257" w:lineRule="auto"/>
        <w:rPr>
          <w:sz w:val="20"/>
          <w:szCs w:val="20"/>
          <w:color w:val="auto"/>
        </w:rPr>
      </w:pPr>
      <w:r>
        <w:rPr>
          <w:rFonts w:ascii="Arial" w:cs="Arial" w:eastAsia="Arial" w:hAnsi="Arial"/>
          <w:sz w:val="14"/>
          <w:szCs w:val="14"/>
          <w:color w:val="auto"/>
        </w:rPr>
        <w:t>The Company recognizes the costs of the stock-based payments as the employees vest in the awards. For the three months ended March 31, 2021, the Company recognized $95 of stock-based compensation expense within the consolidated statement of operations. For the</w:t>
      </w:r>
    </w:p>
    <w:p>
      <w:pPr>
        <w:spacing w:after="0" w:line="1" w:lineRule="exact"/>
        <w:rPr>
          <w:sz w:val="20"/>
          <w:szCs w:val="20"/>
          <w:color w:val="auto"/>
        </w:rPr>
      </w:pPr>
    </w:p>
    <w:p>
      <w:pPr>
        <w:ind w:left="1220" w:right="2199"/>
        <w:spacing w:after="0" w:line="274" w:lineRule="auto"/>
        <w:rPr>
          <w:sz w:val="20"/>
          <w:szCs w:val="20"/>
          <w:color w:val="auto"/>
        </w:rPr>
      </w:pPr>
      <w:r>
        <w:rPr>
          <w:rFonts w:ascii="Arial" w:cs="Arial" w:eastAsia="Arial" w:hAnsi="Arial"/>
          <w:sz w:val="14"/>
          <w:szCs w:val="14"/>
          <w:color w:val="auto"/>
        </w:rPr>
        <w:t>three months ended March 31, 2020, the Company recognized $221 of stock-based compensation expense within the consolidated statement of operations.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 Options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stock option activity for the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66"/>
        </w:trPr>
        <w:tc>
          <w:tcPr>
            <w:tcW w:w="1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4"/>
                <w:szCs w:val="14"/>
                <w:color w:val="auto"/>
              </w:rPr>
            </w:pPr>
          </w:p>
        </w:tc>
      </w:tr>
      <w:tr>
        <w:trPr>
          <w:trHeight w:val="127"/>
        </w:trPr>
        <w:tc>
          <w:tcPr>
            <w:tcW w:w="10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1"/>
                <w:szCs w:val="11"/>
                <w:color w:val="auto"/>
              </w:rPr>
            </w:pPr>
          </w:p>
        </w:tc>
      </w:tr>
      <w:tr>
        <w:trPr>
          <w:trHeight w:val="151"/>
        </w:trPr>
        <w:tc>
          <w:tcPr>
            <w:tcW w:w="10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Contractual Term</w:t>
            </w:r>
          </w:p>
        </w:tc>
        <w:tc>
          <w:tcPr>
            <w:tcW w:w="1000" w:type="dxa"/>
            <w:vAlign w:val="bottom"/>
          </w:tcPr>
          <w:p>
            <w:pPr>
              <w:spacing w:after="0"/>
              <w:rPr>
                <w:sz w:val="13"/>
                <w:szCs w:val="13"/>
                <w:color w:val="auto"/>
              </w:rPr>
            </w:pPr>
          </w:p>
        </w:tc>
      </w:tr>
      <w:tr>
        <w:trPr>
          <w:trHeight w:val="171"/>
        </w:trPr>
        <w:tc>
          <w:tcPr>
            <w:tcW w:w="1000" w:type="dxa"/>
            <w:vAlign w:val="bottom"/>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Shares</w:t>
            </w: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Exercise Price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4"/>
                <w:szCs w:val="14"/>
                <w:color w:val="auto"/>
              </w:rPr>
            </w:pPr>
          </w:p>
        </w:tc>
      </w:tr>
      <w:tr>
        <w:trPr>
          <w:trHeight w:val="179"/>
        </w:trPr>
        <w:tc>
          <w:tcPr>
            <w:tcW w:w="1000" w:type="dxa"/>
            <w:vAlign w:val="bottom"/>
          </w:tcPr>
          <w:p>
            <w:pPr>
              <w:spacing w:after="0"/>
              <w:rPr>
                <w:sz w:val="15"/>
                <w:szCs w:val="15"/>
                <w:color w:val="auto"/>
              </w:rPr>
            </w:pPr>
          </w:p>
        </w:tc>
        <w:tc>
          <w:tcPr>
            <w:tcW w:w="26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Outstanding January 1, 2021</w:t>
            </w:r>
          </w:p>
        </w:tc>
        <w:tc>
          <w:tcPr>
            <w:tcW w:w="760" w:type="dxa"/>
            <w:vAlign w:val="bottom"/>
            <w:gridSpan w:val="2"/>
            <w:shd w:val="clear" w:color="auto" w:fill="CCEEFF"/>
          </w:tcPr>
          <w:p>
            <w:pPr>
              <w:spacing w:after="0"/>
              <w:rPr>
                <w:sz w:val="15"/>
                <w:szCs w:val="15"/>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9,768,326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rPr>
              <w:t>Granted</w:t>
            </w:r>
          </w:p>
        </w:tc>
        <w:tc>
          <w:tcPr>
            <w:tcW w:w="1620" w:type="dxa"/>
            <w:vAlign w:val="bottom"/>
            <w:gridSpan w:val="3"/>
          </w:tcPr>
          <w:p>
            <w:pPr>
              <w:jc w:val="right"/>
              <w:ind w:right="10"/>
              <w:spacing w:after="0"/>
              <w:rPr>
                <w:sz w:val="20"/>
                <w:szCs w:val="20"/>
                <w:color w:val="auto"/>
              </w:rPr>
            </w:pPr>
            <w:r>
              <w:rPr>
                <w:rFonts w:ascii="Arial" w:cs="Arial" w:eastAsia="Arial" w:hAnsi="Arial"/>
                <w:sz w:val="14"/>
                <w:szCs w:val="14"/>
                <w:color w:val="auto"/>
              </w:rPr>
              <w:t>1,059,066</w:t>
            </w:r>
          </w:p>
        </w:tc>
        <w:tc>
          <w:tcPr>
            <w:tcW w:w="7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(435,007)</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rPr>
              <w:t>Exercised—unvested</w:t>
            </w: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(1,733,311)</w:t>
            </w:r>
          </w:p>
        </w:tc>
        <w:tc>
          <w:tcPr>
            <w:tcW w:w="70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(56,022)</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62"/>
        </w:trPr>
        <w:tc>
          <w:tcPr>
            <w:tcW w:w="1000" w:type="dxa"/>
            <w:vAlign w:val="bottom"/>
          </w:tcPr>
          <w:p>
            <w:pPr>
              <w:spacing w:after="0"/>
              <w:rPr>
                <w:sz w:val="14"/>
                <w:szCs w:val="14"/>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Cancelled</w:t>
            </w: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53"/>
        </w:trPr>
        <w:tc>
          <w:tcPr>
            <w:tcW w:w="1000" w:type="dxa"/>
            <w:vAlign w:val="bottom"/>
          </w:tcPr>
          <w:p>
            <w:pPr>
              <w:spacing w:after="0"/>
              <w:rPr>
                <w:sz w:val="13"/>
                <w:szCs w:val="13"/>
                <w:color w:val="auto"/>
              </w:rPr>
            </w:pPr>
          </w:p>
        </w:tc>
        <w:tc>
          <w:tcPr>
            <w:tcW w:w="26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Outstanding, March 31, 2021</w:t>
            </w: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
              <w:spacing w:after="0" w:line="153" w:lineRule="exact"/>
              <w:rPr>
                <w:sz w:val="20"/>
                <w:szCs w:val="20"/>
                <w:color w:val="auto"/>
              </w:rPr>
            </w:pPr>
            <w:r>
              <w:rPr>
                <w:rFonts w:ascii="Arial" w:cs="Arial" w:eastAsia="Arial" w:hAnsi="Arial"/>
                <w:sz w:val="14"/>
                <w:szCs w:val="14"/>
                <w:color w:val="auto"/>
              </w:rPr>
              <w:t>8,603,052</w:t>
            </w:r>
          </w:p>
        </w:tc>
        <w:tc>
          <w:tcPr>
            <w:tcW w:w="7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0.73</w:t>
            </w:r>
          </w:p>
        </w:tc>
        <w:tc>
          <w:tcPr>
            <w:tcW w:w="1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8.94</w:t>
            </w:r>
          </w:p>
        </w:tc>
        <w:tc>
          <w:tcPr>
            <w:tcW w:w="1000" w:type="dxa"/>
            <w:vAlign w:val="bottom"/>
          </w:tcPr>
          <w:p>
            <w:pPr>
              <w:spacing w:after="0"/>
              <w:rPr>
                <w:sz w:val="13"/>
                <w:szCs w:val="13"/>
                <w:color w:val="auto"/>
              </w:rPr>
            </w:pPr>
          </w:p>
        </w:tc>
      </w:tr>
      <w:tr>
        <w:trPr>
          <w:trHeight w:val="187"/>
        </w:trPr>
        <w:tc>
          <w:tcPr>
            <w:tcW w:w="100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March 31, 2021</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5,087,456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000" w:type="dxa"/>
            <w:vAlign w:val="bottom"/>
          </w:tcPr>
          <w:p>
            <w:pPr>
              <w:spacing w:after="0"/>
              <w:rPr>
                <w:sz w:val="16"/>
                <w:szCs w:val="16"/>
                <w:color w:val="auto"/>
              </w:rPr>
            </w:pPr>
          </w:p>
        </w:tc>
      </w:tr>
      <w:tr>
        <w:trPr>
          <w:trHeight w:val="517"/>
        </w:trPr>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20" w:type="dxa"/>
            <w:vAlign w:val="bottom"/>
            <w:gridSpan w:val="3"/>
          </w:tcPr>
          <w:p>
            <w:pPr>
              <w:jc w:val="right"/>
              <w:ind w:right="750"/>
              <w:spacing w:after="0"/>
              <w:rPr>
                <w:sz w:val="20"/>
                <w:szCs w:val="20"/>
                <w:color w:val="auto"/>
              </w:rPr>
            </w:pPr>
            <w:r>
              <w:rPr>
                <w:rFonts w:ascii="Arial" w:cs="Arial" w:eastAsia="Arial" w:hAnsi="Arial"/>
                <w:sz w:val="14"/>
                <w:szCs w:val="14"/>
                <w:color w:val="auto"/>
              </w:rPr>
              <w:t>F-48</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-794385</wp:posOffset>
            </wp:positionV>
            <wp:extent cx="214439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4439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-1485900</wp:posOffset>
            </wp:positionV>
            <wp:extent cx="214439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4439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5" w:name="page266"/>
    <w:bookmarkEnd w:id="265"/>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The weighted average grant date fair value of awards for options granted during the period ended March 31, 2021 was $1.80. As of March 31, 2021, there was $3,553 of total unrecognized compensation expense related to unvested stock options with time-based vesting terms, which is expected to be recognized over a weighted average period of 2.74 years.</w:t>
      </w:r>
    </w:p>
    <w:p>
      <w:pPr>
        <w:spacing w:after="0" w:line="95"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During 2020, the Company issued 537,500 performance-based awards, respectively, that vest upon contingent events. The Company determined the performance condition for these awards is not probable of being achieved. As a result, the Company has not recorded any compensation cost related to the awards. As of March 31, 2021, there was $213 of total unrecognized compensation expense related to the performance-based awards.</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107" w:lineRule="exact"/>
        <w:rPr>
          <w:sz w:val="20"/>
          <w:szCs w:val="20"/>
          <w:color w:val="auto"/>
        </w:rPr>
      </w:pPr>
    </w:p>
    <w:p>
      <w:pPr>
        <w:jc w:val="both"/>
        <w:ind w:left="1220" w:right="1439"/>
        <w:spacing w:after="0" w:line="260" w:lineRule="auto"/>
        <w:rPr>
          <w:sz w:val="20"/>
          <w:szCs w:val="20"/>
          <w:color w:val="auto"/>
        </w:rPr>
      </w:pPr>
      <w:r>
        <w:rPr>
          <w:rFonts w:ascii="Arial" w:cs="Arial" w:eastAsia="Arial" w:hAnsi="Arial"/>
          <w:sz w:val="14"/>
          <w:szCs w:val="14"/>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08"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82550</wp:posOffset>
            </wp:positionV>
            <wp:extent cx="4165600" cy="139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5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 2021</w:t>
            </w:r>
          </w:p>
        </w:tc>
      </w:tr>
      <w:tr>
        <w:trPr>
          <w:trHeight w:val="173"/>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Expected option term (years)</w:t>
            </w:r>
          </w:p>
        </w:tc>
        <w:tc>
          <w:tcPr>
            <w:tcW w:w="1060" w:type="dxa"/>
            <w:vAlign w:val="bottom"/>
          </w:tcPr>
          <w:p>
            <w:pPr>
              <w:jc w:val="right"/>
              <w:spacing w:after="0"/>
              <w:rPr>
                <w:sz w:val="20"/>
                <w:szCs w:val="20"/>
                <w:color w:val="auto"/>
              </w:rPr>
            </w:pPr>
            <w:r>
              <w:rPr>
                <w:rFonts w:ascii="Arial" w:cs="Arial" w:eastAsia="Arial" w:hAnsi="Arial"/>
                <w:sz w:val="14"/>
                <w:szCs w:val="14"/>
                <w:color w:val="auto"/>
              </w:rPr>
              <w:t>6.04</w:t>
            </w:r>
          </w:p>
        </w:tc>
        <w:tc>
          <w:tcPr>
            <w:tcW w:w="140" w:type="dxa"/>
            <w:vAlign w:val="bottom"/>
          </w:tcPr>
          <w:p>
            <w:pPr>
              <w:spacing w:after="0"/>
              <w:rPr>
                <w:sz w:val="15"/>
                <w:szCs w:val="15"/>
                <w:color w:val="auto"/>
              </w:rPr>
            </w:pPr>
          </w:p>
        </w:tc>
      </w:tr>
      <w:tr>
        <w:trPr>
          <w:trHeight w:val="205"/>
        </w:trPr>
        <w:tc>
          <w:tcPr>
            <w:tcW w:w="5500" w:type="dxa"/>
            <w:vAlign w:val="bottom"/>
          </w:tcPr>
          <w:p>
            <w:pPr>
              <w:spacing w:after="0"/>
              <w:rPr>
                <w:sz w:val="20"/>
                <w:szCs w:val="20"/>
                <w:color w:val="auto"/>
              </w:rPr>
            </w:pPr>
            <w:r>
              <w:rPr>
                <w:rFonts w:ascii="Arial" w:cs="Arial" w:eastAsia="Arial" w:hAnsi="Arial"/>
                <w:sz w:val="14"/>
                <w:szCs w:val="14"/>
                <w:color w:val="auto"/>
              </w:rPr>
              <w:t>Expected volatility</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69.81%</w:t>
            </w:r>
          </w:p>
        </w:tc>
      </w:tr>
      <w:tr>
        <w:trPr>
          <w:trHeight w:val="205"/>
        </w:trPr>
        <w:tc>
          <w:tcPr>
            <w:tcW w:w="55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1.07%</w:t>
            </w:r>
          </w:p>
        </w:tc>
      </w:tr>
      <w:tr>
        <w:trPr>
          <w:trHeight w:val="34"/>
        </w:trPr>
        <w:tc>
          <w:tcPr>
            <w:tcW w:w="5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4165600" cy="1301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165600" cy="13017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-534035</wp:posOffset>
            </wp:positionV>
            <wp:extent cx="3487420" cy="69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87420" cy="6985"/>
                    </a:xfrm>
                    <a:prstGeom prst="rect">
                      <a:avLst/>
                    </a:prstGeom>
                    <a:noFill/>
                  </pic:spPr>
                </pic:pic>
              </a:graphicData>
            </a:graphic>
          </wp:anchor>
        </w:drawing>
      </w:r>
    </w:p>
    <w:p>
      <w:pPr>
        <w:spacing w:after="0" w:line="71"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14"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The following table summarizes restricted stock activity as of March 31, 2021 and December 31, 2020:</w:t>
      </w:r>
    </w:p>
    <w:p>
      <w:pPr>
        <w:spacing w:after="0" w:line="321"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9"/>
        </w:trPr>
        <w:tc>
          <w:tcPr>
            <w:tcW w:w="4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December 31, 2020</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2,650,724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0.14</w:t>
            </w:r>
          </w:p>
        </w:tc>
      </w:tr>
      <w:tr>
        <w:trPr>
          <w:trHeight w:val="188"/>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Vested</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(379,426)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r>
      <w:tr>
        <w:trPr>
          <w:trHeight w:val="182"/>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March 31, 2021</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2,271,298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$ 0.15</w:t>
            </w:r>
          </w:p>
        </w:tc>
      </w:tr>
      <w:tr>
        <w:trPr>
          <w:trHeight w:val="20"/>
        </w:trPr>
        <w:tc>
          <w:tcPr>
            <w:tcW w:w="4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2699385" cy="69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9938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-396875</wp:posOffset>
            </wp:positionV>
            <wp:extent cx="2699385"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99385" cy="6985"/>
                    </a:xfrm>
                    <a:prstGeom prst="rect">
                      <a:avLst/>
                    </a:prstGeom>
                    <a:noFill/>
                  </pic:spPr>
                </pic:pic>
              </a:graphicData>
            </a:graphic>
          </wp:anchor>
        </w:drawing>
      </w:r>
    </w:p>
    <w:p>
      <w:pPr>
        <w:spacing w:after="0" w:line="55" w:lineRule="exact"/>
        <w:rPr>
          <w:sz w:val="20"/>
          <w:szCs w:val="20"/>
          <w:color w:val="auto"/>
        </w:rPr>
      </w:pPr>
    </w:p>
    <w:p>
      <w:pPr>
        <w:ind w:left="1220" w:right="1659"/>
        <w:spacing w:after="0" w:line="274" w:lineRule="auto"/>
        <w:rPr>
          <w:sz w:val="20"/>
          <w:szCs w:val="20"/>
          <w:color w:val="auto"/>
        </w:rPr>
      </w:pPr>
      <w:r>
        <w:rPr>
          <w:rFonts w:ascii="Arial" w:cs="Arial" w:eastAsia="Arial" w:hAnsi="Arial"/>
          <w:sz w:val="14"/>
          <w:szCs w:val="14"/>
          <w:color w:val="auto"/>
        </w:rPr>
        <w:t>Pursuant to certain stock purchase agreements containing vesting and other provisions, the Company has the right to repurchase unvested shares.</w:t>
      </w:r>
    </w:p>
    <w:p>
      <w:pPr>
        <w:spacing w:after="0" w:line="86" w:lineRule="exact"/>
        <w:rPr>
          <w:sz w:val="20"/>
          <w:szCs w:val="20"/>
          <w:color w:val="auto"/>
        </w:rPr>
      </w:pPr>
    </w:p>
    <w:p>
      <w:pPr>
        <w:jc w:val="both"/>
        <w:ind w:left="1220" w:right="1259"/>
        <w:spacing w:after="0" w:line="265" w:lineRule="auto"/>
        <w:rPr>
          <w:sz w:val="20"/>
          <w:szCs w:val="20"/>
          <w:color w:val="auto"/>
        </w:rPr>
      </w:pPr>
      <w:r>
        <w:rPr>
          <w:rFonts w:ascii="Arial" w:cs="Arial" w:eastAsia="Arial" w:hAnsi="Arial"/>
          <w:sz w:val="14"/>
          <w:szCs w:val="14"/>
          <w:color w:val="auto"/>
        </w:rPr>
        <w:t>As of March 31, 2021, there was $333 of total unrecognized compensation expense related to the unvested restricted stock with time-based vesting terms, which is expected to be recognized over a weighted average period of 1.71 years. All restricted stock vests over a four-year period.</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Early-Exercise of Unvested Equity Awards</w:t>
      </w:r>
    </w:p>
    <w:p>
      <w:pPr>
        <w:spacing w:after="0" w:line="103"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As part of the merger, the Company assumed a deposit liability from Prior Century. Certain equity award holders early exercised unvested equity awards. The cash received upon early exercise of options of $1,136 was recorded as a deposit liability on the Company’s balance sheet as of March 31, 2021.</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6" w:name="page267"/>
    <w:bookmarkEnd w:id="266"/>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16—Related party transactions</w:t>
      </w:r>
    </w:p>
    <w:p>
      <w:pPr>
        <w:spacing w:after="0" w:line="160" w:lineRule="exact"/>
        <w:rPr>
          <w:sz w:val="20"/>
          <w:szCs w:val="20"/>
          <w:color w:val="auto"/>
        </w:rPr>
      </w:pPr>
    </w:p>
    <w:p>
      <w:pPr>
        <w:ind w:left="1220" w:right="1579"/>
        <w:spacing w:after="0" w:line="265"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2"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FCDI Licenses</w:t>
      </w:r>
    </w:p>
    <w:p>
      <w:pPr>
        <w:spacing w:after="0" w:line="144"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8"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3" w:lineRule="exact"/>
        <w:rPr>
          <w:sz w:val="20"/>
          <w:szCs w:val="20"/>
          <w:color w:val="auto"/>
        </w:rPr>
      </w:pPr>
    </w:p>
    <w:p>
      <w:pPr>
        <w:ind w:left="1220" w:right="1599"/>
        <w:spacing w:after="0" w:line="290"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FCDI Collaboration Agreement</w:t>
      </w:r>
    </w:p>
    <w:p>
      <w:pPr>
        <w:spacing w:after="0" w:line="144" w:lineRule="exact"/>
        <w:rPr>
          <w:sz w:val="20"/>
          <w:szCs w:val="20"/>
          <w:color w:val="auto"/>
        </w:rPr>
      </w:pPr>
    </w:p>
    <w:p>
      <w:pPr>
        <w:ind w:left="1220" w:right="1339"/>
        <w:spacing w:after="0" w:line="277"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$30,400.</w:t>
      </w:r>
    </w:p>
    <w:p>
      <w:pPr>
        <w:spacing w:after="0" w:line="107" w:lineRule="exact"/>
        <w:rPr>
          <w:sz w:val="20"/>
          <w:szCs w:val="20"/>
          <w:color w:val="auto"/>
        </w:rPr>
      </w:pPr>
    </w:p>
    <w:p>
      <w:pPr>
        <w:ind w:left="1220" w:right="1339"/>
        <w:spacing w:after="0" w:line="277" w:lineRule="auto"/>
        <w:rPr>
          <w:sz w:val="20"/>
          <w:szCs w:val="20"/>
          <w:color w:val="auto"/>
        </w:rPr>
      </w:pPr>
      <w:r>
        <w:rPr>
          <w:rFonts w:ascii="Arial" w:cs="Arial" w:eastAsia="Arial" w:hAnsi="Arial"/>
          <w:sz w:val="14"/>
          <w:szCs w:val="14"/>
          <w:color w:val="auto"/>
        </w:rPr>
        <w:t>During the three months ended March 31, 2021, the Company made payments of $3,223 and incurred research and development expenses of $2,781 and legal fees of $21 recorded within general and administrative expenses in its consolidated statements of operations and comprehensive loss. As of March 31, 2021, there was $1,423 in accounts payable related to this agreement on the consolidated balance sheets.</w:t>
      </w:r>
    </w:p>
    <w:p>
      <w:pPr>
        <w:spacing w:after="0" w:line="96" w:lineRule="exact"/>
        <w:rPr>
          <w:sz w:val="20"/>
          <w:szCs w:val="20"/>
          <w:color w:val="auto"/>
        </w:rPr>
      </w:pPr>
    </w:p>
    <w:p>
      <w:pPr>
        <w:ind w:left="1220" w:right="1619"/>
        <w:spacing w:after="0" w:line="283" w:lineRule="auto"/>
        <w:rPr>
          <w:sz w:val="20"/>
          <w:szCs w:val="20"/>
          <w:color w:val="auto"/>
        </w:rPr>
      </w:pPr>
      <w:r>
        <w:rPr>
          <w:rFonts w:ascii="Arial" w:cs="Arial" w:eastAsia="Arial" w:hAnsi="Arial"/>
          <w:sz w:val="14"/>
          <w:szCs w:val="14"/>
          <w:color w:val="auto"/>
        </w:rPr>
        <w:t>During the three months ended March 31, 2020, the Company made payments of $35 and incurred research and development expenses of $2,877 and legal fees of $3 recorded within general and administrative expenses in its consolidated statements of operations and comprehensive loss.</w:t>
      </w: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$38 and $13 related to these consulting arrangements that were included in research and development expenses in the consolidated statements of operations and comprehensive loss for the three months ended March 31, 2021 and March 31, 2020, respectively.</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17—Subsequent Events</w:t>
      </w:r>
    </w:p>
    <w:p>
      <w:pPr>
        <w:spacing w:after="0" w:line="144" w:lineRule="exact"/>
        <w:rPr>
          <w:sz w:val="20"/>
          <w:szCs w:val="20"/>
          <w:color w:val="auto"/>
        </w:rPr>
      </w:pPr>
    </w:p>
    <w:p>
      <w:pPr>
        <w:jc w:val="both"/>
        <w:ind w:left="1220" w:right="1799"/>
        <w:spacing w:after="0" w:line="281" w:lineRule="auto"/>
        <w:rPr>
          <w:sz w:val="20"/>
          <w:szCs w:val="20"/>
          <w:color w:val="auto"/>
        </w:rPr>
      </w:pPr>
      <w:r>
        <w:rPr>
          <w:rFonts w:ascii="Arial" w:cs="Arial" w:eastAsia="Arial" w:hAnsi="Arial"/>
          <w:sz w:val="14"/>
          <w:szCs w:val="14"/>
          <w:color w:val="auto"/>
        </w:rPr>
        <w:t>The Company has evaluated subsequent events as of March 31, 2021—the date of these consolidated financial statements—through May 5, 2021, which represents the date these consolidated financial statements were issued.</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Stock Plan</w:t>
      </w:r>
    </w:p>
    <w:p>
      <w:pPr>
        <w:spacing w:after="0" w:line="134" w:lineRule="exact"/>
        <w:rPr>
          <w:sz w:val="20"/>
          <w:szCs w:val="20"/>
          <w:color w:val="auto"/>
        </w:rPr>
      </w:pPr>
    </w:p>
    <w:p>
      <w:pPr>
        <w:jc w:val="both"/>
        <w:ind w:left="1220" w:right="1799"/>
        <w:spacing w:after="0" w:line="290" w:lineRule="auto"/>
        <w:rPr>
          <w:sz w:val="20"/>
          <w:szCs w:val="20"/>
          <w:color w:val="auto"/>
        </w:rPr>
      </w:pPr>
      <w:r>
        <w:rPr>
          <w:rFonts w:ascii="Arial" w:cs="Arial" w:eastAsia="Arial" w:hAnsi="Arial"/>
          <w:sz w:val="14"/>
          <w:szCs w:val="14"/>
          <w:color w:val="auto"/>
        </w:rPr>
        <w:t>The Board of Directors of the Company, pursuant to a meeting held in April 2021, granted 5,105,425 options to new and existing employees at an exercise price of $2.89 per share.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7" w:name="page268"/>
    <w:bookmarkEnd w:id="267"/>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238760</wp:posOffset>
            </wp:positionV>
            <wp:extent cx="4165600"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65600" cy="20320"/>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293370</wp:posOffset>
            </wp:positionV>
            <wp:extent cx="416560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60"/>
        <w:spacing w:after="0"/>
        <w:rPr>
          <w:sz w:val="20"/>
          <w:szCs w:val="20"/>
          <w:color w:val="auto"/>
        </w:rPr>
      </w:pPr>
      <w:r>
        <w:rPr>
          <w:rFonts w:ascii="Arial" w:cs="Arial" w:eastAsia="Arial" w:hAnsi="Arial"/>
          <w:sz w:val="26"/>
          <w:szCs w:val="26"/>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424815</wp:posOffset>
            </wp:positionV>
            <wp:extent cx="2350135" cy="6305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35013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35"/>
          <w:szCs w:val="35"/>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2021</w:t>
      </w:r>
    </w:p>
    <w:p>
      <w:pPr>
        <w:spacing w:after="0" w:line="200" w:lineRule="exact"/>
        <w:rPr>
          <w:sz w:val="20"/>
          <w:szCs w:val="20"/>
          <w:color w:val="auto"/>
        </w:rPr>
      </w:pPr>
    </w:p>
    <w:p>
      <w:pPr>
        <w:spacing w:after="0" w:line="312"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14"/>
          <w:szCs w:val="14"/>
          <w:b w:val="1"/>
          <w:bCs w:val="1"/>
          <w:color w:val="auto"/>
        </w:rPr>
        <w:t>Through and including</w:t>
      </w:r>
      <w:r>
        <w:rPr>
          <w:sz w:val="20"/>
          <w:szCs w:val="20"/>
          <w:color w:val="auto"/>
        </w:rPr>
        <w:tab/>
      </w:r>
      <w:r>
        <w:rPr>
          <w:rFonts w:ascii="Arial" w:cs="Arial" w:eastAsia="Arial" w:hAnsi="Arial"/>
          <w:sz w:val="14"/>
          <w:szCs w:val="14"/>
          <w:b w:val="1"/>
          <w:bCs w:val="1"/>
          <w:color w:val="auto"/>
        </w:rPr>
        <w:t>, 2021 (the 25th day after the commencement of this</w:t>
      </w:r>
    </w:p>
    <w:p>
      <w:pPr>
        <w:spacing w:after="0" w:line="29" w:lineRule="exact"/>
        <w:rPr>
          <w:sz w:val="20"/>
          <w:szCs w:val="20"/>
          <w:color w:val="auto"/>
        </w:rPr>
      </w:pPr>
    </w:p>
    <w:p>
      <w:pPr>
        <w:ind w:left="1220" w:right="1279"/>
        <w:spacing w:after="0" w:line="263" w:lineRule="auto"/>
        <w:rPr>
          <w:sz w:val="20"/>
          <w:szCs w:val="20"/>
          <w:color w:val="auto"/>
        </w:rPr>
      </w:pPr>
      <w:r>
        <w:rPr>
          <w:rFonts w:ascii="Arial" w:cs="Arial" w:eastAsia="Arial" w:hAnsi="Arial"/>
          <w:sz w:val="14"/>
          <w:szCs w:val="14"/>
          <w:b w:val="1"/>
          <w:bCs w:val="1"/>
          <w:color w:val="auto"/>
        </w:rPr>
        <w:t>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16560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656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121285</wp:posOffset>
            </wp:positionV>
            <wp:extent cx="4165600" cy="203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165600" cy="2032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327660</wp:posOffset>
            </wp:positionV>
            <wp:extent cx="5458460"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8" w:name="page269"/>
    <w:bookmarkEnd w:id="268"/>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Part II</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Information not required in prospectus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22"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The following table sets forth the costs and expenses, other than the underwriting discounts and commissions, payable by Century Therapeutics, Inc., or the Registrant, in connection with the sale of our common stock being registered. All amounts are estimates except for the SEC, registration fee, FINRA, filing fee and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95250</wp:posOffset>
            </wp:positionV>
            <wp:extent cx="4165600" cy="139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9"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Item</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r>
      <w:tr>
        <w:trPr>
          <w:trHeight w:val="173"/>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10,910.00</w:t>
            </w:r>
          </w:p>
        </w:tc>
      </w:tr>
      <w:tr>
        <w:trPr>
          <w:trHeight w:val="182"/>
        </w:trPr>
        <w:tc>
          <w:tcPr>
            <w:tcW w:w="5740" w:type="dxa"/>
            <w:vAlign w:val="bottom"/>
          </w:tcPr>
          <w:p>
            <w:pPr>
              <w:spacing w:after="0"/>
              <w:rPr>
                <w:sz w:val="20"/>
                <w:szCs w:val="20"/>
                <w:color w:val="auto"/>
              </w:rPr>
            </w:pPr>
            <w:r>
              <w:rPr>
                <w:rFonts w:ascii="Arial" w:cs="Arial" w:eastAsia="Arial" w:hAnsi="Arial"/>
                <w:sz w:val="14"/>
                <w:szCs w:val="14"/>
                <w:color w:val="auto"/>
              </w:rPr>
              <w:t>FINRA filing fee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15,500.00</w:t>
            </w:r>
          </w:p>
        </w:tc>
      </w:tr>
      <w:tr>
        <w:trPr>
          <w:trHeight w:val="23"/>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Nasdaq Global Select Market listing fee</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740" w:type="dxa"/>
            <w:vAlign w:val="bottom"/>
          </w:tcPr>
          <w:p>
            <w:pPr>
              <w:spacing w:after="0"/>
              <w:rPr>
                <w:sz w:val="20"/>
                <w:szCs w:val="20"/>
                <w:color w:val="auto"/>
              </w:rPr>
            </w:pPr>
            <w:r>
              <w:rPr>
                <w:rFonts w:ascii="Arial" w:cs="Arial" w:eastAsia="Arial" w:hAnsi="Arial"/>
                <w:sz w:val="14"/>
                <w:szCs w:val="14"/>
                <w:color w:val="auto"/>
              </w:rPr>
              <w:t>Printing expenses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740" w:type="dxa"/>
            <w:vAlign w:val="bottom"/>
          </w:tcPr>
          <w:p>
            <w:pPr>
              <w:spacing w:after="0"/>
              <w:rPr>
                <w:sz w:val="20"/>
                <w:szCs w:val="20"/>
                <w:color w:val="auto"/>
              </w:rPr>
            </w:pPr>
            <w:r>
              <w:rPr>
                <w:rFonts w:ascii="Arial" w:cs="Arial" w:eastAsia="Arial" w:hAnsi="Arial"/>
                <w:sz w:val="14"/>
                <w:szCs w:val="14"/>
                <w:color w:val="auto"/>
              </w:rPr>
              <w:t>Accounting fees and expenses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Blue Sky, qualification fees and expenses</w:t>
            </w: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740" w:type="dxa"/>
            <w:vAlign w:val="bottom"/>
          </w:tcPr>
          <w:p>
            <w:pPr>
              <w:spacing w:after="0"/>
              <w:rPr>
                <w:sz w:val="20"/>
                <w:szCs w:val="20"/>
                <w:color w:val="auto"/>
              </w:rPr>
            </w:pPr>
            <w:r>
              <w:rPr>
                <w:rFonts w:ascii="Arial" w:cs="Arial" w:eastAsia="Arial" w:hAnsi="Arial"/>
                <w:sz w:val="14"/>
                <w:szCs w:val="14"/>
                <w:color w:val="auto"/>
              </w:rPr>
              <w:t>Transfer agent fees and expenses</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8"/>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Miscellaneous expenses</w:t>
            </w: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5740" w:type="dxa"/>
            <w:vAlign w:val="bottom"/>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20955</wp:posOffset>
            </wp:positionV>
            <wp:extent cx="416560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66" w:lineRule="exact"/>
        <w:rPr>
          <w:sz w:val="20"/>
          <w:szCs w:val="20"/>
          <w:color w:val="auto"/>
        </w:rPr>
      </w:pPr>
    </w:p>
    <w:p>
      <w:pPr>
        <w:ind w:left="1220"/>
        <w:spacing w:after="0"/>
        <w:tabs>
          <w:tab w:leader="none" w:pos="1340" w:val="left"/>
        </w:tabs>
        <w:rPr>
          <w:sz w:val="20"/>
          <w:szCs w:val="20"/>
          <w:color w:val="auto"/>
        </w:rPr>
      </w:pPr>
      <w:r>
        <w:rPr>
          <w:rFonts w:ascii="Arial" w:cs="Arial" w:eastAsia="Arial" w:hAnsi="Arial"/>
          <w:sz w:val="11"/>
          <w:szCs w:val="11"/>
          <w:color w:val="auto"/>
        </w:rPr>
        <w:t>*</w:t>
        <w:tab/>
        <w:t>To be filed by amendment.</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33"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As permitted by Section 102 of the DGCL, our second amended and restated certificate of incorporation and amended and restated bylaws to be in effect immediately prior to the closing of this offering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257" w:lineRule="exact"/>
        <w:rPr>
          <w:sz w:val="20"/>
          <w:szCs w:val="20"/>
          <w:color w:val="auto"/>
        </w:rPr>
      </w:pPr>
    </w:p>
    <w:p>
      <w:pPr>
        <w:ind w:left="1340" w:hanging="116"/>
        <w:spacing w:after="0"/>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11" w:lineRule="exact"/>
        <w:rPr>
          <w:rFonts w:ascii="Arial" w:cs="Arial" w:eastAsia="Arial" w:hAnsi="Arial"/>
          <w:sz w:val="14"/>
          <w:szCs w:val="14"/>
          <w:color w:val="auto"/>
        </w:rPr>
      </w:pPr>
    </w:p>
    <w:p>
      <w:pPr>
        <w:ind w:left="1340" w:right="1739" w:hanging="116"/>
        <w:spacing w:after="0" w:line="273" w:lineRule="auto"/>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ind w:left="1340" w:right="1279" w:hanging="116"/>
        <w:spacing w:after="0" w:line="273" w:lineRule="auto"/>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act related to unlawful stock repurchases, redemptions, or other distributions or payment of dividends; or</w:t>
      </w:r>
    </w:p>
    <w:p>
      <w:pPr>
        <w:ind w:left="1340" w:hanging="116"/>
        <w:spacing w:after="0"/>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20" w:lineRule="exact"/>
        <w:rPr>
          <w:sz w:val="20"/>
          <w:szCs w:val="20"/>
          <w:color w:val="auto"/>
        </w:rPr>
      </w:pPr>
    </w:p>
    <w:p>
      <w:pPr>
        <w:ind w:left="1220" w:right="1419" w:firstLine="259"/>
        <w:spacing w:after="0" w:line="265" w:lineRule="auto"/>
        <w:rPr>
          <w:sz w:val="20"/>
          <w:szCs w:val="20"/>
          <w:color w:val="auto"/>
        </w:rPr>
      </w:pPr>
      <w:r>
        <w:rPr>
          <w:rFonts w:ascii="Arial" w:cs="Arial" w:eastAsia="Arial" w:hAnsi="Arial"/>
          <w:sz w:val="14"/>
          <w:szCs w:val="14"/>
          <w:color w:val="auto"/>
        </w:rPr>
        <w:t>These limitations of liability do not affect the availability of equitable remedies such as injunctive relief or rescission. Our second amended and restated certificate of incorporation will authorize us to indemnify our officers, directors and other agents to the fullest extent permitted under Delaware law.</w:t>
      </w:r>
    </w:p>
    <w:p>
      <w:pPr>
        <w:spacing w:after="0" w:line="28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As permitted by Section 145 of the DGCL, our amended and restated bylaws will provide that:</w:t>
      </w:r>
    </w:p>
    <w:p>
      <w:pPr>
        <w:spacing w:after="0" w:line="109" w:lineRule="exact"/>
        <w:rPr>
          <w:sz w:val="20"/>
          <w:szCs w:val="20"/>
          <w:color w:val="auto"/>
        </w:rPr>
      </w:pPr>
    </w:p>
    <w:p>
      <w:pPr>
        <w:ind w:left="1340" w:right="1439" w:hanging="116"/>
        <w:spacing w:after="0" w:line="290" w:lineRule="auto"/>
        <w:tabs>
          <w:tab w:leader="none" w:pos="1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we may indemnify our directors, officers, and employees to the fullest extent permitted by the DGCL, subject to limited exceptions;</w:t>
      </w:r>
    </w:p>
    <w:p>
      <w:pPr>
        <w:spacing w:after="0" w:line="64" w:lineRule="exact"/>
        <w:rPr>
          <w:rFonts w:ascii="Arial" w:cs="Arial" w:eastAsia="Arial" w:hAnsi="Arial"/>
          <w:sz w:val="14"/>
          <w:szCs w:val="14"/>
          <w:color w:val="auto"/>
        </w:rPr>
      </w:pPr>
    </w:p>
    <w:p>
      <w:pPr>
        <w:ind w:left="1340" w:right="1379" w:hanging="116"/>
        <w:spacing w:after="0" w:line="290" w:lineRule="auto"/>
        <w:tabs>
          <w:tab w:leader="none" w:pos="1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we may advance expenses to our directors, officers, and employees in connection with a legal proceeding to the fullest extent permitted by the DGCL, subject to limited exceptions; and</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rights provided in our amended and restated bylaws are not exclusive.</w:t>
      </w:r>
    </w:p>
    <w:p>
      <w:pPr>
        <w:spacing w:after="0" w:line="130"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Our second amended and restated certificate of incorporation and our amended and restated bylaws will provide for the indemnification provisions described above and elsewhere herein. We have entered into, and intend to</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9" w:name="page270"/>
    <w:bookmarkEnd w:id="269"/>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continue to enter into, separate indemnification agreements with our directors and officers that may be broader 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82" w:lineRule="exact"/>
        <w:rPr>
          <w:sz w:val="20"/>
          <w:szCs w:val="20"/>
          <w:color w:val="auto"/>
        </w:rPr>
      </w:pPr>
    </w:p>
    <w:p>
      <w:pPr>
        <w:ind w:left="1220" w:right="1339"/>
        <w:spacing w:after="0" w:line="283" w:lineRule="auto"/>
        <w:rPr>
          <w:sz w:val="20"/>
          <w:szCs w:val="20"/>
          <w:color w:val="auto"/>
        </w:rPr>
      </w:pPr>
      <w:r>
        <w:rPr>
          <w:rFonts w:ascii="Arial" w:cs="Arial" w:eastAsia="Arial" w:hAnsi="Arial"/>
          <w:sz w:val="14"/>
          <w:szCs w:val="14"/>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283"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44" w:lineRule="exact"/>
        <w:rPr>
          <w:sz w:val="20"/>
          <w:szCs w:val="20"/>
          <w:color w:val="auto"/>
        </w:rPr>
      </w:pPr>
    </w:p>
    <w:p>
      <w:pPr>
        <w:ind w:left="1220" w:right="1719" w:firstLine="259"/>
        <w:spacing w:after="0" w:line="278" w:lineRule="auto"/>
        <w:rPr>
          <w:sz w:val="20"/>
          <w:szCs w:val="20"/>
          <w:color w:val="auto"/>
        </w:rPr>
      </w:pPr>
      <w:r>
        <w:rPr>
          <w:rFonts w:ascii="Arial" w:cs="Arial" w:eastAsia="Arial" w:hAnsi="Arial"/>
          <w:sz w:val="14"/>
          <w:szCs w:val="14"/>
          <w:color w:val="auto"/>
        </w:rPr>
        <w:t>Set forth below is information regarding all unregistered securities sold by us since our inception in 2018. Also included is the consideration received by us for such securities and information relating to the section of the Securities Act, or rule of the SEC, under which exemption from registration was claimed.</w:t>
      </w:r>
    </w:p>
    <w:p>
      <w:pPr>
        <w:spacing w:after="0" w:line="123" w:lineRule="exact"/>
        <w:rPr>
          <w:sz w:val="20"/>
          <w:szCs w:val="20"/>
          <w:color w:val="auto"/>
        </w:rPr>
      </w:pPr>
    </w:p>
    <w:p>
      <w:pPr>
        <w:ind w:left="1480" w:right="2559" w:hanging="256"/>
        <w:spacing w:after="0" w:line="446" w:lineRule="auto"/>
        <w:tabs>
          <w:tab w:leader="none" w:pos="1479" w:val="left"/>
        </w:tabs>
        <w:numPr>
          <w:ilvl w:val="0"/>
          <w:numId w:val="1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Units in Century Therapeutics, LLC (prior to the 2021 Reorganization) </w:t>
      </w:r>
      <w:r>
        <w:rPr>
          <w:rFonts w:ascii="Arial" w:cs="Arial" w:eastAsia="Arial" w:hAnsi="Arial"/>
          <w:sz w:val="14"/>
          <w:szCs w:val="14"/>
          <w:i w:val="1"/>
          <w:iCs w:val="1"/>
          <w:color w:val="auto"/>
        </w:rPr>
        <w:t>a. Century Therapeutics, Inc. and Bayer HealthCare LLC</w:t>
      </w:r>
    </w:p>
    <w:p>
      <w:pPr>
        <w:ind w:left="1220" w:right="1339"/>
        <w:spacing w:after="0" w:line="276" w:lineRule="auto"/>
        <w:rPr>
          <w:sz w:val="20"/>
          <w:szCs w:val="20"/>
          <w:color w:val="auto"/>
        </w:rPr>
      </w:pPr>
      <w:r>
        <w:rPr>
          <w:rFonts w:ascii="Arial" w:cs="Arial" w:eastAsia="Arial" w:hAnsi="Arial"/>
          <w:sz w:val="14"/>
          <w:szCs w:val="14"/>
          <w:color w:val="auto"/>
        </w:rPr>
        <w:t>On June 21, 2019, we issued 26,143,790 units to Bayer and 67,226,891 units to Prior Century in connection with the Commitment Agreement. Pursuant to the Commitment Agreement, Bayer agreed to make an aggregate cash contribution to us in the amount of $145 million as consideration for the 26,143,790 units issued to Bayer. Pursuant to the Commitment Agreement and a Contribution Agreement between Prior Century and us, dated June 21, 2019, or the Contribution Agreement, Prior Century contributed substantially all of its assets including contracts, intellectual property and research and development assets, as consideration for the 67,226,891 units issued to Prior Century.</w:t>
      </w:r>
    </w:p>
    <w:p>
      <w:pPr>
        <w:spacing w:after="0" w:line="276" w:lineRule="exact"/>
        <w:rPr>
          <w:sz w:val="20"/>
          <w:szCs w:val="20"/>
          <w:color w:val="auto"/>
        </w:rPr>
      </w:pPr>
    </w:p>
    <w:p>
      <w:pPr>
        <w:ind w:left="1480"/>
        <w:spacing w:after="0"/>
        <w:tabs>
          <w:tab w:leader="none" w:pos="1720" w:val="left"/>
        </w:tabs>
        <w:rPr>
          <w:sz w:val="20"/>
          <w:szCs w:val="20"/>
          <w:color w:val="auto"/>
        </w:rPr>
      </w:pPr>
      <w:r>
        <w:rPr>
          <w:rFonts w:ascii="Arial" w:cs="Arial" w:eastAsia="Arial" w:hAnsi="Arial"/>
          <w:sz w:val="14"/>
          <w:szCs w:val="14"/>
          <w:i w:val="1"/>
          <w:iCs w:val="1"/>
          <w:color w:val="auto"/>
        </w:rPr>
        <w:t>b.</w:t>
        <w:tab/>
        <w:t>Hercules Capital, Inc.</w:t>
      </w:r>
    </w:p>
    <w:p>
      <w:pPr>
        <w:spacing w:after="0" w:line="144"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On September 14, 2020, we issued a warrant, or the Hercules Warrant, to purchase units at an exercise price of $5.55 per unit to Hercules Technology Management Co II, Inc., in connection with a Loan and Security Agreement by and between Hercules Capital, Inc., or together with Hercules Technology Management Co II, Inc., Hercules, and us, or the Loan and Security Agreement, whereby Hercules acted as administrative agent and collateral agent for a loan in an aggregate principal amount of up to $30 million. In connection with the 2021 Reorganization, the Hercules Warrant converted to a warrant to purchase shares of our common stock. The Hercules Warrant provides for warrant coverage of 2.25% of the aggregate principal amount of the term loan advances made to us under the Loan and Security Agreement. There are three $10 million tranches available under the Loan and Security Agreement. As of April 30, 2021, the aggregate principal amount outstanding under the Loan and Security Agreement is $10 million, providing for warrant coverage of 40,450 shares. If we draw on any additional tranches under the Loan and Security Agreement, the number of shares of our common stock underlying the Hercules Warrant will increase proportionally, up to a maximum aggregate amount of 121,620 shares. The issuance of shares upon exercise by Hercules will constitute a transaction exempt from the registration requirements of Section 5 of the Securities Act, in reliance upon Section 4(a)(2) thereof.</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0" w:name="page271"/>
    <w:bookmarkEnd w:id="270"/>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40" w:hanging="257"/>
        <w:spacing w:after="0"/>
        <w:tabs>
          <w:tab w:leader="none" w:pos="1740" w:val="left"/>
        </w:tabs>
        <w:numPr>
          <w:ilvl w:val="0"/>
          <w:numId w:val="131"/>
        </w:numPr>
        <w:rPr>
          <w:rFonts w:ascii="Arial" w:cs="Arial" w:eastAsia="Arial" w:hAnsi="Arial"/>
          <w:sz w:val="14"/>
          <w:szCs w:val="14"/>
          <w:color w:val="auto"/>
        </w:rPr>
      </w:pPr>
      <w:r>
        <w:rPr>
          <w:rFonts w:ascii="Arial" w:cs="Arial" w:eastAsia="Arial" w:hAnsi="Arial"/>
          <w:sz w:val="14"/>
          <w:szCs w:val="14"/>
          <w:i w:val="1"/>
          <w:iCs w:val="1"/>
          <w:color w:val="auto"/>
        </w:rPr>
        <w:t>Century Therapeutics, Inc.</w:t>
      </w:r>
    </w:p>
    <w:p>
      <w:pPr>
        <w:spacing w:after="0" w:line="144"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Following the determination of the board of managers of Century Therapeutics, LLC that the available shares of Prior Century common stock authorized for issuance under the 2018 Plan was insufficient to incentivize and encourage the current and prospective employees, consultants, independent contractors and other persons providing services to us, on January 1, 2021, we issued 3,021,890 units to Prior Century pursuant to Section 8.14 of our Amended and Restated Limited Liability Company Agreement, as amended. Following the issuance of such units to Prior Century, the number of shares of common stock of Prior Century reserved for issuance under the 2018 Plan was increased by 3,021,890.</w:t>
      </w:r>
    </w:p>
    <w:p>
      <w:pPr>
        <w:spacing w:after="0" w:line="306" w:lineRule="exact"/>
        <w:rPr>
          <w:sz w:val="20"/>
          <w:szCs w:val="20"/>
          <w:color w:val="auto"/>
        </w:rPr>
      </w:pPr>
    </w:p>
    <w:p>
      <w:pPr>
        <w:ind w:left="1480" w:hanging="256"/>
        <w:spacing w:after="0"/>
        <w:tabs>
          <w:tab w:leader="none" w:pos="148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Corporate Reorganization</w:t>
      </w:r>
    </w:p>
    <w:p>
      <w:pPr>
        <w:spacing w:after="0" w:line="113" w:lineRule="exact"/>
        <w:rPr>
          <w:rFonts w:ascii="Arial" w:cs="Arial" w:eastAsia="Arial" w:hAnsi="Arial"/>
          <w:sz w:val="14"/>
          <w:szCs w:val="14"/>
          <w:b w:val="1"/>
          <w:bCs w:val="1"/>
          <w:i w:val="1"/>
          <w:iCs w:val="1"/>
          <w:color w:val="auto"/>
        </w:rPr>
      </w:pPr>
    </w:p>
    <w:p>
      <w:pPr>
        <w:ind w:left="1740" w:right="1319" w:hanging="257"/>
        <w:spacing w:after="0" w:line="275"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In connection with the 2021 Reorganization, all units held by Bayer were converted into an aggregate of 26,143,790 shares of our Series B preferred stock, and the units held by Prior Century were converted into 35,000,000 shares of our Class 1 Series A preferred stock and 35,248,781 shares of our Class 1 common stock. Immediately upon the completion of the 2021 Reorganization, Prior Century merged with and into us, and all shares of Class 1 Series A preferred stock and Class 1 common stock were cancelled for no consideration, and the holders of equity interests in Prior Century exchanged all of such equity interests in Prior Century for an aggregate of 35,000,000 shares of our Series A preferred stock and 24,381,382 shares of our common stock.</w:t>
      </w:r>
    </w:p>
    <w:p>
      <w:pPr>
        <w:spacing w:after="0" w:line="125" w:lineRule="exact"/>
        <w:rPr>
          <w:rFonts w:ascii="Arial" w:cs="Arial" w:eastAsia="Arial" w:hAnsi="Arial"/>
          <w:sz w:val="14"/>
          <w:szCs w:val="14"/>
          <w:color w:val="auto"/>
        </w:rPr>
      </w:pPr>
    </w:p>
    <w:p>
      <w:pPr>
        <w:ind w:left="1480" w:hanging="256"/>
        <w:spacing w:after="0"/>
        <w:tabs>
          <w:tab w:leader="none" w:pos="148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Series C Preferred Stock</w:t>
      </w:r>
    </w:p>
    <w:p>
      <w:pPr>
        <w:spacing w:after="0" w:line="113" w:lineRule="exact"/>
        <w:rPr>
          <w:rFonts w:ascii="Arial" w:cs="Arial" w:eastAsia="Arial" w:hAnsi="Arial"/>
          <w:sz w:val="14"/>
          <w:szCs w:val="14"/>
          <w:b w:val="1"/>
          <w:bCs w:val="1"/>
          <w:i w:val="1"/>
          <w:iCs w:val="1"/>
          <w:color w:val="auto"/>
        </w:rPr>
      </w:pPr>
    </w:p>
    <w:p>
      <w:pPr>
        <w:ind w:left="1740" w:right="1259" w:hanging="257"/>
        <w:spacing w:after="0" w:line="283"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On February 25, 2021, we completed an offering of Series C preferred stock to various institutional investors. We issued a total of 24,721,999 shares of Series C preferred stock, at a price per share of approximately $6.472, for total gross proceeds of approximately $160 million.</w:t>
      </w:r>
    </w:p>
    <w:p>
      <w:pPr>
        <w:spacing w:after="0" w:line="299" w:lineRule="exact"/>
        <w:rPr>
          <w:rFonts w:ascii="Arial" w:cs="Arial" w:eastAsia="Arial" w:hAnsi="Arial"/>
          <w:sz w:val="14"/>
          <w:szCs w:val="14"/>
          <w:color w:val="auto"/>
        </w:rPr>
      </w:pPr>
    </w:p>
    <w:p>
      <w:pPr>
        <w:ind w:left="1480" w:hanging="256"/>
        <w:spacing w:after="0"/>
        <w:tabs>
          <w:tab w:leader="none" w:pos="148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Equity Awards</w:t>
      </w:r>
    </w:p>
    <w:p>
      <w:pPr>
        <w:spacing w:after="0" w:line="113" w:lineRule="exact"/>
        <w:rPr>
          <w:rFonts w:ascii="Arial" w:cs="Arial" w:eastAsia="Arial" w:hAnsi="Arial"/>
          <w:sz w:val="14"/>
          <w:szCs w:val="14"/>
          <w:b w:val="1"/>
          <w:bCs w:val="1"/>
          <w:i w:val="1"/>
          <w:iCs w:val="1"/>
          <w:color w:val="auto"/>
        </w:rPr>
      </w:pPr>
    </w:p>
    <w:p>
      <w:pPr>
        <w:jc w:val="both"/>
        <w:ind w:left="1740" w:right="1319" w:hanging="257"/>
        <w:spacing w:after="0" w:line="278"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Since our inception, we have granted stock options to employees, officers, directors and consultants, covering an aggregate of 13,635,229 shares of our common stock, having a weighted average exercise price of $0.80 per share, in connection with services provided to us by such parties.</w:t>
      </w:r>
    </w:p>
    <w:p>
      <w:pPr>
        <w:spacing w:after="0" w:line="106" w:lineRule="exact"/>
        <w:rPr>
          <w:rFonts w:ascii="Arial" w:cs="Arial" w:eastAsia="Arial" w:hAnsi="Arial"/>
          <w:sz w:val="14"/>
          <w:szCs w:val="14"/>
          <w:color w:val="auto"/>
        </w:rPr>
      </w:pPr>
    </w:p>
    <w:p>
      <w:pPr>
        <w:ind w:left="1740" w:right="1499" w:hanging="257"/>
        <w:spacing w:after="0" w:line="281"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Since our inception, we have issued an aggregate of 4,594,784 shares of our common stock to employees, officers, directors, and consultants upon their exercise of stock options, for aggregate cash consideration of approximately $3.5 million.</w:t>
      </w:r>
    </w:p>
    <w:p>
      <w:pPr>
        <w:spacing w:after="0" w:line="103"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00" w:lineRule="exact"/>
        <w:rPr>
          <w:sz w:val="20"/>
          <w:szCs w:val="20"/>
          <w:color w:val="auto"/>
        </w:rPr>
      </w:pPr>
    </w:p>
    <w:p>
      <w:pPr>
        <w:ind w:left="1220" w:right="1939"/>
        <w:spacing w:after="0" w:line="290" w:lineRule="auto"/>
        <w:rPr>
          <w:sz w:val="20"/>
          <w:szCs w:val="20"/>
          <w:color w:val="auto"/>
        </w:rPr>
      </w:pPr>
      <w:r>
        <w:rPr>
          <w:rFonts w:ascii="Arial" w:cs="Arial" w:eastAsia="Arial" w:hAnsi="Arial"/>
          <w:sz w:val="14"/>
          <w:szCs w:val="14"/>
          <w:color w:val="auto"/>
        </w:rPr>
        <w:t>None of the foregoing transactions involved any underwriters, underwriting discounts or commissions or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1" w:name="page272"/>
    <w:bookmarkEnd w:id="271"/>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60" w:lineRule="exact"/>
        <w:rPr>
          <w:sz w:val="20"/>
          <w:szCs w:val="20"/>
          <w:color w:val="auto"/>
        </w:rPr>
      </w:pPr>
    </w:p>
    <w:p>
      <w:pPr>
        <w:ind w:left="1220"/>
        <w:spacing w:after="0"/>
        <w:tabs>
          <w:tab w:leader="none" w:pos="1520" w:val="left"/>
        </w:tabs>
        <w:rPr>
          <w:sz w:val="20"/>
          <w:szCs w:val="20"/>
          <w:color w:val="auto"/>
        </w:rPr>
      </w:pPr>
      <w:r>
        <w:rPr>
          <w:rFonts w:ascii="Arial" w:cs="Arial" w:eastAsia="Arial" w:hAnsi="Arial"/>
          <w:sz w:val="14"/>
          <w:szCs w:val="14"/>
          <w:b w:val="1"/>
          <w:bCs w:val="1"/>
          <w:i w:val="1"/>
          <w:iCs w:val="1"/>
          <w:color w:val="auto"/>
        </w:rPr>
        <w:t>(a)</w:t>
        <w:tab/>
        <w:t>Exhibits.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exhibits listed below are filed as part of this Registration Statement.</w:t>
      </w:r>
    </w:p>
    <w:p>
      <w:pPr>
        <w:sectPr>
          <w:pgSz w:w="11900" w:h="16838" w:orient="portrait"/>
          <w:cols w:equalWidth="0" w:num="1">
            <w:col w:w="9019"/>
          </w:cols>
          <w:pgMar w:left="1440" w:top="133" w:right="1440" w:bottom="1440" w:gutter="0" w:footer="0" w:header="0"/>
        </w:sectPr>
      </w:pP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Exhibit</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3159"/>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17145</wp:posOffset>
            </wp:positionV>
            <wp:extent cx="474154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741545" cy="698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920" w:space="720"/>
            <w:col w:w="4379"/>
          </w:cols>
          <w:pgMar w:left="1440" w:top="133" w:right="1440" w:bottom="1440" w:gutter="0" w:footer="0" w:header="0"/>
          <w:type w:val="continuous"/>
        </w:sectPr>
      </w:pPr>
    </w:p>
    <w:p>
      <w:pPr>
        <w:ind w:left="1420"/>
        <w:spacing w:after="0"/>
        <w:rPr>
          <w:sz w:val="20"/>
          <w:szCs w:val="20"/>
          <w:color w:val="auto"/>
        </w:rPr>
      </w:pPr>
      <w:r>
        <w:rPr>
          <w:rFonts w:ascii="Arial" w:cs="Arial" w:eastAsia="Arial" w:hAnsi="Arial"/>
          <w:sz w:val="14"/>
          <w:szCs w:val="14"/>
          <w:color w:val="auto"/>
        </w:rPr>
        <w:t>1.1†  Form of Underwriting Agreement</w:t>
      </w:r>
    </w:p>
    <w:p>
      <w:pPr>
        <w:spacing w:after="0" w:line="33" w:lineRule="exact"/>
        <w:rPr>
          <w:sz w:val="20"/>
          <w:szCs w:val="20"/>
          <w:color w:val="auto"/>
        </w:rPr>
      </w:pPr>
    </w:p>
    <w:p>
      <w:pPr>
        <w:ind w:left="1500"/>
        <w:spacing w:after="0"/>
        <w:rPr>
          <w:rFonts w:ascii="Arial" w:cs="Arial" w:eastAsia="Arial" w:hAnsi="Arial"/>
          <w:sz w:val="14"/>
          <w:szCs w:val="14"/>
          <w:color w:val="auto"/>
        </w:rPr>
      </w:pPr>
      <w:r>
        <w:rPr>
          <w:rFonts w:ascii="Arial" w:cs="Arial" w:eastAsia="Arial" w:hAnsi="Arial"/>
          <w:sz w:val="14"/>
          <w:szCs w:val="14"/>
          <w:color w:val="auto"/>
        </w:rPr>
        <w:t xml:space="preserve">3.1  </w:t>
      </w:r>
      <w:hyperlink w:anchor="page278">
        <w:r>
          <w:rPr>
            <w:rFonts w:ascii="Arial" w:cs="Arial" w:eastAsia="Arial" w:hAnsi="Arial"/>
            <w:sz w:val="14"/>
            <w:szCs w:val="14"/>
            <w:u w:val="single" w:color="auto"/>
            <w:color w:val="0000EE"/>
          </w:rPr>
          <w:t>Amended and Restated Certificate of Incorporation, as currently in effect</w:t>
        </w:r>
      </w:hyperlink>
    </w:p>
    <w:p>
      <w:pPr>
        <w:spacing w:after="0" w:line="12" w:lineRule="exact"/>
        <w:rPr>
          <w:sz w:val="20"/>
          <w:szCs w:val="20"/>
          <w:color w:val="auto"/>
        </w:rPr>
      </w:pPr>
    </w:p>
    <w:p>
      <w:pPr>
        <w:ind w:left="1800" w:right="759" w:hanging="387"/>
        <w:spacing w:after="0" w:line="274" w:lineRule="auto"/>
        <w:rPr>
          <w:sz w:val="20"/>
          <w:szCs w:val="20"/>
          <w:color w:val="auto"/>
        </w:rPr>
      </w:pPr>
      <w:r>
        <w:rPr>
          <w:rFonts w:ascii="Arial" w:cs="Arial" w:eastAsia="Arial" w:hAnsi="Arial"/>
          <w:sz w:val="14"/>
          <w:szCs w:val="14"/>
          <w:color w:val="auto"/>
        </w:rPr>
        <w:t>3.2† Form of Second Amended and Restated Certificate of Incorporation, which will become effective immediately prior to the closing of this offering</w:t>
      </w:r>
    </w:p>
    <w:p>
      <w:pPr>
        <w:spacing w:after="0" w:line="32" w:lineRule="exact"/>
        <w:rPr>
          <w:sz w:val="20"/>
          <w:szCs w:val="20"/>
          <w:color w:val="auto"/>
        </w:rPr>
      </w:pPr>
    </w:p>
    <w:p>
      <w:pPr>
        <w:ind w:left="1500"/>
        <w:spacing w:after="0"/>
        <w:rPr>
          <w:rFonts w:ascii="Arial" w:cs="Arial" w:eastAsia="Arial" w:hAnsi="Arial"/>
          <w:sz w:val="14"/>
          <w:szCs w:val="14"/>
          <w:color w:val="auto"/>
        </w:rPr>
      </w:pPr>
      <w:r>
        <w:rPr>
          <w:rFonts w:ascii="Arial" w:cs="Arial" w:eastAsia="Arial" w:hAnsi="Arial"/>
          <w:sz w:val="14"/>
          <w:szCs w:val="14"/>
          <w:color w:val="auto"/>
        </w:rPr>
        <w:t xml:space="preserve">3.3  </w:t>
      </w:r>
      <w:hyperlink w:anchor="page307">
        <w:r>
          <w:rPr>
            <w:rFonts w:ascii="Arial" w:cs="Arial" w:eastAsia="Arial" w:hAnsi="Arial"/>
            <w:sz w:val="14"/>
            <w:szCs w:val="14"/>
            <w:u w:val="single" w:color="auto"/>
            <w:color w:val="0000EE"/>
          </w:rPr>
          <w:t>Bylaws, as currently in effect</w:t>
        </w:r>
      </w:hyperlink>
    </w:p>
    <w:p>
      <w:pPr>
        <w:spacing w:after="0" w:line="12" w:lineRule="exact"/>
        <w:rPr>
          <w:sz w:val="20"/>
          <w:szCs w:val="20"/>
          <w:color w:val="auto"/>
        </w:rPr>
      </w:pPr>
    </w:p>
    <w:p>
      <w:pPr>
        <w:ind w:left="1800" w:right="499" w:hanging="387"/>
        <w:spacing w:after="0" w:line="274" w:lineRule="auto"/>
        <w:rPr>
          <w:sz w:val="20"/>
          <w:szCs w:val="20"/>
          <w:color w:val="auto"/>
        </w:rPr>
      </w:pPr>
      <w:r>
        <w:rPr>
          <w:rFonts w:ascii="Arial" w:cs="Arial" w:eastAsia="Arial" w:hAnsi="Arial"/>
          <w:sz w:val="14"/>
          <w:szCs w:val="14"/>
          <w:color w:val="auto"/>
        </w:rPr>
        <w:t>3.4† Form of Amended and Restated Bylaws, which will become effective immediately prior to the closing of this offering</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4.1†  Specimen Common Stock Certificate of Registrant</w:t>
      </w:r>
    </w:p>
    <w:p>
      <w:pPr>
        <w:spacing w:after="0" w:line="12" w:lineRule="exact"/>
        <w:rPr>
          <w:sz w:val="20"/>
          <w:szCs w:val="20"/>
          <w:color w:val="auto"/>
        </w:rPr>
      </w:pPr>
    </w:p>
    <w:p>
      <w:pPr>
        <w:ind w:left="1800" w:right="939" w:hanging="307"/>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4.2 </w:t>
      </w:r>
      <w:hyperlink w:anchor="page322">
        <w:r>
          <w:rPr>
            <w:rFonts w:ascii="Arial" w:cs="Arial" w:eastAsia="Arial" w:hAnsi="Arial"/>
            <w:sz w:val="14"/>
            <w:szCs w:val="14"/>
            <w:u w:val="single" w:color="auto"/>
            <w:color w:val="0000EE"/>
          </w:rPr>
          <w:t>Investors’ Rights Agreement, by and among the Registrant and each of the investors listed on</w:t>
        </w:r>
      </w:hyperlink>
      <w:r>
        <w:rPr>
          <w:rFonts w:ascii="Arial" w:cs="Arial" w:eastAsia="Arial" w:hAnsi="Arial"/>
          <w:sz w:val="14"/>
          <w:szCs w:val="14"/>
          <w:color w:val="auto"/>
        </w:rPr>
        <w:t xml:space="preserve"> </w:t>
      </w:r>
      <w:hyperlink w:anchor="page322">
        <w:r>
          <w:rPr>
            <w:rFonts w:ascii="Arial" w:cs="Arial" w:eastAsia="Arial" w:hAnsi="Arial"/>
            <w:sz w:val="14"/>
            <w:szCs w:val="14"/>
            <w:u w:val="single" w:color="auto"/>
            <w:color w:val="0000EE"/>
          </w:rPr>
          <w:t>Schedule A thereto, dated February 25, 2021</w:t>
        </w:r>
      </w:hyperlink>
    </w:p>
    <w:p>
      <w:pPr>
        <w:spacing w:after="0" w:line="1" w:lineRule="exact"/>
        <w:rPr>
          <w:sz w:val="20"/>
          <w:szCs w:val="20"/>
          <w:color w:val="auto"/>
        </w:rPr>
      </w:pPr>
    </w:p>
    <w:p>
      <w:pPr>
        <w:ind w:left="1800" w:right="1219" w:hanging="307"/>
        <w:spacing w:after="0" w:line="274"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4.3 </w:t>
      </w:r>
      <w:hyperlink w:anchor="page382">
        <w:r>
          <w:rPr>
            <w:rFonts w:ascii="Arial" w:cs="Arial" w:eastAsia="Arial" w:hAnsi="Arial"/>
            <w:sz w:val="14"/>
            <w:szCs w:val="14"/>
            <w:u w:val="single" w:color="auto"/>
            <w:color w:val="0000EE"/>
          </w:rPr>
          <w:t>Warrant to Purchase Units of Century Therapeutics, LLC, in favor of Hercules Technology</w:t>
        </w:r>
      </w:hyperlink>
      <w:r>
        <w:rPr>
          <w:rFonts w:ascii="Arial" w:cs="Arial" w:eastAsia="Arial" w:hAnsi="Arial"/>
          <w:sz w:val="14"/>
          <w:szCs w:val="14"/>
          <w:color w:val="auto"/>
        </w:rPr>
        <w:t xml:space="preserve"> </w:t>
      </w:r>
      <w:hyperlink w:anchor="page382">
        <w:r>
          <w:rPr>
            <w:rFonts w:ascii="Arial" w:cs="Arial" w:eastAsia="Arial" w:hAnsi="Arial"/>
            <w:sz w:val="14"/>
            <w:szCs w:val="14"/>
            <w:u w:val="single" w:color="auto"/>
            <w:color w:val="0000EE"/>
          </w:rPr>
          <w:t>Management Co II, Inc., dated September 14, 2020</w:t>
        </w:r>
      </w:hyperlink>
    </w:p>
    <w:p>
      <w:pPr>
        <w:spacing w:after="0" w:line="3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5.1†  Opinion of Troutman Pepper Hamilton Sanders LLP</w:t>
      </w:r>
    </w:p>
    <w:p>
      <w:pPr>
        <w:spacing w:after="0" w:line="12" w:lineRule="exact"/>
        <w:rPr>
          <w:sz w:val="20"/>
          <w:szCs w:val="20"/>
          <w:color w:val="auto"/>
        </w:rPr>
      </w:pPr>
    </w:p>
    <w:p>
      <w:pPr>
        <w:ind w:left="1800" w:right="659" w:hanging="437"/>
        <w:spacing w:after="0" w:line="257"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 </w:t>
      </w:r>
      <w:hyperlink w:anchor="page405">
        <w:r>
          <w:rPr>
            <w:rFonts w:ascii="Arial" w:cs="Arial" w:eastAsia="Arial" w:hAnsi="Arial"/>
            <w:sz w:val="14"/>
            <w:szCs w:val="14"/>
            <w:u w:val="single" w:color="auto"/>
            <w:color w:val="0000EE"/>
          </w:rPr>
          <w:t>Form of Indemnification Agreement by and between the Registrant and its individual directors and</w:t>
        </w:r>
      </w:hyperlink>
      <w:r>
        <w:rPr>
          <w:rFonts w:ascii="Arial" w:cs="Arial" w:eastAsia="Arial" w:hAnsi="Arial"/>
          <w:sz w:val="14"/>
          <w:szCs w:val="14"/>
          <w:color w:val="auto"/>
        </w:rPr>
        <w:t xml:space="preserve"> </w:t>
      </w:r>
      <w:hyperlink w:anchor="page405">
        <w:r>
          <w:rPr>
            <w:rFonts w:ascii="Arial" w:cs="Arial" w:eastAsia="Arial" w:hAnsi="Arial"/>
            <w:sz w:val="14"/>
            <w:szCs w:val="14"/>
            <w:u w:val="single" w:color="auto"/>
            <w:color w:val="0000EE"/>
          </w:rPr>
          <w:t>officers</w:t>
        </w:r>
      </w:hyperlink>
    </w:p>
    <w:p>
      <w:pPr>
        <w:spacing w:after="0" w:line="227" w:lineRule="exact"/>
        <w:rPr>
          <w:sz w:val="20"/>
          <w:szCs w:val="20"/>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 xml:space="preserve">10.2•  </w:t>
      </w:r>
      <w:hyperlink w:anchor="page421">
        <w:r>
          <w:rPr>
            <w:rFonts w:ascii="Arial" w:cs="Arial" w:eastAsia="Arial" w:hAnsi="Arial"/>
            <w:sz w:val="14"/>
            <w:szCs w:val="14"/>
            <w:u w:val="single" w:color="auto"/>
            <w:color w:val="0000EE"/>
          </w:rPr>
          <w:t>2018 Stock Option and Grant Plan</w:t>
        </w:r>
      </w:hyperlink>
    </w:p>
    <w:p>
      <w:pPr>
        <w:spacing w:after="0" w:line="44" w:lineRule="exact"/>
        <w:rPr>
          <w:sz w:val="20"/>
          <w:szCs w:val="20"/>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 xml:space="preserve">10.3•  </w:t>
      </w:r>
      <w:hyperlink w:anchor="page440">
        <w:r>
          <w:rPr>
            <w:rFonts w:ascii="Arial" w:cs="Arial" w:eastAsia="Arial" w:hAnsi="Arial"/>
            <w:sz w:val="14"/>
            <w:szCs w:val="14"/>
            <w:u w:val="single" w:color="auto"/>
            <w:color w:val="0000EE"/>
          </w:rPr>
          <w:t>Amendment No. 1 to 2018 Stock Option and Grant Plan</w:t>
        </w:r>
      </w:hyperlink>
    </w:p>
    <w:p>
      <w:pPr>
        <w:spacing w:after="0" w:line="44" w:lineRule="exact"/>
        <w:rPr>
          <w:sz w:val="20"/>
          <w:szCs w:val="20"/>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 xml:space="preserve">10.4•  </w:t>
      </w:r>
      <w:hyperlink w:anchor="page441">
        <w:r>
          <w:rPr>
            <w:rFonts w:ascii="Arial" w:cs="Arial" w:eastAsia="Arial" w:hAnsi="Arial"/>
            <w:sz w:val="14"/>
            <w:szCs w:val="14"/>
            <w:u w:val="single" w:color="auto"/>
            <w:color w:val="0000EE"/>
          </w:rPr>
          <w:t>Amendment No. 2 to 2018 Stock Option and Grant Plan</w:t>
        </w:r>
      </w:hyperlink>
    </w:p>
    <w:p>
      <w:pPr>
        <w:spacing w:after="0" w:line="44" w:lineRule="exact"/>
        <w:rPr>
          <w:sz w:val="20"/>
          <w:szCs w:val="20"/>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 xml:space="preserve">10.5•  </w:t>
      </w:r>
      <w:hyperlink w:anchor="page442">
        <w:r>
          <w:rPr>
            <w:rFonts w:ascii="Arial" w:cs="Arial" w:eastAsia="Arial" w:hAnsi="Arial"/>
            <w:sz w:val="14"/>
            <w:szCs w:val="14"/>
            <w:u w:val="single" w:color="auto"/>
            <w:color w:val="0000EE"/>
          </w:rPr>
          <w:t>Amendment No. 3 to 2018 Stock Option and Grant Plan</w:t>
        </w:r>
      </w:hyperlink>
    </w:p>
    <w:p>
      <w:pPr>
        <w:spacing w:after="0" w:line="44" w:lineRule="exact"/>
        <w:rPr>
          <w:sz w:val="20"/>
          <w:szCs w:val="20"/>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 xml:space="preserve">10.6•  </w:t>
      </w:r>
      <w:hyperlink w:anchor="page443">
        <w:r>
          <w:rPr>
            <w:rFonts w:ascii="Arial" w:cs="Arial" w:eastAsia="Arial" w:hAnsi="Arial"/>
            <w:sz w:val="14"/>
            <w:szCs w:val="14"/>
            <w:u w:val="single" w:color="auto"/>
            <w:color w:val="0000EE"/>
          </w:rPr>
          <w:t>Amendment No. 4 to 2018 Stock Option and Grant Plan</w:t>
        </w:r>
      </w:hyperlink>
    </w:p>
    <w:p>
      <w:pPr>
        <w:spacing w:after="0" w:line="44" w:lineRule="exact"/>
        <w:rPr>
          <w:sz w:val="20"/>
          <w:szCs w:val="20"/>
          <w:color w:val="auto"/>
        </w:rPr>
      </w:pPr>
    </w:p>
    <w:p>
      <w:pPr>
        <w:ind w:left="1360"/>
        <w:spacing w:after="0"/>
        <w:rPr>
          <w:rFonts w:ascii="Arial" w:cs="Arial" w:eastAsia="Arial" w:hAnsi="Arial"/>
          <w:sz w:val="14"/>
          <w:szCs w:val="14"/>
          <w:color w:val="auto"/>
        </w:rPr>
      </w:pPr>
      <w:r>
        <w:rPr>
          <w:rFonts w:ascii="Arial" w:cs="Arial" w:eastAsia="Arial" w:hAnsi="Arial"/>
          <w:sz w:val="14"/>
          <w:szCs w:val="14"/>
          <w:color w:val="auto"/>
        </w:rPr>
        <w:t xml:space="preserve">10.7•  </w:t>
      </w:r>
      <w:hyperlink w:anchor="page444">
        <w:r>
          <w:rPr>
            <w:rFonts w:ascii="Arial" w:cs="Arial" w:eastAsia="Arial" w:hAnsi="Arial"/>
            <w:sz w:val="14"/>
            <w:szCs w:val="14"/>
            <w:u w:val="single" w:color="auto"/>
            <w:color w:val="0000EE"/>
          </w:rPr>
          <w:t>Amendment No. 5 to 2018 Stock Option and Grant Plan</w:t>
        </w:r>
      </w:hyperlink>
    </w:p>
    <w:p>
      <w:pPr>
        <w:spacing w:after="0" w:line="4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10.8•†  2021 Equity Incentive Plan</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10.9•†  2021 Employee Stock Purchase Plan</w:t>
      </w:r>
    </w:p>
    <w:p>
      <w:pPr>
        <w:spacing w:after="0" w:line="44"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10.10•  </w:t>
      </w:r>
      <w:hyperlink w:anchor="page445">
        <w:r>
          <w:rPr>
            <w:rFonts w:ascii="Arial" w:cs="Arial" w:eastAsia="Arial" w:hAnsi="Arial"/>
            <w:sz w:val="14"/>
            <w:szCs w:val="14"/>
            <w:u w:val="single" w:color="auto"/>
            <w:color w:val="0000EE"/>
          </w:rPr>
          <w:t>Form of Restricted Stock Award Agreement, under the 2018 Stock Option and Grant Plan</w:t>
        </w:r>
      </w:hyperlink>
    </w:p>
    <w:p>
      <w:pPr>
        <w:spacing w:after="0" w:line="44"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10.11•  </w:t>
      </w:r>
      <w:hyperlink w:anchor="page453">
        <w:r>
          <w:rPr>
            <w:rFonts w:ascii="Arial" w:cs="Arial" w:eastAsia="Arial" w:hAnsi="Arial"/>
            <w:sz w:val="14"/>
            <w:szCs w:val="14"/>
            <w:u w:val="single" w:color="auto"/>
            <w:color w:val="0000EE"/>
          </w:rPr>
          <w:t>Form of Non-Qualified Stock Option Agreement, under the 2018 Stock Option and Grant Plan</w:t>
        </w:r>
      </w:hyperlink>
    </w:p>
    <w:p>
      <w:pPr>
        <w:spacing w:after="0" w:line="44"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10.12•  </w:t>
      </w:r>
      <w:hyperlink w:anchor="page462">
        <w:r>
          <w:rPr>
            <w:rFonts w:ascii="Arial" w:cs="Arial" w:eastAsia="Arial" w:hAnsi="Arial"/>
            <w:sz w:val="14"/>
            <w:szCs w:val="14"/>
            <w:u w:val="single" w:color="auto"/>
            <w:color w:val="0000EE"/>
          </w:rPr>
          <w:t>Form of Incentive Stock Option Agreement, under the 2018 Stock Option and Grant Plan</w:t>
        </w:r>
      </w:hyperlink>
    </w:p>
    <w:p>
      <w:pPr>
        <w:spacing w:after="0" w:line="44"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10.13•  </w:t>
      </w:r>
      <w:hyperlink w:anchor="page471">
        <w:r>
          <w:rPr>
            <w:rFonts w:ascii="Arial" w:cs="Arial" w:eastAsia="Arial" w:hAnsi="Arial"/>
            <w:sz w:val="14"/>
            <w:szCs w:val="14"/>
            <w:u w:val="single" w:color="auto"/>
            <w:color w:val="0000EE"/>
          </w:rPr>
          <w:t>Form of Stock Option Grant Notice and Award Agreement, under the 2021 Plan</w:t>
        </w:r>
      </w:hyperlink>
    </w:p>
    <w:p>
      <w:pPr>
        <w:spacing w:after="0" w:line="44"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10.14•  </w:t>
      </w:r>
      <w:hyperlink w:anchor="page475">
        <w:r>
          <w:rPr>
            <w:rFonts w:ascii="Arial" w:cs="Arial" w:eastAsia="Arial" w:hAnsi="Arial"/>
            <w:sz w:val="14"/>
            <w:szCs w:val="14"/>
            <w:u w:val="single" w:color="auto"/>
            <w:color w:val="0000EE"/>
          </w:rPr>
          <w:t>Form of Restricted Stock Unit Grant Notice and Award Agreement, under the 2021 Plan</w:t>
        </w:r>
      </w:hyperlink>
    </w:p>
    <w:p>
      <w:pPr>
        <w:spacing w:after="0" w:line="12" w:lineRule="exact"/>
        <w:rPr>
          <w:sz w:val="20"/>
          <w:szCs w:val="20"/>
          <w:color w:val="auto"/>
        </w:rPr>
      </w:pPr>
    </w:p>
    <w:p>
      <w:pPr>
        <w:ind w:left="1800" w:right="65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10.15* </w:t>
      </w:r>
      <w:hyperlink w:anchor="page479">
        <w:r>
          <w:rPr>
            <w:rFonts w:ascii="Arial" w:cs="Arial" w:eastAsia="Arial" w:hAnsi="Arial"/>
            <w:sz w:val="14"/>
            <w:szCs w:val="14"/>
            <w:u w:val="single" w:color="auto"/>
            <w:color w:val="0000EE"/>
          </w:rPr>
          <w:t>Amended and Restated Option Agreement, by and between Century Therapeutics, Inc. and Bayer</w:t>
        </w:r>
      </w:hyperlink>
      <w:r>
        <w:rPr>
          <w:rFonts w:ascii="Arial" w:cs="Arial" w:eastAsia="Arial" w:hAnsi="Arial"/>
          <w:sz w:val="14"/>
          <w:szCs w:val="14"/>
          <w:color w:val="auto"/>
        </w:rPr>
        <w:t xml:space="preserve"> </w:t>
      </w:r>
      <w:hyperlink w:anchor="page479">
        <w:r>
          <w:rPr>
            <w:rFonts w:ascii="Arial" w:cs="Arial" w:eastAsia="Arial" w:hAnsi="Arial"/>
            <w:sz w:val="14"/>
            <w:szCs w:val="14"/>
            <w:u w:val="single" w:color="auto"/>
            <w:color w:val="0000EE"/>
          </w:rPr>
          <w:t>HealthCare LLC, dated February 25, 2021</w:t>
        </w:r>
      </w:hyperlink>
    </w:p>
    <w:p>
      <w:pPr>
        <w:spacing w:after="0" w:line="1" w:lineRule="exact"/>
        <w:rPr>
          <w:sz w:val="20"/>
          <w:szCs w:val="20"/>
          <w:color w:val="auto"/>
        </w:rPr>
      </w:pPr>
    </w:p>
    <w:p>
      <w:pPr>
        <w:ind w:left="1800" w:right="49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10.16* </w:t>
      </w:r>
      <w:hyperlink w:anchor="page502">
        <w:r>
          <w:rPr>
            <w:rFonts w:ascii="Arial" w:cs="Arial" w:eastAsia="Arial" w:hAnsi="Arial"/>
            <w:sz w:val="14"/>
            <w:szCs w:val="14"/>
            <w:u w:val="single" w:color="auto"/>
            <w:color w:val="0000EE"/>
          </w:rPr>
          <w:t>Master Collaboration Agreement, by and between Century Therapeutics, Inc. and FUJIFILM Cellular</w:t>
        </w:r>
      </w:hyperlink>
      <w:r>
        <w:rPr>
          <w:rFonts w:ascii="Arial" w:cs="Arial" w:eastAsia="Arial" w:hAnsi="Arial"/>
          <w:sz w:val="14"/>
          <w:szCs w:val="14"/>
          <w:color w:val="auto"/>
        </w:rPr>
        <w:t xml:space="preserve"> </w:t>
      </w:r>
      <w:hyperlink w:anchor="page502">
        <w:r>
          <w:rPr>
            <w:rFonts w:ascii="Arial" w:cs="Arial" w:eastAsia="Arial" w:hAnsi="Arial"/>
            <w:sz w:val="14"/>
            <w:szCs w:val="14"/>
            <w:u w:val="single" w:color="auto"/>
            <w:color w:val="0000EE"/>
          </w:rPr>
          <w:t>Dynamics, Inc., dated October 21, 2019</w:t>
        </w:r>
      </w:hyperlink>
    </w:p>
    <w:p>
      <w:pPr>
        <w:spacing w:after="0" w:line="1" w:lineRule="exact"/>
        <w:rPr>
          <w:sz w:val="20"/>
          <w:szCs w:val="20"/>
          <w:color w:val="auto"/>
        </w:rPr>
      </w:pPr>
    </w:p>
    <w:p>
      <w:pPr>
        <w:ind w:left="1800" w:right="339" w:hanging="467"/>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10.17 </w:t>
      </w:r>
      <w:hyperlink w:anchor="page526">
        <w:r>
          <w:rPr>
            <w:rFonts w:ascii="Arial" w:cs="Arial" w:eastAsia="Arial" w:hAnsi="Arial"/>
            <w:sz w:val="14"/>
            <w:szCs w:val="14"/>
            <w:u w:val="single" w:color="auto"/>
            <w:color w:val="0000EE"/>
          </w:rPr>
          <w:t>Amendment No. 1 to Master Collaboration Agreement, by and between Century Therapeutics, Inc. and</w:t>
        </w:r>
      </w:hyperlink>
      <w:r>
        <w:rPr>
          <w:rFonts w:ascii="Arial" w:cs="Arial" w:eastAsia="Arial" w:hAnsi="Arial"/>
          <w:sz w:val="14"/>
          <w:szCs w:val="14"/>
          <w:color w:val="auto"/>
        </w:rPr>
        <w:t xml:space="preserve"> </w:t>
      </w:r>
      <w:hyperlink w:anchor="page526">
        <w:r>
          <w:rPr>
            <w:rFonts w:ascii="Arial" w:cs="Arial" w:eastAsia="Arial" w:hAnsi="Arial"/>
            <w:sz w:val="14"/>
            <w:szCs w:val="14"/>
            <w:u w:val="single" w:color="auto"/>
            <w:color w:val="0000EE"/>
          </w:rPr>
          <w:t>FUJIFILM Cellular Dynamics, Inc., dated July 17, 2020</w:t>
        </w:r>
      </w:hyperlink>
    </w:p>
    <w:p>
      <w:pPr>
        <w:spacing w:after="0" w:line="1" w:lineRule="exact"/>
        <w:rPr>
          <w:sz w:val="20"/>
          <w:szCs w:val="20"/>
          <w:color w:val="auto"/>
        </w:rPr>
      </w:pPr>
    </w:p>
    <w:p>
      <w:pPr>
        <w:ind w:left="1800" w:right="37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10.18* </w:t>
      </w:r>
      <w:hyperlink w:anchor="page529">
        <w:r>
          <w:rPr>
            <w:rFonts w:ascii="Arial" w:cs="Arial" w:eastAsia="Arial" w:hAnsi="Arial"/>
            <w:sz w:val="14"/>
            <w:szCs w:val="14"/>
            <w:u w:val="single" w:color="auto"/>
            <w:color w:val="0000EE"/>
          </w:rPr>
          <w:t>Amendment No. 2 to Master Collaboration Agreement by and between Century Therapeutics, Inc. and</w:t>
        </w:r>
      </w:hyperlink>
      <w:r>
        <w:rPr>
          <w:rFonts w:ascii="Arial" w:cs="Arial" w:eastAsia="Arial" w:hAnsi="Arial"/>
          <w:sz w:val="14"/>
          <w:szCs w:val="14"/>
          <w:color w:val="auto"/>
        </w:rPr>
        <w:t xml:space="preserve"> </w:t>
      </w:r>
      <w:hyperlink w:anchor="page529">
        <w:r>
          <w:rPr>
            <w:rFonts w:ascii="Arial" w:cs="Arial" w:eastAsia="Arial" w:hAnsi="Arial"/>
            <w:sz w:val="14"/>
            <w:szCs w:val="14"/>
            <w:u w:val="single" w:color="auto"/>
            <w:color w:val="0000EE"/>
          </w:rPr>
          <w:t>FUJIFILM Cellular Dynamics, Inc., dated March 23, 2021</w:t>
        </w:r>
      </w:hyperlink>
    </w:p>
    <w:p>
      <w:pPr>
        <w:spacing w:after="0" w:line="1" w:lineRule="exact"/>
        <w:rPr>
          <w:sz w:val="20"/>
          <w:szCs w:val="20"/>
          <w:color w:val="auto"/>
        </w:rPr>
      </w:pPr>
    </w:p>
    <w:p>
      <w:pPr>
        <w:ind w:left="1800" w:right="379" w:hanging="467"/>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10.19 </w:t>
      </w:r>
      <w:hyperlink w:anchor="page544">
        <w:r>
          <w:rPr>
            <w:rFonts w:ascii="Arial" w:cs="Arial" w:eastAsia="Arial" w:hAnsi="Arial"/>
            <w:sz w:val="14"/>
            <w:szCs w:val="14"/>
            <w:u w:val="single" w:color="auto"/>
            <w:color w:val="0000EE"/>
          </w:rPr>
          <w:t>Amendment No. 3 to Master Collaboration Agreement by and between Century Therapeutics, Inc. and</w:t>
        </w:r>
      </w:hyperlink>
      <w:r>
        <w:rPr>
          <w:rFonts w:ascii="Arial" w:cs="Arial" w:eastAsia="Arial" w:hAnsi="Arial"/>
          <w:sz w:val="14"/>
          <w:szCs w:val="14"/>
          <w:color w:val="auto"/>
        </w:rPr>
        <w:t xml:space="preserve"> </w:t>
      </w:r>
      <w:hyperlink w:anchor="page544">
        <w:r>
          <w:rPr>
            <w:rFonts w:ascii="Arial" w:cs="Arial" w:eastAsia="Arial" w:hAnsi="Arial"/>
            <w:sz w:val="14"/>
            <w:szCs w:val="14"/>
            <w:u w:val="single" w:color="auto"/>
            <w:color w:val="0000EE"/>
          </w:rPr>
          <w:t>FUJIFILM Cellular Dynamics, Inc., dated March 29, 2021</w:t>
        </w:r>
      </w:hyperlink>
    </w:p>
    <w:p>
      <w:pPr>
        <w:spacing w:after="0" w:line="1" w:lineRule="exact"/>
        <w:rPr>
          <w:sz w:val="20"/>
          <w:szCs w:val="20"/>
          <w:color w:val="auto"/>
        </w:rPr>
      </w:pPr>
    </w:p>
    <w:p>
      <w:pPr>
        <w:ind w:left="1800" w:right="539" w:hanging="467"/>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10.20 </w:t>
      </w:r>
      <w:hyperlink w:anchor="page549">
        <w:r>
          <w:rPr>
            <w:rFonts w:ascii="Arial" w:cs="Arial" w:eastAsia="Arial" w:hAnsi="Arial"/>
            <w:sz w:val="14"/>
            <w:szCs w:val="14"/>
            <w:u w:val="single" w:color="auto"/>
            <w:color w:val="0000EE"/>
          </w:rPr>
          <w:t>Letter Agreement, by and among Century Therapeutics, Inc., FUJIFILM Cellular Dynamics, Inc. and</w:t>
        </w:r>
      </w:hyperlink>
      <w:r>
        <w:rPr>
          <w:rFonts w:ascii="Arial" w:cs="Arial" w:eastAsia="Arial" w:hAnsi="Arial"/>
          <w:sz w:val="14"/>
          <w:szCs w:val="14"/>
          <w:color w:val="auto"/>
        </w:rPr>
        <w:t xml:space="preserve"> </w:t>
      </w:r>
      <w:hyperlink w:anchor="page549">
        <w:r>
          <w:rPr>
            <w:rFonts w:ascii="Arial" w:cs="Arial" w:eastAsia="Arial" w:hAnsi="Arial"/>
            <w:sz w:val="14"/>
            <w:szCs w:val="14"/>
            <w:u w:val="single" w:color="auto"/>
            <w:color w:val="0000EE"/>
          </w:rPr>
          <w:t>Wisconsin Alumni Research Foundation, dated July 2, 2019</w:t>
        </w:r>
      </w:hyperlink>
    </w:p>
    <w:p>
      <w:pPr>
        <w:spacing w:after="0" w:line="1" w:lineRule="exact"/>
        <w:rPr>
          <w:sz w:val="20"/>
          <w:szCs w:val="20"/>
          <w:color w:val="auto"/>
        </w:rPr>
      </w:pPr>
    </w:p>
    <w:p>
      <w:pPr>
        <w:ind w:left="1800" w:right="859" w:hanging="523"/>
        <w:spacing w:after="0" w:line="274"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10.21* </w:t>
      </w:r>
      <w:hyperlink w:anchor="page557">
        <w:r>
          <w:rPr>
            <w:rFonts w:ascii="Arial" w:cs="Arial" w:eastAsia="Arial" w:hAnsi="Arial"/>
            <w:sz w:val="14"/>
            <w:szCs w:val="14"/>
            <w:u w:val="single" w:color="auto"/>
            <w:color w:val="0000EE"/>
          </w:rPr>
          <w:t>License Agreement (Differentiation), by and between Century Therapeutics, Inc. and FUJIFILM</w:t>
        </w:r>
      </w:hyperlink>
      <w:r>
        <w:rPr>
          <w:rFonts w:ascii="Arial" w:cs="Arial" w:eastAsia="Arial" w:hAnsi="Arial"/>
          <w:sz w:val="14"/>
          <w:szCs w:val="14"/>
          <w:color w:val="auto"/>
        </w:rPr>
        <w:t xml:space="preserve"> </w:t>
      </w:r>
      <w:hyperlink w:anchor="page557">
        <w:r>
          <w:rPr>
            <w:rFonts w:ascii="Arial" w:cs="Arial" w:eastAsia="Arial" w:hAnsi="Arial"/>
            <w:sz w:val="14"/>
            <w:szCs w:val="14"/>
            <w:u w:val="single" w:color="auto"/>
            <w:color w:val="0000EE"/>
          </w:rPr>
          <w:t>Cellular Dynamics, Inc., dated September 18, 2018</w:t>
        </w:r>
      </w:hyperlink>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272" w:name="page273"/>
    <w:bookmarkEnd w:id="272"/>
    <w:p>
      <w:pPr>
        <w:ind w:left="220"/>
        <w:spacing w:after="0"/>
        <w:rPr>
          <w:rFonts w:ascii="Arial" w:cs="Arial" w:eastAsia="Arial" w:hAnsi="Arial"/>
          <w:sz w:val="10"/>
          <w:szCs w:val="10"/>
          <w:color w:val="003366"/>
        </w:rPr>
      </w:pPr>
      <w:hyperlink w:anchor="page244">
        <w:r>
          <w:rPr>
            <w:rFonts w:ascii="Arial" w:cs="Arial" w:eastAsia="Arial" w:hAnsi="Arial"/>
            <w:sz w:val="10"/>
            <w:szCs w:val="10"/>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spacing w:after="0"/>
        <w:rPr>
          <w:sz w:val="20"/>
          <w:szCs w:val="20"/>
          <w:color w:val="auto"/>
        </w:rPr>
      </w:pPr>
      <w:r>
        <w:rPr>
          <w:rFonts w:ascii="Arial" w:cs="Arial" w:eastAsia="Arial" w:hAnsi="Arial"/>
          <w:sz w:val="13"/>
          <w:szCs w:val="13"/>
          <w:b w:val="1"/>
          <w:bCs w:val="1"/>
          <w:color w:val="auto"/>
        </w:rPr>
        <w:t>Exhibit</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59"/>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17145</wp:posOffset>
            </wp:positionV>
            <wp:extent cx="4754880"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54880" cy="698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3920" w:space="720"/>
            <w:col w:w="4379"/>
          </w:cols>
          <w:pgMar w:left="1440" w:top="134" w:right="1440" w:bottom="1440" w:gutter="0" w:footer="0" w:header="0"/>
          <w:type w:val="continuous"/>
        </w:sectPr>
      </w:pPr>
    </w:p>
    <w:p>
      <w:pPr>
        <w:ind w:left="1800" w:right="41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10.22* </w:t>
      </w:r>
      <w:hyperlink w:anchor="page593">
        <w:r>
          <w:rPr>
            <w:rFonts w:ascii="Arial" w:cs="Arial" w:eastAsia="Arial" w:hAnsi="Arial"/>
            <w:sz w:val="14"/>
            <w:szCs w:val="14"/>
            <w:u w:val="single" w:color="auto"/>
            <w:color w:val="0000EE"/>
          </w:rPr>
          <w:t>Amendment No. 1 to License Agreement (Differentiation), by and between Century Therapeutics, Inc.</w:t>
        </w:r>
      </w:hyperlink>
      <w:r>
        <w:rPr>
          <w:rFonts w:ascii="Arial" w:cs="Arial" w:eastAsia="Arial" w:hAnsi="Arial"/>
          <w:sz w:val="14"/>
          <w:szCs w:val="14"/>
          <w:color w:val="auto"/>
        </w:rPr>
        <w:t xml:space="preserve"> </w:t>
      </w:r>
      <w:hyperlink w:anchor="page593">
        <w:r>
          <w:rPr>
            <w:rFonts w:ascii="Arial" w:cs="Arial" w:eastAsia="Arial" w:hAnsi="Arial"/>
            <w:sz w:val="14"/>
            <w:szCs w:val="14"/>
            <w:u w:val="single" w:color="auto"/>
            <w:color w:val="0000EE"/>
          </w:rPr>
          <w:t>and FUJIFILM Cellular Dynamics, Inc., dated March 23, 2021</w:t>
        </w:r>
      </w:hyperlink>
    </w:p>
    <w:p>
      <w:pPr>
        <w:spacing w:after="0" w:line="1" w:lineRule="exact"/>
        <w:rPr>
          <w:sz w:val="20"/>
          <w:szCs w:val="20"/>
          <w:color w:val="auto"/>
        </w:rPr>
      </w:pPr>
    </w:p>
    <w:p>
      <w:pPr>
        <w:ind w:left="1800" w:right="71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10.23* </w:t>
      </w:r>
      <w:hyperlink w:anchor="page601">
        <w:r>
          <w:rPr>
            <w:rFonts w:ascii="Arial" w:cs="Arial" w:eastAsia="Arial" w:hAnsi="Arial"/>
            <w:sz w:val="14"/>
            <w:szCs w:val="14"/>
            <w:u w:val="single" w:color="auto"/>
            <w:color w:val="0000EE"/>
          </w:rPr>
          <w:t>License Agreement (Reprogramming), by and between Century Therapeutics, Inc. and FUJIFILM</w:t>
        </w:r>
      </w:hyperlink>
      <w:r>
        <w:rPr>
          <w:rFonts w:ascii="Arial" w:cs="Arial" w:eastAsia="Arial" w:hAnsi="Arial"/>
          <w:sz w:val="14"/>
          <w:szCs w:val="14"/>
          <w:color w:val="auto"/>
        </w:rPr>
        <w:t xml:space="preserve"> </w:t>
      </w:r>
      <w:hyperlink w:anchor="page601">
        <w:r>
          <w:rPr>
            <w:rFonts w:ascii="Arial" w:cs="Arial" w:eastAsia="Arial" w:hAnsi="Arial"/>
            <w:sz w:val="14"/>
            <w:szCs w:val="14"/>
            <w:u w:val="single" w:color="auto"/>
            <w:color w:val="0000EE"/>
          </w:rPr>
          <w:t>Cellular Dynamics, Inc., dated September 18, 2018</w:t>
        </w:r>
      </w:hyperlink>
    </w:p>
    <w:p>
      <w:pPr>
        <w:spacing w:after="0" w:line="1" w:lineRule="exact"/>
        <w:rPr>
          <w:sz w:val="20"/>
          <w:szCs w:val="20"/>
          <w:color w:val="auto"/>
        </w:rPr>
      </w:pPr>
    </w:p>
    <w:p>
      <w:pPr>
        <w:ind w:left="1800" w:right="57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10.24* </w:t>
      </w:r>
      <w:hyperlink w:anchor="page636">
        <w:r>
          <w:rPr>
            <w:rFonts w:ascii="Arial" w:cs="Arial" w:eastAsia="Arial" w:hAnsi="Arial"/>
            <w:sz w:val="14"/>
            <w:szCs w:val="14"/>
            <w:u w:val="single" w:color="auto"/>
            <w:color w:val="0000EE"/>
          </w:rPr>
          <w:t>Amendment No. 1 to License Agreement (Reprogramming), by and between Century Therapeutics,</w:t>
        </w:r>
      </w:hyperlink>
      <w:r>
        <w:rPr>
          <w:rFonts w:ascii="Arial" w:cs="Arial" w:eastAsia="Arial" w:hAnsi="Arial"/>
          <w:sz w:val="14"/>
          <w:szCs w:val="14"/>
          <w:color w:val="auto"/>
        </w:rPr>
        <w:t xml:space="preserve"> </w:t>
      </w:r>
      <w:hyperlink w:anchor="page636">
        <w:r>
          <w:rPr>
            <w:rFonts w:ascii="Arial" w:cs="Arial" w:eastAsia="Arial" w:hAnsi="Arial"/>
            <w:sz w:val="14"/>
            <w:szCs w:val="14"/>
            <w:u w:val="single" w:color="auto"/>
            <w:color w:val="0000EE"/>
          </w:rPr>
          <w:t>Inc. and FUJIFILM Cellular Dynamics, Inc., dated March 23, 2021</w:t>
        </w:r>
      </w:hyperlink>
    </w:p>
    <w:p>
      <w:pPr>
        <w:spacing w:after="0" w:line="1" w:lineRule="exact"/>
        <w:rPr>
          <w:sz w:val="20"/>
          <w:szCs w:val="20"/>
          <w:color w:val="auto"/>
        </w:rPr>
      </w:pPr>
    </w:p>
    <w:p>
      <w:pPr>
        <w:ind w:left="1800" w:right="69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10.25* </w:t>
      </w:r>
      <w:hyperlink w:anchor="page644">
        <w:r>
          <w:rPr>
            <w:rFonts w:ascii="Arial" w:cs="Arial" w:eastAsia="Arial" w:hAnsi="Arial"/>
            <w:sz w:val="14"/>
            <w:szCs w:val="14"/>
            <w:u w:val="single" w:color="auto"/>
            <w:color w:val="0000EE"/>
          </w:rPr>
          <w:t>Manufacturing and Supply Agreement, by and between Century Therapeutics, Inc. and FUJIFILM</w:t>
        </w:r>
      </w:hyperlink>
      <w:r>
        <w:rPr>
          <w:rFonts w:ascii="Arial" w:cs="Arial" w:eastAsia="Arial" w:hAnsi="Arial"/>
          <w:sz w:val="14"/>
          <w:szCs w:val="14"/>
          <w:color w:val="auto"/>
        </w:rPr>
        <w:t xml:space="preserve"> </w:t>
      </w:r>
      <w:hyperlink w:anchor="page644">
        <w:r>
          <w:rPr>
            <w:rFonts w:ascii="Arial" w:cs="Arial" w:eastAsia="Arial" w:hAnsi="Arial"/>
            <w:sz w:val="14"/>
            <w:szCs w:val="14"/>
            <w:u w:val="single" w:color="auto"/>
            <w:color w:val="0000EE"/>
          </w:rPr>
          <w:t>Cellular Dynamics, Inc., dated March 23, 2021</w:t>
        </w:r>
      </w:hyperlink>
    </w:p>
    <w:p>
      <w:pPr>
        <w:spacing w:after="0" w:line="1" w:lineRule="exact"/>
        <w:rPr>
          <w:sz w:val="20"/>
          <w:szCs w:val="20"/>
          <w:color w:val="auto"/>
        </w:rPr>
      </w:pPr>
    </w:p>
    <w:p>
      <w:pPr>
        <w:ind w:left="1800" w:right="41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10.26* </w:t>
      </w:r>
      <w:hyperlink w:anchor="page675">
        <w:r>
          <w:rPr>
            <w:rFonts w:ascii="Arial" w:cs="Arial" w:eastAsia="Arial" w:hAnsi="Arial"/>
            <w:sz w:val="14"/>
            <w:szCs w:val="14"/>
            <w:u w:val="single" w:color="auto"/>
            <w:color w:val="0000EE"/>
          </w:rPr>
          <w:t>Loan and Security Agreement, by and between Century Therapeutics, Inc. and Hercules Capital, Inc.,</w:t>
        </w:r>
      </w:hyperlink>
      <w:r>
        <w:rPr>
          <w:rFonts w:ascii="Arial" w:cs="Arial" w:eastAsia="Arial" w:hAnsi="Arial"/>
          <w:sz w:val="14"/>
          <w:szCs w:val="14"/>
          <w:color w:val="auto"/>
        </w:rPr>
        <w:t xml:space="preserve"> </w:t>
      </w:r>
      <w:hyperlink w:anchor="page675">
        <w:r>
          <w:rPr>
            <w:rFonts w:ascii="Arial" w:cs="Arial" w:eastAsia="Arial" w:hAnsi="Arial"/>
            <w:sz w:val="14"/>
            <w:szCs w:val="14"/>
            <w:u w:val="single" w:color="auto"/>
            <w:color w:val="0000EE"/>
          </w:rPr>
          <w:t>dated September 14, 2020</w:t>
        </w:r>
      </w:hyperlink>
    </w:p>
    <w:p>
      <w:pPr>
        <w:spacing w:after="0" w:line="1"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10.27*  </w:t>
      </w:r>
      <w:hyperlink w:anchor="page759">
        <w:r>
          <w:rPr>
            <w:rFonts w:ascii="Arial" w:cs="Arial" w:eastAsia="Arial" w:hAnsi="Arial"/>
            <w:sz w:val="14"/>
            <w:szCs w:val="14"/>
            <w:u w:val="single" w:color="auto"/>
            <w:color w:val="0000EE"/>
          </w:rPr>
          <w:t>Sublicense Agreement, by and between iCELL Inc. and Century Therapeutics, Inc., dated March 20,</w:t>
        </w:r>
      </w:hyperlink>
    </w:p>
    <w:p>
      <w:pPr>
        <w:spacing w:after="0" w:line="12" w:lineRule="exact"/>
        <w:rPr>
          <w:sz w:val="20"/>
          <w:szCs w:val="20"/>
          <w:color w:val="auto"/>
        </w:rPr>
      </w:pPr>
    </w:p>
    <w:p>
      <w:pPr>
        <w:ind w:left="1800"/>
        <w:spacing w:after="0"/>
        <w:rPr>
          <w:rFonts w:ascii="Arial" w:cs="Arial" w:eastAsia="Arial" w:hAnsi="Arial"/>
          <w:sz w:val="14"/>
          <w:szCs w:val="14"/>
          <w:u w:val="single" w:color="auto"/>
          <w:color w:val="0000EE"/>
        </w:rPr>
      </w:pPr>
      <w:hyperlink w:anchor="page759">
        <w:r>
          <w:rPr>
            <w:rFonts w:ascii="Arial" w:cs="Arial" w:eastAsia="Arial" w:hAnsi="Arial"/>
            <w:sz w:val="14"/>
            <w:szCs w:val="14"/>
            <w:u w:val="single" w:color="auto"/>
            <w:color w:val="0000EE"/>
          </w:rPr>
          <w:t>2020</w:t>
        </w:r>
      </w:hyperlink>
    </w:p>
    <w:p>
      <w:pPr>
        <w:spacing w:after="0" w:line="33" w:lineRule="exact"/>
        <w:rPr>
          <w:sz w:val="20"/>
          <w:szCs w:val="20"/>
          <w:color w:val="auto"/>
        </w:rPr>
      </w:pPr>
    </w:p>
    <w:p>
      <w:pPr>
        <w:ind w:left="1800" w:right="479" w:hanging="523"/>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10.28* </w:t>
      </w:r>
      <w:hyperlink w:anchor="page773">
        <w:r>
          <w:rPr>
            <w:rFonts w:ascii="Arial" w:cs="Arial" w:eastAsia="Arial" w:hAnsi="Arial"/>
            <w:sz w:val="14"/>
            <w:szCs w:val="14"/>
            <w:u w:val="single" w:color="auto"/>
            <w:color w:val="0000EE"/>
          </w:rPr>
          <w:t>License Agreement, by and among the Governing Council of the University of Toronto, the McMaster</w:t>
        </w:r>
      </w:hyperlink>
      <w:r>
        <w:rPr>
          <w:rFonts w:ascii="Arial" w:cs="Arial" w:eastAsia="Arial" w:hAnsi="Arial"/>
          <w:sz w:val="14"/>
          <w:szCs w:val="14"/>
          <w:color w:val="auto"/>
        </w:rPr>
        <w:t xml:space="preserve"> </w:t>
      </w:r>
      <w:hyperlink w:anchor="page773">
        <w:r>
          <w:rPr>
            <w:rFonts w:ascii="Arial" w:cs="Arial" w:eastAsia="Arial" w:hAnsi="Arial"/>
            <w:sz w:val="14"/>
            <w:szCs w:val="14"/>
            <w:u w:val="single" w:color="auto"/>
            <w:color w:val="0000EE"/>
          </w:rPr>
          <w:t>University and Empirica Therapeutics, dated January 22, 2019</w:t>
        </w:r>
      </w:hyperlink>
    </w:p>
    <w:p>
      <w:pPr>
        <w:spacing w:after="0" w:line="1" w:lineRule="exact"/>
        <w:rPr>
          <w:sz w:val="20"/>
          <w:szCs w:val="20"/>
          <w:color w:val="auto"/>
        </w:rPr>
      </w:pPr>
    </w:p>
    <w:p>
      <w:pPr>
        <w:ind w:left="1340"/>
        <w:spacing w:after="0"/>
        <w:rPr>
          <w:rFonts w:ascii="Arial" w:cs="Arial" w:eastAsia="Arial" w:hAnsi="Arial"/>
          <w:sz w:val="14"/>
          <w:szCs w:val="14"/>
          <w:color w:val="auto"/>
        </w:rPr>
      </w:pPr>
      <w:r>
        <w:rPr>
          <w:rFonts w:ascii="Arial" w:cs="Arial" w:eastAsia="Arial" w:hAnsi="Arial"/>
          <w:sz w:val="14"/>
          <w:szCs w:val="14"/>
          <w:color w:val="auto"/>
        </w:rPr>
        <w:t xml:space="preserve">10.29  </w:t>
      </w:r>
      <w:hyperlink w:anchor="page805">
        <w:r>
          <w:rPr>
            <w:rFonts w:ascii="Arial" w:cs="Arial" w:eastAsia="Arial" w:hAnsi="Arial"/>
            <w:sz w:val="14"/>
            <w:szCs w:val="14"/>
            <w:u w:val="single" w:color="auto"/>
            <w:color w:val="0000EE"/>
          </w:rPr>
          <w:t>License Agreement, by and between Inscripta, Inc. and Century Therapeutics, Inc., dated January 1,</w:t>
        </w:r>
      </w:hyperlink>
    </w:p>
    <w:p>
      <w:pPr>
        <w:spacing w:after="0" w:line="12" w:lineRule="exact"/>
        <w:rPr>
          <w:sz w:val="20"/>
          <w:szCs w:val="20"/>
          <w:color w:val="auto"/>
        </w:rPr>
      </w:pPr>
    </w:p>
    <w:p>
      <w:pPr>
        <w:ind w:left="1800"/>
        <w:spacing w:after="0"/>
        <w:rPr>
          <w:rFonts w:ascii="Arial" w:cs="Arial" w:eastAsia="Arial" w:hAnsi="Arial"/>
          <w:sz w:val="14"/>
          <w:szCs w:val="14"/>
          <w:u w:val="single" w:color="auto"/>
          <w:color w:val="0000EE"/>
        </w:rPr>
      </w:pPr>
      <w:hyperlink w:anchor="page805">
        <w:r>
          <w:rPr>
            <w:rFonts w:ascii="Arial" w:cs="Arial" w:eastAsia="Arial" w:hAnsi="Arial"/>
            <w:sz w:val="14"/>
            <w:szCs w:val="14"/>
            <w:u w:val="single" w:color="auto"/>
            <w:color w:val="0000EE"/>
          </w:rPr>
          <w:t>2019</w:t>
        </w:r>
      </w:hyperlink>
    </w:p>
    <w:p>
      <w:pPr>
        <w:spacing w:after="0" w:line="33" w:lineRule="exact"/>
        <w:rPr>
          <w:sz w:val="20"/>
          <w:szCs w:val="20"/>
          <w:color w:val="auto"/>
        </w:rPr>
      </w:pPr>
    </w:p>
    <w:p>
      <w:pPr>
        <w:ind w:left="1800" w:right="479" w:hanging="517"/>
        <w:spacing w:after="0" w:line="273"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10.30• </w:t>
      </w:r>
      <w:hyperlink w:anchor="page806">
        <w:r>
          <w:rPr>
            <w:rFonts w:ascii="Arial" w:cs="Arial" w:eastAsia="Arial" w:hAnsi="Arial"/>
            <w:sz w:val="14"/>
            <w:szCs w:val="14"/>
            <w:u w:val="single" w:color="auto"/>
            <w:color w:val="0000EE"/>
          </w:rPr>
          <w:t>Executive Employment Agreement, by and between the Registrant and Osvaldo Flores, Ph.D., dated</w:t>
        </w:r>
      </w:hyperlink>
      <w:r>
        <w:rPr>
          <w:rFonts w:ascii="Arial" w:cs="Arial" w:eastAsia="Arial" w:hAnsi="Arial"/>
          <w:sz w:val="14"/>
          <w:szCs w:val="14"/>
          <w:color w:val="auto"/>
        </w:rPr>
        <w:t xml:space="preserve"> </w:t>
      </w:r>
      <w:hyperlink w:anchor="page806">
        <w:r>
          <w:rPr>
            <w:rFonts w:ascii="Arial" w:cs="Arial" w:eastAsia="Arial" w:hAnsi="Arial"/>
            <w:sz w:val="14"/>
            <w:szCs w:val="14"/>
            <w:u w:val="single" w:color="auto"/>
            <w:color w:val="0000EE"/>
          </w:rPr>
          <w:t>May 26, 2021</w:t>
        </w:r>
      </w:hyperlink>
    </w:p>
    <w:p>
      <w:pPr>
        <w:spacing w:after="0" w:line="1" w:lineRule="exact"/>
        <w:rPr>
          <w:sz w:val="20"/>
          <w:szCs w:val="20"/>
          <w:color w:val="auto"/>
        </w:rPr>
      </w:pPr>
    </w:p>
    <w:p>
      <w:pPr>
        <w:ind w:left="1800" w:right="639" w:hanging="517"/>
        <w:spacing w:after="0" w:line="274"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10.31• </w:t>
      </w:r>
      <w:hyperlink w:anchor="page816">
        <w:r>
          <w:rPr>
            <w:rFonts w:ascii="Arial" w:cs="Arial" w:eastAsia="Arial" w:hAnsi="Arial"/>
            <w:sz w:val="14"/>
            <w:szCs w:val="14"/>
            <w:u w:val="single" w:color="auto"/>
            <w:color w:val="0000EE"/>
          </w:rPr>
          <w:t>Executive Employment Agreement, by and between the Registrant and Michael Diem, M.D., dated</w:t>
        </w:r>
      </w:hyperlink>
      <w:r>
        <w:rPr>
          <w:rFonts w:ascii="Arial" w:cs="Arial" w:eastAsia="Arial" w:hAnsi="Arial"/>
          <w:sz w:val="14"/>
          <w:szCs w:val="14"/>
          <w:color w:val="auto"/>
        </w:rPr>
        <w:t xml:space="preserve"> </w:t>
      </w:r>
      <w:hyperlink w:anchor="page816">
        <w:r>
          <w:rPr>
            <w:rFonts w:ascii="Arial" w:cs="Arial" w:eastAsia="Arial" w:hAnsi="Arial"/>
            <w:sz w:val="14"/>
            <w:szCs w:val="14"/>
            <w:u w:val="single" w:color="auto"/>
            <w:color w:val="0000EE"/>
          </w:rPr>
          <w:t>May 26, 2021</w:t>
        </w:r>
      </w:hyperlink>
    </w:p>
    <w:p>
      <w:pPr>
        <w:spacing w:after="0" w:line="10" w:lineRule="exact"/>
        <w:rPr>
          <w:sz w:val="20"/>
          <w:szCs w:val="20"/>
          <w:color w:val="auto"/>
        </w:rPr>
      </w:pPr>
    </w:p>
    <w:p>
      <w:pPr>
        <w:ind w:left="1800" w:right="579" w:hanging="517"/>
        <w:spacing w:after="0" w:line="274"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10.32• </w:t>
      </w:r>
      <w:hyperlink w:anchor="page827">
        <w:r>
          <w:rPr>
            <w:rFonts w:ascii="Arial" w:cs="Arial" w:eastAsia="Arial" w:hAnsi="Arial"/>
            <w:sz w:val="14"/>
            <w:szCs w:val="14"/>
            <w:u w:val="single" w:color="auto"/>
            <w:color w:val="0000EE"/>
          </w:rPr>
          <w:t>Executive Employment Agreement, by and between the Registrant and Hyam Levitsky, M.D., dated</w:t>
        </w:r>
      </w:hyperlink>
      <w:r>
        <w:rPr>
          <w:rFonts w:ascii="Arial" w:cs="Arial" w:eastAsia="Arial" w:hAnsi="Arial"/>
          <w:sz w:val="14"/>
          <w:szCs w:val="14"/>
          <w:color w:val="auto"/>
        </w:rPr>
        <w:t xml:space="preserve"> </w:t>
      </w:r>
      <w:hyperlink w:anchor="page827">
        <w:r>
          <w:rPr>
            <w:rFonts w:ascii="Arial" w:cs="Arial" w:eastAsia="Arial" w:hAnsi="Arial"/>
            <w:sz w:val="14"/>
            <w:szCs w:val="14"/>
            <w:u w:val="single" w:color="auto"/>
            <w:color w:val="0000EE"/>
          </w:rPr>
          <w:t>May 26, 2021</w:t>
        </w:r>
      </w:hyperlink>
    </w:p>
    <w:p>
      <w:pPr>
        <w:spacing w:after="0" w:line="10" w:lineRule="exact"/>
        <w:rPr>
          <w:sz w:val="20"/>
          <w:szCs w:val="20"/>
          <w:color w:val="auto"/>
        </w:rPr>
      </w:pPr>
    </w:p>
    <w:p>
      <w:pPr>
        <w:ind w:left="1800" w:right="699" w:hanging="539"/>
        <w:spacing w:after="0" w:line="274"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10.33• </w:t>
      </w:r>
      <w:hyperlink w:anchor="page837">
        <w:r>
          <w:rPr>
            <w:rFonts w:ascii="Arial" w:cs="Arial" w:eastAsia="Arial" w:hAnsi="Arial"/>
            <w:sz w:val="14"/>
            <w:szCs w:val="14"/>
            <w:u w:val="single" w:color="auto"/>
            <w:color w:val="0000EE"/>
          </w:rPr>
          <w:t>Executive Employment Agreement, by and between the Registrant and Luis Borges, Ph.D., dated</w:t>
        </w:r>
      </w:hyperlink>
      <w:r>
        <w:rPr>
          <w:rFonts w:ascii="Arial" w:cs="Arial" w:eastAsia="Arial" w:hAnsi="Arial"/>
          <w:sz w:val="14"/>
          <w:szCs w:val="14"/>
          <w:color w:val="auto"/>
        </w:rPr>
        <w:t xml:space="preserve"> </w:t>
      </w:r>
      <w:hyperlink w:anchor="page837">
        <w:r>
          <w:rPr>
            <w:rFonts w:ascii="Arial" w:cs="Arial" w:eastAsia="Arial" w:hAnsi="Arial"/>
            <w:sz w:val="14"/>
            <w:szCs w:val="14"/>
            <w:u w:val="single" w:color="auto"/>
            <w:color w:val="0000EE"/>
          </w:rPr>
          <w:t>May 26, 2021</w:t>
        </w:r>
      </w:hyperlink>
    </w:p>
    <w:p>
      <w:pPr>
        <w:spacing w:after="0" w:line="10" w:lineRule="exact"/>
        <w:rPr>
          <w:sz w:val="20"/>
          <w:szCs w:val="20"/>
          <w:color w:val="auto"/>
        </w:rPr>
      </w:pPr>
    </w:p>
    <w:p>
      <w:pPr>
        <w:ind w:left="1800" w:right="499" w:hanging="539"/>
        <w:spacing w:after="0" w:line="274"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10.34• </w:t>
      </w:r>
      <w:hyperlink w:anchor="page847">
        <w:r>
          <w:rPr>
            <w:rFonts w:ascii="Arial" w:cs="Arial" w:eastAsia="Arial" w:hAnsi="Arial"/>
            <w:sz w:val="14"/>
            <w:szCs w:val="14"/>
            <w:u w:val="single" w:color="auto"/>
            <w:color w:val="0000EE"/>
          </w:rPr>
          <w:t>Executive Employment Agreement, by and between the Registrant and Adrienne Farid, Ph.D., dated</w:t>
        </w:r>
      </w:hyperlink>
      <w:r>
        <w:rPr>
          <w:rFonts w:ascii="Arial" w:cs="Arial" w:eastAsia="Arial" w:hAnsi="Arial"/>
          <w:sz w:val="14"/>
          <w:szCs w:val="14"/>
          <w:color w:val="auto"/>
        </w:rPr>
        <w:t xml:space="preserve"> </w:t>
      </w:r>
      <w:hyperlink w:anchor="page847">
        <w:r>
          <w:rPr>
            <w:rFonts w:ascii="Arial" w:cs="Arial" w:eastAsia="Arial" w:hAnsi="Arial"/>
            <w:sz w:val="14"/>
            <w:szCs w:val="14"/>
            <w:u w:val="single" w:color="auto"/>
            <w:color w:val="0000EE"/>
          </w:rPr>
          <w:t>May 26, 2021</w:t>
        </w:r>
      </w:hyperlink>
    </w:p>
    <w:p>
      <w:pPr>
        <w:spacing w:after="0" w:line="10" w:lineRule="exact"/>
        <w:rPr>
          <w:sz w:val="20"/>
          <w:szCs w:val="20"/>
          <w:color w:val="auto"/>
        </w:rPr>
      </w:pPr>
    </w:p>
    <w:p>
      <w:pPr>
        <w:ind w:left="1800" w:right="359" w:hanging="539"/>
        <w:spacing w:after="0" w:line="274" w:lineRule="auto"/>
        <w:rPr>
          <w:rFonts w:ascii="Arial" w:cs="Arial" w:eastAsia="Arial" w:hAnsi="Arial"/>
          <w:sz w:val="14"/>
          <w:szCs w:val="14"/>
          <w:u w:val="single" w:color="auto"/>
          <w:color w:val="0000EE"/>
        </w:rPr>
      </w:pPr>
      <w:r>
        <w:rPr>
          <w:rFonts w:ascii="Arial" w:cs="Arial" w:eastAsia="Arial" w:hAnsi="Arial"/>
          <w:sz w:val="14"/>
          <w:szCs w:val="14"/>
          <w:color w:val="auto"/>
        </w:rPr>
        <w:t xml:space="preserve">10.35• </w:t>
      </w:r>
      <w:hyperlink w:anchor="page857">
        <w:r>
          <w:rPr>
            <w:rFonts w:ascii="Arial" w:cs="Arial" w:eastAsia="Arial" w:hAnsi="Arial"/>
            <w:sz w:val="14"/>
            <w:szCs w:val="14"/>
            <w:u w:val="single" w:color="auto"/>
            <w:color w:val="0000EE"/>
          </w:rPr>
          <w:t>Executive Employment Agreement, by and between the Registrant and Gregory Russotti, Ph.D., dated</w:t>
        </w:r>
      </w:hyperlink>
      <w:r>
        <w:rPr>
          <w:rFonts w:ascii="Arial" w:cs="Arial" w:eastAsia="Arial" w:hAnsi="Arial"/>
          <w:sz w:val="14"/>
          <w:szCs w:val="14"/>
          <w:color w:val="auto"/>
        </w:rPr>
        <w:t xml:space="preserve"> </w:t>
      </w:r>
      <w:hyperlink w:anchor="page857">
        <w:r>
          <w:rPr>
            <w:rFonts w:ascii="Arial" w:cs="Arial" w:eastAsia="Arial" w:hAnsi="Arial"/>
            <w:sz w:val="14"/>
            <w:szCs w:val="14"/>
            <w:u w:val="single" w:color="auto"/>
            <w:color w:val="0000EE"/>
          </w:rPr>
          <w:t>May 26, 2021</w:t>
        </w:r>
      </w:hyperlink>
    </w:p>
    <w:p>
      <w:pPr>
        <w:spacing w:after="0" w:line="21"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10.36•  </w:t>
      </w:r>
      <w:hyperlink w:anchor="page867">
        <w:r>
          <w:rPr>
            <w:rFonts w:ascii="Arial" w:cs="Arial" w:eastAsia="Arial" w:hAnsi="Arial"/>
            <w:sz w:val="14"/>
            <w:szCs w:val="14"/>
            <w:u w:val="single" w:color="auto"/>
            <w:color w:val="0000EE"/>
          </w:rPr>
          <w:t>Offer Letter, by and between the Registrant and Joseph Jimenez, dated February 16, 2021</w:t>
        </w:r>
      </w:hyperlink>
    </w:p>
    <w:p>
      <w:pPr>
        <w:spacing w:after="0" w:line="44" w:lineRule="exact"/>
        <w:rPr>
          <w:sz w:val="20"/>
          <w:szCs w:val="20"/>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 xml:space="preserve">10.37•  </w:t>
      </w:r>
      <w:hyperlink w:anchor="page871">
        <w:r>
          <w:rPr>
            <w:rFonts w:ascii="Arial" w:cs="Arial" w:eastAsia="Arial" w:hAnsi="Arial"/>
            <w:sz w:val="14"/>
            <w:szCs w:val="14"/>
            <w:u w:val="single" w:color="auto"/>
            <w:color w:val="0000EE"/>
          </w:rPr>
          <w:t>Offer Letter, by and between the Registrant and Cynthia Butitta, dated February 25, 2021</w:t>
        </w:r>
      </w:hyperlink>
    </w:p>
    <w:p>
      <w:pPr>
        <w:spacing w:after="0" w:line="44"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10.38•  </w:t>
      </w:r>
      <w:hyperlink w:anchor="page875">
        <w:r>
          <w:rPr>
            <w:rFonts w:ascii="Arial" w:cs="Arial" w:eastAsia="Arial" w:hAnsi="Arial"/>
            <w:sz w:val="14"/>
            <w:szCs w:val="14"/>
            <w:u w:val="single" w:color="auto"/>
            <w:color w:val="0000EE"/>
          </w:rPr>
          <w:t>Offer Letter, by and between the Registrant and Kimberly Blackwell, M.D., dated May 19, 2021</w:t>
        </w:r>
      </w:hyperlink>
    </w:p>
    <w:p>
      <w:pPr>
        <w:spacing w:after="0" w:line="44" w:lineRule="exact"/>
        <w:rPr>
          <w:sz w:val="20"/>
          <w:szCs w:val="20"/>
          <w:color w:val="auto"/>
        </w:rPr>
      </w:pPr>
    </w:p>
    <w:p>
      <w:pPr>
        <w:ind w:left="1260"/>
        <w:spacing w:after="0"/>
        <w:rPr>
          <w:rFonts w:ascii="Arial" w:cs="Arial" w:eastAsia="Arial" w:hAnsi="Arial"/>
          <w:sz w:val="14"/>
          <w:szCs w:val="14"/>
          <w:color w:val="auto"/>
        </w:rPr>
      </w:pPr>
      <w:r>
        <w:rPr>
          <w:rFonts w:ascii="Arial" w:cs="Arial" w:eastAsia="Arial" w:hAnsi="Arial"/>
          <w:sz w:val="14"/>
          <w:szCs w:val="14"/>
          <w:color w:val="auto"/>
        </w:rPr>
        <w:t xml:space="preserve">10.39•  </w:t>
      </w:r>
      <w:hyperlink w:anchor="page879">
        <w:r>
          <w:rPr>
            <w:rFonts w:ascii="Arial" w:cs="Arial" w:eastAsia="Arial" w:hAnsi="Arial"/>
            <w:sz w:val="14"/>
            <w:szCs w:val="14"/>
            <w:u w:val="single" w:color="auto"/>
            <w:color w:val="0000EE"/>
          </w:rPr>
          <w:t>Offer Letter, by and between the Registrant and Alessandro Riva, M.D., dated May 19, 2021</w:t>
        </w:r>
      </w:hyperlink>
    </w:p>
    <w:p>
      <w:pPr>
        <w:spacing w:after="0" w:line="44" w:lineRule="exact"/>
        <w:rPr>
          <w:sz w:val="20"/>
          <w:szCs w:val="20"/>
          <w:color w:val="auto"/>
        </w:rPr>
      </w:pPr>
    </w:p>
    <w:p>
      <w:pPr>
        <w:ind w:left="1420"/>
        <w:spacing w:after="0"/>
        <w:rPr>
          <w:rFonts w:ascii="Arial" w:cs="Arial" w:eastAsia="Arial" w:hAnsi="Arial"/>
          <w:sz w:val="14"/>
          <w:szCs w:val="14"/>
          <w:color w:val="auto"/>
        </w:rPr>
      </w:pPr>
      <w:r>
        <w:rPr>
          <w:rFonts w:ascii="Arial" w:cs="Arial" w:eastAsia="Arial" w:hAnsi="Arial"/>
          <w:sz w:val="14"/>
          <w:szCs w:val="14"/>
          <w:color w:val="auto"/>
        </w:rPr>
        <w:t xml:space="preserve">21.1  </w:t>
      </w:r>
      <w:hyperlink w:anchor="page883">
        <w:r>
          <w:rPr>
            <w:rFonts w:ascii="Arial" w:cs="Arial" w:eastAsia="Arial" w:hAnsi="Arial"/>
            <w:sz w:val="14"/>
            <w:szCs w:val="14"/>
            <w:u w:val="single" w:color="auto"/>
            <w:color w:val="0000EE"/>
          </w:rPr>
          <w:t>Subsidiaries of the Registrant</w:t>
        </w:r>
      </w:hyperlink>
    </w:p>
    <w:p>
      <w:pPr>
        <w:spacing w:after="0" w:line="44" w:lineRule="exact"/>
        <w:rPr>
          <w:sz w:val="20"/>
          <w:szCs w:val="20"/>
          <w:color w:val="auto"/>
        </w:rPr>
      </w:pPr>
    </w:p>
    <w:p>
      <w:pPr>
        <w:ind w:left="1420"/>
        <w:spacing w:after="0"/>
        <w:rPr>
          <w:rFonts w:ascii="Arial" w:cs="Arial" w:eastAsia="Arial" w:hAnsi="Arial"/>
          <w:sz w:val="14"/>
          <w:szCs w:val="14"/>
          <w:color w:val="auto"/>
        </w:rPr>
      </w:pPr>
      <w:r>
        <w:rPr>
          <w:rFonts w:ascii="Arial" w:cs="Arial" w:eastAsia="Arial" w:hAnsi="Arial"/>
          <w:sz w:val="14"/>
          <w:szCs w:val="14"/>
          <w:color w:val="auto"/>
        </w:rPr>
        <w:t xml:space="preserve">23.1  </w:t>
      </w:r>
      <w:hyperlink w:anchor="page884">
        <w:r>
          <w:rPr>
            <w:rFonts w:ascii="Arial" w:cs="Arial" w:eastAsia="Arial" w:hAnsi="Arial"/>
            <w:sz w:val="14"/>
            <w:szCs w:val="14"/>
            <w:u w:val="single" w:color="auto"/>
            <w:color w:val="0000EE"/>
          </w:rPr>
          <w:t>Consent of Ernst &amp; Young LLP, an Independent Registered Public Accounting Firm</w:t>
        </w:r>
      </w:hyperlink>
    </w:p>
    <w:p>
      <w:pPr>
        <w:spacing w:after="0" w:line="44"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23.2†  Consent of Troutman Pepper Hamilton Sanders LLP (included in Exhibit 5.1)</w:t>
      </w:r>
    </w:p>
    <w:p>
      <w:pPr>
        <w:spacing w:after="0" w:line="44" w:lineRule="exact"/>
        <w:rPr>
          <w:sz w:val="20"/>
          <w:szCs w:val="20"/>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 xml:space="preserve">24.1  </w:t>
      </w:r>
      <w:hyperlink w:anchor="page275">
        <w:r>
          <w:rPr>
            <w:rFonts w:ascii="Arial" w:cs="Arial" w:eastAsia="Arial" w:hAnsi="Arial"/>
            <w:sz w:val="14"/>
            <w:szCs w:val="14"/>
            <w:u w:val="single" w:color="auto"/>
            <w:color w:val="0000EE"/>
          </w:rPr>
          <w:t>Power of Attorney (included on the signature page to this Registration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986790"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86790" cy="6985"/>
                    </a:xfrm>
                    <a:prstGeom prst="rect">
                      <a:avLst/>
                    </a:prstGeom>
                    <a:noFill/>
                  </pic:spPr>
                </pic:pic>
              </a:graphicData>
            </a:graphic>
          </wp:anchor>
        </w:drawing>
      </w:r>
    </w:p>
    <w:p>
      <w:pPr>
        <w:spacing w:after="0" w:line="240" w:lineRule="exact"/>
        <w:rPr>
          <w:sz w:val="20"/>
          <w:szCs w:val="20"/>
          <w:color w:val="auto"/>
        </w:rPr>
      </w:pPr>
    </w:p>
    <w:p>
      <w:pPr>
        <w:ind w:left="1480" w:hanging="256"/>
        <w:spacing w:after="0"/>
        <w:tabs>
          <w:tab w:leader="none" w:pos="148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To be filed by amendment.</w:t>
      </w:r>
    </w:p>
    <w:p>
      <w:pPr>
        <w:spacing w:after="0" w:line="46" w:lineRule="exact"/>
        <w:rPr>
          <w:sz w:val="20"/>
          <w:szCs w:val="20"/>
          <w:color w:val="auto"/>
        </w:rPr>
      </w:pPr>
    </w:p>
    <w:p>
      <w:pPr>
        <w:ind w:left="1480" w:hanging="256"/>
        <w:spacing w:after="0"/>
        <w:tabs>
          <w:tab w:leader="none" w:pos="148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57" w:lineRule="exact"/>
        <w:rPr>
          <w:sz w:val="20"/>
          <w:szCs w:val="20"/>
          <w:color w:val="auto"/>
        </w:rPr>
      </w:pPr>
    </w:p>
    <w:p>
      <w:pPr>
        <w:ind w:left="1480" w:right="1619" w:hanging="256"/>
        <w:spacing w:after="0" w:line="251" w:lineRule="auto"/>
        <w:tabs>
          <w:tab w:leader="none" w:pos="148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Certain identified information in the exhibit has been omitted because it is the type of information that (i) the Company customarily and actually treats as private and confidential, and (ii) is not material.</w:t>
      </w:r>
    </w:p>
    <w:p>
      <w:pPr>
        <w:spacing w:after="0" w:line="119" w:lineRule="exact"/>
        <w:rPr>
          <w:sz w:val="20"/>
          <w:szCs w:val="20"/>
          <w:color w:val="auto"/>
        </w:rPr>
      </w:pPr>
    </w:p>
    <w:p>
      <w:pPr>
        <w:ind w:left="1600" w:hanging="376"/>
        <w:spacing w:after="0"/>
        <w:tabs>
          <w:tab w:leader="none" w:pos="1600" w:val="left"/>
        </w:tabs>
        <w:numPr>
          <w:ilvl w:val="0"/>
          <w:numId w:val="13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statement schedules.</w:t>
      </w:r>
    </w:p>
    <w:p>
      <w:pPr>
        <w:spacing w:after="0" w:line="136" w:lineRule="exact"/>
        <w:rPr>
          <w:sz w:val="20"/>
          <w:szCs w:val="20"/>
          <w:color w:val="auto"/>
        </w:rPr>
      </w:pPr>
    </w:p>
    <w:p>
      <w:pPr>
        <w:ind w:left="1220" w:right="1459"/>
        <w:spacing w:after="0" w:line="274" w:lineRule="auto"/>
        <w:rPr>
          <w:sz w:val="20"/>
          <w:szCs w:val="20"/>
          <w:color w:val="auto"/>
        </w:rPr>
      </w:pPr>
      <w:r>
        <w:rPr>
          <w:rFonts w:ascii="Arial" w:cs="Arial" w:eastAsia="Arial" w:hAnsi="Arial"/>
          <w:sz w:val="14"/>
          <w:szCs w:val="14"/>
          <w:color w:val="auto"/>
        </w:rPr>
        <w:t>Schedules not listed above have been omitted because the information required to be set forth therein is not applicable or is shown in the consolidated financial statements or notes thereto.</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17. Undertakings.</w:t>
      </w:r>
    </w:p>
    <w:p>
      <w:pPr>
        <w:spacing w:after="0" w:line="122"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73" w:name="page274"/>
    <w:bookmarkEnd w:id="273"/>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4" w:name="page275"/>
    <w:bookmarkEnd w:id="274"/>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undersigned Registrant hereby undertakes that:</w:t>
      </w:r>
    </w:p>
    <w:p>
      <w:pPr>
        <w:spacing w:after="0" w:line="130" w:lineRule="exact"/>
        <w:rPr>
          <w:sz w:val="20"/>
          <w:szCs w:val="20"/>
          <w:color w:val="auto"/>
        </w:rPr>
      </w:pPr>
    </w:p>
    <w:p>
      <w:pPr>
        <w:ind w:left="1480" w:right="1539" w:hanging="256"/>
        <w:spacing w:after="0" w:line="277" w:lineRule="auto"/>
        <w:tabs>
          <w:tab w:leader="none" w:pos="14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4"/>
          <w:szCs w:val="14"/>
          <w:color w:val="auto"/>
        </w:rPr>
      </w:pPr>
    </w:p>
    <w:p>
      <w:pPr>
        <w:ind w:left="1480" w:right="1359" w:hanging="256"/>
        <w:spacing w:after="0" w:line="278" w:lineRule="auto"/>
        <w:tabs>
          <w:tab w:leader="none" w:pos="14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5" w:name="page276"/>
    <w:bookmarkEnd w:id="275"/>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Signatures</w:t>
      </w:r>
    </w:p>
    <w:p>
      <w:pPr>
        <w:spacing w:after="0" w:line="133" w:lineRule="exact"/>
        <w:rPr>
          <w:sz w:val="20"/>
          <w:szCs w:val="20"/>
          <w:color w:val="auto"/>
        </w:rPr>
      </w:pPr>
    </w:p>
    <w:p>
      <w:pPr>
        <w:ind w:left="1220" w:right="1239"/>
        <w:spacing w:after="0" w:line="283"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on Form S-1 to be signed on its behalf by the undersigned, thereunto duly authorized, in the City of Philadelphia, Commonwealth of Pennsylvania on May 28, 2021.</w:t>
      </w:r>
    </w:p>
    <w:p>
      <w:pPr>
        <w:spacing w:after="0" w:line="265"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CENTURY THERAPEUTICS, INC.</w:t>
      </w:r>
    </w:p>
    <w:p>
      <w:pPr>
        <w:spacing w:after="0" w:line="213"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41910</wp:posOffset>
            </wp:positionV>
            <wp:extent cx="2028190"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028190" cy="6985"/>
                    </a:xfrm>
                    <a:prstGeom prst="rect">
                      <a:avLst/>
                    </a:prstGeom>
                    <a:noFill/>
                  </pic:spPr>
                </pic:pic>
              </a:graphicData>
            </a:graphic>
          </wp:anchor>
        </w:drawing>
      </w:r>
    </w:p>
    <w:p>
      <w:pPr>
        <w:spacing w:after="0" w:line="132"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Osvaldo Flores, Ph.D.</w:t>
      </w:r>
    </w:p>
    <w:p>
      <w:pPr>
        <w:spacing w:after="0" w:line="11" w:lineRule="exact"/>
        <w:rPr>
          <w:sz w:val="20"/>
          <w:szCs w:val="20"/>
          <w:color w:val="auto"/>
        </w:rPr>
      </w:pPr>
    </w:p>
    <w:p>
      <w:pPr>
        <w:ind w:left="460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5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Power of attorney</w:t>
      </w:r>
    </w:p>
    <w:p>
      <w:pPr>
        <w:spacing w:after="0" w:line="144"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KNOW ALL BY THESE PRESENTS, that each person whose signature appears below constitutes and appoints Osvaldo Flores, Ph.D. and Michael Diem, M.D.,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286" w:lineRule="exact"/>
        <w:rPr>
          <w:sz w:val="20"/>
          <w:szCs w:val="20"/>
          <w:color w:val="auto"/>
        </w:rPr>
      </w:pPr>
    </w:p>
    <w:p>
      <w:pPr>
        <w:ind w:left="1220" w:right="1499"/>
        <w:spacing w:after="0" w:line="295" w:lineRule="auto"/>
        <w:rPr>
          <w:sz w:val="20"/>
          <w:szCs w:val="20"/>
          <w:color w:val="auto"/>
        </w:rPr>
      </w:pPr>
      <w:r>
        <w:rPr>
          <w:rFonts w:ascii="Arial" w:cs="Arial" w:eastAsia="Arial" w:hAnsi="Arial"/>
          <w:sz w:val="14"/>
          <w:szCs w:val="14"/>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194310</wp:posOffset>
            </wp:positionV>
            <wp:extent cx="4165600" cy="139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315"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b w:val="1"/>
                <w:bCs w:val="1"/>
                <w:color w:val="auto"/>
              </w:rPr>
              <w:t>Signature</w:t>
            </w:r>
          </w:p>
        </w:tc>
        <w:tc>
          <w:tcPr>
            <w:tcW w:w="3700" w:type="dxa"/>
            <w:vAlign w:val="bottom"/>
            <w:tcBorders>
              <w:bottom w:val="single" w:sz="8" w:color="auto"/>
            </w:tcBorders>
          </w:tcPr>
          <w:p>
            <w:pPr>
              <w:jc w:val="center"/>
              <w:ind w:left="109"/>
              <w:spacing w:after="0"/>
              <w:rPr>
                <w:sz w:val="20"/>
                <w:szCs w:val="20"/>
                <w:color w:val="auto"/>
              </w:rPr>
            </w:pPr>
            <w:r>
              <w:rPr>
                <w:rFonts w:ascii="Arial" w:cs="Arial" w:eastAsia="Arial" w:hAnsi="Arial"/>
                <w:sz w:val="13"/>
                <w:szCs w:val="13"/>
                <w:b w:val="1"/>
                <w:bCs w:val="1"/>
                <w:color w:val="auto"/>
              </w:rPr>
              <w:t>Title</w:t>
            </w:r>
          </w:p>
        </w:tc>
        <w:tc>
          <w:tcPr>
            <w:tcW w:w="1120" w:type="dxa"/>
            <w:vAlign w:val="bottom"/>
            <w:tcBorders>
              <w:bottom w:val="single" w:sz="8" w:color="auto"/>
            </w:tcBorders>
          </w:tcPr>
          <w:p>
            <w:pPr>
              <w:jc w:val="center"/>
              <w:ind w:left="109"/>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300"/>
        </w:trPr>
        <w:tc>
          <w:tcPr>
            <w:tcW w:w="17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/s/ Osvaldo Flores, Ph.D.</w:t>
            </w:r>
          </w:p>
        </w:tc>
        <w:tc>
          <w:tcPr>
            <w:tcW w:w="3700" w:type="dxa"/>
            <w:vAlign w:val="bottom"/>
            <w:tcBorders>
              <w:bottom w:val="single" w:sz="8" w:color="CCEEFF"/>
            </w:tcBorders>
            <w:shd w:val="clear" w:color="auto" w:fill="CCEEFF"/>
          </w:tcPr>
          <w:p>
            <w:pPr>
              <w:jc w:val="center"/>
              <w:ind w:left="49"/>
              <w:spacing w:after="0"/>
              <w:rPr>
                <w:sz w:val="20"/>
                <w:szCs w:val="20"/>
                <w:color w:val="auto"/>
              </w:rPr>
            </w:pPr>
            <w:r>
              <w:rPr>
                <w:rFonts w:ascii="Arial" w:cs="Arial" w:eastAsia="Arial" w:hAnsi="Arial"/>
                <w:sz w:val="14"/>
                <w:szCs w:val="14"/>
                <w:color w:val="auto"/>
              </w:rPr>
              <w:t>President, Chief Executive Officer and Director</w:t>
            </w:r>
          </w:p>
        </w:tc>
        <w:tc>
          <w:tcPr>
            <w:tcW w:w="1120" w:type="dxa"/>
            <w:vAlign w:val="bottom"/>
            <w:tcBorders>
              <w:bottom w:val="single" w:sz="8" w:color="CCEEFF"/>
            </w:tcBorders>
            <w:vMerge w:val="restart"/>
            <w:shd w:val="clear" w:color="auto" w:fill="CCEEFF"/>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54"/>
        </w:trPr>
        <w:tc>
          <w:tcPr>
            <w:tcW w:w="1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Osvaldo Flores, Ph.D.</w:t>
            </w:r>
          </w:p>
        </w:tc>
        <w:tc>
          <w:tcPr>
            <w:tcW w:w="3700" w:type="dxa"/>
            <w:vAlign w:val="bottom"/>
            <w:tcBorders>
              <w:top w:val="single" w:sz="8" w:color="CCEEFF"/>
            </w:tcBorders>
            <w:vMerge w:val="restart"/>
            <w:shd w:val="clear" w:color="auto" w:fill="CCEEFF"/>
          </w:tcPr>
          <w:p>
            <w:pPr>
              <w:jc w:val="center"/>
              <w:ind w:left="249"/>
              <w:spacing w:after="0" w:line="141" w:lineRule="exact"/>
              <w:rPr>
                <w:sz w:val="20"/>
                <w:szCs w:val="20"/>
                <w:color w:val="auto"/>
              </w:rPr>
            </w:pPr>
            <w:r>
              <w:rPr>
                <w:rFonts w:ascii="Arial" w:cs="Arial" w:eastAsia="Arial" w:hAnsi="Arial"/>
                <w:sz w:val="14"/>
                <w:szCs w:val="14"/>
                <w:i w:val="1"/>
                <w:iCs w:val="1"/>
                <w:color w:val="auto"/>
              </w:rPr>
              <w:t>(Principal Executive Officer)</w:t>
            </w:r>
          </w:p>
        </w:tc>
        <w:tc>
          <w:tcPr>
            <w:tcW w:w="1120" w:type="dxa"/>
            <w:vAlign w:val="bottom"/>
            <w:tcBorders>
              <w:top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0" w:type="dxa"/>
            <w:vAlign w:val="bottom"/>
            <w:tcBorders>
              <w:bottom w:val="single" w:sz="8" w:color="CCEEFF"/>
            </w:tcBorders>
            <w:shd w:val="clear" w:color="auto" w:fill="CCEEFF"/>
          </w:tcPr>
          <w:p>
            <w:pPr>
              <w:spacing w:after="0"/>
              <w:rPr>
                <w:sz w:val="10"/>
                <w:szCs w:val="10"/>
                <w:color w:val="auto"/>
              </w:rPr>
            </w:pPr>
          </w:p>
        </w:tc>
        <w:tc>
          <w:tcPr>
            <w:tcW w:w="1580" w:type="dxa"/>
            <w:vAlign w:val="bottom"/>
            <w:tcBorders>
              <w:bottom w:val="single" w:sz="8" w:color="auto"/>
            </w:tcBorders>
            <w:vMerge w:val="continue"/>
            <w:shd w:val="clear" w:color="auto" w:fill="CCEEFF"/>
          </w:tcPr>
          <w:p>
            <w:pPr>
              <w:spacing w:after="0"/>
              <w:rPr>
                <w:sz w:val="10"/>
                <w:szCs w:val="10"/>
                <w:color w:val="auto"/>
              </w:rPr>
            </w:pPr>
          </w:p>
        </w:tc>
        <w:tc>
          <w:tcPr>
            <w:tcW w:w="3700" w:type="dxa"/>
            <w:vAlign w:val="bottom"/>
            <w:tcBorders>
              <w:bottom w:val="single" w:sz="8" w:color="CCEEFF"/>
            </w:tcBorders>
            <w:vMerge w:val="continue"/>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740" w:type="dxa"/>
            <w:vAlign w:val="bottom"/>
            <w:gridSpan w:val="2"/>
          </w:tcPr>
          <w:p>
            <w:pPr>
              <w:jc w:val="center"/>
              <w:spacing w:after="0"/>
              <w:rPr>
                <w:sz w:val="20"/>
                <w:szCs w:val="20"/>
                <w:color w:val="auto"/>
              </w:rPr>
            </w:pPr>
            <w:r>
              <w:rPr>
                <w:rFonts w:ascii="Arial" w:cs="Arial" w:eastAsia="Arial" w:hAnsi="Arial"/>
                <w:sz w:val="14"/>
                <w:szCs w:val="14"/>
                <w:color w:val="auto"/>
              </w:rPr>
              <w:t>/s/ Michael Diem, M.D.</w:t>
            </w:r>
          </w:p>
        </w:tc>
        <w:tc>
          <w:tcPr>
            <w:tcW w:w="3700" w:type="dxa"/>
            <w:vAlign w:val="bottom"/>
          </w:tcPr>
          <w:p>
            <w:pPr>
              <w:jc w:val="center"/>
              <w:ind w:left="49"/>
              <w:spacing w:after="0"/>
              <w:rPr>
                <w:sz w:val="20"/>
                <w:szCs w:val="20"/>
                <w:color w:val="auto"/>
              </w:rPr>
            </w:pPr>
            <w:r>
              <w:rPr>
                <w:rFonts w:ascii="Arial" w:cs="Arial" w:eastAsia="Arial" w:hAnsi="Arial"/>
                <w:sz w:val="14"/>
                <w:szCs w:val="14"/>
                <w:color w:val="auto"/>
              </w:rPr>
              <w:t>Chief Business Officer</w:t>
            </w:r>
          </w:p>
        </w:tc>
        <w:tc>
          <w:tcPr>
            <w:tcW w:w="1120" w:type="dxa"/>
            <w:vAlign w:val="bottom"/>
            <w:vMerge w:val="restart"/>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25"/>
        </w:trPr>
        <w:tc>
          <w:tcPr>
            <w:tcW w:w="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700" w:type="dxa"/>
            <w:vAlign w:val="bottom"/>
            <w:vMerge w:val="restart"/>
          </w:tcPr>
          <w:p>
            <w:pPr>
              <w:jc w:val="center"/>
              <w:ind w:left="249"/>
              <w:spacing w:after="0"/>
              <w:rPr>
                <w:sz w:val="20"/>
                <w:szCs w:val="20"/>
                <w:color w:val="auto"/>
              </w:rPr>
            </w:pPr>
            <w:r>
              <w:rPr>
                <w:rFonts w:ascii="Arial" w:cs="Arial" w:eastAsia="Arial" w:hAnsi="Arial"/>
                <w:sz w:val="14"/>
                <w:szCs w:val="14"/>
                <w:i w:val="1"/>
                <w:iCs w:val="1"/>
                <w:color w:val="auto"/>
              </w:rPr>
              <w:t>(Principal Financial Officer)</w:t>
            </w: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Michael Diem, M.D.</w:t>
            </w:r>
          </w:p>
        </w:tc>
        <w:tc>
          <w:tcPr>
            <w:tcW w:w="37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6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rPr>
              <w:t>/s/ Toshikazu Ban</w:t>
            </w:r>
          </w:p>
        </w:tc>
        <w:tc>
          <w:tcPr>
            <w:tcW w:w="370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Director</w:t>
            </w:r>
          </w:p>
        </w:tc>
        <w:tc>
          <w:tcPr>
            <w:tcW w:w="1120" w:type="dxa"/>
            <w:vAlign w:val="bottom"/>
            <w:tcBorders>
              <w:bottom w:val="single" w:sz="8" w:color="CCEEFF"/>
            </w:tcBorders>
            <w:vMerge w:val="restart"/>
            <w:shd w:val="clear" w:color="auto" w:fill="CCEEFF"/>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54"/>
        </w:trPr>
        <w:tc>
          <w:tcPr>
            <w:tcW w:w="1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Toshikazu Ban</w:t>
            </w:r>
          </w:p>
        </w:tc>
        <w:tc>
          <w:tcPr>
            <w:tcW w:w="3700" w:type="dxa"/>
            <w:vAlign w:val="bottom"/>
            <w:tcBorders>
              <w:top w:val="single" w:sz="8" w:color="CCEEFF"/>
            </w:tcBorders>
            <w:vMerge w:val="continue"/>
            <w:shd w:val="clear" w:color="auto" w:fill="CCEEFF"/>
          </w:tcPr>
          <w:p>
            <w:pPr>
              <w:spacing w:after="0"/>
              <w:rPr>
                <w:sz w:val="4"/>
                <w:szCs w:val="4"/>
                <w:color w:val="auto"/>
              </w:rPr>
            </w:pPr>
          </w:p>
        </w:tc>
        <w:tc>
          <w:tcPr>
            <w:tcW w:w="1120" w:type="dxa"/>
            <w:vAlign w:val="bottom"/>
            <w:tcBorders>
              <w:top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740" w:type="dxa"/>
            <w:vAlign w:val="bottom"/>
            <w:gridSpan w:val="2"/>
          </w:tcPr>
          <w:p>
            <w:pPr>
              <w:jc w:val="center"/>
              <w:spacing w:after="0"/>
              <w:rPr>
                <w:sz w:val="20"/>
                <w:szCs w:val="20"/>
                <w:color w:val="auto"/>
              </w:rPr>
            </w:pPr>
            <w:r>
              <w:rPr>
                <w:rFonts w:ascii="Arial" w:cs="Arial" w:eastAsia="Arial" w:hAnsi="Arial"/>
                <w:sz w:val="14"/>
                <w:szCs w:val="14"/>
                <w:color w:val="auto"/>
              </w:rPr>
              <w:t>/s/ Kimberly Blackwell,</w:t>
            </w:r>
          </w:p>
        </w:tc>
        <w:tc>
          <w:tcPr>
            <w:tcW w:w="3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M.D.</w:t>
            </w:r>
          </w:p>
        </w:tc>
        <w:tc>
          <w:tcPr>
            <w:tcW w:w="3700" w:type="dxa"/>
            <w:vAlign w:val="bottom"/>
            <w:vMerge w:val="restart"/>
          </w:tcPr>
          <w:p>
            <w:pPr>
              <w:jc w:val="center"/>
              <w:ind w:left="109"/>
              <w:spacing w:after="0"/>
              <w:rPr>
                <w:sz w:val="20"/>
                <w:szCs w:val="20"/>
                <w:color w:val="auto"/>
              </w:rPr>
            </w:pPr>
            <w:r>
              <w:rPr>
                <w:rFonts w:ascii="Arial" w:cs="Arial" w:eastAsia="Arial" w:hAnsi="Arial"/>
                <w:sz w:val="14"/>
                <w:szCs w:val="14"/>
                <w:color w:val="auto"/>
              </w:rPr>
              <w:t>Director</w:t>
            </w:r>
          </w:p>
        </w:tc>
        <w:tc>
          <w:tcPr>
            <w:tcW w:w="1120" w:type="dxa"/>
            <w:vAlign w:val="bottom"/>
            <w:vMerge w:val="restart"/>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44"/>
        </w:trPr>
        <w:tc>
          <w:tcPr>
            <w:tcW w:w="1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7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Kimberly Blackwell,</w:t>
            </w:r>
          </w:p>
        </w:tc>
        <w:tc>
          <w:tcPr>
            <w:tcW w:w="37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M.D.</w:t>
            </w:r>
          </w:p>
        </w:tc>
        <w:tc>
          <w:tcPr>
            <w:tcW w:w="3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rPr>
              <w:t>/s/ Cynthia Butitta</w:t>
            </w:r>
          </w:p>
        </w:tc>
        <w:tc>
          <w:tcPr>
            <w:tcW w:w="370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Director</w:t>
            </w:r>
          </w:p>
        </w:tc>
        <w:tc>
          <w:tcPr>
            <w:tcW w:w="1120" w:type="dxa"/>
            <w:vAlign w:val="bottom"/>
            <w:tcBorders>
              <w:bottom w:val="single" w:sz="8" w:color="CCEEFF"/>
            </w:tcBorders>
            <w:vMerge w:val="restart"/>
            <w:shd w:val="clear" w:color="auto" w:fill="CCEEFF"/>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54"/>
        </w:trPr>
        <w:tc>
          <w:tcPr>
            <w:tcW w:w="1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Cynthia Butitta</w:t>
            </w:r>
          </w:p>
        </w:tc>
        <w:tc>
          <w:tcPr>
            <w:tcW w:w="3700" w:type="dxa"/>
            <w:vAlign w:val="bottom"/>
            <w:tcBorders>
              <w:top w:val="single" w:sz="8" w:color="CCEEFF"/>
            </w:tcBorders>
            <w:vMerge w:val="continue"/>
            <w:shd w:val="clear" w:color="auto" w:fill="CCEEFF"/>
          </w:tcPr>
          <w:p>
            <w:pPr>
              <w:spacing w:after="0"/>
              <w:rPr>
                <w:sz w:val="4"/>
                <w:szCs w:val="4"/>
                <w:color w:val="auto"/>
              </w:rPr>
            </w:pPr>
          </w:p>
        </w:tc>
        <w:tc>
          <w:tcPr>
            <w:tcW w:w="1120" w:type="dxa"/>
            <w:vAlign w:val="bottom"/>
            <w:tcBorders>
              <w:top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60" w:type="dxa"/>
            <w:vAlign w:val="bottom"/>
          </w:tcPr>
          <w:p>
            <w:pPr>
              <w:spacing w:after="0"/>
              <w:rPr>
                <w:sz w:val="22"/>
                <w:szCs w:val="22"/>
                <w:color w:val="auto"/>
              </w:rPr>
            </w:pP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/s/ Eli Casdin</w:t>
            </w:r>
          </w:p>
        </w:tc>
        <w:tc>
          <w:tcPr>
            <w:tcW w:w="3700" w:type="dxa"/>
            <w:vAlign w:val="bottom"/>
            <w:vMerge w:val="restart"/>
          </w:tcPr>
          <w:p>
            <w:pPr>
              <w:jc w:val="center"/>
              <w:ind w:left="109"/>
              <w:spacing w:after="0"/>
              <w:rPr>
                <w:sz w:val="20"/>
                <w:szCs w:val="20"/>
                <w:color w:val="auto"/>
              </w:rPr>
            </w:pPr>
            <w:r>
              <w:rPr>
                <w:rFonts w:ascii="Arial" w:cs="Arial" w:eastAsia="Arial" w:hAnsi="Arial"/>
                <w:sz w:val="14"/>
                <w:szCs w:val="14"/>
                <w:color w:val="auto"/>
              </w:rPr>
              <w:t>Director</w:t>
            </w:r>
          </w:p>
        </w:tc>
        <w:tc>
          <w:tcPr>
            <w:tcW w:w="1120" w:type="dxa"/>
            <w:vAlign w:val="bottom"/>
            <w:vMerge w:val="restart"/>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44"/>
        </w:trPr>
        <w:tc>
          <w:tcPr>
            <w:tcW w:w="1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7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Eli Casdin</w:t>
            </w:r>
          </w:p>
        </w:tc>
        <w:tc>
          <w:tcPr>
            <w:tcW w:w="37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3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rPr>
              <w:t>/s/ Juergen Eckhardt,</w:t>
            </w:r>
          </w:p>
        </w:tc>
        <w:tc>
          <w:tcPr>
            <w:tcW w:w="37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ind w:right="68"/>
              <w:spacing w:after="0"/>
              <w:rPr>
                <w:sz w:val="20"/>
                <w:szCs w:val="20"/>
                <w:color w:val="auto"/>
              </w:rPr>
            </w:pPr>
            <w:r>
              <w:rPr>
                <w:rFonts w:ascii="Arial" w:cs="Arial" w:eastAsia="Arial" w:hAnsi="Arial"/>
                <w:sz w:val="14"/>
                <w:szCs w:val="14"/>
                <w:color w:val="auto"/>
              </w:rPr>
              <w:t>M.D.</w:t>
            </w:r>
          </w:p>
        </w:tc>
        <w:tc>
          <w:tcPr>
            <w:tcW w:w="3700" w:type="dxa"/>
            <w:vAlign w:val="bottom"/>
            <w:tcBorders>
              <w:bottom w:val="single" w:sz="8" w:color="CCEEFF"/>
            </w:tcBorders>
            <w:vMerge w:val="restart"/>
            <w:shd w:val="clear" w:color="auto" w:fill="CCEEFF"/>
          </w:tcPr>
          <w:p>
            <w:pPr>
              <w:jc w:val="center"/>
              <w:ind w:left="109"/>
              <w:spacing w:after="0"/>
              <w:rPr>
                <w:sz w:val="20"/>
                <w:szCs w:val="20"/>
                <w:color w:val="auto"/>
              </w:rPr>
            </w:pPr>
            <w:r>
              <w:rPr>
                <w:rFonts w:ascii="Arial" w:cs="Arial" w:eastAsia="Arial" w:hAnsi="Arial"/>
                <w:sz w:val="14"/>
                <w:szCs w:val="14"/>
                <w:color w:val="auto"/>
              </w:rPr>
              <w:t>Director</w:t>
            </w:r>
          </w:p>
        </w:tc>
        <w:tc>
          <w:tcPr>
            <w:tcW w:w="1120" w:type="dxa"/>
            <w:vAlign w:val="bottom"/>
            <w:tcBorders>
              <w:bottom w:val="single" w:sz="8" w:color="CCEEFF"/>
            </w:tcBorders>
            <w:vMerge w:val="restart"/>
            <w:shd w:val="clear" w:color="auto" w:fill="CCEEFF"/>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54"/>
        </w:trPr>
        <w:tc>
          <w:tcPr>
            <w:tcW w:w="1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Juergen Eckhardt,</w:t>
            </w:r>
          </w:p>
        </w:tc>
        <w:tc>
          <w:tcPr>
            <w:tcW w:w="3700" w:type="dxa"/>
            <w:vAlign w:val="bottom"/>
            <w:tcBorders>
              <w:top w:val="single" w:sz="8" w:color="CCEEFF"/>
            </w:tcBorders>
            <w:vMerge w:val="continue"/>
            <w:shd w:val="clear" w:color="auto" w:fill="CCEEFF"/>
          </w:tcPr>
          <w:p>
            <w:pPr>
              <w:spacing w:after="0"/>
              <w:rPr>
                <w:sz w:val="4"/>
                <w:szCs w:val="4"/>
                <w:color w:val="auto"/>
              </w:rPr>
            </w:pPr>
          </w:p>
        </w:tc>
        <w:tc>
          <w:tcPr>
            <w:tcW w:w="1120" w:type="dxa"/>
            <w:vAlign w:val="bottom"/>
            <w:tcBorders>
              <w:top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60" w:type="dxa"/>
            <w:vAlign w:val="bottom"/>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37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3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160" w:type="dxa"/>
            <w:vAlign w:val="bottom"/>
          </w:tcPr>
          <w:p>
            <w:pPr>
              <w:spacing w:after="0"/>
              <w:rPr>
                <w:sz w:val="22"/>
                <w:szCs w:val="22"/>
                <w:color w:val="auto"/>
              </w:rPr>
            </w:pPr>
          </w:p>
        </w:tc>
        <w:tc>
          <w:tcPr>
            <w:tcW w:w="1580" w:type="dxa"/>
            <w:vAlign w:val="bottom"/>
          </w:tcPr>
          <w:p>
            <w:pPr>
              <w:jc w:val="center"/>
              <w:ind w:right="68"/>
              <w:spacing w:after="0"/>
              <w:rPr>
                <w:sz w:val="20"/>
                <w:szCs w:val="20"/>
                <w:color w:val="auto"/>
              </w:rPr>
            </w:pPr>
            <w:r>
              <w:rPr>
                <w:rFonts w:ascii="Arial" w:cs="Arial" w:eastAsia="Arial" w:hAnsi="Arial"/>
                <w:sz w:val="14"/>
                <w:szCs w:val="14"/>
                <w:color w:val="auto"/>
              </w:rPr>
              <w:t>/s/ Joseph Jimenez</w:t>
            </w:r>
          </w:p>
        </w:tc>
        <w:tc>
          <w:tcPr>
            <w:tcW w:w="3700" w:type="dxa"/>
            <w:vAlign w:val="bottom"/>
            <w:vMerge w:val="restart"/>
          </w:tcPr>
          <w:p>
            <w:pPr>
              <w:jc w:val="center"/>
              <w:ind w:left="109"/>
              <w:spacing w:after="0"/>
              <w:rPr>
                <w:sz w:val="20"/>
                <w:szCs w:val="20"/>
                <w:color w:val="auto"/>
              </w:rPr>
            </w:pPr>
            <w:r>
              <w:rPr>
                <w:rFonts w:ascii="Arial" w:cs="Arial" w:eastAsia="Arial" w:hAnsi="Arial"/>
                <w:sz w:val="14"/>
                <w:szCs w:val="14"/>
                <w:color w:val="auto"/>
              </w:rPr>
              <w:t>Director, Chairman of the Board</w:t>
            </w:r>
          </w:p>
        </w:tc>
        <w:tc>
          <w:tcPr>
            <w:tcW w:w="1120" w:type="dxa"/>
            <w:vAlign w:val="bottom"/>
            <w:vMerge w:val="restart"/>
          </w:tcPr>
          <w:p>
            <w:pPr>
              <w:jc w:val="center"/>
              <w:ind w:left="129"/>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44"/>
        </w:trPr>
        <w:tc>
          <w:tcPr>
            <w:tcW w:w="16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7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Joseph Jimenez</w:t>
            </w:r>
          </w:p>
        </w:tc>
        <w:tc>
          <w:tcPr>
            <w:tcW w:w="37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6" w:name="page277"/>
    <w:bookmarkEnd w:id="276"/>
    <w:p>
      <w:pPr>
        <w:ind w:left="220"/>
        <w:spacing w:after="0"/>
        <w:rPr>
          <w:rFonts w:ascii="Arial" w:cs="Arial" w:eastAsia="Arial" w:hAnsi="Arial"/>
          <w:sz w:val="12"/>
          <w:szCs w:val="12"/>
          <w:color w:val="003366"/>
        </w:rPr>
      </w:pPr>
      <w:hyperlink w:anchor="page244">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rPr>
              <w:t>Signature</w:t>
            </w:r>
          </w:p>
        </w:tc>
        <w:tc>
          <w:tcPr>
            <w:tcW w:w="3040" w:type="dxa"/>
            <w:vAlign w:val="bottom"/>
            <w:tcBorders>
              <w:bottom w:val="single" w:sz="8" w:color="auto"/>
            </w:tcBorders>
          </w:tcPr>
          <w:p>
            <w:pPr>
              <w:jc w:val="center"/>
              <w:ind w:left="770"/>
              <w:spacing w:after="0"/>
              <w:rPr>
                <w:sz w:val="20"/>
                <w:szCs w:val="20"/>
                <w:color w:val="auto"/>
              </w:rPr>
            </w:pPr>
            <w:r>
              <w:rPr>
                <w:rFonts w:ascii="Arial" w:cs="Arial" w:eastAsia="Arial" w:hAnsi="Arial"/>
                <w:sz w:val="13"/>
                <w:szCs w:val="13"/>
                <w:b w:val="1"/>
                <w:bCs w:val="1"/>
                <w:color w:val="auto"/>
              </w:rPr>
              <w:t>Title</w:t>
            </w:r>
          </w:p>
        </w:tc>
        <w:tc>
          <w:tcPr>
            <w:tcW w:w="1780" w:type="dxa"/>
            <w:vAlign w:val="bottom"/>
            <w:tcBorders>
              <w:bottom w:val="single" w:sz="8" w:color="auto"/>
            </w:tcBorders>
          </w:tcPr>
          <w:p>
            <w:pPr>
              <w:jc w:val="center"/>
              <w:ind w:left="77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90"/>
        </w:trPr>
        <w:tc>
          <w:tcPr>
            <w:tcW w:w="17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rPr>
              <w:t>/s/ Alessandro Riva, M.D.</w:t>
            </w:r>
          </w:p>
        </w:tc>
        <w:tc>
          <w:tcPr>
            <w:tcW w:w="3040" w:type="dxa"/>
            <w:vAlign w:val="bottom"/>
            <w:tcBorders>
              <w:bottom w:val="single" w:sz="8" w:color="CCEEFF"/>
            </w:tcBorders>
            <w:vMerge w:val="restart"/>
            <w:shd w:val="clear" w:color="auto" w:fill="CCEEFF"/>
          </w:tcPr>
          <w:p>
            <w:pPr>
              <w:jc w:val="center"/>
              <w:ind w:left="770"/>
              <w:spacing w:after="0"/>
              <w:rPr>
                <w:sz w:val="20"/>
                <w:szCs w:val="20"/>
                <w:color w:val="auto"/>
              </w:rPr>
            </w:pPr>
            <w:r>
              <w:rPr>
                <w:rFonts w:ascii="Arial" w:cs="Arial" w:eastAsia="Arial" w:hAnsi="Arial"/>
                <w:sz w:val="14"/>
                <w:szCs w:val="14"/>
                <w:color w:val="auto"/>
              </w:rPr>
              <w:t>Director</w:t>
            </w:r>
          </w:p>
        </w:tc>
        <w:tc>
          <w:tcPr>
            <w:tcW w:w="1780" w:type="dxa"/>
            <w:vAlign w:val="bottom"/>
            <w:tcBorders>
              <w:bottom w:val="single" w:sz="8" w:color="CCEEFF"/>
            </w:tcBorders>
            <w:vMerge w:val="restart"/>
            <w:shd w:val="clear" w:color="auto" w:fill="CCEEFF"/>
          </w:tcPr>
          <w:p>
            <w:pPr>
              <w:jc w:val="center"/>
              <w:ind w:left="770"/>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65"/>
        </w:trPr>
        <w:tc>
          <w:tcPr>
            <w:tcW w:w="160" w:type="dxa"/>
            <w:vAlign w:val="bottom"/>
            <w:tcBorders>
              <w:top w:val="single" w:sz="8" w:color="CCEEFF"/>
            </w:tcBorders>
            <w:shd w:val="clear" w:color="auto" w:fill="CCEEFF"/>
          </w:tcPr>
          <w:p>
            <w:pPr>
              <w:spacing w:after="0"/>
              <w:rPr>
                <w:sz w:val="5"/>
                <w:szCs w:val="5"/>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Alessandro Riva, M.D.</w:t>
            </w:r>
          </w:p>
        </w:tc>
        <w:tc>
          <w:tcPr>
            <w:tcW w:w="3040" w:type="dxa"/>
            <w:vAlign w:val="bottom"/>
            <w:tcBorders>
              <w:top w:val="single" w:sz="8" w:color="CCEEFF"/>
            </w:tcBorders>
            <w:vMerge w:val="continue"/>
            <w:shd w:val="clear" w:color="auto" w:fill="CCEEFF"/>
          </w:tcPr>
          <w:p>
            <w:pPr>
              <w:spacing w:after="0"/>
              <w:rPr>
                <w:sz w:val="5"/>
                <w:szCs w:val="5"/>
                <w:color w:val="auto"/>
              </w:rPr>
            </w:pPr>
          </w:p>
        </w:tc>
        <w:tc>
          <w:tcPr>
            <w:tcW w:w="178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6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740" w:type="dxa"/>
            <w:vAlign w:val="bottom"/>
            <w:gridSpan w:val="2"/>
          </w:tcPr>
          <w:p>
            <w:pPr>
              <w:jc w:val="center"/>
              <w:spacing w:after="0"/>
              <w:rPr>
                <w:sz w:val="20"/>
                <w:szCs w:val="20"/>
                <w:color w:val="auto"/>
              </w:rPr>
            </w:pPr>
            <w:r>
              <w:rPr>
                <w:rFonts w:ascii="Arial" w:cs="Arial" w:eastAsia="Arial" w:hAnsi="Arial"/>
                <w:sz w:val="14"/>
                <w:szCs w:val="14"/>
                <w:color w:val="auto"/>
              </w:rPr>
              <w:t>/s/ Carlo Rizzuto, Ph.D.</w:t>
            </w:r>
          </w:p>
        </w:tc>
        <w:tc>
          <w:tcPr>
            <w:tcW w:w="3040" w:type="dxa"/>
            <w:vAlign w:val="bottom"/>
            <w:vMerge w:val="restart"/>
          </w:tcPr>
          <w:p>
            <w:pPr>
              <w:jc w:val="center"/>
              <w:ind w:left="770"/>
              <w:spacing w:after="0"/>
              <w:rPr>
                <w:sz w:val="20"/>
                <w:szCs w:val="20"/>
                <w:color w:val="auto"/>
              </w:rPr>
            </w:pPr>
            <w:r>
              <w:rPr>
                <w:rFonts w:ascii="Arial" w:cs="Arial" w:eastAsia="Arial" w:hAnsi="Arial"/>
                <w:sz w:val="14"/>
                <w:szCs w:val="14"/>
                <w:color w:val="auto"/>
              </w:rPr>
              <w:t>Director</w:t>
            </w:r>
          </w:p>
        </w:tc>
        <w:tc>
          <w:tcPr>
            <w:tcW w:w="1780" w:type="dxa"/>
            <w:vAlign w:val="bottom"/>
            <w:vMerge w:val="restart"/>
          </w:tcPr>
          <w:p>
            <w:pPr>
              <w:jc w:val="center"/>
              <w:ind w:left="790"/>
              <w:spacing w:after="0"/>
              <w:rPr>
                <w:sz w:val="20"/>
                <w:szCs w:val="20"/>
                <w:color w:val="auto"/>
              </w:rPr>
            </w:pPr>
            <w:r>
              <w:rPr>
                <w:rFonts w:ascii="Arial" w:cs="Arial" w:eastAsia="Arial" w:hAnsi="Arial"/>
                <w:sz w:val="14"/>
                <w:szCs w:val="14"/>
                <w:color w:val="auto"/>
              </w:rPr>
              <w:t>May 28, 2021</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040" w:type="dxa"/>
            <w:vAlign w:val="bottom"/>
            <w:vMerge w:val="continue"/>
          </w:tcPr>
          <w:p>
            <w:pPr>
              <w:spacing w:after="0"/>
              <w:rPr>
                <w:sz w:val="2"/>
                <w:szCs w:val="2"/>
                <w:color w:val="auto"/>
              </w:rPr>
            </w:pPr>
          </w:p>
        </w:tc>
        <w:tc>
          <w:tcPr>
            <w:tcW w:w="1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60" w:type="dxa"/>
            <w:vAlign w:val="bottom"/>
          </w:tcPr>
          <w:p>
            <w:pPr>
              <w:spacing w:after="0"/>
              <w:rPr>
                <w:sz w:val="5"/>
                <w:szCs w:val="5"/>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Carlo Rizzuto, Ph.D.</w:t>
            </w:r>
          </w:p>
        </w:tc>
        <w:tc>
          <w:tcPr>
            <w:tcW w:w="304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vMerge w:val="continue"/>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7" w:name="page278"/>
    <w:bookmarkEnd w:id="277"/>
    <w:p>
      <w:pPr>
        <w:jc w:val="right"/>
        <w:spacing w:after="0"/>
        <w:rPr>
          <w:sz w:val="20"/>
          <w:szCs w:val="20"/>
          <w:color w:val="auto"/>
        </w:rPr>
      </w:pPr>
      <w:r>
        <w:rPr>
          <w:rFonts w:ascii="Arial" w:cs="Arial" w:eastAsia="Arial" w:hAnsi="Arial"/>
          <w:sz w:val="14"/>
          <w:szCs w:val="14"/>
          <w:color w:val="231F20"/>
        </w:rPr>
        <w:t>Exhibit 3.1</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color w:val="231F20"/>
        </w:rPr>
        <w:t>Execution Version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231F20"/>
        </w:rPr>
        <w:t>AMENDED AND RESTATED CERTIFICATE OF INCORPORATION OF</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231F20"/>
        </w:rPr>
        <w:t>CENTURY THERAPEUTICS, INC.</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231F20"/>
        </w:rPr>
        <w:t>(Pursuant to Sections 242 and 245 of the General Corporation Law of the State of Delaware)</w:t>
      </w:r>
    </w:p>
    <w:p>
      <w:pPr>
        <w:spacing w:after="0" w:line="191" w:lineRule="exact"/>
        <w:rPr>
          <w:sz w:val="20"/>
          <w:szCs w:val="20"/>
          <w:color w:val="auto"/>
        </w:rPr>
      </w:pPr>
    </w:p>
    <w:p>
      <w:pPr>
        <w:ind w:firstLine="518"/>
        <w:spacing w:after="0" w:line="294" w:lineRule="auto"/>
        <w:rPr>
          <w:sz w:val="20"/>
          <w:szCs w:val="20"/>
          <w:color w:val="auto"/>
        </w:rPr>
      </w:pPr>
      <w:r>
        <w:rPr>
          <w:rFonts w:ascii="Arial" w:cs="Arial" w:eastAsia="Arial" w:hAnsi="Arial"/>
          <w:sz w:val="14"/>
          <w:szCs w:val="14"/>
          <w:color w:val="231F20"/>
        </w:rPr>
        <w:t>Century Therapeutics, Inc., a corporation organized and existing under and by virtue of the provisions of the General Corporation Law of the State of Delaware (the “</w:t>
      </w:r>
      <w:r>
        <w:rPr>
          <w:rFonts w:ascii="Arial" w:cs="Arial" w:eastAsia="Arial" w:hAnsi="Arial"/>
          <w:sz w:val="14"/>
          <w:szCs w:val="14"/>
          <w:b w:val="1"/>
          <w:bCs w:val="1"/>
          <w:color w:val="231F20"/>
        </w:rPr>
        <w:t>General</w:t>
      </w:r>
      <w:r>
        <w:rPr>
          <w:rFonts w:ascii="Arial" w:cs="Arial" w:eastAsia="Arial" w:hAnsi="Arial"/>
          <w:sz w:val="14"/>
          <w:szCs w:val="14"/>
          <w:color w:val="231F20"/>
        </w:rPr>
        <w:t xml:space="preserve"> </w:t>
      </w:r>
      <w:r>
        <w:rPr>
          <w:rFonts w:ascii="Arial" w:cs="Arial" w:eastAsia="Arial" w:hAnsi="Arial"/>
          <w:sz w:val="14"/>
          <w:szCs w:val="14"/>
          <w:b w:val="1"/>
          <w:bCs w:val="1"/>
          <w:color w:val="231F20"/>
        </w:rPr>
        <w:t>Corporation Law</w:t>
      </w:r>
      <w:r>
        <w:rPr>
          <w:rFonts w:ascii="Arial" w:cs="Arial" w:eastAsia="Arial" w:hAnsi="Arial"/>
          <w:sz w:val="14"/>
          <w:szCs w:val="14"/>
          <w:color w:val="231F20"/>
        </w:rPr>
        <w: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DOES HEREBY CERTIFY:</w:t>
      </w:r>
    </w:p>
    <w:p>
      <w:pPr>
        <w:spacing w:after="0" w:line="188" w:lineRule="exact"/>
        <w:rPr>
          <w:sz w:val="20"/>
          <w:szCs w:val="20"/>
          <w:color w:val="auto"/>
        </w:rPr>
      </w:pPr>
    </w:p>
    <w:p>
      <w:pPr>
        <w:ind w:right="20" w:firstLine="524"/>
        <w:spacing w:after="0" w:line="288" w:lineRule="auto"/>
        <w:tabs>
          <w:tab w:leader="none" w:pos="1179" w:val="left"/>
        </w:tabs>
        <w:numPr>
          <w:ilvl w:val="0"/>
          <w:numId w:val="138"/>
        </w:numPr>
        <w:rPr>
          <w:rFonts w:ascii="Arial" w:cs="Arial" w:eastAsia="Arial" w:hAnsi="Arial"/>
          <w:sz w:val="14"/>
          <w:szCs w:val="14"/>
          <w:b w:val="1"/>
          <w:bCs w:val="1"/>
          <w:color w:val="231F20"/>
        </w:rPr>
      </w:pPr>
      <w:r>
        <w:rPr>
          <w:rFonts w:ascii="Arial" w:cs="Arial" w:eastAsia="Arial" w:hAnsi="Arial"/>
          <w:sz w:val="14"/>
          <w:szCs w:val="14"/>
          <w:color w:val="231F20"/>
        </w:rPr>
        <w:t>That the name of this corporation is Century Therapeutics, Inc., and that this corporation was originally incorporated pursuant to the General Corporation Law on February 25, 2021 under the name CenturyTx, Inc.</w:t>
      </w:r>
    </w:p>
    <w:p>
      <w:pPr>
        <w:spacing w:after="0" w:line="142" w:lineRule="exact"/>
        <w:rPr>
          <w:rFonts w:ascii="Arial" w:cs="Arial" w:eastAsia="Arial" w:hAnsi="Arial"/>
          <w:sz w:val="14"/>
          <w:szCs w:val="14"/>
          <w:b w:val="1"/>
          <w:bCs w:val="1"/>
          <w:color w:val="231F20"/>
        </w:rPr>
      </w:pPr>
    </w:p>
    <w:p>
      <w:pPr>
        <w:jc w:val="both"/>
        <w:ind w:firstLine="524"/>
        <w:spacing w:after="0" w:line="273" w:lineRule="auto"/>
        <w:tabs>
          <w:tab w:leader="none" w:pos="1161" w:val="left"/>
        </w:tabs>
        <w:numPr>
          <w:ilvl w:val="0"/>
          <w:numId w:val="138"/>
        </w:numPr>
        <w:rPr>
          <w:rFonts w:ascii="Arial" w:cs="Arial" w:eastAsia="Arial" w:hAnsi="Arial"/>
          <w:sz w:val="14"/>
          <w:szCs w:val="14"/>
          <w:b w:val="1"/>
          <w:bCs w:val="1"/>
          <w:color w:val="231F20"/>
        </w:rPr>
      </w:pPr>
      <w:r>
        <w:rPr>
          <w:rFonts w:ascii="Arial" w:cs="Arial" w:eastAsia="Arial" w:hAnsi="Arial"/>
          <w:sz w:val="14"/>
          <w:szCs w:val="14"/>
          <w:color w:val="231F20"/>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RESOLVED</w:t>
      </w:r>
      <w:r>
        <w:rPr>
          <w:rFonts w:ascii="Arial" w:cs="Arial" w:eastAsia="Arial" w:hAnsi="Arial"/>
          <w:sz w:val="14"/>
          <w:szCs w:val="14"/>
          <w:color w:val="231F20"/>
        </w:rPr>
        <w:t>, that the Certificate of Incorporation of this corporation be amended and restated in its entirety as follows: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 xml:space="preserve">FIRST: </w:t>
      </w:r>
      <w:r>
        <w:rPr>
          <w:rFonts w:ascii="Arial" w:cs="Arial" w:eastAsia="Arial" w:hAnsi="Arial"/>
          <w:sz w:val="14"/>
          <w:szCs w:val="14"/>
          <w:color w:val="231F20"/>
        </w:rPr>
        <w:t>The name of this corporation is Century Therapeutics, Inc. (the “</w:t>
      </w:r>
      <w:r>
        <w:rPr>
          <w:rFonts w:ascii="Arial" w:cs="Arial" w:eastAsia="Arial" w:hAnsi="Arial"/>
          <w:sz w:val="14"/>
          <w:szCs w:val="14"/>
          <w:b w:val="1"/>
          <w:bCs w:val="1"/>
          <w:color w:val="231F20"/>
        </w:rPr>
        <w:t>Corporation</w:t>
      </w:r>
      <w:r>
        <w:rPr>
          <w:rFonts w:ascii="Arial" w:cs="Arial" w:eastAsia="Arial" w:hAnsi="Arial"/>
          <w:sz w:val="14"/>
          <w:szCs w:val="14"/>
          <w:color w:val="231F20"/>
        </w:rPr>
        <w:t>”).</w:t>
      </w:r>
    </w:p>
    <w:p>
      <w:pPr>
        <w:spacing w:after="0" w:line="195" w:lineRule="exact"/>
        <w:rPr>
          <w:sz w:val="20"/>
          <w:szCs w:val="20"/>
          <w:color w:val="auto"/>
        </w:rPr>
      </w:pPr>
    </w:p>
    <w:p>
      <w:pPr>
        <w:ind w:firstLine="518"/>
        <w:spacing w:after="0" w:line="294" w:lineRule="auto"/>
        <w:rPr>
          <w:sz w:val="20"/>
          <w:szCs w:val="20"/>
          <w:color w:val="auto"/>
        </w:rPr>
      </w:pPr>
      <w:r>
        <w:rPr>
          <w:rFonts w:ascii="Arial" w:cs="Arial" w:eastAsia="Arial" w:hAnsi="Arial"/>
          <w:sz w:val="14"/>
          <w:szCs w:val="14"/>
          <w:b w:val="1"/>
          <w:bCs w:val="1"/>
          <w:color w:val="231F20"/>
        </w:rPr>
        <w:t xml:space="preserve">SECOND: </w:t>
      </w:r>
      <w:r>
        <w:rPr>
          <w:rFonts w:ascii="Arial" w:cs="Arial" w:eastAsia="Arial" w:hAnsi="Arial"/>
          <w:sz w:val="14"/>
          <w:szCs w:val="14"/>
          <w:color w:val="231F20"/>
        </w:rPr>
        <w:t>The address of the registered office of the Corporation in the State of Delaware is 1313 N Market St # 5100, in the City of Wilmington, County of New Castle, 19801. The</w:t>
      </w:r>
      <w:r>
        <w:rPr>
          <w:rFonts w:ascii="Arial" w:cs="Arial" w:eastAsia="Arial" w:hAnsi="Arial"/>
          <w:sz w:val="14"/>
          <w:szCs w:val="14"/>
          <w:b w:val="1"/>
          <w:bCs w:val="1"/>
          <w:color w:val="231F20"/>
        </w:rPr>
        <w:t xml:space="preserve"> </w:t>
      </w:r>
      <w:r>
        <w:rPr>
          <w:rFonts w:ascii="Arial" w:cs="Arial" w:eastAsia="Arial" w:hAnsi="Arial"/>
          <w:sz w:val="14"/>
          <w:szCs w:val="14"/>
          <w:color w:val="231F20"/>
        </w:rPr>
        <w:t>name of its registered agent at such address is PHS Corporate Services, Inc.</w:t>
      </w:r>
    </w:p>
    <w:p>
      <w:pPr>
        <w:spacing w:after="0" w:line="134" w:lineRule="exact"/>
        <w:rPr>
          <w:sz w:val="20"/>
          <w:szCs w:val="20"/>
          <w:color w:val="auto"/>
        </w:rPr>
      </w:pPr>
    </w:p>
    <w:p>
      <w:pPr>
        <w:ind w:right="20" w:firstLine="518"/>
        <w:spacing w:after="0" w:line="294" w:lineRule="auto"/>
        <w:rPr>
          <w:sz w:val="20"/>
          <w:szCs w:val="20"/>
          <w:color w:val="auto"/>
        </w:rPr>
      </w:pPr>
      <w:r>
        <w:rPr>
          <w:rFonts w:ascii="Arial" w:cs="Arial" w:eastAsia="Arial" w:hAnsi="Arial"/>
          <w:sz w:val="14"/>
          <w:szCs w:val="14"/>
          <w:b w:val="1"/>
          <w:bCs w:val="1"/>
          <w:color w:val="231F20"/>
        </w:rPr>
        <w:t xml:space="preserve">THIRD: </w:t>
      </w:r>
      <w:r>
        <w:rPr>
          <w:rFonts w:ascii="Arial" w:cs="Arial" w:eastAsia="Arial" w:hAnsi="Arial"/>
          <w:sz w:val="14"/>
          <w:szCs w:val="14"/>
          <w:color w:val="231F20"/>
        </w:rPr>
        <w:t>The nature of the business or purposes to be conducted or promoted is to engage in any lawful act or activity for which corporations may be organized under the General</w:t>
      </w:r>
      <w:r>
        <w:rPr>
          <w:rFonts w:ascii="Arial" w:cs="Arial" w:eastAsia="Arial" w:hAnsi="Arial"/>
          <w:sz w:val="14"/>
          <w:szCs w:val="14"/>
          <w:b w:val="1"/>
          <w:bCs w:val="1"/>
          <w:color w:val="231F20"/>
        </w:rPr>
        <w:t xml:space="preserve"> </w:t>
      </w:r>
      <w:r>
        <w:rPr>
          <w:rFonts w:ascii="Arial" w:cs="Arial" w:eastAsia="Arial" w:hAnsi="Arial"/>
          <w:sz w:val="14"/>
          <w:szCs w:val="14"/>
          <w:color w:val="231F20"/>
        </w:rPr>
        <w:t>Corporation Law.</w:t>
      </w:r>
    </w:p>
    <w:p>
      <w:pPr>
        <w:spacing w:after="0" w:line="123" w:lineRule="exact"/>
        <w:rPr>
          <w:sz w:val="20"/>
          <w:szCs w:val="20"/>
          <w:color w:val="auto"/>
        </w:rPr>
      </w:pPr>
    </w:p>
    <w:p>
      <w:pPr>
        <w:ind w:firstLine="518"/>
        <w:spacing w:after="0" w:line="294" w:lineRule="auto"/>
        <w:rPr>
          <w:sz w:val="20"/>
          <w:szCs w:val="20"/>
          <w:color w:val="auto"/>
        </w:rPr>
      </w:pPr>
      <w:r>
        <w:rPr>
          <w:rFonts w:ascii="Arial" w:cs="Arial" w:eastAsia="Arial" w:hAnsi="Arial"/>
          <w:sz w:val="14"/>
          <w:szCs w:val="14"/>
          <w:b w:val="1"/>
          <w:bCs w:val="1"/>
          <w:color w:val="231F20"/>
        </w:rPr>
        <w:t xml:space="preserve">FOURTH: </w:t>
      </w:r>
      <w:r>
        <w:rPr>
          <w:rFonts w:ascii="Arial" w:cs="Arial" w:eastAsia="Arial" w:hAnsi="Arial"/>
          <w:sz w:val="14"/>
          <w:szCs w:val="14"/>
          <w:color w:val="231F20"/>
        </w:rPr>
        <w:t>The total number of shares of all classes of stock which the Corporation shall have authority to issue is (i) 125,236,190 shares of Common Stock, $0.0001 par value per</w:t>
      </w:r>
      <w:r>
        <w:rPr>
          <w:rFonts w:ascii="Arial" w:cs="Arial" w:eastAsia="Arial" w:hAnsi="Arial"/>
          <w:sz w:val="14"/>
          <w:szCs w:val="14"/>
          <w:b w:val="1"/>
          <w:bCs w:val="1"/>
          <w:color w:val="231F20"/>
        </w:rPr>
        <w:t xml:space="preserve"> </w:t>
      </w:r>
      <w:r>
        <w:rPr>
          <w:rFonts w:ascii="Arial" w:cs="Arial" w:eastAsia="Arial" w:hAnsi="Arial"/>
          <w:sz w:val="14"/>
          <w:szCs w:val="14"/>
          <w:color w:val="231F20"/>
        </w:rPr>
        <w:t>share (“</w:t>
      </w:r>
      <w:r>
        <w:rPr>
          <w:rFonts w:ascii="Arial" w:cs="Arial" w:eastAsia="Arial" w:hAnsi="Arial"/>
          <w:sz w:val="14"/>
          <w:szCs w:val="14"/>
          <w:b w:val="1"/>
          <w:bCs w:val="1"/>
          <w:color w:val="231F20"/>
        </w:rPr>
        <w:t>Common Stock</w:t>
      </w:r>
      <w:r>
        <w:rPr>
          <w:rFonts w:ascii="Arial" w:cs="Arial" w:eastAsia="Arial" w:hAnsi="Arial"/>
          <w:sz w:val="14"/>
          <w:szCs w:val="14"/>
          <w:color w:val="231F20"/>
        </w:rPr>
        <w:t>”) and (ii) 85,865,789 shares of Preferred Stock, $0.0001 par value per share (“</w:t>
      </w:r>
      <w:r>
        <w:rPr>
          <w:rFonts w:ascii="Arial" w:cs="Arial" w:eastAsia="Arial" w:hAnsi="Arial"/>
          <w:sz w:val="14"/>
          <w:szCs w:val="14"/>
          <w:b w:val="1"/>
          <w:bCs w:val="1"/>
          <w:color w:val="231F20"/>
        </w:rPr>
        <w:t>Preferred Stock</w:t>
      </w:r>
      <w:r>
        <w:rPr>
          <w:rFonts w:ascii="Arial" w:cs="Arial" w:eastAsia="Arial" w:hAnsi="Arial"/>
          <w:sz w:val="14"/>
          <w:szCs w:val="14"/>
          <w:color w:val="231F20"/>
        </w:rPr>
        <w:t>”).</w:t>
      </w:r>
    </w:p>
    <w:p>
      <w:pPr>
        <w:spacing w:after="0" w:line="13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231F20"/>
        </w:rPr>
        <w:t>The following is a statement of the designations and the powers, privileges and rights, and the qualifications, limitations or restrictions thereof in respect of each class of capital stock of the Corporation.</w:t>
      </w:r>
    </w:p>
    <w:p>
      <w:pPr>
        <w:spacing w:after="0" w:line="132" w:lineRule="exact"/>
        <w:rPr>
          <w:sz w:val="20"/>
          <w:szCs w:val="20"/>
          <w:color w:val="auto"/>
        </w:rPr>
      </w:pPr>
    </w:p>
    <w:p>
      <w:pPr>
        <w:ind w:left="1040" w:hanging="516"/>
        <w:spacing w:after="0"/>
        <w:tabs>
          <w:tab w:leader="none" w:pos="1040" w:val="left"/>
        </w:tabs>
        <w:numPr>
          <w:ilvl w:val="0"/>
          <w:numId w:val="139"/>
        </w:numPr>
        <w:rPr>
          <w:rFonts w:ascii="Arial" w:cs="Arial" w:eastAsia="Arial" w:hAnsi="Arial"/>
          <w:sz w:val="14"/>
          <w:szCs w:val="14"/>
          <w:color w:val="231F20"/>
        </w:rPr>
      </w:pPr>
      <w:r>
        <w:rPr>
          <w:rFonts w:ascii="Arial" w:cs="Arial" w:eastAsia="Arial" w:hAnsi="Arial"/>
          <w:sz w:val="14"/>
          <w:szCs w:val="14"/>
          <w:color w:val="231F20"/>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377" w:right="399" w:bottom="1440" w:gutter="0" w:footer="0" w:header="0"/>
        </w:sectPr>
      </w:pPr>
    </w:p>
    <w:bookmarkStart w:id="278" w:name="page279"/>
    <w:bookmarkEnd w:id="278"/>
    <w:p>
      <w:pPr>
        <w:ind w:right="20" w:firstLine="1042"/>
        <w:spacing w:after="0" w:line="288" w:lineRule="auto"/>
        <w:tabs>
          <w:tab w:leader="none" w:pos="1517" w:val="left"/>
        </w:tabs>
        <w:numPr>
          <w:ilvl w:val="1"/>
          <w:numId w:val="140"/>
        </w:numPr>
        <w:rPr>
          <w:rFonts w:ascii="Arial" w:cs="Arial" w:eastAsia="Arial" w:hAnsi="Arial"/>
          <w:sz w:val="14"/>
          <w:szCs w:val="14"/>
          <w:b w:val="1"/>
          <w:bCs w:val="1"/>
          <w:color w:val="231F20"/>
        </w:rPr>
      </w:pPr>
      <w:r>
        <w:rPr>
          <w:rFonts w:ascii="Arial" w:cs="Arial" w:eastAsia="Arial" w:hAnsi="Arial"/>
          <w:sz w:val="14"/>
          <w:szCs w:val="14"/>
          <w:u w:val="single" w:color="auto"/>
          <w:color w:val="231F20"/>
        </w:rPr>
        <w:t>General</w:t>
      </w:r>
      <w:r>
        <w:rPr>
          <w:rFonts w:ascii="Arial" w:cs="Arial" w:eastAsia="Arial" w:hAnsi="Arial"/>
          <w:sz w:val="14"/>
          <w:szCs w:val="14"/>
          <w:color w:val="231F20"/>
        </w:rPr>
        <w:t>. The voting, dividend and liquidation rights of the holders of the Common Stock are subject to and qualified by the rights, powers and preferences of the holders of the Preferred Stock set forth herein.</w:t>
      </w:r>
    </w:p>
    <w:p>
      <w:pPr>
        <w:spacing w:after="0" w:line="142" w:lineRule="exact"/>
        <w:rPr>
          <w:rFonts w:ascii="Arial" w:cs="Arial" w:eastAsia="Arial" w:hAnsi="Arial"/>
          <w:sz w:val="14"/>
          <w:szCs w:val="14"/>
          <w:b w:val="1"/>
          <w:bCs w:val="1"/>
          <w:color w:val="231F20"/>
        </w:rPr>
      </w:pPr>
    </w:p>
    <w:p>
      <w:pPr>
        <w:jc w:val="both"/>
        <w:ind w:firstLine="1042"/>
        <w:spacing w:after="0" w:line="261" w:lineRule="auto"/>
        <w:tabs>
          <w:tab w:leader="none" w:pos="1517" w:val="left"/>
        </w:tabs>
        <w:numPr>
          <w:ilvl w:val="1"/>
          <w:numId w:val="140"/>
        </w:numPr>
        <w:rPr>
          <w:rFonts w:ascii="Arial" w:cs="Arial" w:eastAsia="Arial" w:hAnsi="Arial"/>
          <w:sz w:val="14"/>
          <w:szCs w:val="14"/>
          <w:b w:val="1"/>
          <w:bCs w:val="1"/>
          <w:color w:val="231F20"/>
        </w:rPr>
      </w:pPr>
      <w:r>
        <w:rPr>
          <w:rFonts w:ascii="Arial" w:cs="Arial" w:eastAsia="Arial" w:hAnsi="Arial"/>
          <w:sz w:val="14"/>
          <w:szCs w:val="14"/>
          <w:u w:val="single" w:color="auto"/>
          <w:color w:val="231F20"/>
        </w:rPr>
        <w:t>Voting</w:t>
      </w:r>
      <w:r>
        <w:rPr>
          <w:rFonts w:ascii="Arial" w:cs="Arial" w:eastAsia="Arial" w:hAnsi="Arial"/>
          <w:sz w:val="14"/>
          <w:szCs w:val="14"/>
          <w:color w:val="231F20"/>
        </w:rPr>
        <w:t xml:space="preserve">. The holders of the Common Stock are entitled to one vote for each share of Common Stock held at all meetings of stockholders (and written actions in lieu of meetings); </w:t>
      </w:r>
      <w:r>
        <w:rPr>
          <w:rFonts w:ascii="Arial" w:cs="Arial" w:eastAsia="Arial" w:hAnsi="Arial"/>
          <w:sz w:val="14"/>
          <w:szCs w:val="14"/>
          <w:u w:val="single" w:color="auto"/>
          <w:color w:val="231F20"/>
        </w:rPr>
        <w:t>provided</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however</w:t>
      </w:r>
      <w:r>
        <w:rPr>
          <w:rFonts w:ascii="Arial" w:cs="Arial" w:eastAsia="Arial" w:hAnsi="Arial"/>
          <w:sz w:val="14"/>
          <w:szCs w:val="14"/>
          <w:color w:val="231F20"/>
        </w:rPr>
        <w:t>, that, except as otherwise required by law, holders of Common Stock, as such, shall not be entitled to vote on any amendment to this Amended and Restated Certificate of Incorporation (this “</w:t>
      </w:r>
      <w:r>
        <w:rPr>
          <w:rFonts w:ascii="Arial" w:cs="Arial" w:eastAsia="Arial" w:hAnsi="Arial"/>
          <w:sz w:val="14"/>
          <w:szCs w:val="14"/>
          <w:b w:val="1"/>
          <w:bCs w:val="1"/>
          <w:color w:val="231F20"/>
        </w:rPr>
        <w:t>Certificate of Incorporation</w:t>
      </w:r>
      <w:r>
        <w:rPr>
          <w:rFonts w:ascii="Arial" w:cs="Arial" w:eastAsia="Arial" w:hAnsi="Arial"/>
          <w:sz w:val="14"/>
          <w:szCs w:val="14"/>
          <w:color w:val="231F20"/>
        </w:rPr>
        <w:t>”) that relates solely to the terms of one or more outstanding series of Preferred Stock if the holders of such affected series of Preferred Stock are entitled, either separately or together with the holders of one or more other such series, to vote thereon pursuant to this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53" w:lineRule="exact"/>
        <w:rPr>
          <w:rFonts w:ascii="Arial" w:cs="Arial" w:eastAsia="Arial" w:hAnsi="Arial"/>
          <w:sz w:val="14"/>
          <w:szCs w:val="14"/>
          <w:b w:val="1"/>
          <w:bCs w:val="1"/>
          <w:color w:val="231F20"/>
        </w:rPr>
      </w:pPr>
    </w:p>
    <w:p>
      <w:pPr>
        <w:ind w:left="1040" w:hanging="516"/>
        <w:spacing w:after="0"/>
        <w:tabs>
          <w:tab w:leader="none" w:pos="1040" w:val="left"/>
        </w:tabs>
        <w:numPr>
          <w:ilvl w:val="0"/>
          <w:numId w:val="141"/>
        </w:numPr>
        <w:rPr>
          <w:rFonts w:ascii="Arial" w:cs="Arial" w:eastAsia="Arial" w:hAnsi="Arial"/>
          <w:sz w:val="14"/>
          <w:szCs w:val="14"/>
          <w:color w:val="231F20"/>
        </w:rPr>
      </w:pPr>
      <w:r>
        <w:rPr>
          <w:rFonts w:ascii="Arial" w:cs="Arial" w:eastAsia="Arial" w:hAnsi="Arial"/>
          <w:sz w:val="14"/>
          <w:szCs w:val="14"/>
          <w:color w:val="231F20"/>
        </w:rPr>
        <w:t>PREFERRED STOCK</w:t>
      </w:r>
    </w:p>
    <w:p>
      <w:pPr>
        <w:spacing w:after="0" w:line="19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color w:val="231F20"/>
        </w:rPr>
        <w:t>35,000,000 shares of the authorized Preferred Stock of the Corporation are hereby designated “</w:t>
      </w:r>
      <w:r>
        <w:rPr>
          <w:rFonts w:ascii="Arial" w:cs="Arial" w:eastAsia="Arial" w:hAnsi="Arial"/>
          <w:sz w:val="14"/>
          <w:szCs w:val="14"/>
          <w:b w:val="1"/>
          <w:bCs w:val="1"/>
          <w:color w:val="231F20"/>
        </w:rPr>
        <w:t>Series A Preferred Stock</w:t>
      </w:r>
      <w:r>
        <w:rPr>
          <w:rFonts w:ascii="Arial" w:cs="Arial" w:eastAsia="Arial" w:hAnsi="Arial"/>
          <w:sz w:val="14"/>
          <w:szCs w:val="14"/>
          <w:color w:val="231F20"/>
        </w:rPr>
        <w:t>,” 26,143,790 of the authorized shares of Preferred Stock are hereby designated “</w:t>
      </w:r>
      <w:r>
        <w:rPr>
          <w:rFonts w:ascii="Arial" w:cs="Arial" w:eastAsia="Arial" w:hAnsi="Arial"/>
          <w:sz w:val="14"/>
          <w:szCs w:val="14"/>
          <w:b w:val="1"/>
          <w:bCs w:val="1"/>
          <w:color w:val="231F20"/>
        </w:rPr>
        <w:t>Series B Preferred Stock</w:t>
      </w:r>
      <w:r>
        <w:rPr>
          <w:rFonts w:ascii="Arial" w:cs="Arial" w:eastAsia="Arial" w:hAnsi="Arial"/>
          <w:sz w:val="14"/>
          <w:szCs w:val="14"/>
          <w:color w:val="231F20"/>
        </w:rPr>
        <w:t>,” and 24,721,999 of the authorized shares of Preferred Stock are hereby designated “</w:t>
      </w:r>
      <w:r>
        <w:rPr>
          <w:rFonts w:ascii="Arial" w:cs="Arial" w:eastAsia="Arial" w:hAnsi="Arial"/>
          <w:sz w:val="14"/>
          <w:szCs w:val="14"/>
          <w:b w:val="1"/>
          <w:bCs w:val="1"/>
          <w:color w:val="231F20"/>
        </w:rPr>
        <w:t>Series C Preferred Stock</w:t>
      </w:r>
      <w:r>
        <w:rPr>
          <w:rFonts w:ascii="Arial" w:cs="Arial" w:eastAsia="Arial" w:hAnsi="Arial"/>
          <w:sz w:val="14"/>
          <w:szCs w:val="14"/>
          <w:color w:val="231F20"/>
        </w:rPr>
        <w:t>”. The rights, preferences, powers, privileges and restrictions, qualifications and limitations granted and imposed on the Preferred Stock are as set forth below in Part B of this Article Fourth. Unless otherwise indicated, references to “Sections” or “Subsections” in this Part B of this Article Fourth refer to sections and subsections of Part B of this Article Fourth.</w:t>
      </w:r>
    </w:p>
    <w:p>
      <w:pPr>
        <w:spacing w:after="0" w:line="156" w:lineRule="exact"/>
        <w:rPr>
          <w:sz w:val="20"/>
          <w:szCs w:val="20"/>
          <w:color w:val="auto"/>
        </w:rPr>
      </w:pPr>
    </w:p>
    <w:p>
      <w:pPr>
        <w:ind w:left="1560" w:hanging="518"/>
        <w:spacing w:after="0"/>
        <w:tabs>
          <w:tab w:leader="none" w:pos="1560" w:val="left"/>
        </w:tabs>
        <w:numPr>
          <w:ilvl w:val="0"/>
          <w:numId w:val="142"/>
        </w:numPr>
        <w:rPr>
          <w:rFonts w:ascii="Arial" w:cs="Arial" w:eastAsia="Arial" w:hAnsi="Arial"/>
          <w:sz w:val="14"/>
          <w:szCs w:val="14"/>
          <w:b w:val="1"/>
          <w:bCs w:val="1"/>
          <w:color w:val="231F20"/>
        </w:rPr>
      </w:pPr>
      <w:r>
        <w:rPr>
          <w:rFonts w:ascii="Arial" w:cs="Arial" w:eastAsia="Arial" w:hAnsi="Arial"/>
          <w:sz w:val="14"/>
          <w:szCs w:val="14"/>
          <w:u w:val="single" w:color="auto"/>
          <w:color w:val="231F20"/>
        </w:rPr>
        <w:t>Dividends</w:t>
      </w:r>
      <w:r>
        <w:rPr>
          <w:rFonts w:ascii="Arial" w:cs="Arial" w:eastAsia="Arial" w:hAnsi="Arial"/>
          <w:sz w:val="14"/>
          <w:szCs w:val="14"/>
          <w:color w:val="231F20"/>
        </w:rPr>
        <w:t>.</w:t>
      </w:r>
    </w:p>
    <w:p>
      <w:pPr>
        <w:spacing w:after="0" w:line="184" w:lineRule="exact"/>
        <w:rPr>
          <w:sz w:val="20"/>
          <w:szCs w:val="20"/>
          <w:color w:val="auto"/>
        </w:rPr>
      </w:pPr>
    </w:p>
    <w:p>
      <w:pPr>
        <w:jc w:val="both"/>
        <w:ind w:firstLine="1554"/>
        <w:spacing w:after="0" w:line="261" w:lineRule="auto"/>
        <w:rPr>
          <w:sz w:val="20"/>
          <w:szCs w:val="20"/>
          <w:color w:val="auto"/>
        </w:rPr>
      </w:pPr>
      <w:r>
        <w:rPr>
          <w:rFonts w:ascii="Arial" w:cs="Arial" w:eastAsia="Arial" w:hAnsi="Arial"/>
          <w:sz w:val="14"/>
          <w:szCs w:val="14"/>
          <w:color w:val="231F20"/>
        </w:rPr>
        <w:t>1.1. The holders of then outstanding shares of Series A Preferred Stock and Series C Preferred Stock shall be entitled to receive a non-cumulative dividend, out of any assets legally available therefor, at an annual rate of eight percent (8%) of the applicable Original Issue Price (as defined below) per share (subject to appropriate adjustment in the event of any stock dividend, stock split, combination or other similar recapitalization with respect to the Preferred Stock) (the “</w:t>
      </w:r>
      <w:r>
        <w:rPr>
          <w:rFonts w:ascii="Arial" w:cs="Arial" w:eastAsia="Arial" w:hAnsi="Arial"/>
          <w:sz w:val="14"/>
          <w:szCs w:val="14"/>
          <w:b w:val="1"/>
          <w:bCs w:val="1"/>
          <w:color w:val="231F20"/>
        </w:rPr>
        <w:t>Preferred Dividend</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provided</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however</w:t>
      </w:r>
      <w:r>
        <w:rPr>
          <w:rFonts w:ascii="Arial" w:cs="Arial" w:eastAsia="Arial" w:hAnsi="Arial"/>
          <w:sz w:val="14"/>
          <w:szCs w:val="14"/>
          <w:color w:val="231F20"/>
        </w:rPr>
        <w:t xml:space="preserve"> such Preferred Dividend shall be payable only when, as, and if declared by the Board of Directors of the Corporation (the “</w:t>
      </w:r>
      <w:r>
        <w:rPr>
          <w:rFonts w:ascii="Arial" w:cs="Arial" w:eastAsia="Arial" w:hAnsi="Arial"/>
          <w:sz w:val="14"/>
          <w:szCs w:val="14"/>
          <w:b w:val="1"/>
          <w:bCs w:val="1"/>
          <w:color w:val="231F20"/>
        </w:rPr>
        <w:t>Board</w:t>
      </w:r>
      <w:r>
        <w:rPr>
          <w:rFonts w:ascii="Arial" w:cs="Arial" w:eastAsia="Arial" w:hAnsi="Arial"/>
          <w:sz w:val="14"/>
          <w:szCs w:val="14"/>
          <w:color w:val="231F20"/>
        </w:rPr>
        <w:t>”) and the Board shall be under no obligation to declare or pay any such dividends. The Corporation shall not declare, pay or set aside any dividends on shares of any other class or series of capital stock of the Corporation (other than dividends on shares of Common Stock payable in shares of Common Stock) in any calendar year unless (in addition to the obtaining of any consents required elsewhere in this Certificate of Incorporation) the holders of Series A Preferred Stock and Series C Preferred Stock then outstanding shall first receive, or simultaneously receive, a dividend on each outstanding share of Series A Preferred Stock and Series C Preferred Stock in an amount</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79" w:name="page280"/>
    <w:bookmarkEnd w:id="279"/>
    <w:p>
      <w:pPr>
        <w:jc w:val="both"/>
        <w:spacing w:after="0" w:line="260" w:lineRule="auto"/>
        <w:rPr>
          <w:sz w:val="20"/>
          <w:szCs w:val="20"/>
          <w:color w:val="auto"/>
        </w:rPr>
      </w:pPr>
      <w:r>
        <w:rPr>
          <w:rFonts w:ascii="Arial" w:cs="Arial" w:eastAsia="Arial" w:hAnsi="Arial"/>
          <w:sz w:val="14"/>
          <w:szCs w:val="14"/>
          <w:color w:val="231F20"/>
        </w:rPr>
        <w:t xml:space="preserve">at least equal to the greater of (i) the amount of the aggregate Preferred Dividends then accrued on such share of Series A Preferred Stock and Series C Preferred Stock and not previously paid and (ii) (A) in the case of a dividend on Common Stock or any class or series that is convertible into Common Stock, that dividend per share of Series A Preferred Stock and Series C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Preferred Stock or Series C Preferred Stock, in each case calculated on the record date for determination of holders entitled to receive such dividend or (B) in the case of a dividend on any class or series that is not convertible into Common Stock, at a rate per share of Series A Preferred Stock or Series C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(as defined below); </w:t>
      </w:r>
      <w:r>
        <w:rPr>
          <w:rFonts w:ascii="Arial" w:cs="Arial" w:eastAsia="Arial" w:hAnsi="Arial"/>
          <w:sz w:val="14"/>
          <w:szCs w:val="14"/>
          <w:u w:val="single" w:color="auto"/>
          <w:color w:val="231F20"/>
        </w:rPr>
        <w:t>provided</w:t>
      </w:r>
      <w:r>
        <w:rPr>
          <w:rFonts w:ascii="Arial" w:cs="Arial" w:eastAsia="Arial" w:hAnsi="Arial"/>
          <w:sz w:val="14"/>
          <w:szCs w:val="14"/>
          <w:color w:val="231F20"/>
        </w:rPr>
        <w:t xml:space="preserve"> that if the Corporation declares, pays or sets aside, on the same date, a dividend on shares of more than one class or series of capital stock of the Corporation, the dividend payable to the holders of Series A Preferred Stock and Series C Preferred Stock pursuant to this </w:t>
      </w:r>
      <w:r>
        <w:rPr>
          <w:rFonts w:ascii="Arial" w:cs="Arial" w:eastAsia="Arial" w:hAnsi="Arial"/>
          <w:sz w:val="14"/>
          <w:szCs w:val="14"/>
          <w:u w:val="single" w:color="auto"/>
          <w:color w:val="231F20"/>
        </w:rPr>
        <w:t>Section 1</w:t>
      </w:r>
      <w:r>
        <w:rPr>
          <w:rFonts w:ascii="Arial" w:cs="Arial" w:eastAsia="Arial" w:hAnsi="Arial"/>
          <w:sz w:val="14"/>
          <w:szCs w:val="14"/>
          <w:color w:val="231F20"/>
        </w:rPr>
        <w:t xml:space="preserve"> shall be calculated based upon the dividend on the class or series of capital stock that would result in the highest Series A Preferred Stock and Series C Preferred Stock dividend.</w:t>
      </w:r>
    </w:p>
    <w:p>
      <w:pPr>
        <w:spacing w:after="0" w:line="149" w:lineRule="exact"/>
        <w:rPr>
          <w:sz w:val="20"/>
          <w:szCs w:val="20"/>
          <w:color w:val="auto"/>
        </w:rPr>
      </w:pPr>
    </w:p>
    <w:p>
      <w:pPr>
        <w:jc w:val="both"/>
        <w:ind w:firstLine="1554"/>
        <w:spacing w:after="0" w:line="276" w:lineRule="auto"/>
        <w:rPr>
          <w:sz w:val="20"/>
          <w:szCs w:val="20"/>
          <w:color w:val="auto"/>
        </w:rPr>
      </w:pPr>
      <w:r>
        <w:rPr>
          <w:rFonts w:ascii="Arial" w:cs="Arial" w:eastAsia="Arial" w:hAnsi="Arial"/>
          <w:sz w:val="14"/>
          <w:szCs w:val="14"/>
          <w:color w:val="231F20"/>
        </w:rPr>
        <w:t>1.2. For purposes of this Certificate of Incorporation, the “</w:t>
      </w:r>
      <w:r>
        <w:rPr>
          <w:rFonts w:ascii="Arial" w:cs="Arial" w:eastAsia="Arial" w:hAnsi="Arial"/>
          <w:sz w:val="14"/>
          <w:szCs w:val="14"/>
          <w:b w:val="1"/>
          <w:bCs w:val="1"/>
          <w:color w:val="231F20"/>
        </w:rPr>
        <w:t>Original Issue Price</w:t>
      </w:r>
      <w:r>
        <w:rPr>
          <w:rFonts w:ascii="Arial" w:cs="Arial" w:eastAsia="Arial" w:hAnsi="Arial"/>
          <w:sz w:val="14"/>
          <w:szCs w:val="14"/>
          <w:color w:val="231F20"/>
        </w:rPr>
        <w:t>” shall be (i) $6.4720 per share of Series C Preferred Stock, (ii) $5.55 per share of Series B Preferred Stock, and (iii) $1.00 per share of Series A Preferred Stock (in each case, subject to appropriate adjustment in the event of any stock dividend, stock split, combination or other similar recapitalization with respect to the applicable Preferred Stock).</w:t>
      </w:r>
    </w:p>
    <w:p>
      <w:pPr>
        <w:spacing w:after="0" w:line="150" w:lineRule="exact"/>
        <w:rPr>
          <w:sz w:val="20"/>
          <w:szCs w:val="20"/>
          <w:color w:val="auto"/>
        </w:rPr>
      </w:pPr>
    </w:p>
    <w:p>
      <w:pPr>
        <w:ind w:left="1540" w:hanging="498"/>
        <w:spacing w:after="0"/>
        <w:tabs>
          <w:tab w:leader="none" w:pos="1540" w:val="left"/>
        </w:tabs>
        <w:numPr>
          <w:ilvl w:val="0"/>
          <w:numId w:val="143"/>
        </w:numPr>
        <w:rPr>
          <w:rFonts w:ascii="Arial" w:cs="Arial" w:eastAsia="Arial" w:hAnsi="Arial"/>
          <w:sz w:val="14"/>
          <w:szCs w:val="14"/>
          <w:b w:val="1"/>
          <w:bCs w:val="1"/>
          <w:color w:val="231F20"/>
        </w:rPr>
      </w:pPr>
      <w:r>
        <w:rPr>
          <w:rFonts w:ascii="Arial" w:cs="Arial" w:eastAsia="Arial" w:hAnsi="Arial"/>
          <w:sz w:val="14"/>
          <w:szCs w:val="14"/>
          <w:color w:val="231F20"/>
        </w:rPr>
        <w:t>Liquidation, Dissolution or Winding Up; Certain Mergers, Consolidations and Asset Sales.</w:t>
      </w:r>
    </w:p>
    <w:p>
      <w:pPr>
        <w:spacing w:after="0" w:line="184" w:lineRule="exact"/>
        <w:rPr>
          <w:sz w:val="20"/>
          <w:szCs w:val="20"/>
          <w:color w:val="auto"/>
        </w:rPr>
      </w:pPr>
    </w:p>
    <w:p>
      <w:pPr>
        <w:jc w:val="both"/>
        <w:ind w:firstLine="1554"/>
        <w:spacing w:after="0" w:line="261" w:lineRule="auto"/>
        <w:rPr>
          <w:sz w:val="20"/>
          <w:szCs w:val="20"/>
          <w:color w:val="auto"/>
        </w:rPr>
      </w:pPr>
      <w:r>
        <w:rPr>
          <w:rFonts w:ascii="Arial" w:cs="Arial" w:eastAsia="Arial" w:hAnsi="Arial"/>
          <w:sz w:val="14"/>
          <w:szCs w:val="14"/>
          <w:color w:val="231F20"/>
        </w:rPr>
        <w:t xml:space="preserve">2.1. </w:t>
      </w:r>
      <w:r>
        <w:rPr>
          <w:rFonts w:ascii="Arial" w:cs="Arial" w:eastAsia="Arial" w:hAnsi="Arial"/>
          <w:sz w:val="14"/>
          <w:szCs w:val="14"/>
          <w:u w:val="single" w:color="auto"/>
          <w:color w:val="231F20"/>
        </w:rPr>
        <w:t>Preferential Payments to Holders of Preferred Stock</w:t>
      </w:r>
      <w:r>
        <w:rPr>
          <w:rFonts w:ascii="Arial" w:cs="Arial" w:eastAsia="Arial" w:hAnsi="Arial"/>
          <w:sz w:val="14"/>
          <w:szCs w:val="14"/>
          <w:color w:val="231F20"/>
        </w:rPr>
        <w:t xml:space="preserve">. In the event of any voluntary or involuntary liquidation, dissolution or winding up of the Corporation or Deemed Liquidation Event (as defined below), the holders of shares of Preferred Stock then outstanding shall be entitled to be paid out of the assets of the Corporation available for distribution to its stockholders, on a </w:t>
      </w:r>
      <w:r>
        <w:rPr>
          <w:rFonts w:ascii="Arial" w:cs="Arial" w:eastAsia="Arial" w:hAnsi="Arial"/>
          <w:sz w:val="14"/>
          <w:szCs w:val="14"/>
          <w:i w:val="1"/>
          <w:iCs w:val="1"/>
          <w:color w:val="231F20"/>
        </w:rPr>
        <w:t>pari passu</w:t>
      </w:r>
      <w:r>
        <w:rPr>
          <w:rFonts w:ascii="Arial" w:cs="Arial" w:eastAsia="Arial" w:hAnsi="Arial"/>
          <w:sz w:val="14"/>
          <w:szCs w:val="14"/>
          <w:color w:val="231F20"/>
        </w:rPr>
        <w:t xml:space="preserve"> basis, prior and in preference to any distribution of any of the assets of the Corporation to the holders of Common Stock by reason of their ownership thereof, an amount per share equal to the applicable Original Issue Price,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4"/>
          <w:szCs w:val="14"/>
          <w:u w:val="single" w:color="auto"/>
          <w:color w:val="231F20"/>
        </w:rPr>
        <w:t>Section 2.1</w:t>
      </w:r>
      <w:r>
        <w:rPr>
          <w:rFonts w:ascii="Arial" w:cs="Arial" w:eastAsia="Arial" w:hAnsi="Arial"/>
          <w:sz w:val="14"/>
          <w:szCs w:val="14"/>
          <w:color w:val="231F20"/>
        </w:rPr>
        <w:t xml:space="preserve">, the holders of shares of Preferred Stock shall share ratably on a </w:t>
      </w:r>
      <w:r>
        <w:rPr>
          <w:rFonts w:ascii="Arial" w:cs="Arial" w:eastAsia="Arial" w:hAnsi="Arial"/>
          <w:sz w:val="14"/>
          <w:szCs w:val="14"/>
          <w:i w:val="1"/>
          <w:iCs w:val="1"/>
          <w:color w:val="231F20"/>
        </w:rPr>
        <w:t>pari passu</w:t>
      </w:r>
      <w:r>
        <w:rPr>
          <w:rFonts w:ascii="Arial" w:cs="Arial" w:eastAsia="Arial" w:hAnsi="Arial"/>
          <w:sz w:val="14"/>
          <w:szCs w:val="14"/>
          <w:color w:val="231F20"/>
        </w:rPr>
        <w:t xml:space="preserve"> basis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80" w:name="page281"/>
    <w:bookmarkEnd w:id="280"/>
    <w:p>
      <w:pPr>
        <w:jc w:val="both"/>
        <w:ind w:firstLine="1554"/>
        <w:spacing w:after="0" w:line="263" w:lineRule="auto"/>
        <w:rPr>
          <w:sz w:val="20"/>
          <w:szCs w:val="20"/>
          <w:color w:val="auto"/>
        </w:rPr>
      </w:pPr>
      <w:r>
        <w:rPr>
          <w:rFonts w:ascii="Arial" w:cs="Arial" w:eastAsia="Arial" w:hAnsi="Arial"/>
          <w:sz w:val="14"/>
          <w:szCs w:val="14"/>
          <w:color w:val="231F20"/>
        </w:rPr>
        <w:t xml:space="preserve">2.2. </w:t>
      </w:r>
      <w:r>
        <w:rPr>
          <w:rFonts w:ascii="Arial" w:cs="Arial" w:eastAsia="Arial" w:hAnsi="Arial"/>
          <w:sz w:val="14"/>
          <w:szCs w:val="14"/>
          <w:u w:val="single" w:color="auto"/>
          <w:color w:val="231F20"/>
        </w:rPr>
        <w:t>Distribution of Remaining Assets</w:t>
      </w:r>
      <w:r>
        <w:rPr>
          <w:rFonts w:ascii="Arial" w:cs="Arial" w:eastAsia="Arial" w:hAnsi="Arial"/>
          <w:sz w:val="14"/>
          <w:szCs w:val="14"/>
          <w:color w:val="231F20"/>
        </w:rPr>
        <w:t xml:space="preserve">. In the event of any voluntary or involuntary liquidation, dissolution or winding up of the Corporation or Deemed Liquidation Event, after the payment of all preferential amounts required to be paid to the holders of shares of Preferred Stock pursuant to </w:t>
      </w:r>
      <w:r>
        <w:rPr>
          <w:rFonts w:ascii="Arial" w:cs="Arial" w:eastAsia="Arial" w:hAnsi="Arial"/>
          <w:sz w:val="14"/>
          <w:szCs w:val="14"/>
          <w:u w:val="single" w:color="auto"/>
          <w:color w:val="231F20"/>
        </w:rPr>
        <w:t>Section 2.1</w:t>
      </w:r>
      <w:r>
        <w:rPr>
          <w:rFonts w:ascii="Arial" w:cs="Arial" w:eastAsia="Arial" w:hAnsi="Arial"/>
          <w:sz w:val="14"/>
          <w:szCs w:val="14"/>
          <w:color w:val="231F20"/>
        </w:rPr>
        <w:t xml:space="preserve"> of this Certificate of Incorporation have been paid in full, the remaining assets of the Corporation available for distribution to its stockholders shall be distributed among the holders of the shares of Preferred Stock and Common Stock, </w:t>
      </w:r>
      <w:r>
        <w:rPr>
          <w:rFonts w:ascii="Arial" w:cs="Arial" w:eastAsia="Arial" w:hAnsi="Arial"/>
          <w:sz w:val="14"/>
          <w:szCs w:val="14"/>
          <w:i w:val="1"/>
          <w:iCs w:val="1"/>
          <w:color w:val="231F20"/>
        </w:rPr>
        <w:t xml:space="preserve">pro rata </w:t>
      </w:r>
      <w:r>
        <w:rPr>
          <w:rFonts w:ascii="Arial" w:cs="Arial" w:eastAsia="Arial" w:hAnsi="Arial"/>
          <w:sz w:val="14"/>
          <w:szCs w:val="14"/>
          <w:color w:val="231F20"/>
        </w:rPr>
        <w:t>based on the number of shares held by each such holder, treating for this purpose all such securities as if they had been converted to Common Stock pursuant to the terms of this</w:t>
      </w:r>
      <w:r>
        <w:rPr>
          <w:rFonts w:ascii="Arial" w:cs="Arial" w:eastAsia="Arial" w:hAnsi="Arial"/>
          <w:sz w:val="14"/>
          <w:szCs w:val="14"/>
          <w:i w:val="1"/>
          <w:iCs w:val="1"/>
          <w:color w:val="231F20"/>
        </w:rPr>
        <w:t xml:space="preserve"> </w:t>
      </w:r>
      <w:r>
        <w:rPr>
          <w:rFonts w:ascii="Arial" w:cs="Arial" w:eastAsia="Arial" w:hAnsi="Arial"/>
          <w:sz w:val="14"/>
          <w:szCs w:val="14"/>
          <w:color w:val="231F20"/>
        </w:rPr>
        <w:t xml:space="preserve">Certificate of Incorporation immediately prior to such liquidation, dissolution or winding up of the Corporation, The aggregate amount which a holder of a share of Preferred Stock is entitled to receive under </w:t>
      </w:r>
      <w:r>
        <w:rPr>
          <w:rFonts w:ascii="Arial" w:cs="Arial" w:eastAsia="Arial" w:hAnsi="Arial"/>
          <w:sz w:val="14"/>
          <w:szCs w:val="14"/>
          <w:u w:val="single" w:color="auto"/>
          <w:color w:val="231F20"/>
        </w:rPr>
        <w:t>Sections 2.1</w:t>
      </w:r>
      <w:r>
        <w:rPr>
          <w:rFonts w:ascii="Arial" w:cs="Arial" w:eastAsia="Arial" w:hAnsi="Arial"/>
          <w:sz w:val="14"/>
          <w:szCs w:val="14"/>
          <w:color w:val="231F20"/>
        </w:rPr>
        <w:t xml:space="preserve"> and </w:t>
      </w:r>
      <w:r>
        <w:rPr>
          <w:rFonts w:ascii="Arial" w:cs="Arial" w:eastAsia="Arial" w:hAnsi="Arial"/>
          <w:sz w:val="14"/>
          <w:szCs w:val="14"/>
          <w:u w:val="single" w:color="auto"/>
          <w:color w:val="231F20"/>
        </w:rPr>
        <w:t>2.2</w:t>
      </w:r>
      <w:r>
        <w:rPr>
          <w:rFonts w:ascii="Arial" w:cs="Arial" w:eastAsia="Arial" w:hAnsi="Arial"/>
          <w:sz w:val="14"/>
          <w:szCs w:val="14"/>
          <w:color w:val="231F20"/>
        </w:rPr>
        <w:t xml:space="preserve"> is hereinafter referred to as the “</w:t>
      </w:r>
      <w:r>
        <w:rPr>
          <w:rFonts w:ascii="Arial" w:cs="Arial" w:eastAsia="Arial" w:hAnsi="Arial"/>
          <w:sz w:val="14"/>
          <w:szCs w:val="14"/>
          <w:b w:val="1"/>
          <w:bCs w:val="1"/>
          <w:color w:val="231F20"/>
        </w:rPr>
        <w:t>Liquidation Amount</w:t>
      </w:r>
      <w:r>
        <w:rPr>
          <w:rFonts w:ascii="Arial" w:cs="Arial" w:eastAsia="Arial" w:hAnsi="Arial"/>
          <w:sz w:val="14"/>
          <w:szCs w:val="14"/>
          <w:color w:val="231F20"/>
        </w:rPr>
        <w:t>.”</w:t>
      </w:r>
    </w:p>
    <w:p>
      <w:pPr>
        <w:spacing w:after="0" w:line="161"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4"/>
          <w:szCs w:val="14"/>
          <w:color w:val="231F20"/>
        </w:rPr>
        <w:t>2.3.</w:t>
      </w:r>
      <w:r>
        <w:rPr>
          <w:sz w:val="20"/>
          <w:szCs w:val="20"/>
          <w:color w:val="auto"/>
        </w:rPr>
        <w:tab/>
      </w:r>
      <w:r>
        <w:rPr>
          <w:rFonts w:ascii="Arial" w:cs="Arial" w:eastAsia="Arial" w:hAnsi="Arial"/>
          <w:sz w:val="13"/>
          <w:szCs w:val="13"/>
          <w:color w:val="231F20"/>
        </w:rPr>
        <w:t>Deemed Liquidation Events.</w:t>
      </w:r>
    </w:p>
    <w:p>
      <w:pPr>
        <w:spacing w:after="0" w:line="180" w:lineRule="exact"/>
        <w:rPr>
          <w:sz w:val="20"/>
          <w:szCs w:val="20"/>
          <w:color w:val="auto"/>
        </w:rPr>
      </w:pPr>
    </w:p>
    <w:p>
      <w:pPr>
        <w:jc w:val="both"/>
        <w:ind w:firstLine="2072"/>
        <w:spacing w:after="0" w:line="306" w:lineRule="auto"/>
        <w:rPr>
          <w:sz w:val="20"/>
          <w:szCs w:val="20"/>
          <w:color w:val="auto"/>
        </w:rPr>
      </w:pPr>
      <w:r>
        <w:rPr>
          <w:rFonts w:ascii="Arial" w:cs="Arial" w:eastAsia="Arial" w:hAnsi="Arial"/>
          <w:sz w:val="13"/>
          <w:szCs w:val="13"/>
          <w:color w:val="231F20"/>
        </w:rPr>
        <w:t xml:space="preserve">2.3.1. </w:t>
      </w:r>
      <w:r>
        <w:rPr>
          <w:rFonts w:ascii="Arial" w:cs="Arial" w:eastAsia="Arial" w:hAnsi="Arial"/>
          <w:sz w:val="13"/>
          <w:szCs w:val="13"/>
          <w:u w:val="single" w:color="auto"/>
          <w:color w:val="231F20"/>
        </w:rPr>
        <w:t>Definition</w:t>
      </w:r>
      <w:r>
        <w:rPr>
          <w:rFonts w:ascii="Arial" w:cs="Arial" w:eastAsia="Arial" w:hAnsi="Arial"/>
          <w:sz w:val="13"/>
          <w:szCs w:val="13"/>
          <w:color w:val="231F20"/>
        </w:rPr>
        <w:t>. Each of the following events shall be considered a “</w:t>
      </w:r>
      <w:r>
        <w:rPr>
          <w:rFonts w:ascii="Arial" w:cs="Arial" w:eastAsia="Arial" w:hAnsi="Arial"/>
          <w:sz w:val="13"/>
          <w:szCs w:val="13"/>
          <w:b w:val="1"/>
          <w:bCs w:val="1"/>
          <w:color w:val="231F20"/>
        </w:rPr>
        <w:t>Deemed Liquidation Event</w:t>
      </w:r>
      <w:r>
        <w:rPr>
          <w:rFonts w:ascii="Arial" w:cs="Arial" w:eastAsia="Arial" w:hAnsi="Arial"/>
          <w:sz w:val="13"/>
          <w:szCs w:val="13"/>
          <w:color w:val="231F20"/>
        </w:rPr>
        <w:t>” unless (i) the holders of a majority of the outstanding shares of Preferred Stock, voting together as a single class on an as-converted basis (the “</w:t>
      </w:r>
      <w:r>
        <w:rPr>
          <w:rFonts w:ascii="Arial" w:cs="Arial" w:eastAsia="Arial" w:hAnsi="Arial"/>
          <w:sz w:val="13"/>
          <w:szCs w:val="13"/>
          <w:b w:val="1"/>
          <w:bCs w:val="1"/>
          <w:color w:val="231F20"/>
        </w:rPr>
        <w:t>Preferred Threshold</w:t>
      </w:r>
      <w:r>
        <w:rPr>
          <w:rFonts w:ascii="Arial" w:cs="Arial" w:eastAsia="Arial" w:hAnsi="Arial"/>
          <w:sz w:val="13"/>
          <w:szCs w:val="13"/>
          <w:color w:val="231F20"/>
        </w:rPr>
        <w:t>”), and (ii) the holders of a majority of the outstanding shares of Series C Preferred Stock, voting as a separate class, elect otherwise by written notice sent to the Corporation at least thirty (30) days prior to the effective date of any such event:</w:t>
      </w:r>
    </w:p>
    <w:p>
      <w:pPr>
        <w:spacing w:after="0" w:line="134" w:lineRule="exact"/>
        <w:rPr>
          <w:sz w:val="20"/>
          <w:szCs w:val="20"/>
          <w:color w:val="auto"/>
        </w:rPr>
      </w:pPr>
    </w:p>
    <w:p>
      <w:pPr>
        <w:ind w:left="3120" w:hanging="524"/>
        <w:spacing w:after="0"/>
        <w:tabs>
          <w:tab w:leader="none" w:pos="3120" w:val="left"/>
        </w:tabs>
        <w:numPr>
          <w:ilvl w:val="0"/>
          <w:numId w:val="144"/>
        </w:numPr>
        <w:rPr>
          <w:rFonts w:ascii="Arial" w:cs="Arial" w:eastAsia="Arial" w:hAnsi="Arial"/>
          <w:sz w:val="14"/>
          <w:szCs w:val="14"/>
          <w:color w:val="231F20"/>
        </w:rPr>
      </w:pPr>
      <w:r>
        <w:rPr>
          <w:rFonts w:ascii="Arial" w:cs="Arial" w:eastAsia="Arial" w:hAnsi="Arial"/>
          <w:sz w:val="14"/>
          <w:szCs w:val="14"/>
          <w:color w:val="231F20"/>
        </w:rPr>
        <w:t>a merger, consolidation or reorganization in which</w:t>
      </w:r>
    </w:p>
    <w:p>
      <w:pPr>
        <w:spacing w:after="0" w:line="195" w:lineRule="exact"/>
        <w:rPr>
          <w:rFonts w:ascii="Arial" w:cs="Arial" w:eastAsia="Arial" w:hAnsi="Arial"/>
          <w:sz w:val="14"/>
          <w:szCs w:val="14"/>
          <w:color w:val="231F20"/>
        </w:rPr>
      </w:pPr>
    </w:p>
    <w:p>
      <w:pPr>
        <w:ind w:left="3640" w:hanging="526"/>
        <w:spacing w:after="0"/>
        <w:tabs>
          <w:tab w:leader="none" w:pos="3640" w:val="left"/>
        </w:tabs>
        <w:numPr>
          <w:ilvl w:val="1"/>
          <w:numId w:val="144"/>
        </w:numPr>
        <w:rPr>
          <w:rFonts w:ascii="Arial" w:cs="Arial" w:eastAsia="Arial" w:hAnsi="Arial"/>
          <w:sz w:val="14"/>
          <w:szCs w:val="14"/>
          <w:color w:val="231F20"/>
        </w:rPr>
      </w:pPr>
      <w:r>
        <w:rPr>
          <w:rFonts w:ascii="Arial" w:cs="Arial" w:eastAsia="Arial" w:hAnsi="Arial"/>
          <w:sz w:val="14"/>
          <w:szCs w:val="14"/>
          <w:color w:val="231F20"/>
        </w:rPr>
        <w:t>the Corporation is a constituent party or</w:t>
      </w:r>
    </w:p>
    <w:p>
      <w:pPr>
        <w:spacing w:after="0" w:line="184" w:lineRule="exact"/>
        <w:rPr>
          <w:rFonts w:ascii="Arial" w:cs="Arial" w:eastAsia="Arial" w:hAnsi="Arial"/>
          <w:sz w:val="14"/>
          <w:szCs w:val="14"/>
          <w:color w:val="231F20"/>
        </w:rPr>
      </w:pPr>
    </w:p>
    <w:p>
      <w:pPr>
        <w:ind w:left="3640" w:hanging="526"/>
        <w:spacing w:after="0" w:line="288" w:lineRule="auto"/>
        <w:tabs>
          <w:tab w:leader="none" w:pos="3640" w:val="left"/>
        </w:tabs>
        <w:numPr>
          <w:ilvl w:val="1"/>
          <w:numId w:val="144"/>
        </w:numPr>
        <w:rPr>
          <w:rFonts w:ascii="Arial" w:cs="Arial" w:eastAsia="Arial" w:hAnsi="Arial"/>
          <w:sz w:val="14"/>
          <w:szCs w:val="14"/>
          <w:color w:val="231F20"/>
        </w:rPr>
      </w:pPr>
      <w:r>
        <w:rPr>
          <w:rFonts w:ascii="Arial" w:cs="Arial" w:eastAsia="Arial" w:hAnsi="Arial"/>
          <w:sz w:val="14"/>
          <w:szCs w:val="14"/>
          <w:color w:val="231F20"/>
        </w:rPr>
        <w:t>a subsidiary of the Corporation is a constituent party and the Corporation issues shares of its capital stock pursuant to such merger or consolidation,</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231F20"/>
        </w:rPr>
        <w:t xml:space="preserve">except any such merger, consolidation or reorganization involving the Corporation or a subsidiary in which the shares of capital stock of the Corporation outstanding immediately prior to such merger, consolidation or reorganization continue to represent, or are converted into or exchanged for shares of capital stock that represent, immediately following such merger, consolidation or reorganization, at least a majority, by voting power, of the capital stock of (1) the surviving or resulting corporation or (2) if the surviving or resulting corporation is a wholly owned subsidiary of another corporation immediately following such merger, consolidation or reorganization, the parent corporation of such surviving or resulting corporation; </w:t>
      </w:r>
      <w:r>
        <w:rPr>
          <w:rFonts w:ascii="Arial" w:cs="Arial" w:eastAsia="Arial" w:hAnsi="Arial"/>
          <w:sz w:val="14"/>
          <w:szCs w:val="14"/>
          <w:u w:val="single" w:color="auto"/>
          <w:color w:val="231F20"/>
        </w:rPr>
        <w:t>provided</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however</w:t>
      </w:r>
      <w:r>
        <w:rPr>
          <w:rFonts w:ascii="Arial" w:cs="Arial" w:eastAsia="Arial" w:hAnsi="Arial"/>
          <w:sz w:val="14"/>
          <w:szCs w:val="14"/>
          <w:color w:val="231F20"/>
        </w:rPr>
        <w:t>, a merger with a special purpose acquisition company, a reverse merger with a publicly traded shell company or other similar transaction, immediately following which the Corporation’s securities become publicly traded on a national securities exchange, shall be deemed to not constitute a Deemed Liquidation Event.</w:t>
      </w:r>
    </w:p>
    <w:p>
      <w:pPr>
        <w:spacing w:after="0" w:line="150" w:lineRule="exact"/>
        <w:rPr>
          <w:sz w:val="20"/>
          <w:szCs w:val="20"/>
          <w:color w:val="auto"/>
        </w:rPr>
      </w:pPr>
    </w:p>
    <w:p>
      <w:pPr>
        <w:jc w:val="both"/>
        <w:ind w:firstLine="2596"/>
        <w:spacing w:after="0" w:line="329" w:lineRule="auto"/>
        <w:tabs>
          <w:tab w:leader="none" w:pos="3102" w:val="left"/>
        </w:tabs>
        <w:numPr>
          <w:ilvl w:val="0"/>
          <w:numId w:val="145"/>
        </w:numPr>
        <w:rPr>
          <w:rFonts w:ascii="Arial" w:cs="Arial" w:eastAsia="Arial" w:hAnsi="Arial"/>
          <w:sz w:val="13"/>
          <w:szCs w:val="13"/>
          <w:color w:val="231F20"/>
        </w:rPr>
      </w:pPr>
      <w:r>
        <w:rPr>
          <w:rFonts w:ascii="Arial" w:cs="Arial" w:eastAsia="Arial" w:hAnsi="Arial"/>
          <w:sz w:val="13"/>
          <w:szCs w:val="13"/>
          <w:color w:val="231F20"/>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281" w:name="page282"/>
    <w:bookmarkEnd w:id="281"/>
    <w:p>
      <w:pPr>
        <w:spacing w:after="0" w:line="288" w:lineRule="auto"/>
        <w:rPr>
          <w:sz w:val="20"/>
          <w:szCs w:val="20"/>
          <w:color w:val="auto"/>
        </w:rPr>
      </w:pPr>
      <w:r>
        <w:rPr>
          <w:rFonts w:ascii="Arial" w:cs="Arial" w:eastAsia="Arial" w:hAnsi="Arial"/>
          <w:sz w:val="14"/>
          <w:szCs w:val="14"/>
          <w:color w:val="231F20"/>
        </w:rPr>
        <w:t>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or</w:t>
      </w:r>
    </w:p>
    <w:p>
      <w:pPr>
        <w:spacing w:after="0" w:line="132" w:lineRule="exact"/>
        <w:rPr>
          <w:sz w:val="20"/>
          <w:szCs w:val="20"/>
          <w:color w:val="auto"/>
        </w:rPr>
      </w:pPr>
    </w:p>
    <w:p>
      <w:pPr>
        <w:jc w:val="both"/>
        <w:ind w:firstLine="2596"/>
        <w:spacing w:after="0" w:line="265" w:lineRule="auto"/>
        <w:tabs>
          <w:tab w:leader="none" w:pos="3094" w:val="left"/>
        </w:tabs>
        <w:numPr>
          <w:ilvl w:val="0"/>
          <w:numId w:val="146"/>
        </w:numPr>
        <w:rPr>
          <w:rFonts w:ascii="Arial" w:cs="Arial" w:eastAsia="Arial" w:hAnsi="Arial"/>
          <w:sz w:val="14"/>
          <w:szCs w:val="14"/>
          <w:color w:val="231F20"/>
        </w:rPr>
      </w:pPr>
      <w:r>
        <w:rPr>
          <w:rFonts w:ascii="Arial" w:cs="Arial" w:eastAsia="Arial" w:hAnsi="Arial"/>
          <w:sz w:val="14"/>
          <w:szCs w:val="14"/>
          <w:color w:val="231F20"/>
        </w:rPr>
        <w:t xml:space="preserve">any other transaction or series of transactions pursuant to, or as a result of, which a single person (or group of affiliated persons) acquires (from the Corporation or directly from the stockholders of the Corporation) or holds capital stock of the Corporation representing a majority of the Corporation’s outstanding voting power; </w:t>
      </w:r>
      <w:r>
        <w:rPr>
          <w:rFonts w:ascii="Arial" w:cs="Arial" w:eastAsia="Arial" w:hAnsi="Arial"/>
          <w:sz w:val="14"/>
          <w:szCs w:val="14"/>
          <w:u w:val="single" w:color="auto"/>
          <w:color w:val="231F20"/>
        </w:rPr>
        <w:t>provided</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however</w:t>
      </w:r>
      <w:r>
        <w:rPr>
          <w:rFonts w:ascii="Arial" w:cs="Arial" w:eastAsia="Arial" w:hAnsi="Arial"/>
          <w:sz w:val="14"/>
          <w:szCs w:val="14"/>
          <w:color w:val="231F20"/>
        </w:rPr>
        <w:t>, a change in majority voting control resulting from the consummation of the transactions contemplated by that certain Series C Preferred Stock Purchase Agreement, dated on or about the date hereof, by and between the Corporation and the parties thereto (as may be amended or amended and restated from time to time) (the “</w:t>
      </w:r>
      <w:r>
        <w:rPr>
          <w:rFonts w:ascii="Arial" w:cs="Arial" w:eastAsia="Arial" w:hAnsi="Arial"/>
          <w:sz w:val="14"/>
          <w:szCs w:val="14"/>
          <w:b w:val="1"/>
          <w:bCs w:val="1"/>
          <w:color w:val="231F20"/>
        </w:rPr>
        <w:t>Purchase Agreement</w:t>
      </w:r>
      <w:r>
        <w:rPr>
          <w:rFonts w:ascii="Arial" w:cs="Arial" w:eastAsia="Arial" w:hAnsi="Arial"/>
          <w:sz w:val="14"/>
          <w:szCs w:val="14"/>
          <w:color w:val="231F20"/>
        </w:rPr>
        <w:t>”), shall be deemed to not constitute a Deemed Liquidation Event.</w:t>
      </w:r>
    </w:p>
    <w:p>
      <w:pPr>
        <w:spacing w:after="0" w:line="158"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2.3.2.</w:t>
      </w:r>
      <w:r>
        <w:rPr>
          <w:sz w:val="20"/>
          <w:szCs w:val="20"/>
          <w:color w:val="auto"/>
        </w:rPr>
        <w:tab/>
      </w:r>
      <w:r>
        <w:rPr>
          <w:rFonts w:ascii="Arial" w:cs="Arial" w:eastAsia="Arial" w:hAnsi="Arial"/>
          <w:sz w:val="13"/>
          <w:szCs w:val="13"/>
          <w:u w:val="single" w:color="auto"/>
          <w:color w:val="231F20"/>
        </w:rPr>
        <w:t>Effecting a Deemed Liquidation Event</w:t>
      </w:r>
      <w:r>
        <w:rPr>
          <w:rFonts w:ascii="Arial" w:cs="Arial" w:eastAsia="Arial" w:hAnsi="Arial"/>
          <w:sz w:val="13"/>
          <w:szCs w:val="13"/>
          <w:color w:val="231F20"/>
        </w:rPr>
        <w:t>.</w:t>
      </w:r>
    </w:p>
    <w:p>
      <w:pPr>
        <w:spacing w:after="0" w:line="195" w:lineRule="exact"/>
        <w:rPr>
          <w:sz w:val="20"/>
          <w:szCs w:val="20"/>
          <w:color w:val="auto"/>
        </w:rPr>
      </w:pPr>
    </w:p>
    <w:p>
      <w:pPr>
        <w:jc w:val="both"/>
        <w:ind w:firstLine="2596"/>
        <w:spacing w:after="0" w:line="273" w:lineRule="auto"/>
        <w:tabs>
          <w:tab w:leader="none" w:pos="3094" w:val="left"/>
        </w:tabs>
        <w:numPr>
          <w:ilvl w:val="0"/>
          <w:numId w:val="147"/>
        </w:numPr>
        <w:rPr>
          <w:rFonts w:ascii="Arial" w:cs="Arial" w:eastAsia="Arial" w:hAnsi="Arial"/>
          <w:sz w:val="14"/>
          <w:szCs w:val="14"/>
          <w:color w:val="231F20"/>
        </w:rPr>
      </w:pPr>
      <w:r>
        <w:rPr>
          <w:rFonts w:ascii="Arial" w:cs="Arial" w:eastAsia="Arial" w:hAnsi="Arial"/>
          <w:sz w:val="14"/>
          <w:szCs w:val="14"/>
          <w:color w:val="231F20"/>
        </w:rPr>
        <w:t xml:space="preserve">The Corporation shall not have the power to effect a Deemed Liquidation Event referred to in </w:t>
      </w:r>
      <w:r>
        <w:rPr>
          <w:rFonts w:ascii="Arial" w:cs="Arial" w:eastAsia="Arial" w:hAnsi="Arial"/>
          <w:sz w:val="14"/>
          <w:szCs w:val="14"/>
          <w:u w:val="single" w:color="auto"/>
          <w:color w:val="231F20"/>
        </w:rPr>
        <w:t>Section 2.3.1(a)(i)</w:t>
      </w:r>
      <w:r>
        <w:rPr>
          <w:rFonts w:ascii="Arial" w:cs="Arial" w:eastAsia="Arial" w:hAnsi="Arial"/>
          <w:sz w:val="14"/>
          <w:szCs w:val="14"/>
          <w:color w:val="231F20"/>
        </w:rPr>
        <w:t xml:space="preserve"> unless the agreement or plan of merger or consolidation for such transaction (the “</w:t>
      </w:r>
      <w:r>
        <w:rPr>
          <w:rFonts w:ascii="Arial" w:cs="Arial" w:eastAsia="Arial" w:hAnsi="Arial"/>
          <w:sz w:val="14"/>
          <w:szCs w:val="14"/>
          <w:b w:val="1"/>
          <w:bCs w:val="1"/>
          <w:color w:val="231F20"/>
        </w:rPr>
        <w:t>Merger Agreement</w:t>
      </w:r>
      <w:r>
        <w:rPr>
          <w:rFonts w:ascii="Arial" w:cs="Arial" w:eastAsia="Arial" w:hAnsi="Arial"/>
          <w:sz w:val="14"/>
          <w:szCs w:val="14"/>
          <w:color w:val="231F20"/>
        </w:rPr>
        <w:t xml:space="preserve">”) provides that the consideration payable to the stockholders of the Corporation in such Deemed Liquidation Event shall be allocated among the holders of capital stock of the Corporation in accordance with </w:t>
      </w:r>
      <w:r>
        <w:rPr>
          <w:rFonts w:ascii="Arial" w:cs="Arial" w:eastAsia="Arial" w:hAnsi="Arial"/>
          <w:sz w:val="14"/>
          <w:szCs w:val="14"/>
          <w:u w:val="single" w:color="auto"/>
          <w:color w:val="231F20"/>
        </w:rPr>
        <w:t>Sections 2.1</w:t>
      </w:r>
      <w:r>
        <w:rPr>
          <w:rFonts w:ascii="Arial" w:cs="Arial" w:eastAsia="Arial" w:hAnsi="Arial"/>
          <w:sz w:val="14"/>
          <w:szCs w:val="14"/>
          <w:color w:val="231F20"/>
        </w:rPr>
        <w:t xml:space="preserve"> and </w:t>
      </w:r>
      <w:r>
        <w:rPr>
          <w:rFonts w:ascii="Arial" w:cs="Arial" w:eastAsia="Arial" w:hAnsi="Arial"/>
          <w:sz w:val="14"/>
          <w:szCs w:val="14"/>
          <w:u w:val="single" w:color="auto"/>
          <w:color w:val="231F20"/>
        </w:rPr>
        <w:t>2.2</w:t>
      </w:r>
      <w:r>
        <w:rPr>
          <w:rFonts w:ascii="Arial" w:cs="Arial" w:eastAsia="Arial" w:hAnsi="Arial"/>
          <w:sz w:val="14"/>
          <w:szCs w:val="14"/>
          <w:color w:val="231F20"/>
        </w:rPr>
        <w:t>.</w:t>
      </w:r>
    </w:p>
    <w:p>
      <w:pPr>
        <w:spacing w:after="0" w:line="141" w:lineRule="exact"/>
        <w:rPr>
          <w:rFonts w:ascii="Arial" w:cs="Arial" w:eastAsia="Arial" w:hAnsi="Arial"/>
          <w:sz w:val="14"/>
          <w:szCs w:val="14"/>
          <w:color w:val="231F20"/>
        </w:rPr>
      </w:pPr>
    </w:p>
    <w:p>
      <w:pPr>
        <w:jc w:val="both"/>
        <w:ind w:firstLine="2596"/>
        <w:spacing w:after="0" w:line="284" w:lineRule="auto"/>
        <w:tabs>
          <w:tab w:leader="none" w:pos="3102" w:val="left"/>
        </w:tabs>
        <w:numPr>
          <w:ilvl w:val="0"/>
          <w:numId w:val="147"/>
        </w:numPr>
        <w:rPr>
          <w:rFonts w:ascii="Arial" w:cs="Arial" w:eastAsia="Arial" w:hAnsi="Arial"/>
          <w:sz w:val="13"/>
          <w:szCs w:val="13"/>
          <w:color w:val="231F20"/>
        </w:rPr>
      </w:pPr>
      <w:r>
        <w:rPr>
          <w:rFonts w:ascii="Arial" w:cs="Arial" w:eastAsia="Arial" w:hAnsi="Arial"/>
          <w:sz w:val="13"/>
          <w:szCs w:val="13"/>
          <w:color w:val="231F20"/>
        </w:rPr>
        <w:t xml:space="preserve">In the event of a Deemed Liquidation Event referred to in </w:t>
      </w:r>
      <w:r>
        <w:rPr>
          <w:rFonts w:ascii="Arial" w:cs="Arial" w:eastAsia="Arial" w:hAnsi="Arial"/>
          <w:sz w:val="13"/>
          <w:szCs w:val="13"/>
          <w:u w:val="single" w:color="auto"/>
          <w:color w:val="231F20"/>
        </w:rPr>
        <w:t>Section 2.3.1(a)(ii)</w:t>
      </w:r>
      <w:r>
        <w:rPr>
          <w:rFonts w:ascii="Arial" w:cs="Arial" w:eastAsia="Arial" w:hAnsi="Arial"/>
          <w:sz w:val="13"/>
          <w:szCs w:val="13"/>
          <w:color w:val="231F20"/>
        </w:rPr>
        <w:t xml:space="preserve"> or </w:t>
      </w:r>
      <w:r>
        <w:rPr>
          <w:rFonts w:ascii="Arial" w:cs="Arial" w:eastAsia="Arial" w:hAnsi="Arial"/>
          <w:sz w:val="13"/>
          <w:szCs w:val="13"/>
          <w:u w:val="single" w:color="auto"/>
          <w:color w:val="231F20"/>
        </w:rPr>
        <w:t>2.3.1(b)</w:t>
      </w:r>
      <w:r>
        <w:rPr>
          <w:rFonts w:ascii="Arial" w:cs="Arial" w:eastAsia="Arial" w:hAnsi="Arial"/>
          <w:sz w:val="13"/>
          <w:szCs w:val="13"/>
          <w:color w:val="231F20"/>
        </w:rPr>
        <w:t>, if the Corporation does not effect a dissolution of the Corporation under the General Corporation Law within ninety (90) days after such Deemed Liquidation Event, then (i) the Corporation shall send a written notice to each holder of Preferred</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231F20"/>
        </w:rPr>
        <w:t>Stock no later than the ninetieth (90</w:t>
      </w:r>
      <w:r>
        <w:rPr>
          <w:rFonts w:ascii="Arial" w:cs="Arial" w:eastAsia="Arial" w:hAnsi="Arial"/>
          <w:sz w:val="21"/>
          <w:szCs w:val="21"/>
          <w:color w:val="231F20"/>
          <w:vertAlign w:val="superscript"/>
        </w:rPr>
        <w:t>th</w:t>
      </w:r>
      <w:r>
        <w:rPr>
          <w:rFonts w:ascii="Arial" w:cs="Arial" w:eastAsia="Arial" w:hAnsi="Arial"/>
          <w:sz w:val="13"/>
          <w:szCs w:val="13"/>
          <w:color w:val="231F20"/>
        </w:rPr>
        <w:t>) day after the Deemed Liquidation Event advising such holders of their right (and the requirements to be met to secure such right) pursuant to the terms of the following clause to require the redemption of such shares of Preferred Stock and (ii) if the Preferred Threshold so requests in a written instrument delivered to the Corporation not later than one hundred twenty (120) days after such Deemed Liquidation Event (the “</w:t>
      </w:r>
      <w:r>
        <w:rPr>
          <w:rFonts w:ascii="Arial" w:cs="Arial" w:eastAsia="Arial" w:hAnsi="Arial"/>
          <w:sz w:val="13"/>
          <w:szCs w:val="13"/>
          <w:b w:val="1"/>
          <w:bCs w:val="1"/>
          <w:color w:val="231F20"/>
        </w:rPr>
        <w:t>Redemption Date</w:t>
      </w:r>
      <w:r>
        <w:rPr>
          <w:rFonts w:ascii="Arial" w:cs="Arial" w:eastAsia="Arial" w:hAnsi="Arial"/>
          <w:sz w:val="13"/>
          <w:szCs w:val="13"/>
          <w:color w:val="231F20"/>
        </w:rPr>
        <w:t>”), the Corporation shall use the consideration received by the Corporation for such Deemed Liquidation Event (net of any retained liabilities associated with the assets sold or technology licensed, as determined in good faith by the Board), together with any other assets of the Corporation available for distribution to its stockholders, all to the extent permitted by Delaware law governing distributions to stockholders (the “</w:t>
      </w:r>
      <w:r>
        <w:rPr>
          <w:rFonts w:ascii="Arial" w:cs="Arial" w:eastAsia="Arial" w:hAnsi="Arial"/>
          <w:sz w:val="13"/>
          <w:szCs w:val="13"/>
          <w:b w:val="1"/>
          <w:bCs w:val="1"/>
          <w:color w:val="231F20"/>
        </w:rPr>
        <w:t>Available Proceeds</w:t>
      </w:r>
      <w:r>
        <w:rPr>
          <w:rFonts w:ascii="Arial" w:cs="Arial" w:eastAsia="Arial" w:hAnsi="Arial"/>
          <w:sz w:val="13"/>
          <w:szCs w:val="13"/>
          <w:color w:val="231F20"/>
        </w:rPr>
        <w:t>”), on the one hundred</w:t>
      </w:r>
    </w:p>
    <w:p>
      <w:pPr>
        <w:jc w:val="both"/>
        <w:spacing w:after="0" w:line="236" w:lineRule="auto"/>
        <w:rPr>
          <w:sz w:val="20"/>
          <w:szCs w:val="20"/>
          <w:color w:val="auto"/>
        </w:rPr>
      </w:pPr>
      <w:r>
        <w:rPr>
          <w:rFonts w:ascii="Arial" w:cs="Arial" w:eastAsia="Arial" w:hAnsi="Arial"/>
          <w:sz w:val="14"/>
          <w:szCs w:val="14"/>
          <w:color w:val="231F20"/>
        </w:rPr>
        <w:t>fiftieth (150</w:t>
      </w:r>
      <w:r>
        <w:rPr>
          <w:rFonts w:ascii="Arial" w:cs="Arial" w:eastAsia="Arial" w:hAnsi="Arial"/>
          <w:sz w:val="23"/>
          <w:szCs w:val="23"/>
          <w:color w:val="231F20"/>
          <w:vertAlign w:val="superscript"/>
        </w:rPr>
        <w:t>th</w:t>
      </w:r>
      <w:r>
        <w:rPr>
          <w:rFonts w:ascii="Arial" w:cs="Arial" w:eastAsia="Arial" w:hAnsi="Arial"/>
          <w:sz w:val="14"/>
          <w:szCs w:val="14"/>
          <w:color w:val="231F20"/>
        </w:rPr>
        <w:t xml:space="preserve">) day after such Deemed Liquidation Event, to redeem all outstanding shares of Preferred Stock at a price per share equal to the applicable Liquidation Amount for each series. Notwithstanding the foregoing, in the event of a redemption pursuant to the preceding sentence, if the Available Proceeds are not sufficient to redeem all outstanding shares of Preferred Stock, the Corporation shall ratably redeem each holder’s shares of Preferred Stock on a </w:t>
      </w:r>
      <w:r>
        <w:rPr>
          <w:rFonts w:ascii="Arial" w:cs="Arial" w:eastAsia="Arial" w:hAnsi="Arial"/>
          <w:sz w:val="14"/>
          <w:szCs w:val="14"/>
          <w:i w:val="1"/>
          <w:iCs w:val="1"/>
          <w:color w:val="231F20"/>
        </w:rPr>
        <w:t>pari passu</w:t>
      </w:r>
      <w:r>
        <w:rPr>
          <w:rFonts w:ascii="Arial" w:cs="Arial" w:eastAsia="Arial" w:hAnsi="Arial"/>
          <w:sz w:val="14"/>
          <w:szCs w:val="14"/>
          <w:color w:val="231F20"/>
        </w:rPr>
        <w:t xml:space="preserve"> basis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The provisions of</w:t>
      </w: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82" w:name="page283"/>
    <w:bookmarkEnd w:id="282"/>
    <w:p>
      <w:pPr>
        <w:jc w:val="both"/>
        <w:spacing w:after="0" w:line="273" w:lineRule="auto"/>
        <w:rPr>
          <w:sz w:val="20"/>
          <w:szCs w:val="20"/>
          <w:color w:val="auto"/>
        </w:rPr>
      </w:pPr>
      <w:r>
        <w:rPr>
          <w:rFonts w:ascii="Arial" w:cs="Arial" w:eastAsia="Arial" w:hAnsi="Arial"/>
          <w:sz w:val="14"/>
          <w:szCs w:val="14"/>
          <w:u w:val="single" w:color="auto"/>
          <w:color w:val="231F20"/>
        </w:rPr>
        <w:t>Sections 2.3.2(c)</w:t>
      </w:r>
      <w:r>
        <w:rPr>
          <w:rFonts w:ascii="Arial" w:cs="Arial" w:eastAsia="Arial" w:hAnsi="Arial"/>
          <w:sz w:val="14"/>
          <w:szCs w:val="14"/>
          <w:color w:val="231F20"/>
        </w:rPr>
        <w:t xml:space="preserve"> through </w:t>
      </w:r>
      <w:r>
        <w:rPr>
          <w:rFonts w:ascii="Arial" w:cs="Arial" w:eastAsia="Arial" w:hAnsi="Arial"/>
          <w:sz w:val="14"/>
          <w:szCs w:val="14"/>
          <w:u w:val="single" w:color="auto"/>
          <w:color w:val="231F20"/>
        </w:rPr>
        <w:t>2.3.2(e)</w:t>
      </w:r>
      <w:r>
        <w:rPr>
          <w:rFonts w:ascii="Arial" w:cs="Arial" w:eastAsia="Arial" w:hAnsi="Arial"/>
          <w:sz w:val="14"/>
          <w:szCs w:val="14"/>
          <w:color w:val="231F20"/>
        </w:rPr>
        <w:t xml:space="preserve"> shall apply to the redemption of the Preferred Stock pursuant to this </w:t>
      </w:r>
      <w:r>
        <w:rPr>
          <w:rFonts w:ascii="Arial" w:cs="Arial" w:eastAsia="Arial" w:hAnsi="Arial"/>
          <w:sz w:val="14"/>
          <w:szCs w:val="14"/>
          <w:u w:val="single" w:color="auto"/>
          <w:color w:val="231F20"/>
        </w:rPr>
        <w:t>Section 2.3.2(b)</w:t>
      </w:r>
      <w:r>
        <w:rPr>
          <w:rFonts w:ascii="Arial" w:cs="Arial" w:eastAsia="Arial" w:hAnsi="Arial"/>
          <w:sz w:val="14"/>
          <w:szCs w:val="14"/>
          <w:color w:val="231F20"/>
        </w:rPr>
        <w:t xml:space="preserve">. Prior to the distribution or redemption provided for in this </w:t>
      </w:r>
      <w:r>
        <w:rPr>
          <w:rFonts w:ascii="Arial" w:cs="Arial" w:eastAsia="Arial" w:hAnsi="Arial"/>
          <w:sz w:val="14"/>
          <w:szCs w:val="14"/>
          <w:u w:val="single" w:color="auto"/>
          <w:color w:val="231F20"/>
        </w:rPr>
        <w:t>Section</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2.3.2(b)</w:t>
      </w:r>
      <w:r>
        <w:rPr>
          <w:rFonts w:ascii="Arial" w:cs="Arial" w:eastAsia="Arial" w:hAnsi="Arial"/>
          <w:sz w:val="14"/>
          <w:szCs w:val="14"/>
          <w:color w:val="231F20"/>
        </w:rPr>
        <w:t>, the Corporation shall not expend or dissipate the consideration received for such Deemed Liquidation Event, except to discharge expenses incurred in connection with such Deemed Liquidation Event.</w:t>
      </w:r>
    </w:p>
    <w:p>
      <w:pPr>
        <w:spacing w:after="0" w:line="137" w:lineRule="exact"/>
        <w:rPr>
          <w:sz w:val="20"/>
          <w:szCs w:val="20"/>
          <w:color w:val="auto"/>
        </w:rPr>
      </w:pPr>
    </w:p>
    <w:p>
      <w:pPr>
        <w:ind w:firstLine="2596"/>
        <w:spacing w:after="0" w:line="294" w:lineRule="auto"/>
        <w:tabs>
          <w:tab w:leader="none" w:pos="3094" w:val="left"/>
        </w:tabs>
        <w:numPr>
          <w:ilvl w:val="0"/>
          <w:numId w:val="148"/>
        </w:numPr>
        <w:rPr>
          <w:rFonts w:ascii="Arial" w:cs="Arial" w:eastAsia="Arial" w:hAnsi="Arial"/>
          <w:sz w:val="14"/>
          <w:szCs w:val="14"/>
          <w:color w:val="231F20"/>
        </w:rPr>
      </w:pPr>
      <w:r>
        <w:rPr>
          <w:rFonts w:ascii="Arial" w:cs="Arial" w:eastAsia="Arial" w:hAnsi="Arial"/>
          <w:sz w:val="14"/>
          <w:szCs w:val="14"/>
          <w:color w:val="231F20"/>
        </w:rPr>
        <w:t xml:space="preserve">The Corporation shall send written notice of the redemption pursuant to </w:t>
      </w:r>
      <w:r>
        <w:rPr>
          <w:rFonts w:ascii="Arial" w:cs="Arial" w:eastAsia="Arial" w:hAnsi="Arial"/>
          <w:sz w:val="14"/>
          <w:szCs w:val="14"/>
          <w:u w:val="single" w:color="auto"/>
          <w:color w:val="231F20"/>
        </w:rPr>
        <w:t>Section 2.3.2(b)</w:t>
      </w:r>
      <w:r>
        <w:rPr>
          <w:rFonts w:ascii="Arial" w:cs="Arial" w:eastAsia="Arial" w:hAnsi="Arial"/>
          <w:sz w:val="14"/>
          <w:szCs w:val="14"/>
          <w:color w:val="231F20"/>
        </w:rPr>
        <w:t xml:space="preserve"> (the “</w:t>
      </w:r>
      <w:r>
        <w:rPr>
          <w:rFonts w:ascii="Arial" w:cs="Arial" w:eastAsia="Arial" w:hAnsi="Arial"/>
          <w:sz w:val="14"/>
          <w:szCs w:val="14"/>
          <w:b w:val="1"/>
          <w:bCs w:val="1"/>
          <w:color w:val="231F20"/>
        </w:rPr>
        <w:t>Redemption Notice</w:t>
      </w:r>
      <w:r>
        <w:rPr>
          <w:rFonts w:ascii="Arial" w:cs="Arial" w:eastAsia="Arial" w:hAnsi="Arial"/>
          <w:sz w:val="14"/>
          <w:szCs w:val="14"/>
          <w:color w:val="231F20"/>
        </w:rPr>
        <w:t>”) to each holder of record of Preferred Stock not less than ninety (90) days after the Deemed Liquidation Event. Each Redemption Notice shall state:</w:t>
      </w:r>
    </w:p>
    <w:p>
      <w:pPr>
        <w:spacing w:after="0" w:line="192" w:lineRule="exact"/>
        <w:rPr>
          <w:rFonts w:ascii="Arial" w:cs="Arial" w:eastAsia="Arial" w:hAnsi="Arial"/>
          <w:sz w:val="14"/>
          <w:szCs w:val="14"/>
          <w:color w:val="231F20"/>
        </w:rPr>
      </w:pPr>
    </w:p>
    <w:p>
      <w:pPr>
        <w:ind w:left="3640" w:hanging="526"/>
        <w:spacing w:after="0"/>
        <w:tabs>
          <w:tab w:leader="none" w:pos="3640" w:val="left"/>
        </w:tabs>
        <w:numPr>
          <w:ilvl w:val="1"/>
          <w:numId w:val="148"/>
        </w:numPr>
        <w:rPr>
          <w:rFonts w:ascii="Arial" w:cs="Arial" w:eastAsia="Arial" w:hAnsi="Arial"/>
          <w:sz w:val="14"/>
          <w:szCs w:val="14"/>
          <w:color w:val="231F20"/>
        </w:rPr>
      </w:pPr>
      <w:r>
        <w:rPr>
          <w:rFonts w:ascii="Arial" w:cs="Arial" w:eastAsia="Arial" w:hAnsi="Arial"/>
          <w:sz w:val="14"/>
          <w:szCs w:val="14"/>
          <w:color w:val="231F20"/>
        </w:rPr>
        <w:t>the number of shares of Preferred Stock held by such holder that the Corporation shall redeem on the Redemption Date;</w:t>
      </w:r>
    </w:p>
    <w:p>
      <w:pPr>
        <w:spacing w:after="0" w:line="191" w:lineRule="exact"/>
        <w:rPr>
          <w:rFonts w:ascii="Arial" w:cs="Arial" w:eastAsia="Arial" w:hAnsi="Arial"/>
          <w:sz w:val="14"/>
          <w:szCs w:val="14"/>
          <w:color w:val="231F20"/>
        </w:rPr>
      </w:pPr>
    </w:p>
    <w:p>
      <w:pPr>
        <w:ind w:left="3640" w:hanging="526"/>
        <w:spacing w:after="0"/>
        <w:tabs>
          <w:tab w:leader="none" w:pos="3640" w:val="left"/>
        </w:tabs>
        <w:numPr>
          <w:ilvl w:val="1"/>
          <w:numId w:val="148"/>
        </w:numPr>
        <w:rPr>
          <w:rFonts w:ascii="Arial" w:cs="Arial" w:eastAsia="Arial" w:hAnsi="Arial"/>
          <w:sz w:val="14"/>
          <w:szCs w:val="14"/>
          <w:color w:val="231F20"/>
        </w:rPr>
      </w:pPr>
      <w:r>
        <w:rPr>
          <w:rFonts w:ascii="Arial" w:cs="Arial" w:eastAsia="Arial" w:hAnsi="Arial"/>
          <w:sz w:val="14"/>
          <w:szCs w:val="14"/>
          <w:color w:val="231F20"/>
        </w:rPr>
        <w:t>the Redemption Date and price per share of the Preferred Stock to be redeemed (the “</w:t>
      </w:r>
      <w:r>
        <w:rPr>
          <w:rFonts w:ascii="Arial" w:cs="Arial" w:eastAsia="Arial" w:hAnsi="Arial"/>
          <w:sz w:val="14"/>
          <w:szCs w:val="14"/>
          <w:b w:val="1"/>
          <w:bCs w:val="1"/>
          <w:color w:val="231F20"/>
        </w:rPr>
        <w:t>Redemption Price</w:t>
      </w:r>
      <w:r>
        <w:rPr>
          <w:rFonts w:ascii="Arial" w:cs="Arial" w:eastAsia="Arial" w:hAnsi="Arial"/>
          <w:sz w:val="14"/>
          <w:szCs w:val="14"/>
          <w:color w:val="231F20"/>
        </w:rPr>
        <w:t>”);</w:t>
      </w:r>
    </w:p>
    <w:p>
      <w:pPr>
        <w:spacing w:after="0" w:line="199" w:lineRule="exact"/>
        <w:rPr>
          <w:rFonts w:ascii="Arial" w:cs="Arial" w:eastAsia="Arial" w:hAnsi="Arial"/>
          <w:sz w:val="14"/>
          <w:szCs w:val="14"/>
          <w:color w:val="231F20"/>
        </w:rPr>
      </w:pPr>
    </w:p>
    <w:p>
      <w:pPr>
        <w:ind w:left="3640" w:hanging="526"/>
        <w:spacing w:after="0"/>
        <w:tabs>
          <w:tab w:leader="none" w:pos="3640" w:val="left"/>
        </w:tabs>
        <w:numPr>
          <w:ilvl w:val="1"/>
          <w:numId w:val="148"/>
        </w:numPr>
        <w:rPr>
          <w:rFonts w:ascii="Arial" w:cs="Arial" w:eastAsia="Arial" w:hAnsi="Arial"/>
          <w:sz w:val="13"/>
          <w:szCs w:val="13"/>
          <w:color w:val="231F20"/>
        </w:rPr>
      </w:pPr>
      <w:r>
        <w:rPr>
          <w:rFonts w:ascii="Arial" w:cs="Arial" w:eastAsia="Arial" w:hAnsi="Arial"/>
          <w:sz w:val="13"/>
          <w:szCs w:val="13"/>
          <w:color w:val="231F20"/>
        </w:rPr>
        <w:t xml:space="preserve">the date upon which such holder’s right to convert such shares terminates (as determined in accordance with </w:t>
      </w:r>
      <w:r>
        <w:rPr>
          <w:rFonts w:ascii="Arial" w:cs="Arial" w:eastAsia="Arial" w:hAnsi="Arial"/>
          <w:sz w:val="13"/>
          <w:szCs w:val="13"/>
          <w:u w:val="single" w:color="auto"/>
          <w:color w:val="231F20"/>
        </w:rPr>
        <w:t>Section 4.1</w:t>
      </w:r>
      <w:r>
        <w:rPr>
          <w:rFonts w:ascii="Arial" w:cs="Arial" w:eastAsia="Arial" w:hAnsi="Arial"/>
          <w:sz w:val="13"/>
          <w:szCs w:val="13"/>
          <w:color w:val="231F20"/>
        </w:rPr>
        <w:t>); and</w:t>
      </w:r>
    </w:p>
    <w:p>
      <w:pPr>
        <w:spacing w:after="0" w:line="195" w:lineRule="exact"/>
        <w:rPr>
          <w:rFonts w:ascii="Arial" w:cs="Arial" w:eastAsia="Arial" w:hAnsi="Arial"/>
          <w:sz w:val="13"/>
          <w:szCs w:val="13"/>
          <w:color w:val="231F20"/>
        </w:rPr>
      </w:pPr>
    </w:p>
    <w:p>
      <w:pPr>
        <w:ind w:left="3640" w:hanging="526"/>
        <w:spacing w:after="0" w:line="288" w:lineRule="auto"/>
        <w:tabs>
          <w:tab w:leader="none" w:pos="3640" w:val="left"/>
        </w:tabs>
        <w:numPr>
          <w:ilvl w:val="1"/>
          <w:numId w:val="148"/>
        </w:numPr>
        <w:rPr>
          <w:rFonts w:ascii="Arial" w:cs="Arial" w:eastAsia="Arial" w:hAnsi="Arial"/>
          <w:sz w:val="14"/>
          <w:szCs w:val="14"/>
          <w:color w:val="231F20"/>
        </w:rPr>
      </w:pPr>
      <w:r>
        <w:rPr>
          <w:rFonts w:ascii="Arial" w:cs="Arial" w:eastAsia="Arial" w:hAnsi="Arial"/>
          <w:sz w:val="14"/>
          <w:szCs w:val="14"/>
          <w:color w:val="231F20"/>
        </w:rPr>
        <w:t>that such holder is to surrender to the Corporation, in the manner and at the place designated, his, her or its certificate or certificates representing the shares of Preferred Stock to be redeemed.</w:t>
      </w:r>
    </w:p>
    <w:p>
      <w:pPr>
        <w:spacing w:after="0" w:line="142" w:lineRule="exact"/>
        <w:rPr>
          <w:rFonts w:ascii="Arial" w:cs="Arial" w:eastAsia="Arial" w:hAnsi="Arial"/>
          <w:sz w:val="14"/>
          <w:szCs w:val="14"/>
          <w:color w:val="231F20"/>
        </w:rPr>
      </w:pPr>
    </w:p>
    <w:p>
      <w:pPr>
        <w:jc w:val="both"/>
        <w:ind w:firstLine="2596"/>
        <w:spacing w:after="0" w:line="287" w:lineRule="auto"/>
        <w:tabs>
          <w:tab w:leader="none" w:pos="3102" w:val="left"/>
        </w:tabs>
        <w:numPr>
          <w:ilvl w:val="0"/>
          <w:numId w:val="148"/>
        </w:numPr>
        <w:rPr>
          <w:rFonts w:ascii="Arial" w:cs="Arial" w:eastAsia="Arial" w:hAnsi="Arial"/>
          <w:sz w:val="13"/>
          <w:szCs w:val="13"/>
          <w:color w:val="231F20"/>
        </w:rPr>
      </w:pPr>
      <w:r>
        <w:rPr>
          <w:rFonts w:ascii="Arial" w:cs="Arial" w:eastAsia="Arial" w:hAnsi="Arial"/>
          <w:sz w:val="13"/>
          <w:szCs w:val="13"/>
          <w:color w:val="231F20"/>
        </w:rPr>
        <w:t xml:space="preserve">On or before the Redemption Date, each holder of shares of Preferred Stock to be redeemed on the Redemption Date, unless such holder has exercised his, her or its right to convert such shares as provided in </w:t>
      </w:r>
      <w:r>
        <w:rPr>
          <w:rFonts w:ascii="Arial" w:cs="Arial" w:eastAsia="Arial" w:hAnsi="Arial"/>
          <w:sz w:val="13"/>
          <w:szCs w:val="13"/>
          <w:u w:val="single" w:color="auto"/>
          <w:color w:val="231F20"/>
        </w:rPr>
        <w:t>Section 4</w:t>
      </w:r>
      <w:r>
        <w:rPr>
          <w:rFonts w:ascii="Arial" w:cs="Arial" w:eastAsia="Arial" w:hAnsi="Arial"/>
          <w:sz w:val="13"/>
          <w:szCs w:val="13"/>
          <w:color w:val="231F20"/>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46" w:lineRule="exact"/>
        <w:rPr>
          <w:rFonts w:ascii="Arial" w:cs="Arial" w:eastAsia="Arial" w:hAnsi="Arial"/>
          <w:sz w:val="13"/>
          <w:szCs w:val="13"/>
          <w:color w:val="231F20"/>
        </w:rPr>
      </w:pPr>
    </w:p>
    <w:p>
      <w:pPr>
        <w:jc w:val="both"/>
        <w:ind w:firstLine="2596"/>
        <w:spacing w:after="0" w:line="273" w:lineRule="auto"/>
        <w:tabs>
          <w:tab w:leader="none" w:pos="3094" w:val="left"/>
        </w:tabs>
        <w:numPr>
          <w:ilvl w:val="0"/>
          <w:numId w:val="148"/>
        </w:numPr>
        <w:rPr>
          <w:rFonts w:ascii="Arial" w:cs="Arial" w:eastAsia="Arial" w:hAnsi="Arial"/>
          <w:sz w:val="14"/>
          <w:szCs w:val="14"/>
          <w:color w:val="231F20"/>
        </w:rPr>
      </w:pPr>
      <w:r>
        <w:rPr>
          <w:rFonts w:ascii="Arial" w:cs="Arial" w:eastAsia="Arial" w:hAnsi="Arial"/>
          <w:sz w:val="14"/>
          <w:szCs w:val="14"/>
          <w:color w:val="231F20"/>
        </w:rPr>
        <w:t>If the Redemption Notice shall have been duly given, and if on the Redemption Date the Redemption Price payable upon redemption of the shares of Preferred Stock to be redeemed on such Redemption Date is paid or tendered for payment or deposited with an independent payment agent so as to be available therefor in a timely manner,</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83" w:name="page284"/>
    <w:bookmarkEnd w:id="283"/>
    <w:p>
      <w:pPr>
        <w:jc w:val="both"/>
        <w:spacing w:after="0" w:line="273" w:lineRule="auto"/>
        <w:rPr>
          <w:sz w:val="20"/>
          <w:szCs w:val="20"/>
          <w:color w:val="auto"/>
        </w:rPr>
      </w:pPr>
      <w:r>
        <w:rPr>
          <w:rFonts w:ascii="Arial" w:cs="Arial" w:eastAsia="Arial" w:hAnsi="Arial"/>
          <w:sz w:val="14"/>
          <w:szCs w:val="14"/>
          <w:color w:val="231F20"/>
        </w:rPr>
        <w:t>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152" w:lineRule="exact"/>
        <w:rPr>
          <w:sz w:val="20"/>
          <w:szCs w:val="20"/>
          <w:color w:val="auto"/>
        </w:rPr>
      </w:pPr>
    </w:p>
    <w:p>
      <w:pPr>
        <w:jc w:val="both"/>
        <w:ind w:firstLine="2072"/>
        <w:spacing w:after="0" w:line="273" w:lineRule="auto"/>
        <w:rPr>
          <w:sz w:val="20"/>
          <w:szCs w:val="20"/>
          <w:color w:val="auto"/>
        </w:rPr>
      </w:pPr>
      <w:r>
        <w:rPr>
          <w:rFonts w:ascii="Arial" w:cs="Arial" w:eastAsia="Arial" w:hAnsi="Arial"/>
          <w:sz w:val="14"/>
          <w:szCs w:val="14"/>
          <w:color w:val="231F20"/>
        </w:rPr>
        <w:t xml:space="preserve">2.3.3. </w:t>
      </w:r>
      <w:r>
        <w:rPr>
          <w:rFonts w:ascii="Arial" w:cs="Arial" w:eastAsia="Arial" w:hAnsi="Arial"/>
          <w:sz w:val="14"/>
          <w:szCs w:val="14"/>
          <w:u w:val="single" w:color="auto"/>
          <w:color w:val="231F20"/>
        </w:rPr>
        <w:t>Amount Deemed Paid or Distributed</w:t>
      </w:r>
      <w:r>
        <w:rPr>
          <w:rFonts w:ascii="Arial" w:cs="Arial" w:eastAsia="Arial" w:hAnsi="Arial"/>
          <w:sz w:val="14"/>
          <w:szCs w:val="14"/>
          <w:color w:val="231F20"/>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152" w:lineRule="exact"/>
        <w:rPr>
          <w:sz w:val="20"/>
          <w:szCs w:val="20"/>
          <w:color w:val="auto"/>
        </w:rPr>
      </w:pPr>
    </w:p>
    <w:p>
      <w:pPr>
        <w:jc w:val="both"/>
        <w:ind w:firstLine="2072"/>
        <w:spacing w:after="0" w:line="284" w:lineRule="auto"/>
        <w:rPr>
          <w:sz w:val="20"/>
          <w:szCs w:val="20"/>
          <w:color w:val="auto"/>
        </w:rPr>
      </w:pPr>
      <w:r>
        <w:rPr>
          <w:rFonts w:ascii="Arial" w:cs="Arial" w:eastAsia="Arial" w:hAnsi="Arial"/>
          <w:sz w:val="13"/>
          <w:szCs w:val="13"/>
          <w:color w:val="231F20"/>
        </w:rPr>
        <w:t xml:space="preserve">2.3.4. </w:t>
      </w:r>
      <w:r>
        <w:rPr>
          <w:rFonts w:ascii="Arial" w:cs="Arial" w:eastAsia="Arial" w:hAnsi="Arial"/>
          <w:sz w:val="13"/>
          <w:szCs w:val="13"/>
          <w:u w:val="single" w:color="auto"/>
          <w:color w:val="231F20"/>
        </w:rPr>
        <w:t>Allocation of Escrow and Contingent Consideration</w:t>
      </w:r>
      <w:r>
        <w:rPr>
          <w:rFonts w:ascii="Arial" w:cs="Arial" w:eastAsia="Arial" w:hAnsi="Arial"/>
          <w:sz w:val="13"/>
          <w:szCs w:val="13"/>
          <w:color w:val="231F20"/>
        </w:rPr>
        <w:t xml:space="preserve">. In the event of a Deemed Liquidation Event pursuant to </w:t>
      </w:r>
      <w:r>
        <w:rPr>
          <w:rFonts w:ascii="Arial" w:cs="Arial" w:eastAsia="Arial" w:hAnsi="Arial"/>
          <w:sz w:val="13"/>
          <w:szCs w:val="13"/>
          <w:u w:val="single" w:color="auto"/>
          <w:color w:val="231F20"/>
        </w:rPr>
        <w:t>Section 2.3.1(a)(i)</w:t>
      </w:r>
      <w:r>
        <w:rPr>
          <w:rFonts w:ascii="Arial" w:cs="Arial" w:eastAsia="Arial" w:hAnsi="Arial"/>
          <w:sz w:val="13"/>
          <w:szCs w:val="13"/>
          <w:color w:val="231F20"/>
        </w:rPr>
        <w:t>, if any portion of the consideration payable to the stockholders of the Corporation is payable only upon satisfaction of contingencies (the “</w:t>
      </w:r>
      <w:r>
        <w:rPr>
          <w:rFonts w:ascii="Arial" w:cs="Arial" w:eastAsia="Arial" w:hAnsi="Arial"/>
          <w:sz w:val="13"/>
          <w:szCs w:val="13"/>
          <w:b w:val="1"/>
          <w:bCs w:val="1"/>
          <w:color w:val="231F20"/>
        </w:rPr>
        <w:t>Additional Consideration</w:t>
      </w:r>
      <w:r>
        <w:rPr>
          <w:rFonts w:ascii="Arial" w:cs="Arial" w:eastAsia="Arial" w:hAnsi="Arial"/>
          <w:sz w:val="13"/>
          <w:szCs w:val="13"/>
          <w:color w:val="231F20"/>
        </w:rPr>
        <w:t>”), the Merger Agreement, indemnification agreement, escrow agreement, or other definitive purchase or acquisition agreement in respect of the Deemed Liquidation Event shall provide that (a) the portion of such consideration that is not Additional Consideration (such portion, the “</w:t>
      </w:r>
      <w:r>
        <w:rPr>
          <w:rFonts w:ascii="Arial" w:cs="Arial" w:eastAsia="Arial" w:hAnsi="Arial"/>
          <w:sz w:val="13"/>
          <w:szCs w:val="13"/>
          <w:b w:val="1"/>
          <w:bCs w:val="1"/>
          <w:color w:val="231F20"/>
        </w:rPr>
        <w:t>Initial Consideration</w:t>
      </w:r>
      <w:r>
        <w:rPr>
          <w:rFonts w:ascii="Arial" w:cs="Arial" w:eastAsia="Arial" w:hAnsi="Arial"/>
          <w:sz w:val="13"/>
          <w:szCs w:val="13"/>
          <w:color w:val="231F20"/>
        </w:rPr>
        <w:t xml:space="preserve">”) shall be allocated among the holders of capital stock of the Corporation in accordance with </w:t>
      </w:r>
      <w:r>
        <w:rPr>
          <w:rFonts w:ascii="Arial" w:cs="Arial" w:eastAsia="Arial" w:hAnsi="Arial"/>
          <w:sz w:val="13"/>
          <w:szCs w:val="13"/>
          <w:u w:val="single" w:color="auto"/>
          <w:color w:val="231F20"/>
        </w:rPr>
        <w:t>Sections 2.1</w:t>
      </w:r>
      <w:r>
        <w:rPr>
          <w:rFonts w:ascii="Arial" w:cs="Arial" w:eastAsia="Arial" w:hAnsi="Arial"/>
          <w:sz w:val="13"/>
          <w:szCs w:val="13"/>
          <w:color w:val="231F20"/>
        </w:rPr>
        <w:t xml:space="preserve"> and </w:t>
      </w:r>
      <w:r>
        <w:rPr>
          <w:rFonts w:ascii="Arial" w:cs="Arial" w:eastAsia="Arial" w:hAnsi="Arial"/>
          <w:sz w:val="13"/>
          <w:szCs w:val="13"/>
          <w:u w:val="single" w:color="auto"/>
          <w:color w:val="231F20"/>
        </w:rPr>
        <w:t>2.2</w:t>
      </w:r>
      <w:r>
        <w:rPr>
          <w:rFonts w:ascii="Arial" w:cs="Arial" w:eastAsia="Arial" w:hAnsi="Arial"/>
          <w:sz w:val="13"/>
          <w:szCs w:val="13"/>
          <w:color w:val="231F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3"/>
          <w:szCs w:val="13"/>
          <w:u w:val="single" w:color="auto"/>
          <w:color w:val="231F20"/>
        </w:rPr>
        <w:t>Sections 2.1</w:t>
      </w:r>
      <w:r>
        <w:rPr>
          <w:rFonts w:ascii="Arial" w:cs="Arial" w:eastAsia="Arial" w:hAnsi="Arial"/>
          <w:sz w:val="13"/>
          <w:szCs w:val="13"/>
          <w:color w:val="231F20"/>
        </w:rPr>
        <w:t xml:space="preserve"> and </w:t>
      </w:r>
      <w:r>
        <w:rPr>
          <w:rFonts w:ascii="Arial" w:cs="Arial" w:eastAsia="Arial" w:hAnsi="Arial"/>
          <w:sz w:val="13"/>
          <w:szCs w:val="13"/>
          <w:u w:val="single" w:color="auto"/>
          <w:color w:val="231F20"/>
        </w:rPr>
        <w:t>2.2</w:t>
      </w:r>
      <w:r>
        <w:rPr>
          <w:rFonts w:ascii="Arial" w:cs="Arial" w:eastAsia="Arial" w:hAnsi="Arial"/>
          <w:sz w:val="13"/>
          <w:szCs w:val="13"/>
          <w:color w:val="231F20"/>
        </w:rPr>
        <w:t xml:space="preserve"> after taking into account the previous payment of the Initial Consideration as part of the same transaction. For the purposes of this </w:t>
      </w:r>
      <w:r>
        <w:rPr>
          <w:rFonts w:ascii="Arial" w:cs="Arial" w:eastAsia="Arial" w:hAnsi="Arial"/>
          <w:sz w:val="13"/>
          <w:szCs w:val="13"/>
          <w:u w:val="single" w:color="auto"/>
          <w:color w:val="231F20"/>
        </w:rPr>
        <w:t>Section 2.3.4</w:t>
      </w:r>
      <w:r>
        <w:rPr>
          <w:rFonts w:ascii="Arial" w:cs="Arial" w:eastAsia="Arial" w:hAnsi="Arial"/>
          <w:sz w:val="13"/>
          <w:szCs w:val="13"/>
          <w:color w:val="231F20"/>
        </w:rPr>
        <w:t>, consideration placed into escrow or retained as a holdback to be available for satisfaction of indemnification or similar obligations in connection with such Deemed Liquidation Event shall be deemed to be Additional Consideration.</w:t>
      </w:r>
    </w:p>
    <w:p>
      <w:pPr>
        <w:spacing w:after="0" w:line="139" w:lineRule="exact"/>
        <w:rPr>
          <w:sz w:val="20"/>
          <w:szCs w:val="20"/>
          <w:color w:val="auto"/>
        </w:rPr>
      </w:pPr>
    </w:p>
    <w:p>
      <w:pPr>
        <w:ind w:left="1560" w:hanging="518"/>
        <w:spacing w:after="0"/>
        <w:tabs>
          <w:tab w:leader="none" w:pos="1560" w:val="left"/>
        </w:tabs>
        <w:numPr>
          <w:ilvl w:val="0"/>
          <w:numId w:val="149"/>
        </w:numPr>
        <w:rPr>
          <w:rFonts w:ascii="Arial" w:cs="Arial" w:eastAsia="Arial" w:hAnsi="Arial"/>
          <w:sz w:val="14"/>
          <w:szCs w:val="14"/>
          <w:b w:val="1"/>
          <w:bCs w:val="1"/>
          <w:color w:val="231F20"/>
        </w:rPr>
      </w:pPr>
      <w:r>
        <w:rPr>
          <w:rFonts w:ascii="Arial" w:cs="Arial" w:eastAsia="Arial" w:hAnsi="Arial"/>
          <w:sz w:val="14"/>
          <w:szCs w:val="14"/>
          <w:u w:val="single" w:color="auto"/>
          <w:color w:val="231F20"/>
        </w:rPr>
        <w:t>Voting</w:t>
      </w:r>
      <w:r>
        <w:rPr>
          <w:rFonts w:ascii="Arial" w:cs="Arial" w:eastAsia="Arial" w:hAnsi="Arial"/>
          <w:sz w:val="14"/>
          <w:szCs w:val="14"/>
          <w:color w:val="231F20"/>
        </w:rPr>
        <w:t>.</w:t>
      </w:r>
    </w:p>
    <w:p>
      <w:pPr>
        <w:spacing w:after="0" w:line="195" w:lineRule="exact"/>
        <w:rPr>
          <w:sz w:val="20"/>
          <w:szCs w:val="20"/>
          <w:color w:val="auto"/>
        </w:rPr>
      </w:pPr>
    </w:p>
    <w:p>
      <w:pPr>
        <w:jc w:val="both"/>
        <w:ind w:firstLine="1554"/>
        <w:spacing w:after="0" w:line="265" w:lineRule="auto"/>
        <w:rPr>
          <w:sz w:val="20"/>
          <w:szCs w:val="20"/>
          <w:color w:val="auto"/>
        </w:rPr>
      </w:pPr>
      <w:r>
        <w:rPr>
          <w:rFonts w:ascii="Arial" w:cs="Arial" w:eastAsia="Arial" w:hAnsi="Arial"/>
          <w:sz w:val="14"/>
          <w:szCs w:val="14"/>
          <w:color w:val="231F20"/>
        </w:rPr>
        <w:t>3.1. General.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Certificate of Incorporation, holders of Preferred Stock shall vote together with the holders of Common Stock as a single class on an as-converted to Common Stock basis.</w:t>
      </w:r>
    </w:p>
    <w:p>
      <w:pPr>
        <w:spacing w:after="0" w:line="147" w:lineRule="exact"/>
        <w:rPr>
          <w:sz w:val="20"/>
          <w:szCs w:val="20"/>
          <w:color w:val="auto"/>
        </w:rPr>
      </w:pPr>
    </w:p>
    <w:p>
      <w:pPr>
        <w:jc w:val="both"/>
        <w:ind w:firstLine="1554"/>
        <w:spacing w:after="0" w:line="273" w:lineRule="auto"/>
        <w:rPr>
          <w:sz w:val="20"/>
          <w:szCs w:val="20"/>
          <w:color w:val="auto"/>
        </w:rPr>
      </w:pPr>
      <w:r>
        <w:rPr>
          <w:rFonts w:ascii="Arial" w:cs="Arial" w:eastAsia="Arial" w:hAnsi="Arial"/>
          <w:sz w:val="14"/>
          <w:szCs w:val="14"/>
          <w:color w:val="231F20"/>
        </w:rPr>
        <w:t xml:space="preserve">3.2. </w:t>
      </w:r>
      <w:r>
        <w:rPr>
          <w:rFonts w:ascii="Arial" w:cs="Arial" w:eastAsia="Arial" w:hAnsi="Arial"/>
          <w:sz w:val="14"/>
          <w:szCs w:val="14"/>
          <w:u w:val="single" w:color="auto"/>
          <w:color w:val="231F20"/>
        </w:rPr>
        <w:t>Election of Directors</w:t>
      </w:r>
      <w:r>
        <w:rPr>
          <w:rFonts w:ascii="Arial" w:cs="Arial" w:eastAsia="Arial" w:hAnsi="Arial"/>
          <w:sz w:val="14"/>
          <w:szCs w:val="14"/>
          <w:color w:val="231F20"/>
        </w:rPr>
        <w:t>. The holders of record of the shares of Series A Preferred Stock, exclusively and as a separate class, shall be entitled to elect two (2) directors of the Corporation (the “</w:t>
      </w:r>
      <w:r>
        <w:rPr>
          <w:rFonts w:ascii="Arial" w:cs="Arial" w:eastAsia="Arial" w:hAnsi="Arial"/>
          <w:sz w:val="14"/>
          <w:szCs w:val="14"/>
          <w:b w:val="1"/>
          <w:bCs w:val="1"/>
          <w:color w:val="231F20"/>
        </w:rPr>
        <w:t>Series A Directors</w:t>
      </w:r>
      <w:r>
        <w:rPr>
          <w:rFonts w:ascii="Arial" w:cs="Arial" w:eastAsia="Arial" w:hAnsi="Arial"/>
          <w:sz w:val="14"/>
          <w:szCs w:val="14"/>
          <w:color w:val="231F20"/>
        </w:rPr>
        <w:t>”), the holders of record of the shares of Series B Preferred Stock, exclusively and as a separate class, shall be entitled to elect one (1) director of the Corporation (the “</w:t>
      </w:r>
      <w:r>
        <w:rPr>
          <w:rFonts w:ascii="Arial" w:cs="Arial" w:eastAsia="Arial" w:hAnsi="Arial"/>
          <w:sz w:val="14"/>
          <w:szCs w:val="14"/>
          <w:b w:val="1"/>
          <w:bCs w:val="1"/>
          <w:color w:val="231F20"/>
        </w:rPr>
        <w:t>Series B Director</w:t>
      </w:r>
      <w:r>
        <w:rPr>
          <w:rFonts w:ascii="Arial" w:cs="Arial" w:eastAsia="Arial" w:hAnsi="Arial"/>
          <w:sz w:val="14"/>
          <w:szCs w:val="14"/>
          <w:color w:val="231F20"/>
        </w:rPr>
        <w:t>”), the holders of record of the shares of Series C Preferred</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84" w:name="page285"/>
    <w:bookmarkEnd w:id="284"/>
    <w:p>
      <w:pPr>
        <w:jc w:val="both"/>
        <w:spacing w:after="0" w:line="281" w:lineRule="auto"/>
        <w:rPr>
          <w:sz w:val="20"/>
          <w:szCs w:val="20"/>
          <w:color w:val="auto"/>
        </w:rPr>
      </w:pPr>
      <w:r>
        <w:rPr>
          <w:rFonts w:ascii="Arial" w:cs="Arial" w:eastAsia="Arial" w:hAnsi="Arial"/>
          <w:sz w:val="13"/>
          <w:szCs w:val="13"/>
          <w:color w:val="231F20"/>
        </w:rPr>
        <w:t>Stock, exclusively and as a separate class, shall be entitled to elect one (1) director of the Corporation (the “</w:t>
      </w:r>
      <w:r>
        <w:rPr>
          <w:rFonts w:ascii="Arial" w:cs="Arial" w:eastAsia="Arial" w:hAnsi="Arial"/>
          <w:sz w:val="13"/>
          <w:szCs w:val="13"/>
          <w:b w:val="1"/>
          <w:bCs w:val="1"/>
          <w:color w:val="231F20"/>
        </w:rPr>
        <w:t>Series C Director</w:t>
      </w:r>
      <w:r>
        <w:rPr>
          <w:rFonts w:ascii="Arial" w:cs="Arial" w:eastAsia="Arial" w:hAnsi="Arial"/>
          <w:sz w:val="13"/>
          <w:szCs w:val="13"/>
          <w:color w:val="231F20"/>
        </w:rPr>
        <w:t>” and, together with the Series A Directors and the Series B Director, the “</w:t>
      </w:r>
      <w:r>
        <w:rPr>
          <w:rFonts w:ascii="Arial" w:cs="Arial" w:eastAsia="Arial" w:hAnsi="Arial"/>
          <w:sz w:val="13"/>
          <w:szCs w:val="13"/>
          <w:b w:val="1"/>
          <w:bCs w:val="1"/>
          <w:color w:val="231F20"/>
        </w:rPr>
        <w:t>Preferred Directors</w:t>
      </w:r>
      <w:r>
        <w:rPr>
          <w:rFonts w:ascii="Arial" w:cs="Arial" w:eastAsia="Arial" w:hAnsi="Arial"/>
          <w:sz w:val="13"/>
          <w:szCs w:val="13"/>
          <w:color w:val="231F20"/>
        </w:rPr>
        <w:t>”), and the holders of record of the shares of Common Stock, exclusively and as a separate class, shall be entitled to elect one (1) director of the Corporation (the “</w:t>
      </w:r>
      <w:r>
        <w:rPr>
          <w:rFonts w:ascii="Arial" w:cs="Arial" w:eastAsia="Arial" w:hAnsi="Arial"/>
          <w:sz w:val="13"/>
          <w:szCs w:val="13"/>
          <w:b w:val="1"/>
          <w:bCs w:val="1"/>
          <w:color w:val="231F20"/>
        </w:rPr>
        <w:t>Common Director</w:t>
      </w:r>
      <w:r>
        <w:rPr>
          <w:rFonts w:ascii="Arial" w:cs="Arial" w:eastAsia="Arial" w:hAnsi="Arial"/>
          <w:sz w:val="13"/>
          <w:szCs w:val="13"/>
          <w:color w:val="231F20"/>
        </w:rPr>
        <w:t xml:space="preserve">”). For administrative convenience, the initial Series C Director may also be appointed by the Board in connection with the approval of the initial issuance of Series C Preferred Stock without a separate action by the holders of Series C Preferred Stock. Any director elected as provided in the preceding sentence may be removed without cause (consistent with the General Corporation Law)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3"/>
          <w:szCs w:val="13"/>
          <w:u w:val="single" w:color="auto"/>
          <w:color w:val="231F20"/>
        </w:rPr>
        <w:t>Section 3.2</w:t>
      </w:r>
      <w:r>
        <w:rPr>
          <w:rFonts w:ascii="Arial" w:cs="Arial" w:eastAsia="Arial" w:hAnsi="Arial"/>
          <w:sz w:val="13"/>
          <w:szCs w:val="13"/>
          <w:color w:val="231F20"/>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3"/>
          <w:szCs w:val="13"/>
          <w:u w:val="single" w:color="auto"/>
          <w:color w:val="231F20"/>
        </w:rPr>
        <w:t>Section 3.2</w:t>
      </w:r>
      <w:r>
        <w:rPr>
          <w:rFonts w:ascii="Arial" w:cs="Arial" w:eastAsia="Arial" w:hAnsi="Arial"/>
          <w:sz w:val="13"/>
          <w:szCs w:val="13"/>
          <w:color w:val="231F20"/>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3"/>
          <w:szCs w:val="13"/>
          <w:u w:val="single" w:color="auto"/>
          <w:color w:val="231F20"/>
        </w:rPr>
        <w:t>Section 3.2</w:t>
      </w:r>
      <w:r>
        <w:rPr>
          <w:rFonts w:ascii="Arial" w:cs="Arial" w:eastAsia="Arial" w:hAnsi="Arial"/>
          <w:sz w:val="13"/>
          <w:szCs w:val="13"/>
          <w:color w:val="231F20"/>
        </w:rPr>
        <w:t>.</w:t>
      </w:r>
    </w:p>
    <w:p>
      <w:pPr>
        <w:spacing w:after="0" w:line="316" w:lineRule="exact"/>
        <w:rPr>
          <w:sz w:val="20"/>
          <w:szCs w:val="20"/>
          <w:color w:val="auto"/>
        </w:rPr>
      </w:pPr>
    </w:p>
    <w:p>
      <w:pPr>
        <w:jc w:val="both"/>
        <w:ind w:firstLine="1554"/>
        <w:spacing w:after="0" w:line="265" w:lineRule="auto"/>
        <w:rPr>
          <w:sz w:val="20"/>
          <w:szCs w:val="20"/>
          <w:color w:val="auto"/>
        </w:rPr>
      </w:pPr>
      <w:r>
        <w:rPr>
          <w:rFonts w:ascii="Arial" w:cs="Arial" w:eastAsia="Arial" w:hAnsi="Arial"/>
          <w:sz w:val="14"/>
          <w:szCs w:val="14"/>
          <w:color w:val="231F20"/>
        </w:rPr>
        <w:t xml:space="preserve">3.3. </w:t>
      </w:r>
      <w:r>
        <w:rPr>
          <w:rFonts w:ascii="Arial" w:cs="Arial" w:eastAsia="Arial" w:hAnsi="Arial"/>
          <w:sz w:val="14"/>
          <w:szCs w:val="14"/>
          <w:u w:val="single" w:color="auto"/>
          <w:color w:val="231F20"/>
        </w:rPr>
        <w:t>Super Preferred Threshold Protective Provisions</w:t>
      </w:r>
      <w:r>
        <w:rPr>
          <w:rFonts w:ascii="Arial" w:cs="Arial" w:eastAsia="Arial" w:hAnsi="Arial"/>
          <w:sz w:val="14"/>
          <w:szCs w:val="14"/>
          <w:color w:val="231F20"/>
        </w:rPr>
        <w:t>. At any time when any shares of Preferred Stock are outstanding, the Corporation shall not, either directly or indirectly by amendment, merger, consolidation or otherwise, do any of the following without (in addition to any other vote required by law or this Certificate of Incorporation) the written consent or affirmative vote of the holders of at least sixty-six percent (66%) of the outstanding shares of Preferred Stock, voting together as a single class on an as-converted basis (the “</w:t>
      </w:r>
      <w:r>
        <w:rPr>
          <w:rFonts w:ascii="Arial" w:cs="Arial" w:eastAsia="Arial" w:hAnsi="Arial"/>
          <w:sz w:val="14"/>
          <w:szCs w:val="14"/>
          <w:b w:val="1"/>
          <w:bCs w:val="1"/>
          <w:color w:val="231F20"/>
        </w:rPr>
        <w:t>Super</w:t>
      </w:r>
      <w:r>
        <w:rPr>
          <w:rFonts w:ascii="Arial" w:cs="Arial" w:eastAsia="Arial" w:hAnsi="Arial"/>
          <w:sz w:val="14"/>
          <w:szCs w:val="14"/>
          <w:color w:val="231F20"/>
        </w:rPr>
        <w:t xml:space="preserve"> </w:t>
      </w:r>
      <w:r>
        <w:rPr>
          <w:rFonts w:ascii="Arial" w:cs="Arial" w:eastAsia="Arial" w:hAnsi="Arial"/>
          <w:sz w:val="14"/>
          <w:szCs w:val="14"/>
          <w:b w:val="1"/>
          <w:bCs w:val="1"/>
          <w:color w:val="231F20"/>
        </w:rPr>
        <w:t>Preferred Threshold</w:t>
      </w:r>
      <w:r>
        <w:rPr>
          <w:rFonts w:ascii="Arial" w:cs="Arial" w:eastAsia="Arial" w:hAnsi="Arial"/>
          <w:sz w:val="14"/>
          <w:szCs w:val="14"/>
          <w:color w:val="231F20"/>
        </w:rPr>
        <w:t>”), given in writing or by vote at a meeting, consenting or voting (as the case may be) as a separate class on an as-converted basis, and any such act or transaction entered</w:t>
      </w:r>
      <w:r>
        <w:rPr>
          <w:rFonts w:ascii="Arial" w:cs="Arial" w:eastAsia="Arial" w:hAnsi="Arial"/>
          <w:sz w:val="14"/>
          <w:szCs w:val="14"/>
          <w:b w:val="1"/>
          <w:bCs w:val="1"/>
          <w:color w:val="231F20"/>
        </w:rPr>
        <w:t xml:space="preserve"> </w:t>
      </w:r>
      <w:r>
        <w:rPr>
          <w:rFonts w:ascii="Arial" w:cs="Arial" w:eastAsia="Arial" w:hAnsi="Arial"/>
          <w:sz w:val="14"/>
          <w:szCs w:val="14"/>
          <w:color w:val="231F20"/>
        </w:rPr>
        <w:t xml:space="preserve">into without such consent or vote shall be null and void </w:t>
      </w:r>
      <w:r>
        <w:rPr>
          <w:rFonts w:ascii="Arial" w:cs="Arial" w:eastAsia="Arial" w:hAnsi="Arial"/>
          <w:sz w:val="14"/>
          <w:szCs w:val="14"/>
          <w:i w:val="1"/>
          <w:iCs w:val="1"/>
          <w:color w:val="231F20"/>
        </w:rPr>
        <w:t>ab initio,</w:t>
      </w:r>
      <w:r>
        <w:rPr>
          <w:rFonts w:ascii="Arial" w:cs="Arial" w:eastAsia="Arial" w:hAnsi="Arial"/>
          <w:sz w:val="14"/>
          <w:szCs w:val="14"/>
          <w:color w:val="231F20"/>
        </w:rPr>
        <w:t xml:space="preserve"> and of no force or effect:</w:t>
      </w:r>
    </w:p>
    <w:p>
      <w:pPr>
        <w:spacing w:after="0" w:line="158" w:lineRule="exact"/>
        <w:rPr>
          <w:sz w:val="20"/>
          <w:szCs w:val="20"/>
          <w:color w:val="auto"/>
        </w:rPr>
      </w:pPr>
    </w:p>
    <w:p>
      <w:pPr>
        <w:jc w:val="both"/>
        <w:ind w:firstLine="2072"/>
        <w:spacing w:after="0" w:line="267" w:lineRule="auto"/>
        <w:rPr>
          <w:sz w:val="20"/>
          <w:szCs w:val="20"/>
          <w:color w:val="auto"/>
        </w:rPr>
      </w:pPr>
      <w:r>
        <w:rPr>
          <w:rFonts w:ascii="Arial" w:cs="Arial" w:eastAsia="Arial" w:hAnsi="Arial"/>
          <w:sz w:val="14"/>
          <w:szCs w:val="14"/>
          <w:color w:val="231F20"/>
        </w:rPr>
        <w:t xml:space="preserve">3.3.1. (i) reclassify, alter or amend any existing security of the Corporation that is </w:t>
      </w:r>
      <w:r>
        <w:rPr>
          <w:rFonts w:ascii="Arial" w:cs="Arial" w:eastAsia="Arial" w:hAnsi="Arial"/>
          <w:sz w:val="14"/>
          <w:szCs w:val="14"/>
          <w:i w:val="1"/>
          <w:iCs w:val="1"/>
          <w:color w:val="231F20"/>
        </w:rPr>
        <w:t>pari passu</w:t>
      </w:r>
      <w:r>
        <w:rPr>
          <w:rFonts w:ascii="Arial" w:cs="Arial" w:eastAsia="Arial" w:hAnsi="Arial"/>
          <w:sz w:val="14"/>
          <w:szCs w:val="14"/>
          <w:color w:val="231F20"/>
        </w:rPr>
        <w:t xml:space="preserve"> with the Preferred Stock in respect of the distribution of assets on the liquidation, dissolution or winding up of the Corporation, the payment of dividends, voting rights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1" w:right="399" w:bottom="1440" w:gutter="0" w:footer="0" w:header="0"/>
        </w:sectPr>
      </w:pPr>
    </w:p>
    <w:bookmarkStart w:id="285" w:name="page286"/>
    <w:bookmarkEnd w:id="285"/>
    <w:p>
      <w:pPr>
        <w:jc w:val="both"/>
        <w:spacing w:after="0" w:line="288" w:lineRule="auto"/>
        <w:rPr>
          <w:sz w:val="20"/>
          <w:szCs w:val="20"/>
          <w:color w:val="auto"/>
        </w:rPr>
      </w:pPr>
      <w:r>
        <w:rPr>
          <w:rFonts w:ascii="Arial" w:cs="Arial" w:eastAsia="Arial" w:hAnsi="Arial"/>
          <w:sz w:val="14"/>
          <w:szCs w:val="14"/>
          <w:color w:val="231F20"/>
        </w:rPr>
        <w:t xml:space="preserve">Corporation, the payment of dividends, voting rights or rights of redemption, if such reclassification, alteration or amendment would render such other security senior to or </w:t>
      </w:r>
      <w:r>
        <w:rPr>
          <w:rFonts w:ascii="Arial" w:cs="Arial" w:eastAsia="Arial" w:hAnsi="Arial"/>
          <w:sz w:val="14"/>
          <w:szCs w:val="14"/>
          <w:i w:val="1"/>
          <w:iCs w:val="1"/>
          <w:color w:val="231F20"/>
        </w:rPr>
        <w:t>pari passu</w:t>
      </w:r>
      <w:r>
        <w:rPr>
          <w:rFonts w:ascii="Arial" w:cs="Arial" w:eastAsia="Arial" w:hAnsi="Arial"/>
          <w:sz w:val="14"/>
          <w:szCs w:val="14"/>
          <w:color w:val="231F20"/>
        </w:rPr>
        <w:t xml:space="preserve"> with the Preferred Stock in respect of any such right, preference or privilege;</w:t>
      </w:r>
    </w:p>
    <w:p>
      <w:pPr>
        <w:spacing w:after="0" w:line="142" w:lineRule="exact"/>
        <w:rPr>
          <w:sz w:val="20"/>
          <w:szCs w:val="20"/>
          <w:color w:val="auto"/>
        </w:rPr>
      </w:pPr>
    </w:p>
    <w:p>
      <w:pPr>
        <w:jc w:val="both"/>
        <w:ind w:firstLine="2072"/>
        <w:spacing w:after="0" w:line="265" w:lineRule="auto"/>
        <w:rPr>
          <w:sz w:val="20"/>
          <w:szCs w:val="20"/>
          <w:color w:val="auto"/>
        </w:rPr>
      </w:pPr>
      <w:r>
        <w:rPr>
          <w:rFonts w:ascii="Arial" w:cs="Arial" w:eastAsia="Arial" w:hAnsi="Arial"/>
          <w:sz w:val="14"/>
          <w:szCs w:val="14"/>
          <w:color w:val="231F20"/>
        </w:rPr>
        <w:t>3.3.2.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repurchases of Common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(iii) the Company’s exercise of contractual rights of first refusal, as approved by the Board, including the approval of at least two (2) Preferred Directors;</w:t>
      </w:r>
    </w:p>
    <w:p>
      <w:pPr>
        <w:spacing w:after="0" w:line="158"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3.3.3.</w:t>
      </w:r>
      <w:r>
        <w:rPr>
          <w:sz w:val="20"/>
          <w:szCs w:val="20"/>
          <w:color w:val="auto"/>
        </w:rPr>
        <w:tab/>
      </w:r>
      <w:r>
        <w:rPr>
          <w:rFonts w:ascii="Arial" w:cs="Arial" w:eastAsia="Arial" w:hAnsi="Arial"/>
          <w:sz w:val="13"/>
          <w:szCs w:val="13"/>
          <w:color w:val="231F20"/>
        </w:rPr>
        <w:t>authorize, commence or approve an initial public offering that is not a Qualified IPO; or</w:t>
      </w:r>
    </w:p>
    <w:p>
      <w:pPr>
        <w:spacing w:after="0" w:line="184" w:lineRule="exact"/>
        <w:rPr>
          <w:sz w:val="20"/>
          <w:szCs w:val="20"/>
          <w:color w:val="auto"/>
        </w:rPr>
      </w:pPr>
    </w:p>
    <w:p>
      <w:pPr>
        <w:jc w:val="both"/>
        <w:ind w:firstLine="2072"/>
        <w:spacing w:after="0" w:line="288" w:lineRule="auto"/>
        <w:rPr>
          <w:sz w:val="20"/>
          <w:szCs w:val="20"/>
          <w:color w:val="auto"/>
        </w:rPr>
      </w:pPr>
      <w:r>
        <w:rPr>
          <w:rFonts w:ascii="Arial" w:cs="Arial" w:eastAsia="Arial" w:hAnsi="Arial"/>
          <w:sz w:val="14"/>
          <w:szCs w:val="14"/>
          <w:color w:val="231F20"/>
        </w:rPr>
        <w:t>3.3.4. amend, alter, repeal or waive any provision of this Certificate of Incorporation or Bylaws of the Corporation requiring the written consent or affirmative vote of the Super Preferred Threshold to approve an act or transaction.</w:t>
      </w:r>
    </w:p>
    <w:p>
      <w:pPr>
        <w:spacing w:after="0" w:line="142" w:lineRule="exact"/>
        <w:rPr>
          <w:sz w:val="20"/>
          <w:szCs w:val="20"/>
          <w:color w:val="auto"/>
        </w:rPr>
      </w:pPr>
    </w:p>
    <w:p>
      <w:pPr>
        <w:jc w:val="both"/>
        <w:ind w:firstLine="1554"/>
        <w:spacing w:after="0" w:line="267" w:lineRule="auto"/>
        <w:rPr>
          <w:sz w:val="20"/>
          <w:szCs w:val="20"/>
          <w:color w:val="auto"/>
        </w:rPr>
      </w:pPr>
      <w:r>
        <w:rPr>
          <w:rFonts w:ascii="Arial" w:cs="Arial" w:eastAsia="Arial" w:hAnsi="Arial"/>
          <w:sz w:val="14"/>
          <w:szCs w:val="14"/>
          <w:color w:val="231F20"/>
        </w:rPr>
        <w:t xml:space="preserve">3.4. </w:t>
      </w:r>
      <w:r>
        <w:rPr>
          <w:rFonts w:ascii="Arial" w:cs="Arial" w:eastAsia="Arial" w:hAnsi="Arial"/>
          <w:sz w:val="14"/>
          <w:szCs w:val="14"/>
          <w:u w:val="single" w:color="auto"/>
          <w:color w:val="231F20"/>
        </w:rPr>
        <w:t>Preferred Threshold Protective Provisions</w:t>
      </w:r>
      <w:r>
        <w:rPr>
          <w:rFonts w:ascii="Arial" w:cs="Arial" w:eastAsia="Arial" w:hAnsi="Arial"/>
          <w:sz w:val="14"/>
          <w:szCs w:val="14"/>
          <w:color w:val="231F20"/>
        </w:rPr>
        <w:t xml:space="preserve">. At any time when any shares of Preferred Stock are outstanding, the Corporation shall not, either directly or indirectly by amendment, merger, consolidation or otherwise, do any of the following without (in addition to any other vote required by law or this Certificate of Incorporation), the written consent or affirmative vote of the Preferred Threshold, given in writing or by vote at a meeting, and any such act or transaction entered into without such consent or vote shall be null and void </w:t>
      </w:r>
      <w:r>
        <w:rPr>
          <w:rFonts w:ascii="Arial" w:cs="Arial" w:eastAsia="Arial" w:hAnsi="Arial"/>
          <w:sz w:val="14"/>
          <w:szCs w:val="14"/>
          <w:i w:val="1"/>
          <w:iCs w:val="1"/>
          <w:color w:val="231F20"/>
        </w:rPr>
        <w:t>ab</w:t>
      </w:r>
      <w:r>
        <w:rPr>
          <w:rFonts w:ascii="Arial" w:cs="Arial" w:eastAsia="Arial" w:hAnsi="Arial"/>
          <w:sz w:val="14"/>
          <w:szCs w:val="14"/>
          <w:color w:val="231F20"/>
        </w:rPr>
        <w:t xml:space="preserve"> </w:t>
      </w:r>
      <w:r>
        <w:rPr>
          <w:rFonts w:ascii="Arial" w:cs="Arial" w:eastAsia="Arial" w:hAnsi="Arial"/>
          <w:sz w:val="14"/>
          <w:szCs w:val="14"/>
          <w:i w:val="1"/>
          <w:iCs w:val="1"/>
          <w:color w:val="231F20"/>
        </w:rPr>
        <w:t xml:space="preserve">initio, </w:t>
      </w:r>
      <w:r>
        <w:rPr>
          <w:rFonts w:ascii="Arial" w:cs="Arial" w:eastAsia="Arial" w:hAnsi="Arial"/>
          <w:sz w:val="14"/>
          <w:szCs w:val="14"/>
          <w:color w:val="231F20"/>
        </w:rPr>
        <w:t>and of no force or effect:</w:t>
      </w:r>
    </w:p>
    <w:p>
      <w:pPr>
        <w:spacing w:after="0" w:line="147" w:lineRule="exact"/>
        <w:rPr>
          <w:sz w:val="20"/>
          <w:szCs w:val="20"/>
          <w:color w:val="auto"/>
        </w:rPr>
      </w:pPr>
    </w:p>
    <w:p>
      <w:pPr>
        <w:jc w:val="both"/>
        <w:ind w:firstLine="2072"/>
        <w:spacing w:after="0" w:line="288" w:lineRule="auto"/>
        <w:rPr>
          <w:sz w:val="20"/>
          <w:szCs w:val="20"/>
          <w:color w:val="auto"/>
        </w:rPr>
      </w:pPr>
      <w:r>
        <w:rPr>
          <w:rFonts w:ascii="Arial" w:cs="Arial" w:eastAsia="Arial" w:hAnsi="Arial"/>
          <w:sz w:val="14"/>
          <w:szCs w:val="14"/>
          <w:color w:val="231F20"/>
        </w:rPr>
        <w:t>3.4.1. liquidate, dissolve or wind-up the business and affairs of the Corporation, effect any merger, consolidation or any other corporate reorganization or other Deemed Liquidation Event, or consent to any of the foregoing;</w:t>
      </w:r>
    </w:p>
    <w:p>
      <w:pPr>
        <w:spacing w:after="0" w:line="142" w:lineRule="exact"/>
        <w:rPr>
          <w:sz w:val="20"/>
          <w:szCs w:val="20"/>
          <w:color w:val="auto"/>
        </w:rPr>
      </w:pPr>
    </w:p>
    <w:p>
      <w:pPr>
        <w:jc w:val="both"/>
        <w:ind w:firstLine="2072"/>
        <w:spacing w:after="0" w:line="273" w:lineRule="auto"/>
        <w:rPr>
          <w:sz w:val="20"/>
          <w:szCs w:val="20"/>
          <w:color w:val="auto"/>
        </w:rPr>
      </w:pPr>
      <w:r>
        <w:rPr>
          <w:rFonts w:ascii="Arial" w:cs="Arial" w:eastAsia="Arial" w:hAnsi="Arial"/>
          <w:sz w:val="14"/>
          <w:szCs w:val="14"/>
          <w:color w:val="231F20"/>
        </w:rPr>
        <w:t>3.4.2. amend, alter, repeal or waive any provision of this Certificate of Incorporation or Bylaws of the Corporation (other than any provision requiring the written consent or affirmative vote of the Super Preferred Threshold or the holders of Series A Preferred Stock, Series B Preferred Stock or Series C Preferred Stock, as applicable, to approve an act or transaction);</w:t>
      </w:r>
    </w:p>
    <w:p>
      <w:pPr>
        <w:spacing w:after="0" w:line="141"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3.4.3.</w:t>
      </w:r>
      <w:r>
        <w:rPr>
          <w:sz w:val="20"/>
          <w:szCs w:val="20"/>
          <w:color w:val="auto"/>
        </w:rPr>
        <w:tab/>
      </w:r>
      <w:r>
        <w:rPr>
          <w:rFonts w:ascii="Arial" w:cs="Arial" w:eastAsia="Arial" w:hAnsi="Arial"/>
          <w:sz w:val="12"/>
          <w:szCs w:val="12"/>
          <w:color w:val="231F20"/>
        </w:rPr>
        <w:t xml:space="preserve">increase or decrease the number of authorized shares of Common Stock or Preferred Stock (other than as set forth in </w:t>
      </w:r>
      <w:r>
        <w:rPr>
          <w:rFonts w:ascii="Arial" w:cs="Arial" w:eastAsia="Arial" w:hAnsi="Arial"/>
          <w:sz w:val="12"/>
          <w:szCs w:val="12"/>
          <w:u w:val="single" w:color="auto"/>
          <w:color w:val="231F20"/>
        </w:rPr>
        <w:t>Sections 3.5.3</w:t>
      </w:r>
      <w:r>
        <w:rPr>
          <w:rFonts w:ascii="Arial" w:cs="Arial" w:eastAsia="Arial" w:hAnsi="Arial"/>
          <w:sz w:val="12"/>
          <w:szCs w:val="12"/>
          <w:color w:val="231F20"/>
        </w:rPr>
        <w:t xml:space="preserve">, </w:t>
      </w:r>
      <w:r>
        <w:rPr>
          <w:rFonts w:ascii="Arial" w:cs="Arial" w:eastAsia="Arial" w:hAnsi="Arial"/>
          <w:sz w:val="12"/>
          <w:szCs w:val="12"/>
          <w:u w:val="single" w:color="auto"/>
          <w:color w:val="231F20"/>
        </w:rPr>
        <w:t>3.6.4</w:t>
      </w:r>
      <w:r>
        <w:rPr>
          <w:rFonts w:ascii="Arial" w:cs="Arial" w:eastAsia="Arial" w:hAnsi="Arial"/>
          <w:sz w:val="12"/>
          <w:szCs w:val="12"/>
          <w:color w:val="231F20"/>
        </w:rPr>
        <w:t xml:space="preserve"> or </w:t>
      </w:r>
      <w:r>
        <w:rPr>
          <w:rFonts w:ascii="Arial" w:cs="Arial" w:eastAsia="Arial" w:hAnsi="Arial"/>
          <w:sz w:val="12"/>
          <w:szCs w:val="12"/>
          <w:u w:val="single" w:color="auto"/>
          <w:color w:val="231F20"/>
        </w:rPr>
        <w:t>3.7.3</w:t>
      </w:r>
      <w:r>
        <w:rPr>
          <w:rFonts w:ascii="Arial" w:cs="Arial" w:eastAsia="Arial" w:hAnsi="Arial"/>
          <w:sz w:val="12"/>
          <w:szCs w:val="12"/>
          <w:color w:val="231F20"/>
        </w:rPr>
        <w:t>);</w:t>
      </w:r>
    </w:p>
    <w:p>
      <w:pPr>
        <w:spacing w:after="0" w:line="195" w:lineRule="exact"/>
        <w:rPr>
          <w:sz w:val="20"/>
          <w:szCs w:val="20"/>
          <w:color w:val="auto"/>
        </w:rPr>
      </w:pPr>
    </w:p>
    <w:p>
      <w:pPr>
        <w:jc w:val="both"/>
        <w:ind w:firstLine="2072"/>
        <w:spacing w:after="0" w:line="273" w:lineRule="auto"/>
        <w:rPr>
          <w:sz w:val="20"/>
          <w:szCs w:val="20"/>
          <w:color w:val="auto"/>
        </w:rPr>
      </w:pPr>
      <w:r>
        <w:rPr>
          <w:rFonts w:ascii="Arial" w:cs="Arial" w:eastAsia="Arial" w:hAnsi="Arial"/>
          <w:sz w:val="14"/>
          <w:szCs w:val="14"/>
          <w:color w:val="231F20"/>
        </w:rPr>
        <w:t>3.4.4. create, or authorize the creation of, or issue or obligate itself to issue shares of, any additional class or series of capital stock (or any securities convertible into or exercisable for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86" w:name="page287"/>
    <w:bookmarkEnd w:id="286"/>
    <w:p>
      <w:pPr>
        <w:jc w:val="both"/>
        <w:ind w:firstLine="2072"/>
        <w:spacing w:after="0" w:line="294" w:lineRule="auto"/>
        <w:rPr>
          <w:sz w:val="20"/>
          <w:szCs w:val="20"/>
          <w:color w:val="auto"/>
        </w:rPr>
      </w:pPr>
      <w:r>
        <w:rPr>
          <w:rFonts w:ascii="Arial" w:cs="Arial" w:eastAsia="Arial" w:hAnsi="Arial"/>
          <w:sz w:val="13"/>
          <w:szCs w:val="13"/>
          <w:color w:val="231F20"/>
        </w:rPr>
        <w:t>3.4.5.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 permit any direct or indirect subsidiary to sell, transfer or otherwise issue any of its securities other than to the Corporation or to a wholly-owned subsidiary of the Corporation; constituting the Board; Directors;</w:t>
      </w:r>
    </w:p>
    <w:p>
      <w:pPr>
        <w:spacing w:after="0" w:line="185"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3.4.6.</w:t>
      </w:r>
      <w:r>
        <w:rPr>
          <w:sz w:val="20"/>
          <w:szCs w:val="20"/>
          <w:color w:val="auto"/>
        </w:rPr>
        <w:tab/>
      </w:r>
      <w:r>
        <w:rPr>
          <w:rFonts w:ascii="Arial" w:cs="Arial" w:eastAsia="Arial" w:hAnsi="Arial"/>
          <w:sz w:val="12"/>
          <w:szCs w:val="12"/>
          <w:color w:val="231F20"/>
        </w:rPr>
        <w:t>increase or decrease the authorized number of directors</w:t>
      </w:r>
    </w:p>
    <w:p>
      <w:pPr>
        <w:spacing w:after="0" w:line="184"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3.4.7.</w:t>
      </w:r>
      <w:r>
        <w:rPr>
          <w:sz w:val="20"/>
          <w:szCs w:val="20"/>
          <w:color w:val="auto"/>
        </w:rPr>
        <w:tab/>
      </w:r>
      <w:r>
        <w:rPr>
          <w:rFonts w:ascii="Arial" w:cs="Arial" w:eastAsia="Arial" w:hAnsi="Arial"/>
          <w:sz w:val="12"/>
          <w:szCs w:val="12"/>
          <w:color w:val="231F20"/>
        </w:rPr>
        <w:t>increase or decrease the authorized number of Preferred</w:t>
      </w:r>
    </w:p>
    <w:p>
      <w:pPr>
        <w:spacing w:after="0" w:line="184"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3.4.8.</w:t>
      </w:r>
      <w:r>
        <w:rPr>
          <w:sz w:val="20"/>
          <w:szCs w:val="20"/>
          <w:color w:val="auto"/>
        </w:rPr>
        <w:tab/>
      </w:r>
      <w:r>
        <w:rPr>
          <w:rFonts w:ascii="Arial" w:cs="Arial" w:eastAsia="Arial" w:hAnsi="Arial"/>
          <w:sz w:val="13"/>
          <w:szCs w:val="13"/>
          <w:color w:val="231F20"/>
        </w:rPr>
        <w:t>sell, assign, license, pledge or encumber material technology or intellectual property, other than licenses granted in the ordinary course of business;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231F20"/>
        </w:rPr>
        <w:t>or</w:t>
      </w:r>
    </w:p>
    <w:p>
      <w:pPr>
        <w:spacing w:after="0" w:line="186" w:lineRule="exact"/>
        <w:rPr>
          <w:sz w:val="20"/>
          <w:szCs w:val="20"/>
          <w:color w:val="auto"/>
        </w:rPr>
      </w:pPr>
    </w:p>
    <w:p>
      <w:pPr>
        <w:jc w:val="both"/>
        <w:ind w:firstLine="2072"/>
        <w:spacing w:after="0" w:line="288" w:lineRule="auto"/>
        <w:rPr>
          <w:sz w:val="20"/>
          <w:szCs w:val="20"/>
          <w:color w:val="auto"/>
        </w:rPr>
      </w:pPr>
      <w:r>
        <w:rPr>
          <w:rFonts w:ascii="Arial" w:cs="Arial" w:eastAsia="Arial" w:hAnsi="Arial"/>
          <w:sz w:val="14"/>
          <w:szCs w:val="14"/>
          <w:color w:val="231F20"/>
        </w:rPr>
        <w:t>3.4.9. acquire any asset or business or enter into any corporate strategic relationship involving the payment, contribution or assignment by the Corporation or to the Corporation of money, securities or assets greater than $500,000.</w:t>
      </w:r>
    </w:p>
    <w:p>
      <w:pPr>
        <w:spacing w:after="0" w:line="132" w:lineRule="exact"/>
        <w:rPr>
          <w:sz w:val="20"/>
          <w:szCs w:val="20"/>
          <w:color w:val="auto"/>
        </w:rPr>
      </w:pPr>
    </w:p>
    <w:p>
      <w:pPr>
        <w:jc w:val="both"/>
        <w:ind w:firstLine="1554"/>
        <w:spacing w:after="0" w:line="294" w:lineRule="auto"/>
        <w:rPr>
          <w:sz w:val="20"/>
          <w:szCs w:val="20"/>
          <w:color w:val="auto"/>
        </w:rPr>
      </w:pPr>
      <w:r>
        <w:rPr>
          <w:rFonts w:ascii="Arial" w:cs="Arial" w:eastAsia="Arial" w:hAnsi="Arial"/>
          <w:sz w:val="13"/>
          <w:szCs w:val="13"/>
          <w:color w:val="231F20"/>
        </w:rPr>
        <w:t xml:space="preserve">3.5. </w:t>
      </w:r>
      <w:r>
        <w:rPr>
          <w:rFonts w:ascii="Arial" w:cs="Arial" w:eastAsia="Arial" w:hAnsi="Arial"/>
          <w:sz w:val="13"/>
          <w:szCs w:val="13"/>
          <w:u w:val="single" w:color="auto"/>
          <w:color w:val="231F20"/>
        </w:rPr>
        <w:t>Series C Preferred Stock Protective Provisions</w:t>
      </w:r>
      <w:r>
        <w:rPr>
          <w:rFonts w:ascii="Arial" w:cs="Arial" w:eastAsia="Arial" w:hAnsi="Arial"/>
          <w:sz w:val="13"/>
          <w:szCs w:val="13"/>
          <w:color w:val="231F20"/>
        </w:rPr>
        <w:t xml:space="preserve">. At any time when any shares of Series C Preferred Stock are outstanding, the Corporation shall not, either directly or indirectly, by amendment, merger, consolidation or otherwise, do any of the following (in addition to any other vote required by law or this Certificate of Incorporation) without the written consent or affirmative vote of the holders of at least a majority of the shares of Series C Preferred Stock then outstanding, given in writing or by vote at a meeting, consenting or voting (as the case may be) exclusively and as a separate class, and any such act or transaction entered into without such consent or vote shall be null and void </w:t>
      </w:r>
      <w:r>
        <w:rPr>
          <w:rFonts w:ascii="Arial" w:cs="Arial" w:eastAsia="Arial" w:hAnsi="Arial"/>
          <w:sz w:val="13"/>
          <w:szCs w:val="13"/>
          <w:i w:val="1"/>
          <w:iCs w:val="1"/>
          <w:color w:val="231F20"/>
        </w:rPr>
        <w:t>ab initio</w:t>
      </w:r>
      <w:r>
        <w:rPr>
          <w:rFonts w:ascii="Arial" w:cs="Arial" w:eastAsia="Arial" w:hAnsi="Arial"/>
          <w:sz w:val="13"/>
          <w:szCs w:val="13"/>
          <w:color w:val="231F20"/>
        </w:rPr>
        <w:t>, and of no force or effect:</w:t>
      </w:r>
    </w:p>
    <w:p>
      <w:pPr>
        <w:spacing w:after="0" w:line="141" w:lineRule="exact"/>
        <w:rPr>
          <w:sz w:val="20"/>
          <w:szCs w:val="20"/>
          <w:color w:val="auto"/>
        </w:rPr>
      </w:pPr>
    </w:p>
    <w:p>
      <w:pPr>
        <w:jc w:val="both"/>
        <w:ind w:firstLine="2072"/>
        <w:spacing w:after="0" w:line="303" w:lineRule="auto"/>
        <w:rPr>
          <w:sz w:val="20"/>
          <w:szCs w:val="20"/>
          <w:color w:val="auto"/>
        </w:rPr>
      </w:pPr>
      <w:r>
        <w:rPr>
          <w:rFonts w:ascii="Arial" w:cs="Arial" w:eastAsia="Arial" w:hAnsi="Arial"/>
          <w:sz w:val="13"/>
          <w:szCs w:val="13"/>
          <w:color w:val="231F20"/>
        </w:rPr>
        <w:t xml:space="preserve">3.5.1. liquidate, dissolve or wind-up the business and affairs of the Corporation, effect any merger, consolidation or any other corporate reorganization or other Deemed Liquidation Event, or consent to any of the foregoing; unless the holders of Series C Preferred Stock have received an aggregate amount under </w:t>
      </w:r>
      <w:r>
        <w:rPr>
          <w:rFonts w:ascii="Arial" w:cs="Arial" w:eastAsia="Arial" w:hAnsi="Arial"/>
          <w:sz w:val="13"/>
          <w:szCs w:val="13"/>
          <w:u w:val="single" w:color="auto"/>
          <w:color w:val="231F20"/>
        </w:rPr>
        <w:t>Sections 2.1</w:t>
      </w:r>
      <w:r>
        <w:rPr>
          <w:rFonts w:ascii="Arial" w:cs="Arial" w:eastAsia="Arial" w:hAnsi="Arial"/>
          <w:sz w:val="13"/>
          <w:szCs w:val="13"/>
          <w:color w:val="231F20"/>
        </w:rPr>
        <w:t xml:space="preserve"> and </w:t>
      </w:r>
      <w:r>
        <w:rPr>
          <w:rFonts w:ascii="Arial" w:cs="Arial" w:eastAsia="Arial" w:hAnsi="Arial"/>
          <w:sz w:val="13"/>
          <w:szCs w:val="13"/>
          <w:u w:val="single" w:color="auto"/>
          <w:color w:val="231F20"/>
        </w:rPr>
        <w:t>2.2</w:t>
      </w:r>
      <w:r>
        <w:rPr>
          <w:rFonts w:ascii="Arial" w:cs="Arial" w:eastAsia="Arial" w:hAnsi="Arial"/>
          <w:sz w:val="13"/>
          <w:szCs w:val="13"/>
          <w:color w:val="231F20"/>
        </w:rPr>
        <w:t xml:space="preserve"> equal to $6.4720 per share (subject to appropriate adjustment in the event of a stock split, stock dividend, combination, reclassification, or similar event affecting the Series C Preferred Stock);</w:t>
      </w:r>
    </w:p>
    <w:p>
      <w:pPr>
        <w:spacing w:after="0" w:line="135" w:lineRule="exact"/>
        <w:rPr>
          <w:sz w:val="20"/>
          <w:szCs w:val="20"/>
          <w:color w:val="auto"/>
        </w:rPr>
      </w:pPr>
    </w:p>
    <w:p>
      <w:pPr>
        <w:jc w:val="both"/>
        <w:ind w:firstLine="2072"/>
        <w:spacing w:after="0" w:line="303" w:lineRule="auto"/>
        <w:rPr>
          <w:sz w:val="20"/>
          <w:szCs w:val="20"/>
          <w:color w:val="auto"/>
        </w:rPr>
      </w:pPr>
      <w:r>
        <w:rPr>
          <w:rFonts w:ascii="Arial" w:cs="Arial" w:eastAsia="Arial" w:hAnsi="Arial"/>
          <w:sz w:val="13"/>
          <w:szCs w:val="13"/>
          <w:color w:val="231F20"/>
        </w:rPr>
        <w:t xml:space="preserve">3.5.2. amend, alter, repeal or waive any provision of this Certificate of Incorporation or Bylaws of the Corporation in a manner that adversely affects the rights, preferences or privileges of the Series C Preferred Stock; </w:t>
      </w:r>
      <w:r>
        <w:rPr>
          <w:rFonts w:ascii="Arial" w:cs="Arial" w:eastAsia="Arial" w:hAnsi="Arial"/>
          <w:sz w:val="13"/>
          <w:szCs w:val="13"/>
          <w:i w:val="1"/>
          <w:iCs w:val="1"/>
          <w:color w:val="231F20"/>
        </w:rPr>
        <w:t>provided</w:t>
      </w:r>
      <w:r>
        <w:rPr>
          <w:rFonts w:ascii="Arial" w:cs="Arial" w:eastAsia="Arial" w:hAnsi="Arial"/>
          <w:sz w:val="13"/>
          <w:szCs w:val="13"/>
          <w:color w:val="231F20"/>
        </w:rPr>
        <w:t xml:space="preserve">, </w:t>
      </w:r>
      <w:r>
        <w:rPr>
          <w:rFonts w:ascii="Arial" w:cs="Arial" w:eastAsia="Arial" w:hAnsi="Arial"/>
          <w:sz w:val="13"/>
          <w:szCs w:val="13"/>
          <w:i w:val="1"/>
          <w:iCs w:val="1"/>
          <w:color w:val="231F20"/>
        </w:rPr>
        <w:t>however</w:t>
      </w:r>
      <w:r>
        <w:rPr>
          <w:rFonts w:ascii="Arial" w:cs="Arial" w:eastAsia="Arial" w:hAnsi="Arial"/>
          <w:sz w:val="13"/>
          <w:szCs w:val="13"/>
          <w:color w:val="231F20"/>
        </w:rPr>
        <w:t xml:space="preserve">, that the creation, authorization and issuance of any additional class or series of capital stock (or any securities convertible into or exercisable for any additional class or series of capital stock) with a liquidation preference or other rights that are senior or </w:t>
      </w:r>
      <w:r>
        <w:rPr>
          <w:rFonts w:ascii="Arial" w:cs="Arial" w:eastAsia="Arial" w:hAnsi="Arial"/>
          <w:sz w:val="13"/>
          <w:szCs w:val="13"/>
          <w:i w:val="1"/>
          <w:iCs w:val="1"/>
          <w:color w:val="231F20"/>
        </w:rPr>
        <w:t>pari passu</w:t>
      </w:r>
      <w:r>
        <w:rPr>
          <w:rFonts w:ascii="Arial" w:cs="Arial" w:eastAsia="Arial" w:hAnsi="Arial"/>
          <w:sz w:val="13"/>
          <w:szCs w:val="13"/>
          <w:color w:val="231F20"/>
        </w:rPr>
        <w:t xml:space="preserve"> to the Series C Preferred Stock</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color w:val="231F20"/>
        </w:rPr>
        <w:t>or any other series or class of capital stock will not, in and of itself, be deemed to have an adverse effect on the Series C Preferred Stock;</w:t>
      </w:r>
    </w:p>
    <w:p>
      <w:pPr>
        <w:spacing w:after="0" w:line="195" w:lineRule="exact"/>
        <w:rPr>
          <w:sz w:val="20"/>
          <w:szCs w:val="20"/>
          <w:color w:val="auto"/>
        </w:rPr>
      </w:pPr>
    </w:p>
    <w:p>
      <w:pPr>
        <w:jc w:val="both"/>
        <w:ind w:firstLine="2072"/>
        <w:spacing w:after="0" w:line="288" w:lineRule="auto"/>
        <w:rPr>
          <w:sz w:val="20"/>
          <w:szCs w:val="20"/>
          <w:color w:val="auto"/>
        </w:rPr>
      </w:pPr>
      <w:r>
        <w:rPr>
          <w:rFonts w:ascii="Arial" w:cs="Arial" w:eastAsia="Arial" w:hAnsi="Arial"/>
          <w:sz w:val="14"/>
          <w:szCs w:val="14"/>
          <w:color w:val="231F20"/>
        </w:rPr>
        <w:t>3.5.3. amend, alter, repeal or waive any provision of this Certificate of Incorporation or Bylaws of the Corporation requiring the written consent or affirmative vote of the holders of Series C Preferred Stock to approve an act or transaction;</w:t>
      </w:r>
    </w:p>
    <w:p>
      <w:pPr>
        <w:spacing w:after="0" w:line="142" w:lineRule="exact"/>
        <w:rPr>
          <w:sz w:val="20"/>
          <w:szCs w:val="20"/>
          <w:color w:val="auto"/>
        </w:rPr>
      </w:pPr>
    </w:p>
    <w:p>
      <w:pPr>
        <w:ind w:left="2080"/>
        <w:spacing w:after="0"/>
        <w:tabs>
          <w:tab w:leader="none" w:pos="2600" w:val="left"/>
        </w:tabs>
        <w:rPr>
          <w:sz w:val="20"/>
          <w:szCs w:val="20"/>
          <w:color w:val="auto"/>
        </w:rPr>
      </w:pPr>
      <w:r>
        <w:rPr>
          <w:rFonts w:ascii="Arial" w:cs="Arial" w:eastAsia="Arial" w:hAnsi="Arial"/>
          <w:sz w:val="14"/>
          <w:szCs w:val="14"/>
          <w:color w:val="231F20"/>
        </w:rPr>
        <w:t>3.5.4.</w:t>
      </w:r>
      <w:r>
        <w:rPr>
          <w:sz w:val="20"/>
          <w:szCs w:val="20"/>
          <w:color w:val="auto"/>
        </w:rPr>
        <w:tab/>
      </w:r>
      <w:r>
        <w:rPr>
          <w:rFonts w:ascii="Arial" w:cs="Arial" w:eastAsia="Arial" w:hAnsi="Arial"/>
          <w:sz w:val="12"/>
          <w:szCs w:val="12"/>
          <w:color w:val="231F20"/>
        </w:rPr>
        <w:t>increase or decrease the number of authorized shares of Series C Preferred Stock; or</w:t>
      </w:r>
    </w:p>
    <w:p>
      <w:pPr>
        <w:spacing w:after="0" w:line="184"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3.5.5.</w:t>
      </w:r>
      <w:r>
        <w:rPr>
          <w:sz w:val="20"/>
          <w:szCs w:val="20"/>
          <w:color w:val="auto"/>
        </w:rPr>
        <w:tab/>
      </w:r>
      <w:r>
        <w:rPr>
          <w:rFonts w:ascii="Arial" w:cs="Arial" w:eastAsia="Arial" w:hAnsi="Arial"/>
          <w:sz w:val="12"/>
          <w:szCs w:val="12"/>
          <w:color w:val="231F20"/>
        </w:rPr>
        <w:t>increase or decrease the authorized number of Series C Preferred Directors.</w:t>
      </w:r>
    </w:p>
    <w:p>
      <w:pPr>
        <w:spacing w:after="0" w:line="184" w:lineRule="exact"/>
        <w:rPr>
          <w:sz w:val="20"/>
          <w:szCs w:val="20"/>
          <w:color w:val="auto"/>
        </w:rPr>
      </w:pPr>
    </w:p>
    <w:p>
      <w:pPr>
        <w:jc w:val="both"/>
        <w:ind w:firstLine="1554"/>
        <w:spacing w:after="0" w:line="294" w:lineRule="auto"/>
        <w:rPr>
          <w:sz w:val="20"/>
          <w:szCs w:val="20"/>
          <w:color w:val="auto"/>
        </w:rPr>
      </w:pPr>
      <w:r>
        <w:rPr>
          <w:rFonts w:ascii="Arial" w:cs="Arial" w:eastAsia="Arial" w:hAnsi="Arial"/>
          <w:sz w:val="13"/>
          <w:szCs w:val="13"/>
          <w:color w:val="231F20"/>
        </w:rPr>
        <w:t xml:space="preserve">3.6. </w:t>
      </w:r>
      <w:r>
        <w:rPr>
          <w:rFonts w:ascii="Arial" w:cs="Arial" w:eastAsia="Arial" w:hAnsi="Arial"/>
          <w:sz w:val="13"/>
          <w:szCs w:val="13"/>
          <w:u w:val="single" w:color="auto"/>
          <w:color w:val="231F20"/>
        </w:rPr>
        <w:t>Series B Preferred Stock Protective Provisions</w:t>
      </w:r>
      <w:r>
        <w:rPr>
          <w:rFonts w:ascii="Arial" w:cs="Arial" w:eastAsia="Arial" w:hAnsi="Arial"/>
          <w:sz w:val="13"/>
          <w:szCs w:val="13"/>
          <w:color w:val="231F20"/>
        </w:rPr>
        <w:t xml:space="preserve">. At any time when any shares of Series B Preferred Stock are outstanding, the Corporation shall not, either directly or indirectly, by amendment, merger, consolidation or otherwise, do any of the following (in addition to any other vote required by law or this Certificate of Incorporation) without the written consent or affirmative vote of the holders of at least a majority of the shares of Series B Preferred Stock then outstanding, given in writing or by vote at a meeting, consenting or voting (as the case may be) exclusively and as a separate class, and any such act or transaction entered into without such consent or vote shall be null and void </w:t>
      </w:r>
      <w:r>
        <w:rPr>
          <w:rFonts w:ascii="Arial" w:cs="Arial" w:eastAsia="Arial" w:hAnsi="Arial"/>
          <w:sz w:val="13"/>
          <w:szCs w:val="13"/>
          <w:i w:val="1"/>
          <w:iCs w:val="1"/>
          <w:color w:val="231F20"/>
        </w:rPr>
        <w:t>ab initio</w:t>
      </w:r>
      <w:r>
        <w:rPr>
          <w:rFonts w:ascii="Arial" w:cs="Arial" w:eastAsia="Arial" w:hAnsi="Arial"/>
          <w:sz w:val="13"/>
          <w:szCs w:val="13"/>
          <w:color w:val="231F20"/>
        </w:rPr>
        <w:t>, and of no force or effect:</w:t>
      </w:r>
    </w:p>
    <w:p>
      <w:pPr>
        <w:spacing w:after="0" w:line="131" w:lineRule="exact"/>
        <w:rPr>
          <w:sz w:val="20"/>
          <w:szCs w:val="20"/>
          <w:color w:val="auto"/>
        </w:rPr>
      </w:pPr>
    </w:p>
    <w:p>
      <w:pPr>
        <w:jc w:val="both"/>
        <w:ind w:firstLine="2072"/>
        <w:spacing w:after="0" w:line="303" w:lineRule="auto"/>
        <w:rPr>
          <w:sz w:val="20"/>
          <w:szCs w:val="20"/>
          <w:color w:val="auto"/>
        </w:rPr>
      </w:pPr>
      <w:r>
        <w:rPr>
          <w:rFonts w:ascii="Arial" w:cs="Arial" w:eastAsia="Arial" w:hAnsi="Arial"/>
          <w:sz w:val="13"/>
          <w:szCs w:val="13"/>
          <w:color w:val="231F20"/>
        </w:rPr>
        <w:t xml:space="preserve">3.6.1. liquidate, dissolve or wind-up the business and affairs of the Corporation, effect any merger, consolidation or any other corporate reorganization or other Deemed Liquidation Event, or consent to any of the foregoing; unless the holders of Series B Preferred Stock have received an aggregate amount under </w:t>
      </w:r>
      <w:r>
        <w:rPr>
          <w:rFonts w:ascii="Arial" w:cs="Arial" w:eastAsia="Arial" w:hAnsi="Arial"/>
          <w:sz w:val="13"/>
          <w:szCs w:val="13"/>
          <w:u w:val="single" w:color="auto"/>
          <w:color w:val="231F20"/>
        </w:rPr>
        <w:t>Sections 2.1</w:t>
      </w:r>
      <w:r>
        <w:rPr>
          <w:rFonts w:ascii="Arial" w:cs="Arial" w:eastAsia="Arial" w:hAnsi="Arial"/>
          <w:sz w:val="13"/>
          <w:szCs w:val="13"/>
          <w:color w:val="231F20"/>
        </w:rPr>
        <w:t xml:space="preserve"> and </w:t>
      </w:r>
      <w:r>
        <w:rPr>
          <w:rFonts w:ascii="Arial" w:cs="Arial" w:eastAsia="Arial" w:hAnsi="Arial"/>
          <w:sz w:val="13"/>
          <w:szCs w:val="13"/>
          <w:u w:val="single" w:color="auto"/>
          <w:color w:val="231F20"/>
        </w:rPr>
        <w:t>2.2</w:t>
      </w:r>
      <w:r>
        <w:rPr>
          <w:rFonts w:ascii="Arial" w:cs="Arial" w:eastAsia="Arial" w:hAnsi="Arial"/>
          <w:sz w:val="13"/>
          <w:szCs w:val="13"/>
          <w:color w:val="231F20"/>
        </w:rPr>
        <w:t xml:space="preserve"> equal to $5.55 per share (subject to appropriate adjustment in the event of a stock split, stock dividend, combination, reclassification, or similar event affecting the Series B Preferred Stock);</w:t>
      </w:r>
    </w:p>
    <w:p>
      <w:pPr>
        <w:spacing w:after="0" w:line="135" w:lineRule="exact"/>
        <w:rPr>
          <w:sz w:val="20"/>
          <w:szCs w:val="20"/>
          <w:color w:val="auto"/>
        </w:rPr>
      </w:pPr>
    </w:p>
    <w:p>
      <w:pPr>
        <w:jc w:val="both"/>
        <w:ind w:firstLine="2072"/>
        <w:spacing w:after="0" w:line="267" w:lineRule="auto"/>
        <w:rPr>
          <w:sz w:val="20"/>
          <w:szCs w:val="20"/>
          <w:color w:val="auto"/>
        </w:rPr>
      </w:pPr>
      <w:r>
        <w:rPr>
          <w:rFonts w:ascii="Arial" w:cs="Arial" w:eastAsia="Arial" w:hAnsi="Arial"/>
          <w:sz w:val="14"/>
          <w:szCs w:val="14"/>
          <w:color w:val="231F20"/>
        </w:rPr>
        <w:t xml:space="preserve">3.6.2. amend, alter, repeal or waive any provision of this Certificate of Incorporation or Bylaws of the Corporation in a manner that adversely affects the rights, preferences or privileges of the Series B Preferred Stock; </w:t>
      </w:r>
      <w:r>
        <w:rPr>
          <w:rFonts w:ascii="Arial" w:cs="Arial" w:eastAsia="Arial" w:hAnsi="Arial"/>
          <w:sz w:val="14"/>
          <w:szCs w:val="14"/>
          <w:i w:val="1"/>
          <w:iCs w:val="1"/>
          <w:color w:val="231F20"/>
        </w:rPr>
        <w:t>provided</w:t>
      </w:r>
      <w:r>
        <w:rPr>
          <w:rFonts w:ascii="Arial" w:cs="Arial" w:eastAsia="Arial" w:hAnsi="Arial"/>
          <w:sz w:val="14"/>
          <w:szCs w:val="14"/>
          <w:color w:val="231F20"/>
        </w:rPr>
        <w:t xml:space="preserve">, </w:t>
      </w:r>
      <w:r>
        <w:rPr>
          <w:rFonts w:ascii="Arial" w:cs="Arial" w:eastAsia="Arial" w:hAnsi="Arial"/>
          <w:sz w:val="14"/>
          <w:szCs w:val="14"/>
          <w:i w:val="1"/>
          <w:iCs w:val="1"/>
          <w:color w:val="231F20"/>
        </w:rPr>
        <w:t>however</w:t>
      </w:r>
      <w:r>
        <w:rPr>
          <w:rFonts w:ascii="Arial" w:cs="Arial" w:eastAsia="Arial" w:hAnsi="Arial"/>
          <w:sz w:val="14"/>
          <w:szCs w:val="14"/>
          <w:color w:val="231F20"/>
        </w:rPr>
        <w:t xml:space="preserve">, that the creation, authorization and issuance of any additional class or series of capital stock (or any securities convertible into or exercisable for any additional class or series of capital stock) with a liquidation preference or other rights that are senior or </w:t>
      </w:r>
      <w:r>
        <w:rPr>
          <w:rFonts w:ascii="Arial" w:cs="Arial" w:eastAsia="Arial" w:hAnsi="Arial"/>
          <w:sz w:val="14"/>
          <w:szCs w:val="14"/>
          <w:i w:val="1"/>
          <w:iCs w:val="1"/>
          <w:color w:val="231F20"/>
        </w:rPr>
        <w:t>pari passu</w:t>
      </w:r>
      <w:r>
        <w:rPr>
          <w:rFonts w:ascii="Arial" w:cs="Arial" w:eastAsia="Arial" w:hAnsi="Arial"/>
          <w:sz w:val="14"/>
          <w:szCs w:val="14"/>
          <w:color w:val="231F20"/>
        </w:rPr>
        <w:t xml:space="preserve"> to the Series B Preferred Stock or any other series or class of capital stock will not, in and of itself, be deemed to have an adverse effect on the Series B Preferred Stock;</w:t>
      </w:r>
    </w:p>
    <w:p>
      <w:pPr>
        <w:spacing w:after="0" w:line="158" w:lineRule="exact"/>
        <w:rPr>
          <w:sz w:val="20"/>
          <w:szCs w:val="20"/>
          <w:color w:val="auto"/>
        </w:rPr>
      </w:pPr>
    </w:p>
    <w:p>
      <w:pPr>
        <w:jc w:val="both"/>
        <w:ind w:firstLine="2072"/>
        <w:spacing w:after="0" w:line="288" w:lineRule="auto"/>
        <w:rPr>
          <w:sz w:val="20"/>
          <w:szCs w:val="20"/>
          <w:color w:val="auto"/>
        </w:rPr>
      </w:pPr>
      <w:r>
        <w:rPr>
          <w:rFonts w:ascii="Arial" w:cs="Arial" w:eastAsia="Arial" w:hAnsi="Arial"/>
          <w:sz w:val="14"/>
          <w:szCs w:val="14"/>
          <w:color w:val="231F20"/>
        </w:rPr>
        <w:t>3.6.3. amend, alter, repeal or waive any provision of this Certificate of Incorporation or Bylaws of the Corporation requiring the written consent or affirmative vote of the holders of Series B Preferred Stock to approve an act or transaction;</w:t>
      </w:r>
    </w:p>
    <w:p>
      <w:pPr>
        <w:spacing w:after="0" w:line="132"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3.6.4.</w:t>
      </w:r>
      <w:r>
        <w:rPr>
          <w:sz w:val="20"/>
          <w:szCs w:val="20"/>
          <w:color w:val="auto"/>
        </w:rPr>
        <w:tab/>
      </w:r>
      <w:r>
        <w:rPr>
          <w:rFonts w:ascii="Arial" w:cs="Arial" w:eastAsia="Arial" w:hAnsi="Arial"/>
          <w:sz w:val="12"/>
          <w:szCs w:val="12"/>
          <w:color w:val="231F20"/>
        </w:rPr>
        <w:t>increase or decrease the number of authorized shares of Series B Preferred Stock; or</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88" w:name="page289"/>
    <w:bookmarkEnd w:id="288"/>
    <w:p>
      <w:pPr>
        <w:ind w:left="2080"/>
        <w:spacing w:after="0"/>
        <w:tabs>
          <w:tab w:leader="none" w:pos="2580" w:val="left"/>
        </w:tabs>
        <w:rPr>
          <w:sz w:val="20"/>
          <w:szCs w:val="20"/>
          <w:color w:val="auto"/>
        </w:rPr>
      </w:pPr>
      <w:r>
        <w:rPr>
          <w:rFonts w:ascii="Arial" w:cs="Arial" w:eastAsia="Arial" w:hAnsi="Arial"/>
          <w:sz w:val="14"/>
          <w:szCs w:val="14"/>
          <w:color w:val="231F20"/>
        </w:rPr>
        <w:t>3.6.5.</w:t>
      </w:r>
      <w:r>
        <w:rPr>
          <w:sz w:val="20"/>
          <w:szCs w:val="20"/>
          <w:color w:val="auto"/>
        </w:rPr>
        <w:tab/>
      </w:r>
      <w:r>
        <w:rPr>
          <w:rFonts w:ascii="Arial" w:cs="Arial" w:eastAsia="Arial" w:hAnsi="Arial"/>
          <w:sz w:val="12"/>
          <w:szCs w:val="12"/>
          <w:color w:val="231F20"/>
        </w:rPr>
        <w:t>increase or decrease the authorized number of Series B Preferred Directors.</w:t>
      </w:r>
    </w:p>
    <w:p>
      <w:pPr>
        <w:spacing w:after="0" w:line="206" w:lineRule="exact"/>
        <w:rPr>
          <w:sz w:val="20"/>
          <w:szCs w:val="20"/>
          <w:color w:val="auto"/>
        </w:rPr>
      </w:pPr>
    </w:p>
    <w:p>
      <w:pPr>
        <w:jc w:val="both"/>
        <w:ind w:firstLine="1554"/>
        <w:spacing w:after="0" w:line="265" w:lineRule="auto"/>
        <w:rPr>
          <w:sz w:val="20"/>
          <w:szCs w:val="20"/>
          <w:color w:val="auto"/>
        </w:rPr>
      </w:pPr>
      <w:r>
        <w:rPr>
          <w:rFonts w:ascii="Arial" w:cs="Arial" w:eastAsia="Arial" w:hAnsi="Arial"/>
          <w:sz w:val="14"/>
          <w:szCs w:val="14"/>
          <w:color w:val="231F20"/>
        </w:rPr>
        <w:t xml:space="preserve">3.7. </w:t>
      </w:r>
      <w:r>
        <w:rPr>
          <w:rFonts w:ascii="Arial" w:cs="Arial" w:eastAsia="Arial" w:hAnsi="Arial"/>
          <w:sz w:val="14"/>
          <w:szCs w:val="14"/>
          <w:u w:val="single" w:color="auto"/>
          <w:color w:val="231F20"/>
        </w:rPr>
        <w:t>Series A Preferred Stock Protective Provisions</w:t>
      </w:r>
      <w:r>
        <w:rPr>
          <w:rFonts w:ascii="Arial" w:cs="Arial" w:eastAsia="Arial" w:hAnsi="Arial"/>
          <w:sz w:val="14"/>
          <w:szCs w:val="14"/>
          <w:color w:val="231F20"/>
        </w:rPr>
        <w:t xml:space="preserve">. At any time when any shares of Series A Preferred Stock are outstanding, the Corporation shall not, either directly or indirectly, by amendment, merger, consolidation or otherwise, do any of the following (in addition to any other vote required by law or this Certificate of Incorporation) without the written consent or affirmative vote of the holders of at least seventy-five percent (75%) of the shares of Series A Preferred Stock then outstanding, given in writing or by vote at a meeting, consenting or voting (as the case may be) exclusively and as a separate class, and any such act or transaction entered into without such consent or vote shall be null and void </w:t>
      </w:r>
      <w:r>
        <w:rPr>
          <w:rFonts w:ascii="Arial" w:cs="Arial" w:eastAsia="Arial" w:hAnsi="Arial"/>
          <w:sz w:val="14"/>
          <w:szCs w:val="14"/>
          <w:i w:val="1"/>
          <w:iCs w:val="1"/>
          <w:color w:val="231F20"/>
        </w:rPr>
        <w:t>ab initio</w:t>
      </w:r>
      <w:r>
        <w:rPr>
          <w:rFonts w:ascii="Arial" w:cs="Arial" w:eastAsia="Arial" w:hAnsi="Arial"/>
          <w:sz w:val="14"/>
          <w:szCs w:val="14"/>
          <w:color w:val="231F20"/>
        </w:rPr>
        <w:t>, and of no force or effect.</w:t>
      </w:r>
    </w:p>
    <w:p>
      <w:pPr>
        <w:spacing w:after="0" w:line="158" w:lineRule="exact"/>
        <w:rPr>
          <w:sz w:val="20"/>
          <w:szCs w:val="20"/>
          <w:color w:val="auto"/>
        </w:rPr>
      </w:pPr>
    </w:p>
    <w:p>
      <w:pPr>
        <w:jc w:val="both"/>
        <w:ind w:firstLine="2072"/>
        <w:spacing w:after="0" w:line="267" w:lineRule="auto"/>
        <w:rPr>
          <w:sz w:val="20"/>
          <w:szCs w:val="20"/>
          <w:color w:val="auto"/>
        </w:rPr>
      </w:pPr>
      <w:r>
        <w:rPr>
          <w:rFonts w:ascii="Arial" w:cs="Arial" w:eastAsia="Arial" w:hAnsi="Arial"/>
          <w:sz w:val="14"/>
          <w:szCs w:val="14"/>
          <w:color w:val="231F20"/>
        </w:rPr>
        <w:t xml:space="preserve">3.7.1. amend, alter, repeal or waive any provision of this Certificate of Incorporation or Bylaws of the Corporation in a manner that adversely affects the rights, preferences or privileges of the Series A Preferred Stock; </w:t>
      </w:r>
      <w:r>
        <w:rPr>
          <w:rFonts w:ascii="Arial" w:cs="Arial" w:eastAsia="Arial" w:hAnsi="Arial"/>
          <w:sz w:val="14"/>
          <w:szCs w:val="14"/>
          <w:i w:val="1"/>
          <w:iCs w:val="1"/>
          <w:color w:val="231F20"/>
        </w:rPr>
        <w:t>provided</w:t>
      </w:r>
      <w:r>
        <w:rPr>
          <w:rFonts w:ascii="Arial" w:cs="Arial" w:eastAsia="Arial" w:hAnsi="Arial"/>
          <w:sz w:val="14"/>
          <w:szCs w:val="14"/>
          <w:color w:val="231F20"/>
        </w:rPr>
        <w:t xml:space="preserve">, </w:t>
      </w:r>
      <w:r>
        <w:rPr>
          <w:rFonts w:ascii="Arial" w:cs="Arial" w:eastAsia="Arial" w:hAnsi="Arial"/>
          <w:sz w:val="14"/>
          <w:szCs w:val="14"/>
          <w:i w:val="1"/>
          <w:iCs w:val="1"/>
          <w:color w:val="231F20"/>
        </w:rPr>
        <w:t>however</w:t>
      </w:r>
      <w:r>
        <w:rPr>
          <w:rFonts w:ascii="Arial" w:cs="Arial" w:eastAsia="Arial" w:hAnsi="Arial"/>
          <w:sz w:val="14"/>
          <w:szCs w:val="14"/>
          <w:color w:val="231F20"/>
        </w:rPr>
        <w:t xml:space="preserve">, that the creation, authorization and issuance of any additional class or series of capital stock (or any securities convertible into or exercisable for any additional class or series of capital stock) with a liquidation preference or other rights that are senior or </w:t>
      </w:r>
      <w:r>
        <w:rPr>
          <w:rFonts w:ascii="Arial" w:cs="Arial" w:eastAsia="Arial" w:hAnsi="Arial"/>
          <w:sz w:val="14"/>
          <w:szCs w:val="14"/>
          <w:i w:val="1"/>
          <w:iCs w:val="1"/>
          <w:color w:val="231F20"/>
        </w:rPr>
        <w:t>pari passu</w:t>
      </w:r>
      <w:r>
        <w:rPr>
          <w:rFonts w:ascii="Arial" w:cs="Arial" w:eastAsia="Arial" w:hAnsi="Arial"/>
          <w:sz w:val="14"/>
          <w:szCs w:val="14"/>
          <w:color w:val="231F20"/>
        </w:rPr>
        <w:t xml:space="preserve"> to the Series A Preferred Stock or any other series or class of capital stock will not, in and of itself, be deemed to have an adverse effect on the Series A Preferred Stock;</w:t>
      </w:r>
    </w:p>
    <w:p>
      <w:pPr>
        <w:spacing w:after="0" w:line="158" w:lineRule="exact"/>
        <w:rPr>
          <w:sz w:val="20"/>
          <w:szCs w:val="20"/>
          <w:color w:val="auto"/>
        </w:rPr>
      </w:pPr>
    </w:p>
    <w:p>
      <w:pPr>
        <w:jc w:val="both"/>
        <w:ind w:firstLine="2072"/>
        <w:spacing w:after="0" w:line="288" w:lineRule="auto"/>
        <w:rPr>
          <w:sz w:val="20"/>
          <w:szCs w:val="20"/>
          <w:color w:val="auto"/>
        </w:rPr>
      </w:pPr>
      <w:r>
        <w:rPr>
          <w:rFonts w:ascii="Arial" w:cs="Arial" w:eastAsia="Arial" w:hAnsi="Arial"/>
          <w:sz w:val="14"/>
          <w:szCs w:val="14"/>
          <w:color w:val="231F20"/>
        </w:rPr>
        <w:t>3.7.2. amend, alter, repeal or waive any provision of this Certificate of Incorporation or Bylaws of the Corporation requiring the written consent or affirmative vote of the holders of Series A Preferred Stock to approve an act or transaction;</w:t>
      </w:r>
    </w:p>
    <w:p>
      <w:pPr>
        <w:spacing w:after="0" w:line="132"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3.7.3.</w:t>
      </w:r>
      <w:r>
        <w:rPr>
          <w:sz w:val="20"/>
          <w:szCs w:val="20"/>
          <w:color w:val="auto"/>
        </w:rPr>
        <w:tab/>
      </w:r>
      <w:r>
        <w:rPr>
          <w:rFonts w:ascii="Arial" w:cs="Arial" w:eastAsia="Arial" w:hAnsi="Arial"/>
          <w:sz w:val="12"/>
          <w:szCs w:val="12"/>
          <w:color w:val="231F20"/>
        </w:rPr>
        <w:t>increase or decrease the number of authorized shares of Series A Preferred Stock; or</w:t>
      </w:r>
    </w:p>
    <w:p>
      <w:pPr>
        <w:spacing w:after="0" w:line="184"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3.7.4.</w:t>
      </w:r>
      <w:r>
        <w:rPr>
          <w:sz w:val="20"/>
          <w:szCs w:val="20"/>
          <w:color w:val="auto"/>
        </w:rPr>
        <w:tab/>
      </w:r>
      <w:r>
        <w:rPr>
          <w:rFonts w:ascii="Arial" w:cs="Arial" w:eastAsia="Arial" w:hAnsi="Arial"/>
          <w:sz w:val="12"/>
          <w:szCs w:val="12"/>
          <w:color w:val="231F20"/>
        </w:rPr>
        <w:t>increase or decrease the authorized number of Series A Preferred Directors.</w:t>
      </w:r>
    </w:p>
    <w:p>
      <w:pPr>
        <w:spacing w:after="0" w:line="249" w:lineRule="exact"/>
        <w:rPr>
          <w:sz w:val="20"/>
          <w:szCs w:val="20"/>
          <w:color w:val="auto"/>
        </w:rPr>
      </w:pPr>
    </w:p>
    <w:p>
      <w:pPr>
        <w:ind w:left="1560" w:hanging="518"/>
        <w:spacing w:after="0"/>
        <w:tabs>
          <w:tab w:leader="none" w:pos="1560" w:val="left"/>
        </w:tabs>
        <w:numPr>
          <w:ilvl w:val="0"/>
          <w:numId w:val="150"/>
        </w:numPr>
        <w:rPr>
          <w:rFonts w:ascii="Arial" w:cs="Arial" w:eastAsia="Arial" w:hAnsi="Arial"/>
          <w:sz w:val="14"/>
          <w:szCs w:val="14"/>
          <w:b w:val="1"/>
          <w:bCs w:val="1"/>
          <w:color w:val="231F20"/>
        </w:rPr>
      </w:pPr>
      <w:r>
        <w:rPr>
          <w:rFonts w:ascii="Arial" w:cs="Arial" w:eastAsia="Arial" w:hAnsi="Arial"/>
          <w:sz w:val="14"/>
          <w:szCs w:val="14"/>
          <w:color w:val="231F20"/>
        </w:rPr>
        <w:t>Optional Conversion.</w:t>
      </w:r>
    </w:p>
    <w:p>
      <w:pPr>
        <w:spacing w:after="0" w:line="191" w:lineRule="exact"/>
        <w:rPr>
          <w:sz w:val="20"/>
          <w:szCs w:val="20"/>
          <w:color w:val="auto"/>
        </w:rPr>
      </w:pPr>
    </w:p>
    <w:p>
      <w:pPr>
        <w:ind w:left="1040"/>
        <w:spacing w:after="0"/>
        <w:rPr>
          <w:sz w:val="20"/>
          <w:szCs w:val="20"/>
          <w:color w:val="auto"/>
        </w:rPr>
      </w:pPr>
      <w:r>
        <w:rPr>
          <w:rFonts w:ascii="Arial" w:cs="Arial" w:eastAsia="Arial" w:hAnsi="Arial"/>
          <w:sz w:val="14"/>
          <w:szCs w:val="14"/>
          <w:color w:val="231F20"/>
        </w:rPr>
        <w:t>The holders of the Preferred Stock shall have conversion rights as follows (the “</w:t>
      </w:r>
      <w:r>
        <w:rPr>
          <w:rFonts w:ascii="Arial" w:cs="Arial" w:eastAsia="Arial" w:hAnsi="Arial"/>
          <w:sz w:val="14"/>
          <w:szCs w:val="14"/>
          <w:b w:val="1"/>
          <w:bCs w:val="1"/>
          <w:color w:val="231F20"/>
        </w:rPr>
        <w:t>Conversion Rights</w:t>
      </w:r>
      <w:r>
        <w:rPr>
          <w:rFonts w:ascii="Arial" w:cs="Arial" w:eastAsia="Arial" w:hAnsi="Arial"/>
          <w:sz w:val="14"/>
          <w:szCs w:val="14"/>
          <w:color w:val="231F20"/>
        </w:rPr>
        <w:t>”):</w:t>
      </w:r>
    </w:p>
    <w:p>
      <w:pPr>
        <w:spacing w:after="0" w:line="199"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4"/>
          <w:szCs w:val="14"/>
          <w:color w:val="231F20"/>
        </w:rPr>
        <w:t>4.1.</w:t>
      </w:r>
      <w:r>
        <w:rPr>
          <w:sz w:val="20"/>
          <w:szCs w:val="20"/>
          <w:color w:val="auto"/>
        </w:rPr>
        <w:tab/>
      </w:r>
      <w:r>
        <w:rPr>
          <w:rFonts w:ascii="Arial" w:cs="Arial" w:eastAsia="Arial" w:hAnsi="Arial"/>
          <w:sz w:val="13"/>
          <w:szCs w:val="13"/>
          <w:u w:val="single" w:color="auto"/>
          <w:color w:val="231F20"/>
        </w:rPr>
        <w:t>Right to Convert.</w:t>
      </w:r>
    </w:p>
    <w:p>
      <w:pPr>
        <w:spacing w:after="0" w:line="184" w:lineRule="exact"/>
        <w:rPr>
          <w:sz w:val="20"/>
          <w:szCs w:val="20"/>
          <w:color w:val="auto"/>
        </w:rPr>
      </w:pPr>
    </w:p>
    <w:p>
      <w:pPr>
        <w:jc w:val="both"/>
        <w:ind w:firstLine="2072"/>
        <w:spacing w:after="0" w:line="265" w:lineRule="auto"/>
        <w:rPr>
          <w:sz w:val="20"/>
          <w:szCs w:val="20"/>
          <w:color w:val="auto"/>
        </w:rPr>
      </w:pPr>
      <w:r>
        <w:rPr>
          <w:rFonts w:ascii="Arial" w:cs="Arial" w:eastAsia="Arial" w:hAnsi="Arial"/>
          <w:sz w:val="14"/>
          <w:szCs w:val="14"/>
          <w:color w:val="231F20"/>
        </w:rPr>
        <w:t xml:space="preserve">4.1.1. </w:t>
      </w:r>
      <w:r>
        <w:rPr>
          <w:rFonts w:ascii="Arial" w:cs="Arial" w:eastAsia="Arial" w:hAnsi="Arial"/>
          <w:sz w:val="14"/>
          <w:szCs w:val="14"/>
          <w:u w:val="single" w:color="auto"/>
          <w:color w:val="231F20"/>
        </w:rPr>
        <w:t>Conversion Ratio</w:t>
      </w:r>
      <w:r>
        <w:rPr>
          <w:rFonts w:ascii="Arial" w:cs="Arial" w:eastAsia="Arial" w:hAnsi="Arial"/>
          <w:sz w:val="14"/>
          <w:szCs w:val="14"/>
          <w:color w:val="231F20"/>
        </w:rPr>
        <w:t>. Each share of Preferred Stock shall be convertible, at the option of the holder thereof, at any time and from time to time, and without the payment of additional consideration by the holder thereof, into such number of fully paid and non- assessable shares of Common Stock as is determined by dividing the applicable Original Issue Price by the applicable Conversion Price (as defined below) in effect at the time of conversion. The “</w:t>
      </w:r>
      <w:r>
        <w:rPr>
          <w:rFonts w:ascii="Arial" w:cs="Arial" w:eastAsia="Arial" w:hAnsi="Arial"/>
          <w:sz w:val="14"/>
          <w:szCs w:val="14"/>
          <w:b w:val="1"/>
          <w:bCs w:val="1"/>
          <w:color w:val="231F20"/>
        </w:rPr>
        <w:t>Conversion Price</w:t>
      </w:r>
      <w:r>
        <w:rPr>
          <w:rFonts w:ascii="Arial" w:cs="Arial" w:eastAsia="Arial" w:hAnsi="Arial"/>
          <w:sz w:val="14"/>
          <w:szCs w:val="14"/>
          <w:color w:val="231F20"/>
        </w:rPr>
        <w:t>” shall, with respect to any series of Preferred Stock, initially be equal to the applicable Original Issue Price for such series of Preferred Stock. Such initial Conversion Price, and the rate at which shares of Preferred Stock may be converted into shares of Common Stock, shall be subject to adjustment as provided below.</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15962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89" w:name="page290"/>
    <w:bookmarkEnd w:id="289"/>
    <w:p>
      <w:pPr>
        <w:jc w:val="both"/>
        <w:ind w:firstLine="2072"/>
        <w:spacing w:after="0" w:line="273" w:lineRule="auto"/>
        <w:rPr>
          <w:sz w:val="20"/>
          <w:szCs w:val="20"/>
          <w:color w:val="auto"/>
        </w:rPr>
      </w:pPr>
      <w:r>
        <w:rPr>
          <w:rFonts w:ascii="Arial" w:cs="Arial" w:eastAsia="Arial" w:hAnsi="Arial"/>
          <w:sz w:val="14"/>
          <w:szCs w:val="14"/>
          <w:color w:val="231F20"/>
        </w:rPr>
        <w:t xml:space="preserve">4.1.2. </w:t>
      </w:r>
      <w:r>
        <w:rPr>
          <w:rFonts w:ascii="Arial" w:cs="Arial" w:eastAsia="Arial" w:hAnsi="Arial"/>
          <w:sz w:val="14"/>
          <w:szCs w:val="14"/>
          <w:u w:val="single" w:color="auto"/>
          <w:color w:val="231F20"/>
        </w:rPr>
        <w:t>Termination of Conversion Rights</w:t>
      </w:r>
      <w:r>
        <w:rPr>
          <w:rFonts w:ascii="Arial" w:cs="Arial" w:eastAsia="Arial" w:hAnsi="Arial"/>
          <w:sz w:val="14"/>
          <w:szCs w:val="14"/>
          <w:color w:val="231F20"/>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41" w:lineRule="exact"/>
        <w:rPr>
          <w:sz w:val="20"/>
          <w:szCs w:val="20"/>
          <w:color w:val="auto"/>
        </w:rPr>
      </w:pPr>
    </w:p>
    <w:p>
      <w:pPr>
        <w:jc w:val="both"/>
        <w:ind w:firstLine="1554"/>
        <w:spacing w:after="0" w:line="267" w:lineRule="auto"/>
        <w:rPr>
          <w:sz w:val="20"/>
          <w:szCs w:val="20"/>
          <w:color w:val="auto"/>
        </w:rPr>
      </w:pPr>
      <w:r>
        <w:rPr>
          <w:rFonts w:ascii="Arial" w:cs="Arial" w:eastAsia="Arial" w:hAnsi="Arial"/>
          <w:sz w:val="14"/>
          <w:szCs w:val="14"/>
          <w:color w:val="231F20"/>
        </w:rPr>
        <w:t xml:space="preserve">4.2. </w:t>
      </w:r>
      <w:r>
        <w:rPr>
          <w:rFonts w:ascii="Arial" w:cs="Arial" w:eastAsia="Arial" w:hAnsi="Arial"/>
          <w:sz w:val="14"/>
          <w:szCs w:val="14"/>
          <w:u w:val="single" w:color="auto"/>
          <w:color w:val="231F20"/>
        </w:rPr>
        <w:t>Fractional Shares</w:t>
      </w:r>
      <w:r>
        <w:rPr>
          <w:rFonts w:ascii="Arial" w:cs="Arial" w:eastAsia="Arial" w:hAnsi="Arial"/>
          <w:sz w:val="14"/>
          <w:szCs w:val="14"/>
          <w:color w:val="231F20"/>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12"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4"/>
          <w:szCs w:val="14"/>
          <w:color w:val="231F20"/>
        </w:rPr>
        <w:t>4.3.</w:t>
      </w:r>
      <w:r>
        <w:rPr>
          <w:sz w:val="20"/>
          <w:szCs w:val="20"/>
          <w:color w:val="auto"/>
        </w:rPr>
        <w:tab/>
      </w:r>
      <w:r>
        <w:rPr>
          <w:rFonts w:ascii="Arial" w:cs="Arial" w:eastAsia="Arial" w:hAnsi="Arial"/>
          <w:sz w:val="13"/>
          <w:szCs w:val="13"/>
          <w:u w:val="single" w:color="auto"/>
          <w:color w:val="231F20"/>
        </w:rPr>
        <w:t>Mechanics of Conversion.</w:t>
      </w:r>
    </w:p>
    <w:p>
      <w:pPr>
        <w:spacing w:after="0" w:line="184" w:lineRule="exact"/>
        <w:rPr>
          <w:sz w:val="20"/>
          <w:szCs w:val="20"/>
          <w:color w:val="auto"/>
        </w:rPr>
      </w:pPr>
    </w:p>
    <w:p>
      <w:pPr>
        <w:jc w:val="both"/>
        <w:ind w:firstLine="2072"/>
        <w:spacing w:after="0" w:line="280" w:lineRule="auto"/>
        <w:rPr>
          <w:sz w:val="20"/>
          <w:szCs w:val="20"/>
          <w:color w:val="auto"/>
        </w:rPr>
      </w:pPr>
      <w:r>
        <w:rPr>
          <w:rFonts w:ascii="Arial" w:cs="Arial" w:eastAsia="Arial" w:hAnsi="Arial"/>
          <w:sz w:val="13"/>
          <w:szCs w:val="13"/>
          <w:color w:val="231F20"/>
        </w:rPr>
        <w:t xml:space="preserve">4.3.1. </w:t>
      </w:r>
      <w:r>
        <w:rPr>
          <w:rFonts w:ascii="Arial" w:cs="Arial" w:eastAsia="Arial" w:hAnsi="Arial"/>
          <w:sz w:val="13"/>
          <w:szCs w:val="13"/>
          <w:u w:val="single" w:color="auto"/>
          <w:color w:val="231F20"/>
        </w:rPr>
        <w:t>Notice of Conversion</w:t>
      </w:r>
      <w:r>
        <w:rPr>
          <w:rFonts w:ascii="Arial" w:cs="Arial" w:eastAsia="Arial" w:hAnsi="Arial"/>
          <w:sz w:val="13"/>
          <w:szCs w:val="13"/>
          <w:color w:val="231F20"/>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3"/>
          <w:szCs w:val="13"/>
          <w:b w:val="1"/>
          <w:bCs w:val="1"/>
          <w:color w:val="231F20"/>
        </w:rPr>
        <w:t>Conversion</w:t>
      </w:r>
      <w:r>
        <w:rPr>
          <w:rFonts w:ascii="Arial" w:cs="Arial" w:eastAsia="Arial" w:hAnsi="Arial"/>
          <w:sz w:val="13"/>
          <w:szCs w:val="13"/>
          <w:color w:val="231F20"/>
        </w:rPr>
        <w:t xml:space="preserve"> </w:t>
      </w:r>
      <w:r>
        <w:rPr>
          <w:rFonts w:ascii="Arial" w:cs="Arial" w:eastAsia="Arial" w:hAnsi="Arial"/>
          <w:sz w:val="13"/>
          <w:szCs w:val="13"/>
          <w:b w:val="1"/>
          <w:bCs w:val="1"/>
          <w:color w:val="231F20"/>
        </w:rPr>
        <w:t>Time</w:t>
      </w:r>
      <w:r>
        <w:rPr>
          <w:rFonts w:ascii="Arial" w:cs="Arial" w:eastAsia="Arial" w:hAnsi="Arial"/>
          <w:sz w:val="13"/>
          <w:szCs w:val="13"/>
          <w:color w:val="231F20"/>
        </w:rPr>
        <w:t>”), and the shares of Common Stock issuable upon conversion of the specified shares shall be deemed to be outstanding of record as of such date. The Corporation shall, as soon as</w:t>
      </w:r>
      <w:r>
        <w:rPr>
          <w:rFonts w:ascii="Arial" w:cs="Arial" w:eastAsia="Arial" w:hAnsi="Arial"/>
          <w:sz w:val="13"/>
          <w:szCs w:val="13"/>
          <w:b w:val="1"/>
          <w:bCs w:val="1"/>
          <w:color w:val="231F20"/>
        </w:rPr>
        <w:t xml:space="preserve"> </w:t>
      </w:r>
      <w:r>
        <w:rPr>
          <w:rFonts w:ascii="Arial" w:cs="Arial" w:eastAsia="Arial" w:hAnsi="Arial"/>
          <w:sz w:val="13"/>
          <w:szCs w:val="13"/>
          <w:color w:val="231F20"/>
        </w:rPr>
        <w:t xml:space="preserve">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3"/>
          <w:szCs w:val="13"/>
          <w:u w:val="single" w:color="auto"/>
          <w:color w:val="231F20"/>
        </w:rPr>
        <w:t>Section 4.2</w:t>
      </w:r>
      <w:r>
        <w:rPr>
          <w:rFonts w:ascii="Arial" w:cs="Arial" w:eastAsia="Arial" w:hAnsi="Arial"/>
          <w:sz w:val="13"/>
          <w:szCs w:val="13"/>
          <w:color w:val="231F20"/>
        </w:rPr>
        <w:t xml:space="preserve"> in lieu of any fraction of a share of Common Stock otherwise issuable upon such conversion and (iii) pay all declared but unpaid dividends on the shares of Preferred Stock converted.</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15962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290" w:name="page291"/>
    <w:bookmarkEnd w:id="290"/>
    <w:p>
      <w:pPr>
        <w:jc w:val="both"/>
        <w:ind w:firstLine="2072"/>
        <w:spacing w:after="0" w:line="284" w:lineRule="auto"/>
        <w:rPr>
          <w:sz w:val="20"/>
          <w:szCs w:val="20"/>
          <w:color w:val="auto"/>
        </w:rPr>
      </w:pPr>
      <w:r>
        <w:rPr>
          <w:rFonts w:ascii="Arial" w:cs="Arial" w:eastAsia="Arial" w:hAnsi="Arial"/>
          <w:sz w:val="13"/>
          <w:szCs w:val="13"/>
          <w:color w:val="231F20"/>
        </w:rPr>
        <w:t xml:space="preserve">4.3.2. </w:t>
      </w:r>
      <w:r>
        <w:rPr>
          <w:rFonts w:ascii="Arial" w:cs="Arial" w:eastAsia="Arial" w:hAnsi="Arial"/>
          <w:sz w:val="13"/>
          <w:szCs w:val="13"/>
          <w:u w:val="single" w:color="auto"/>
          <w:color w:val="231F20"/>
        </w:rPr>
        <w:t>Reservation of Shares</w:t>
      </w:r>
      <w:r>
        <w:rPr>
          <w:rFonts w:ascii="Arial" w:cs="Arial" w:eastAsia="Arial" w:hAnsi="Arial"/>
          <w:sz w:val="13"/>
          <w:szCs w:val="13"/>
          <w:color w:val="231F20"/>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Certificate of Incorporation. Before taking any action which would cause an adjustment reducing the applicable Conversion Price for a series of Preferred Stock below the then par value of the shares of Common Stock issuable upon conversion of such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49" w:lineRule="exact"/>
        <w:rPr>
          <w:sz w:val="20"/>
          <w:szCs w:val="20"/>
          <w:color w:val="auto"/>
        </w:rPr>
      </w:pPr>
    </w:p>
    <w:p>
      <w:pPr>
        <w:jc w:val="both"/>
        <w:ind w:firstLine="2072"/>
        <w:spacing w:after="0" w:line="290" w:lineRule="auto"/>
        <w:rPr>
          <w:sz w:val="20"/>
          <w:szCs w:val="20"/>
          <w:color w:val="auto"/>
        </w:rPr>
      </w:pPr>
      <w:r>
        <w:rPr>
          <w:rFonts w:ascii="Arial" w:cs="Arial" w:eastAsia="Arial" w:hAnsi="Arial"/>
          <w:sz w:val="13"/>
          <w:szCs w:val="13"/>
          <w:color w:val="231F20"/>
        </w:rPr>
        <w:t xml:space="preserve">4.3.3. </w:t>
      </w:r>
      <w:r>
        <w:rPr>
          <w:rFonts w:ascii="Arial" w:cs="Arial" w:eastAsia="Arial" w:hAnsi="Arial"/>
          <w:sz w:val="13"/>
          <w:szCs w:val="13"/>
          <w:u w:val="single" w:color="auto"/>
          <w:color w:val="231F20"/>
        </w:rPr>
        <w:t>Effect of Conversion</w:t>
      </w:r>
      <w:r>
        <w:rPr>
          <w:rFonts w:ascii="Arial" w:cs="Arial" w:eastAsia="Arial" w:hAnsi="Arial"/>
          <w:sz w:val="13"/>
          <w:szCs w:val="13"/>
          <w:color w:val="231F20"/>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3"/>
          <w:szCs w:val="13"/>
          <w:u w:val="single" w:color="auto"/>
          <w:color w:val="231F20"/>
        </w:rPr>
        <w:t>Section 4.2</w:t>
      </w:r>
      <w:r>
        <w:rPr>
          <w:rFonts w:ascii="Arial" w:cs="Arial" w:eastAsia="Arial" w:hAnsi="Arial"/>
          <w:sz w:val="13"/>
          <w:szCs w:val="13"/>
          <w:color w:val="231F20"/>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33" w:lineRule="exact"/>
        <w:rPr>
          <w:sz w:val="20"/>
          <w:szCs w:val="20"/>
          <w:color w:val="auto"/>
        </w:rPr>
      </w:pPr>
    </w:p>
    <w:p>
      <w:pPr>
        <w:jc w:val="both"/>
        <w:ind w:firstLine="2072"/>
        <w:spacing w:after="0" w:line="288" w:lineRule="auto"/>
        <w:rPr>
          <w:sz w:val="20"/>
          <w:szCs w:val="20"/>
          <w:color w:val="auto"/>
        </w:rPr>
      </w:pPr>
      <w:r>
        <w:rPr>
          <w:rFonts w:ascii="Arial" w:cs="Arial" w:eastAsia="Arial" w:hAnsi="Arial"/>
          <w:sz w:val="14"/>
          <w:szCs w:val="14"/>
          <w:color w:val="231F20"/>
        </w:rPr>
        <w:t xml:space="preserve">4.3.4. </w:t>
      </w:r>
      <w:r>
        <w:rPr>
          <w:rFonts w:ascii="Arial" w:cs="Arial" w:eastAsia="Arial" w:hAnsi="Arial"/>
          <w:sz w:val="14"/>
          <w:szCs w:val="14"/>
          <w:u w:val="single" w:color="auto"/>
          <w:color w:val="231F20"/>
        </w:rPr>
        <w:t>No Further Adjustment</w:t>
      </w:r>
      <w:r>
        <w:rPr>
          <w:rFonts w:ascii="Arial" w:cs="Arial" w:eastAsia="Arial" w:hAnsi="Arial"/>
          <w:sz w:val="14"/>
          <w:szCs w:val="14"/>
          <w:color w:val="231F20"/>
        </w:rPr>
        <w:t>. Upon any such conversion, no adjustment to the Conversion Price shall be made for any declared but unpaid dividends on the Preferred Stock surrendered for conversion or on the Common Stock delivered upon conversion.</w:t>
      </w:r>
    </w:p>
    <w:p>
      <w:pPr>
        <w:spacing w:after="0" w:line="142" w:lineRule="exact"/>
        <w:rPr>
          <w:sz w:val="20"/>
          <w:szCs w:val="20"/>
          <w:color w:val="auto"/>
        </w:rPr>
      </w:pPr>
    </w:p>
    <w:p>
      <w:pPr>
        <w:jc w:val="both"/>
        <w:ind w:firstLine="2072"/>
        <w:spacing w:after="0" w:line="265" w:lineRule="auto"/>
        <w:rPr>
          <w:sz w:val="20"/>
          <w:szCs w:val="20"/>
          <w:color w:val="auto"/>
        </w:rPr>
      </w:pPr>
      <w:r>
        <w:rPr>
          <w:rFonts w:ascii="Arial" w:cs="Arial" w:eastAsia="Arial" w:hAnsi="Arial"/>
          <w:sz w:val="14"/>
          <w:szCs w:val="14"/>
          <w:color w:val="231F20"/>
        </w:rPr>
        <w:t xml:space="preserve">4.3.5. </w:t>
      </w:r>
      <w:r>
        <w:rPr>
          <w:rFonts w:ascii="Arial" w:cs="Arial" w:eastAsia="Arial" w:hAnsi="Arial"/>
          <w:sz w:val="14"/>
          <w:szCs w:val="14"/>
          <w:u w:val="single" w:color="auto"/>
          <w:color w:val="231F20"/>
        </w:rPr>
        <w:t>Taxes</w:t>
      </w:r>
      <w:r>
        <w:rPr>
          <w:rFonts w:ascii="Arial" w:cs="Arial" w:eastAsia="Arial" w:hAnsi="Arial"/>
          <w:sz w:val="14"/>
          <w:szCs w:val="14"/>
          <w:color w:val="231F20"/>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4"/>
          <w:szCs w:val="14"/>
          <w:u w:val="single" w:color="auto"/>
          <w:color w:val="231F20"/>
        </w:rPr>
        <w:t>Section 4</w:t>
      </w:r>
      <w:r>
        <w:rPr>
          <w:rFonts w:ascii="Arial" w:cs="Arial" w:eastAsia="Arial" w:hAnsi="Arial"/>
          <w:sz w:val="14"/>
          <w:szCs w:val="14"/>
          <w:color w:val="231F20"/>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58" w:lineRule="exact"/>
        <w:rPr>
          <w:sz w:val="20"/>
          <w:szCs w:val="20"/>
          <w:color w:val="auto"/>
        </w:rPr>
      </w:pPr>
    </w:p>
    <w:p>
      <w:pPr>
        <w:ind w:left="1560"/>
        <w:spacing w:after="0"/>
        <w:tabs>
          <w:tab w:leader="none" w:pos="2060" w:val="left"/>
        </w:tabs>
        <w:rPr>
          <w:sz w:val="20"/>
          <w:szCs w:val="20"/>
          <w:color w:val="auto"/>
        </w:rPr>
      </w:pPr>
      <w:r>
        <w:rPr>
          <w:rFonts w:ascii="Arial" w:cs="Arial" w:eastAsia="Arial" w:hAnsi="Arial"/>
          <w:sz w:val="14"/>
          <w:szCs w:val="14"/>
          <w:color w:val="231F20"/>
        </w:rPr>
        <w:t>4.4.</w:t>
      </w:r>
      <w:r>
        <w:rPr>
          <w:sz w:val="20"/>
          <w:szCs w:val="20"/>
          <w:color w:val="auto"/>
        </w:rPr>
        <w:tab/>
      </w:r>
      <w:r>
        <w:rPr>
          <w:rFonts w:ascii="Arial" w:cs="Arial" w:eastAsia="Arial" w:hAnsi="Arial"/>
          <w:sz w:val="13"/>
          <w:szCs w:val="13"/>
          <w:u w:val="single" w:color="auto"/>
          <w:color w:val="231F20"/>
        </w:rPr>
        <w:t>Adjustments to Conversion Price for Diluting Issues.</w:t>
      </w:r>
    </w:p>
    <w:p>
      <w:pPr>
        <w:spacing w:after="0" w:line="195"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4.4.1.</w:t>
      </w:r>
      <w:r>
        <w:rPr>
          <w:sz w:val="20"/>
          <w:szCs w:val="20"/>
          <w:color w:val="auto"/>
        </w:rPr>
        <w:tab/>
      </w:r>
      <w:r>
        <w:rPr>
          <w:rFonts w:ascii="Arial" w:cs="Arial" w:eastAsia="Arial" w:hAnsi="Arial"/>
          <w:sz w:val="13"/>
          <w:szCs w:val="13"/>
          <w:u w:val="single" w:color="auto"/>
          <w:color w:val="231F20"/>
        </w:rPr>
        <w:t>Special Definitions</w:t>
      </w:r>
      <w:r>
        <w:rPr>
          <w:rFonts w:ascii="Arial" w:cs="Arial" w:eastAsia="Arial" w:hAnsi="Arial"/>
          <w:sz w:val="13"/>
          <w:szCs w:val="13"/>
          <w:color w:val="231F20"/>
        </w:rPr>
        <w:t>. For purposes of this Article Fourth, the following definitions shall apply: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291" w:name="page292"/>
    <w:bookmarkEnd w:id="291"/>
    <w:p>
      <w:pPr>
        <w:ind w:left="2980" w:hanging="504"/>
        <w:spacing w:after="0"/>
        <w:tabs>
          <w:tab w:leader="none" w:pos="2980" w:val="left"/>
        </w:tabs>
        <w:numPr>
          <w:ilvl w:val="0"/>
          <w:numId w:val="151"/>
        </w:numPr>
        <w:rPr>
          <w:rFonts w:ascii="Arial" w:cs="Arial" w:eastAsia="Arial" w:hAnsi="Arial"/>
          <w:sz w:val="13"/>
          <w:szCs w:val="13"/>
          <w:color w:val="231F20"/>
        </w:rPr>
      </w:pPr>
      <w:r>
        <w:rPr>
          <w:rFonts w:ascii="Arial" w:cs="Arial" w:eastAsia="Arial" w:hAnsi="Arial"/>
          <w:sz w:val="13"/>
          <w:szCs w:val="13"/>
          <w:color w:val="231F20"/>
        </w:rPr>
        <w:t>“</w:t>
      </w:r>
      <w:r>
        <w:rPr>
          <w:rFonts w:ascii="Arial" w:cs="Arial" w:eastAsia="Arial" w:hAnsi="Arial"/>
          <w:sz w:val="13"/>
          <w:szCs w:val="13"/>
          <w:b w:val="1"/>
          <w:bCs w:val="1"/>
          <w:color w:val="231F20"/>
        </w:rPr>
        <w:t>Option</w:t>
      </w:r>
      <w:r>
        <w:rPr>
          <w:rFonts w:ascii="Arial" w:cs="Arial" w:eastAsia="Arial" w:hAnsi="Arial"/>
          <w:sz w:val="13"/>
          <w:szCs w:val="13"/>
          <w:color w:val="231F20"/>
        </w:rPr>
        <w:t>” shall mean rights, options or warrants to subscribe for, purchase or otherwise acquire Common Stock or Convertible Securities.</w:t>
      </w:r>
    </w:p>
    <w:p>
      <w:pPr>
        <w:spacing w:after="0" w:line="206" w:lineRule="exact"/>
        <w:rPr>
          <w:rFonts w:ascii="Arial" w:cs="Arial" w:eastAsia="Arial" w:hAnsi="Arial"/>
          <w:sz w:val="13"/>
          <w:szCs w:val="13"/>
          <w:color w:val="231F20"/>
        </w:rPr>
      </w:pPr>
    </w:p>
    <w:p>
      <w:pPr>
        <w:ind w:left="3000" w:hanging="524"/>
        <w:spacing w:after="0"/>
        <w:tabs>
          <w:tab w:leader="none" w:pos="3000" w:val="left"/>
        </w:tabs>
        <w:numPr>
          <w:ilvl w:val="0"/>
          <w:numId w:val="151"/>
        </w:numPr>
        <w:rPr>
          <w:rFonts w:ascii="Arial" w:cs="Arial" w:eastAsia="Arial" w:hAnsi="Arial"/>
          <w:sz w:val="14"/>
          <w:szCs w:val="14"/>
          <w:color w:val="231F20"/>
        </w:rPr>
      </w:pPr>
      <w:r>
        <w:rPr>
          <w:rFonts w:ascii="Arial" w:cs="Arial" w:eastAsia="Arial" w:hAnsi="Arial"/>
          <w:sz w:val="14"/>
          <w:szCs w:val="14"/>
          <w:color w:val="231F20"/>
        </w:rPr>
        <w:t>“</w:t>
      </w:r>
      <w:r>
        <w:rPr>
          <w:rFonts w:ascii="Arial" w:cs="Arial" w:eastAsia="Arial" w:hAnsi="Arial"/>
          <w:sz w:val="14"/>
          <w:szCs w:val="14"/>
          <w:b w:val="1"/>
          <w:bCs w:val="1"/>
          <w:color w:val="231F20"/>
        </w:rPr>
        <w:t>Series C Original Issue Date</w:t>
      </w:r>
      <w:r>
        <w:rPr>
          <w:rFonts w:ascii="Arial" w:cs="Arial" w:eastAsia="Arial" w:hAnsi="Arial"/>
          <w:sz w:val="14"/>
          <w:szCs w:val="14"/>
          <w:color w:val="231F20"/>
        </w:rPr>
        <w:t>” shall mean the date on which the first share of Series C Preferred Stock was issued.</w:t>
      </w:r>
    </w:p>
    <w:p>
      <w:pPr>
        <w:spacing w:after="0" w:line="184" w:lineRule="exact"/>
        <w:rPr>
          <w:rFonts w:ascii="Arial" w:cs="Arial" w:eastAsia="Arial" w:hAnsi="Arial"/>
          <w:sz w:val="14"/>
          <w:szCs w:val="14"/>
          <w:color w:val="231F20"/>
        </w:rPr>
      </w:pPr>
    </w:p>
    <w:p>
      <w:pPr>
        <w:ind w:left="-120" w:firstLine="2596"/>
        <w:spacing w:after="0" w:line="294" w:lineRule="auto"/>
        <w:tabs>
          <w:tab w:leader="none" w:pos="2992" w:val="left"/>
        </w:tabs>
        <w:numPr>
          <w:ilvl w:val="0"/>
          <w:numId w:val="151"/>
        </w:numPr>
        <w:rPr>
          <w:rFonts w:ascii="Arial" w:cs="Arial" w:eastAsia="Arial" w:hAnsi="Arial"/>
          <w:sz w:val="14"/>
          <w:szCs w:val="14"/>
          <w:color w:val="231F20"/>
        </w:rPr>
      </w:pPr>
      <w:r>
        <w:rPr>
          <w:rFonts w:ascii="Arial" w:cs="Arial" w:eastAsia="Arial" w:hAnsi="Arial"/>
          <w:sz w:val="14"/>
          <w:szCs w:val="14"/>
          <w:color w:val="231F20"/>
        </w:rPr>
        <w:t>“</w:t>
      </w:r>
      <w:r>
        <w:rPr>
          <w:rFonts w:ascii="Arial" w:cs="Arial" w:eastAsia="Arial" w:hAnsi="Arial"/>
          <w:sz w:val="14"/>
          <w:szCs w:val="14"/>
          <w:b w:val="1"/>
          <w:bCs w:val="1"/>
          <w:color w:val="231F20"/>
        </w:rPr>
        <w:t>Convertible Securities</w:t>
      </w:r>
      <w:r>
        <w:rPr>
          <w:rFonts w:ascii="Arial" w:cs="Arial" w:eastAsia="Arial" w:hAnsi="Arial"/>
          <w:sz w:val="14"/>
          <w:szCs w:val="14"/>
          <w:color w:val="231F20"/>
        </w:rPr>
        <w:t>” shall mean any evidences of indebtedness, shares or other securities directly or indirectly convertible into or exchangeable for Common Stock, but excluding Options.</w:t>
      </w:r>
    </w:p>
    <w:p>
      <w:pPr>
        <w:spacing w:after="0" w:line="134" w:lineRule="exact"/>
        <w:rPr>
          <w:rFonts w:ascii="Arial" w:cs="Arial" w:eastAsia="Arial" w:hAnsi="Arial"/>
          <w:sz w:val="14"/>
          <w:szCs w:val="14"/>
          <w:color w:val="231F20"/>
        </w:rPr>
      </w:pPr>
    </w:p>
    <w:p>
      <w:pPr>
        <w:jc w:val="both"/>
        <w:ind w:left="-120" w:firstLine="2596"/>
        <w:spacing w:after="0" w:line="276" w:lineRule="auto"/>
        <w:tabs>
          <w:tab w:leader="none" w:pos="2961" w:val="left"/>
        </w:tabs>
        <w:numPr>
          <w:ilvl w:val="0"/>
          <w:numId w:val="151"/>
        </w:numPr>
        <w:rPr>
          <w:rFonts w:ascii="Arial" w:cs="Arial" w:eastAsia="Arial" w:hAnsi="Arial"/>
          <w:sz w:val="14"/>
          <w:szCs w:val="14"/>
          <w:color w:val="231F20"/>
        </w:rPr>
      </w:pPr>
      <w:r>
        <w:rPr>
          <w:rFonts w:ascii="Arial" w:cs="Arial" w:eastAsia="Arial" w:hAnsi="Arial"/>
          <w:sz w:val="14"/>
          <w:szCs w:val="14"/>
          <w:color w:val="231F20"/>
        </w:rPr>
        <w:t>“</w:t>
      </w:r>
      <w:r>
        <w:rPr>
          <w:rFonts w:ascii="Arial" w:cs="Arial" w:eastAsia="Arial" w:hAnsi="Arial"/>
          <w:sz w:val="14"/>
          <w:szCs w:val="14"/>
          <w:b w:val="1"/>
          <w:bCs w:val="1"/>
          <w:color w:val="231F20"/>
        </w:rPr>
        <w:t>Additional Shares of Common Stock</w:t>
      </w:r>
      <w:r>
        <w:rPr>
          <w:rFonts w:ascii="Arial" w:cs="Arial" w:eastAsia="Arial" w:hAnsi="Arial"/>
          <w:sz w:val="14"/>
          <w:szCs w:val="14"/>
          <w:color w:val="231F20"/>
        </w:rPr>
        <w:t xml:space="preserve">” shall mean all shares of Common Stock issued (or, pursuant to </w:t>
      </w:r>
      <w:r>
        <w:rPr>
          <w:rFonts w:ascii="Arial" w:cs="Arial" w:eastAsia="Arial" w:hAnsi="Arial"/>
          <w:sz w:val="14"/>
          <w:szCs w:val="14"/>
          <w:u w:val="single" w:color="auto"/>
          <w:color w:val="231F20"/>
        </w:rPr>
        <w:t>Section 4.4.3</w:t>
      </w:r>
      <w:r>
        <w:rPr>
          <w:rFonts w:ascii="Arial" w:cs="Arial" w:eastAsia="Arial" w:hAnsi="Arial"/>
          <w:sz w:val="14"/>
          <w:szCs w:val="14"/>
          <w:color w:val="231F20"/>
        </w:rPr>
        <w:t xml:space="preserve"> below, deemed to be issued) by the Corporation after the Series C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4"/>
          <w:szCs w:val="14"/>
          <w:b w:val="1"/>
          <w:bCs w:val="1"/>
          <w:color w:val="231F20"/>
        </w:rPr>
        <w:t>Exempted Securities</w:t>
      </w:r>
      <w:r>
        <w:rPr>
          <w:rFonts w:ascii="Arial" w:cs="Arial" w:eastAsia="Arial" w:hAnsi="Arial"/>
          <w:sz w:val="14"/>
          <w:szCs w:val="14"/>
          <w:color w:val="231F20"/>
        </w:rPr>
        <w:t>”):</w:t>
      </w:r>
    </w:p>
    <w:p>
      <w:pPr>
        <w:spacing w:after="0" w:line="149" w:lineRule="exact"/>
        <w:rPr>
          <w:rFonts w:ascii="Arial" w:cs="Arial" w:eastAsia="Arial" w:hAnsi="Arial"/>
          <w:sz w:val="14"/>
          <w:szCs w:val="14"/>
          <w:color w:val="231F20"/>
        </w:rPr>
      </w:pPr>
    </w:p>
    <w:p>
      <w:pPr>
        <w:ind w:left="3520" w:hanging="526"/>
        <w:spacing w:after="0" w:line="288" w:lineRule="auto"/>
        <w:tabs>
          <w:tab w:leader="none" w:pos="3520" w:val="left"/>
        </w:tabs>
        <w:numPr>
          <w:ilvl w:val="1"/>
          <w:numId w:val="151"/>
        </w:numPr>
        <w:rPr>
          <w:rFonts w:ascii="Arial" w:cs="Arial" w:eastAsia="Arial" w:hAnsi="Arial"/>
          <w:sz w:val="14"/>
          <w:szCs w:val="14"/>
          <w:color w:val="231F20"/>
        </w:rPr>
      </w:pPr>
      <w:r>
        <w:rPr>
          <w:rFonts w:ascii="Arial" w:cs="Arial" w:eastAsia="Arial" w:hAnsi="Arial"/>
          <w:sz w:val="14"/>
          <w:szCs w:val="14"/>
          <w:color w:val="231F20"/>
        </w:rPr>
        <w:t>shares of Common Stock, Options or Convertible Securities issued as a dividend or distribution on Preferred Stock that are outstanding as of immediately following the Closing (as defined in the Purchase Agreement);</w:t>
      </w:r>
    </w:p>
    <w:p>
      <w:pPr>
        <w:spacing w:after="0" w:line="142" w:lineRule="exact"/>
        <w:rPr>
          <w:rFonts w:ascii="Arial" w:cs="Arial" w:eastAsia="Arial" w:hAnsi="Arial"/>
          <w:sz w:val="14"/>
          <w:szCs w:val="14"/>
          <w:color w:val="231F20"/>
        </w:rPr>
      </w:pPr>
    </w:p>
    <w:p>
      <w:pPr>
        <w:jc w:val="both"/>
        <w:ind w:left="3520" w:hanging="526"/>
        <w:spacing w:after="0" w:line="273" w:lineRule="auto"/>
        <w:tabs>
          <w:tab w:leader="none" w:pos="3520" w:val="left"/>
        </w:tabs>
        <w:numPr>
          <w:ilvl w:val="1"/>
          <w:numId w:val="151"/>
        </w:numPr>
        <w:rPr>
          <w:rFonts w:ascii="Arial" w:cs="Arial" w:eastAsia="Arial" w:hAnsi="Arial"/>
          <w:sz w:val="14"/>
          <w:szCs w:val="14"/>
          <w:color w:val="231F20"/>
        </w:rPr>
      </w:pPr>
      <w:r>
        <w:rPr>
          <w:rFonts w:ascii="Arial" w:cs="Arial" w:eastAsia="Arial" w:hAnsi="Arial"/>
          <w:sz w:val="14"/>
          <w:szCs w:val="14"/>
          <w:color w:val="231F20"/>
        </w:rPr>
        <w:t xml:space="preserve">shares of Common Stock, Options or Convertible Securities issued by reason of a dividend, stock split, split-up or other distribution on shares of Common Stock that is covered by </w:t>
      </w:r>
      <w:r>
        <w:rPr>
          <w:rFonts w:ascii="Arial" w:cs="Arial" w:eastAsia="Arial" w:hAnsi="Arial"/>
          <w:sz w:val="14"/>
          <w:szCs w:val="14"/>
          <w:u w:val="single" w:color="auto"/>
          <w:color w:val="231F20"/>
        </w:rPr>
        <w:t>Section 4.5</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4.6</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4.7</w:t>
      </w:r>
      <w:r>
        <w:rPr>
          <w:rFonts w:ascii="Arial" w:cs="Arial" w:eastAsia="Arial" w:hAnsi="Arial"/>
          <w:sz w:val="14"/>
          <w:szCs w:val="14"/>
          <w:color w:val="231F20"/>
        </w:rPr>
        <w:t xml:space="preserve"> or </w:t>
      </w:r>
      <w:r>
        <w:rPr>
          <w:rFonts w:ascii="Arial" w:cs="Arial" w:eastAsia="Arial" w:hAnsi="Arial"/>
          <w:sz w:val="14"/>
          <w:szCs w:val="14"/>
          <w:u w:val="single" w:color="auto"/>
          <w:color w:val="231F20"/>
        </w:rPr>
        <w:t>4.8</w:t>
      </w:r>
      <w:r>
        <w:rPr>
          <w:rFonts w:ascii="Arial" w:cs="Arial" w:eastAsia="Arial" w:hAnsi="Arial"/>
          <w:sz w:val="14"/>
          <w:szCs w:val="14"/>
          <w:color w:val="231F20"/>
        </w:rPr>
        <w:t xml:space="preserve"> and approved by the Board, including at least two (2) Preferred Directors;</w:t>
      </w:r>
    </w:p>
    <w:p>
      <w:pPr>
        <w:spacing w:after="0" w:line="141" w:lineRule="exact"/>
        <w:rPr>
          <w:rFonts w:ascii="Arial" w:cs="Arial" w:eastAsia="Arial" w:hAnsi="Arial"/>
          <w:sz w:val="14"/>
          <w:szCs w:val="14"/>
          <w:color w:val="231F20"/>
        </w:rPr>
      </w:pPr>
    </w:p>
    <w:p>
      <w:pPr>
        <w:jc w:val="both"/>
        <w:ind w:left="3520" w:hanging="526"/>
        <w:spacing w:after="0" w:line="265" w:lineRule="auto"/>
        <w:tabs>
          <w:tab w:leader="none" w:pos="3520" w:val="left"/>
        </w:tabs>
        <w:numPr>
          <w:ilvl w:val="1"/>
          <w:numId w:val="151"/>
        </w:numPr>
        <w:rPr>
          <w:rFonts w:ascii="Arial" w:cs="Arial" w:eastAsia="Arial" w:hAnsi="Arial"/>
          <w:sz w:val="14"/>
          <w:szCs w:val="14"/>
          <w:color w:val="231F20"/>
        </w:rPr>
      </w:pPr>
      <w:r>
        <w:rPr>
          <w:rFonts w:ascii="Arial" w:cs="Arial" w:eastAsia="Arial" w:hAnsi="Arial"/>
          <w:sz w:val="14"/>
          <w:szCs w:val="14"/>
          <w:color w:val="231F20"/>
        </w:rPr>
        <w:t>shares of Common Stock or Options issued to employees or directors of, or consultants or advisors to, the Corporation or any of its subsidiaries pursuant to (A) the Century Therapeutics, Inc. 2018 Stock Option and Grant Plan (as may be amended from time to time, the “</w:t>
      </w:r>
      <w:r>
        <w:rPr>
          <w:rFonts w:ascii="Arial" w:cs="Arial" w:eastAsia="Arial" w:hAnsi="Arial"/>
          <w:sz w:val="14"/>
          <w:szCs w:val="14"/>
          <w:b w:val="1"/>
          <w:bCs w:val="1"/>
          <w:color w:val="231F20"/>
        </w:rPr>
        <w:t>Stock Plan</w:t>
      </w:r>
      <w:r>
        <w:rPr>
          <w:rFonts w:ascii="Arial" w:cs="Arial" w:eastAsia="Arial" w:hAnsi="Arial"/>
          <w:sz w:val="14"/>
          <w:szCs w:val="14"/>
          <w:color w:val="231F20"/>
        </w:rPr>
        <w:t>”), which was assumed by the Corporation in connection the merger of Century Therapeutics, Inc. with and into the Corporation, or (B) any other plan, agreement or arrangement that is approved by the Board, including at least two (2) Preferred Directors;</w:t>
      </w:r>
    </w:p>
    <w:p>
      <w:pPr>
        <w:spacing w:after="0" w:line="147" w:lineRule="exact"/>
        <w:rPr>
          <w:rFonts w:ascii="Arial" w:cs="Arial" w:eastAsia="Arial" w:hAnsi="Arial"/>
          <w:sz w:val="14"/>
          <w:szCs w:val="14"/>
          <w:color w:val="231F20"/>
        </w:rPr>
      </w:pPr>
    </w:p>
    <w:p>
      <w:pPr>
        <w:ind w:left="3520" w:hanging="526"/>
        <w:spacing w:after="0"/>
        <w:tabs>
          <w:tab w:leader="none" w:pos="3520" w:val="left"/>
        </w:tabs>
        <w:numPr>
          <w:ilvl w:val="1"/>
          <w:numId w:val="151"/>
        </w:numPr>
        <w:rPr>
          <w:rFonts w:ascii="Arial" w:cs="Arial" w:eastAsia="Arial" w:hAnsi="Arial"/>
          <w:sz w:val="14"/>
          <w:szCs w:val="14"/>
          <w:color w:val="231F20"/>
        </w:rPr>
      </w:pPr>
      <w:r>
        <w:rPr>
          <w:rFonts w:ascii="Arial" w:cs="Arial" w:eastAsia="Arial" w:hAnsi="Arial"/>
          <w:sz w:val="14"/>
          <w:szCs w:val="14"/>
          <w:color w:val="231F20"/>
        </w:rPr>
        <w:t>shares of Common Stock issued in connection with a Qualified IPO;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715962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80"/>
          </w:cols>
          <w:pgMar w:left="420" w:top="578" w:right="399" w:bottom="1440" w:gutter="0" w:footer="0" w:header="0"/>
        </w:sectPr>
      </w:pPr>
    </w:p>
    <w:bookmarkStart w:id="292" w:name="page293"/>
    <w:bookmarkEnd w:id="292"/>
    <w:p>
      <w:pPr>
        <w:ind w:left="2500" w:hanging="526"/>
        <w:spacing w:after="0"/>
        <w:tabs>
          <w:tab w:leader="none" w:pos="2500" w:val="left"/>
        </w:tabs>
        <w:numPr>
          <w:ilvl w:val="0"/>
          <w:numId w:val="152"/>
        </w:numPr>
        <w:rPr>
          <w:rFonts w:ascii="Arial" w:cs="Arial" w:eastAsia="Arial" w:hAnsi="Arial"/>
          <w:sz w:val="14"/>
          <w:szCs w:val="14"/>
          <w:color w:val="231F20"/>
        </w:rPr>
      </w:pPr>
      <w:r>
        <w:rPr>
          <w:rFonts w:ascii="Arial" w:cs="Arial" w:eastAsia="Arial" w:hAnsi="Arial"/>
          <w:sz w:val="14"/>
          <w:szCs w:val="14"/>
          <w:color w:val="231F20"/>
        </w:rPr>
        <w:t>shares of Common Stock issued upon conversion of the Preferred Stock;</w:t>
      </w:r>
    </w:p>
    <w:p>
      <w:pPr>
        <w:spacing w:after="0" w:line="195" w:lineRule="exact"/>
        <w:rPr>
          <w:rFonts w:ascii="Arial" w:cs="Arial" w:eastAsia="Arial" w:hAnsi="Arial"/>
          <w:sz w:val="14"/>
          <w:szCs w:val="14"/>
          <w:color w:val="231F20"/>
        </w:rPr>
      </w:pPr>
    </w:p>
    <w:p>
      <w:pPr>
        <w:jc w:val="both"/>
        <w:ind w:left="2500" w:hanging="526"/>
        <w:spacing w:after="0" w:line="273" w:lineRule="auto"/>
        <w:tabs>
          <w:tab w:leader="none" w:pos="2500" w:val="left"/>
        </w:tabs>
        <w:numPr>
          <w:ilvl w:val="0"/>
          <w:numId w:val="152"/>
        </w:numPr>
        <w:rPr>
          <w:rFonts w:ascii="Arial" w:cs="Arial" w:eastAsia="Arial" w:hAnsi="Arial"/>
          <w:sz w:val="14"/>
          <w:szCs w:val="14"/>
          <w:color w:val="231F20"/>
        </w:rPr>
      </w:pPr>
      <w:r>
        <w:rPr>
          <w:rFonts w:ascii="Arial" w:cs="Arial" w:eastAsia="Arial" w:hAnsi="Arial"/>
          <w:sz w:val="14"/>
          <w:szCs w:val="14"/>
          <w:color w:val="231F20"/>
        </w:rPr>
        <w:t>shares of Common Stock or Convertible Securities actually issued upon the exercise of Options or shares of Common Stock actually issued upon the conversion or exchange of Convertible Securities outstanding as of the date of the Closing or issued thereafter, in each case provided such issuance is pursuant to the terms of such Option or Convertible Security;</w:t>
      </w:r>
    </w:p>
    <w:p>
      <w:pPr>
        <w:spacing w:after="0" w:line="141" w:lineRule="exact"/>
        <w:rPr>
          <w:rFonts w:ascii="Arial" w:cs="Arial" w:eastAsia="Arial" w:hAnsi="Arial"/>
          <w:sz w:val="14"/>
          <w:szCs w:val="14"/>
          <w:color w:val="231F20"/>
        </w:rPr>
      </w:pPr>
    </w:p>
    <w:p>
      <w:pPr>
        <w:jc w:val="both"/>
        <w:ind w:left="2500" w:hanging="526"/>
        <w:spacing w:after="0" w:line="303" w:lineRule="auto"/>
        <w:tabs>
          <w:tab w:leader="none" w:pos="2500" w:val="left"/>
        </w:tabs>
        <w:numPr>
          <w:ilvl w:val="0"/>
          <w:numId w:val="152"/>
        </w:numPr>
        <w:rPr>
          <w:rFonts w:ascii="Arial" w:cs="Arial" w:eastAsia="Arial" w:hAnsi="Arial"/>
          <w:sz w:val="13"/>
          <w:szCs w:val="13"/>
          <w:color w:val="231F20"/>
        </w:rPr>
      </w:pPr>
      <w:r>
        <w:rPr>
          <w:rFonts w:ascii="Arial" w:cs="Arial" w:eastAsia="Arial" w:hAnsi="Arial"/>
          <w:sz w:val="13"/>
          <w:szCs w:val="13"/>
          <w:color w:val="231F20"/>
        </w:rPr>
        <w:t>shares of Common Stock, Options or Convertible Securities issued to banks, equipment lessors or other financial institutions, or to real property lessors, pursuant to a debt financing, equipment leasing, commercial credit arrangements, real property leasing transaction or similar transaction approved by the Board, including at least two (2) Preferred Directors;</w:t>
      </w:r>
    </w:p>
    <w:p>
      <w:pPr>
        <w:spacing w:after="0" w:line="135" w:lineRule="exact"/>
        <w:rPr>
          <w:rFonts w:ascii="Arial" w:cs="Arial" w:eastAsia="Arial" w:hAnsi="Arial"/>
          <w:sz w:val="13"/>
          <w:szCs w:val="13"/>
          <w:color w:val="231F20"/>
        </w:rPr>
      </w:pPr>
    </w:p>
    <w:p>
      <w:pPr>
        <w:jc w:val="both"/>
        <w:ind w:left="2500" w:hanging="526"/>
        <w:spacing w:after="0" w:line="273" w:lineRule="auto"/>
        <w:tabs>
          <w:tab w:leader="none" w:pos="2500" w:val="left"/>
        </w:tabs>
        <w:numPr>
          <w:ilvl w:val="0"/>
          <w:numId w:val="152"/>
        </w:numPr>
        <w:rPr>
          <w:rFonts w:ascii="Arial" w:cs="Arial" w:eastAsia="Arial" w:hAnsi="Arial"/>
          <w:sz w:val="14"/>
          <w:szCs w:val="14"/>
          <w:color w:val="231F20"/>
        </w:rPr>
      </w:pPr>
      <w:r>
        <w:rPr>
          <w:rFonts w:ascii="Arial" w:cs="Arial" w:eastAsia="Arial" w:hAnsi="Arial"/>
          <w:sz w:val="14"/>
          <w:szCs w:val="14"/>
          <w:color w:val="231F20"/>
        </w:rPr>
        <w:t xml:space="preserve">shares of Common Stock, Options or Convertible Securities issued pursuant to the acquisition of another corporation by the Corporation by merger, purchase of substantially all of the assets, reorganization or other business combination; </w:t>
      </w:r>
      <w:r>
        <w:rPr>
          <w:rFonts w:ascii="Arial" w:cs="Arial" w:eastAsia="Arial" w:hAnsi="Arial"/>
          <w:sz w:val="14"/>
          <w:szCs w:val="14"/>
          <w:u w:val="single" w:color="auto"/>
          <w:color w:val="231F20"/>
        </w:rPr>
        <w:t>provided</w:t>
      </w:r>
      <w:r>
        <w:rPr>
          <w:rFonts w:ascii="Arial" w:cs="Arial" w:eastAsia="Arial" w:hAnsi="Arial"/>
          <w:sz w:val="14"/>
          <w:szCs w:val="14"/>
          <w:color w:val="231F20"/>
        </w:rPr>
        <w:t xml:space="preserve"> that such issuances are approved by the Board, including at least two (2) Preferred Directors; or</w:t>
      </w:r>
    </w:p>
    <w:p>
      <w:pPr>
        <w:spacing w:after="0" w:line="151" w:lineRule="exact"/>
        <w:rPr>
          <w:rFonts w:ascii="Arial" w:cs="Arial" w:eastAsia="Arial" w:hAnsi="Arial"/>
          <w:sz w:val="14"/>
          <w:szCs w:val="14"/>
          <w:color w:val="231F20"/>
        </w:rPr>
      </w:pPr>
    </w:p>
    <w:p>
      <w:pPr>
        <w:ind w:left="2500" w:hanging="526"/>
        <w:spacing w:after="0" w:line="288" w:lineRule="auto"/>
        <w:tabs>
          <w:tab w:leader="none" w:pos="2500" w:val="left"/>
        </w:tabs>
        <w:numPr>
          <w:ilvl w:val="0"/>
          <w:numId w:val="152"/>
        </w:numPr>
        <w:rPr>
          <w:rFonts w:ascii="Arial" w:cs="Arial" w:eastAsia="Arial" w:hAnsi="Arial"/>
          <w:sz w:val="14"/>
          <w:szCs w:val="14"/>
          <w:color w:val="231F20"/>
        </w:rPr>
      </w:pPr>
      <w:r>
        <w:rPr>
          <w:rFonts w:ascii="Arial" w:cs="Arial" w:eastAsia="Arial" w:hAnsi="Arial"/>
          <w:sz w:val="14"/>
          <w:szCs w:val="14"/>
          <w:color w:val="231F20"/>
        </w:rPr>
        <w:t>shares of Common Stock, Options or Convertible Securities issued in connection with licenses, strategic partnerships or similar transactions approved by the Board, including at least two (2) Preferred Directors; or</w:t>
      </w:r>
    </w:p>
    <w:p>
      <w:pPr>
        <w:spacing w:after="0" w:line="131" w:lineRule="exact"/>
        <w:rPr>
          <w:rFonts w:ascii="Arial" w:cs="Arial" w:eastAsia="Arial" w:hAnsi="Arial"/>
          <w:sz w:val="14"/>
          <w:szCs w:val="14"/>
          <w:color w:val="231F20"/>
        </w:rPr>
      </w:pPr>
    </w:p>
    <w:p>
      <w:pPr>
        <w:ind w:left="2500" w:hanging="526"/>
        <w:spacing w:after="0" w:line="288" w:lineRule="auto"/>
        <w:tabs>
          <w:tab w:leader="none" w:pos="2500" w:val="left"/>
        </w:tabs>
        <w:numPr>
          <w:ilvl w:val="0"/>
          <w:numId w:val="152"/>
        </w:numPr>
        <w:rPr>
          <w:rFonts w:ascii="Arial" w:cs="Arial" w:eastAsia="Arial" w:hAnsi="Arial"/>
          <w:sz w:val="14"/>
          <w:szCs w:val="14"/>
          <w:color w:val="231F20"/>
        </w:rPr>
      </w:pPr>
      <w:r>
        <w:rPr>
          <w:rFonts w:ascii="Arial" w:cs="Arial" w:eastAsia="Arial" w:hAnsi="Arial"/>
          <w:sz w:val="14"/>
          <w:szCs w:val="14"/>
          <w:color w:val="231F20"/>
        </w:rPr>
        <w:t>shares of Common Stock, Options or Convertible Securities that are deemed at the time of issuance to be “Exempt Securities” by the written consent or affirmative vote of the Preferred Threshold.</w:t>
      </w:r>
    </w:p>
    <w:p>
      <w:pPr>
        <w:spacing w:after="0" w:line="132"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144145</wp:posOffset>
            </wp:positionV>
            <wp:extent cx="715962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60"/>
          </w:cols>
          <w:pgMar w:left="1440" w:top="582" w:right="399" w:bottom="1440" w:gutter="0" w:footer="0" w:header="0"/>
        </w:sectPr>
      </w:pPr>
    </w:p>
    <w:bookmarkStart w:id="293" w:name="page294"/>
    <w:bookmarkEnd w:id="293"/>
    <w:p>
      <w:pPr>
        <w:jc w:val="both"/>
        <w:ind w:firstLine="2072"/>
        <w:spacing w:after="0" w:line="273" w:lineRule="auto"/>
        <w:rPr>
          <w:sz w:val="20"/>
          <w:szCs w:val="20"/>
          <w:color w:val="auto"/>
        </w:rPr>
      </w:pPr>
      <w:r>
        <w:rPr>
          <w:rFonts w:ascii="Arial" w:cs="Arial" w:eastAsia="Arial" w:hAnsi="Arial"/>
          <w:sz w:val="14"/>
          <w:szCs w:val="14"/>
          <w:color w:val="231F20"/>
        </w:rPr>
        <w:t xml:space="preserve">4.4.2. </w:t>
      </w:r>
      <w:r>
        <w:rPr>
          <w:rFonts w:ascii="Arial" w:cs="Arial" w:eastAsia="Arial" w:hAnsi="Arial"/>
          <w:sz w:val="14"/>
          <w:szCs w:val="14"/>
          <w:u w:val="single" w:color="auto"/>
          <w:color w:val="231F20"/>
        </w:rPr>
        <w:t>No Adjustment of Conversion Price</w:t>
      </w:r>
      <w:r>
        <w:rPr>
          <w:rFonts w:ascii="Arial" w:cs="Arial" w:eastAsia="Arial" w:hAnsi="Arial"/>
          <w:sz w:val="14"/>
          <w:szCs w:val="14"/>
          <w:color w:val="231F20"/>
        </w:rPr>
        <w:t>. No adjustment in the applicable Conversion Price for a series of Preferred Stock shall be made as the result of the issuance or deemed issuance of Additional Shares of Common Stock if the Corporation receives written notice from the holders of a majority of the outstanding shares of such series of Preferred Stock agreeing that no such adjustment shall be made as the result of the issuance or deemed issuance of such Additional Shares of Common Stock.</w:t>
      </w:r>
    </w:p>
    <w:p>
      <w:pPr>
        <w:spacing w:after="0" w:line="152" w:lineRule="exact"/>
        <w:rPr>
          <w:sz w:val="20"/>
          <w:szCs w:val="20"/>
          <w:color w:val="auto"/>
        </w:rPr>
      </w:pPr>
    </w:p>
    <w:p>
      <w:pPr>
        <w:ind w:left="2080"/>
        <w:spacing w:after="0"/>
        <w:tabs>
          <w:tab w:leader="none" w:pos="2580" w:val="left"/>
        </w:tabs>
        <w:rPr>
          <w:sz w:val="20"/>
          <w:szCs w:val="20"/>
          <w:color w:val="auto"/>
        </w:rPr>
      </w:pPr>
      <w:r>
        <w:rPr>
          <w:rFonts w:ascii="Arial" w:cs="Arial" w:eastAsia="Arial" w:hAnsi="Arial"/>
          <w:sz w:val="14"/>
          <w:szCs w:val="14"/>
          <w:color w:val="231F20"/>
        </w:rPr>
        <w:t>4.4.3.</w:t>
      </w:r>
      <w:r>
        <w:rPr>
          <w:sz w:val="20"/>
          <w:szCs w:val="20"/>
          <w:color w:val="auto"/>
        </w:rPr>
        <w:tab/>
      </w:r>
      <w:r>
        <w:rPr>
          <w:rFonts w:ascii="Arial" w:cs="Arial" w:eastAsia="Arial" w:hAnsi="Arial"/>
          <w:sz w:val="13"/>
          <w:szCs w:val="13"/>
          <w:u w:val="single" w:color="auto"/>
          <w:color w:val="231F20"/>
        </w:rPr>
        <w:t>Deemed Issue of Additional Shares of Common Stock.</w:t>
      </w:r>
    </w:p>
    <w:p>
      <w:pPr>
        <w:spacing w:after="0" w:line="184" w:lineRule="exact"/>
        <w:rPr>
          <w:sz w:val="20"/>
          <w:szCs w:val="20"/>
          <w:color w:val="auto"/>
        </w:rPr>
      </w:pPr>
    </w:p>
    <w:p>
      <w:pPr>
        <w:jc w:val="both"/>
        <w:ind w:firstLine="2596"/>
        <w:spacing w:after="0" w:line="287" w:lineRule="auto"/>
        <w:tabs>
          <w:tab w:leader="none" w:pos="3094" w:val="left"/>
        </w:tabs>
        <w:numPr>
          <w:ilvl w:val="0"/>
          <w:numId w:val="153"/>
        </w:numPr>
        <w:rPr>
          <w:rFonts w:ascii="Arial" w:cs="Arial" w:eastAsia="Arial" w:hAnsi="Arial"/>
          <w:sz w:val="13"/>
          <w:szCs w:val="13"/>
          <w:color w:val="231F20"/>
        </w:rPr>
      </w:pPr>
      <w:r>
        <w:rPr>
          <w:rFonts w:ascii="Arial" w:cs="Arial" w:eastAsia="Arial" w:hAnsi="Arial"/>
          <w:sz w:val="13"/>
          <w:szCs w:val="13"/>
          <w:color w:val="231F20"/>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46" w:lineRule="exact"/>
        <w:rPr>
          <w:rFonts w:ascii="Arial" w:cs="Arial" w:eastAsia="Arial" w:hAnsi="Arial"/>
          <w:sz w:val="13"/>
          <w:szCs w:val="13"/>
          <w:color w:val="231F20"/>
        </w:rPr>
      </w:pPr>
    </w:p>
    <w:p>
      <w:pPr>
        <w:jc w:val="both"/>
        <w:ind w:firstLine="2596"/>
        <w:spacing w:after="0" w:line="282" w:lineRule="auto"/>
        <w:tabs>
          <w:tab w:leader="none" w:pos="3102" w:val="left"/>
        </w:tabs>
        <w:numPr>
          <w:ilvl w:val="0"/>
          <w:numId w:val="153"/>
        </w:numPr>
        <w:rPr>
          <w:rFonts w:ascii="Arial" w:cs="Arial" w:eastAsia="Arial" w:hAnsi="Arial"/>
          <w:sz w:val="13"/>
          <w:szCs w:val="13"/>
          <w:color w:val="231F20"/>
        </w:rPr>
      </w:pPr>
      <w:r>
        <w:rPr>
          <w:rFonts w:ascii="Arial" w:cs="Arial" w:eastAsia="Arial" w:hAnsi="Arial"/>
          <w:sz w:val="13"/>
          <w:szCs w:val="13"/>
          <w:color w:val="231F20"/>
        </w:rPr>
        <w:t xml:space="preserve">If the terms of any Option or Convertible Security, the issuance of which resulted in an adjustment to the applicable Conversion Price for a series of Preferred Stock pursuant to the terms of </w:t>
      </w:r>
      <w:r>
        <w:rPr>
          <w:rFonts w:ascii="Arial" w:cs="Arial" w:eastAsia="Arial" w:hAnsi="Arial"/>
          <w:sz w:val="13"/>
          <w:szCs w:val="13"/>
          <w:u w:val="single" w:color="auto"/>
          <w:color w:val="231F20"/>
        </w:rPr>
        <w:t>Section 4.4.4</w:t>
      </w:r>
      <w:r>
        <w:rPr>
          <w:rFonts w:ascii="Arial" w:cs="Arial" w:eastAsia="Arial" w:hAnsi="Arial"/>
          <w:sz w:val="13"/>
          <w:szCs w:val="13"/>
          <w:color w:val="231F20"/>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for a series of Preferred Stock as would have obtained had such revised terms been in effect upon the original date of issuance of such Option or Convertible Security, Notwithstanding the foregoing, no readjustment pursuant to this clause (b) shall have the effect of increasing the applicable Conversion Price for such series of Preferred Stock to an amount which exceeds the lower of (i) the Conversion Price in effect immediately prior to the original adjustment made as a result of the issuance of such Option or Convertible Security, or (ii) the applicable Conversion Price for such series of Preferred Stock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39" w:lineRule="exact"/>
        <w:rPr>
          <w:rFonts w:ascii="Arial" w:cs="Arial" w:eastAsia="Arial" w:hAnsi="Arial"/>
          <w:sz w:val="13"/>
          <w:szCs w:val="13"/>
          <w:color w:val="231F20"/>
        </w:rPr>
      </w:pPr>
    </w:p>
    <w:p>
      <w:pPr>
        <w:ind w:left="3100" w:hanging="504"/>
        <w:spacing w:after="0"/>
        <w:tabs>
          <w:tab w:leader="none" w:pos="3100" w:val="left"/>
        </w:tabs>
        <w:numPr>
          <w:ilvl w:val="0"/>
          <w:numId w:val="153"/>
        </w:numPr>
        <w:rPr>
          <w:rFonts w:ascii="Arial" w:cs="Arial" w:eastAsia="Arial" w:hAnsi="Arial"/>
          <w:sz w:val="13"/>
          <w:szCs w:val="13"/>
          <w:color w:val="231F20"/>
        </w:rPr>
      </w:pPr>
      <w:r>
        <w:rPr>
          <w:rFonts w:ascii="Arial" w:cs="Arial" w:eastAsia="Arial" w:hAnsi="Arial"/>
          <w:sz w:val="13"/>
          <w:szCs w:val="13"/>
          <w:color w:val="231F20"/>
        </w:rPr>
        <w:t>If the terms of any Option or Convertible Security (excluding Options or Convertible Securities which are themselves Exempted Securities),</w:t>
      </w:r>
    </w:p>
    <w:p>
      <w:pPr>
        <w:spacing w:after="0" w:line="32" w:lineRule="exact"/>
        <w:rPr>
          <w:rFonts w:ascii="Arial" w:cs="Arial" w:eastAsia="Arial" w:hAnsi="Arial"/>
          <w:sz w:val="13"/>
          <w:szCs w:val="13"/>
          <w:color w:val="231F20"/>
        </w:rPr>
      </w:pPr>
    </w:p>
    <w:p>
      <w:pPr>
        <w:spacing w:after="0"/>
        <w:rPr>
          <w:rFonts w:ascii="Arial" w:cs="Arial" w:eastAsia="Arial" w:hAnsi="Arial"/>
          <w:sz w:val="13"/>
          <w:szCs w:val="13"/>
          <w:color w:val="231F20"/>
        </w:rPr>
      </w:pPr>
      <w:r>
        <w:rPr>
          <w:rFonts w:ascii="Arial" w:cs="Arial" w:eastAsia="Arial" w:hAnsi="Arial"/>
          <w:sz w:val="14"/>
          <w:szCs w:val="14"/>
          <w:color w:val="231F20"/>
        </w:rPr>
        <w:t>the</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3" w:right="399" w:bottom="1440" w:gutter="0" w:footer="0" w:header="0"/>
        </w:sectPr>
      </w:pPr>
    </w:p>
    <w:bookmarkStart w:id="294" w:name="page295"/>
    <w:bookmarkEnd w:id="294"/>
    <w:p>
      <w:pPr>
        <w:jc w:val="both"/>
        <w:spacing w:after="0" w:line="261" w:lineRule="auto"/>
        <w:rPr>
          <w:sz w:val="20"/>
          <w:szCs w:val="20"/>
          <w:color w:val="auto"/>
        </w:rPr>
      </w:pPr>
      <w:r>
        <w:rPr>
          <w:rFonts w:ascii="Arial" w:cs="Arial" w:eastAsia="Arial" w:hAnsi="Arial"/>
          <w:sz w:val="14"/>
          <w:szCs w:val="14"/>
          <w:color w:val="231F20"/>
        </w:rPr>
        <w:t xml:space="preserve">issuance of which did not result in an adjustment to the applicable Conversion Price for such series of Preferred Stock pursuant to the terms of </w:t>
      </w:r>
      <w:r>
        <w:rPr>
          <w:rFonts w:ascii="Arial" w:cs="Arial" w:eastAsia="Arial" w:hAnsi="Arial"/>
          <w:sz w:val="14"/>
          <w:szCs w:val="14"/>
          <w:u w:val="single" w:color="auto"/>
          <w:color w:val="231F20"/>
        </w:rPr>
        <w:t>Section 4.4.4</w:t>
      </w:r>
      <w:r>
        <w:rPr>
          <w:rFonts w:ascii="Arial" w:cs="Arial" w:eastAsia="Arial" w:hAnsi="Arial"/>
          <w:sz w:val="14"/>
          <w:szCs w:val="14"/>
          <w:color w:val="231F20"/>
        </w:rPr>
        <w:t xml:space="preserve"> (either because the consideration per share (determined pursuant to </w:t>
      </w:r>
      <w:r>
        <w:rPr>
          <w:rFonts w:ascii="Arial" w:cs="Arial" w:eastAsia="Arial" w:hAnsi="Arial"/>
          <w:sz w:val="14"/>
          <w:szCs w:val="14"/>
          <w:u w:val="single" w:color="auto"/>
          <w:color w:val="231F20"/>
        </w:rPr>
        <w:t>Section 4.4.5</w:t>
      </w:r>
      <w:r>
        <w:rPr>
          <w:rFonts w:ascii="Arial" w:cs="Arial" w:eastAsia="Arial" w:hAnsi="Arial"/>
          <w:sz w:val="14"/>
          <w:szCs w:val="14"/>
          <w:color w:val="231F20"/>
        </w:rPr>
        <w:t xml:space="preserve">) of the Additional Shares of Common Stock subject thereto was equal to or greater than the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4"/>
          <w:szCs w:val="14"/>
          <w:u w:val="single" w:color="auto"/>
          <w:color w:val="231F20"/>
        </w:rPr>
        <w:t>Section 4.4.3(a)</w:t>
      </w:r>
      <w:r>
        <w:rPr>
          <w:rFonts w:ascii="Arial" w:cs="Arial" w:eastAsia="Arial" w:hAnsi="Arial"/>
          <w:sz w:val="14"/>
          <w:szCs w:val="14"/>
          <w:color w:val="231F20"/>
        </w:rPr>
        <w:t>) shall be deemed to have been issued effective upon such increase or decrease becoming effective.</w:t>
      </w:r>
    </w:p>
    <w:p>
      <w:pPr>
        <w:spacing w:after="0" w:line="153" w:lineRule="exact"/>
        <w:rPr>
          <w:sz w:val="20"/>
          <w:szCs w:val="20"/>
          <w:color w:val="auto"/>
        </w:rPr>
      </w:pPr>
    </w:p>
    <w:p>
      <w:pPr>
        <w:jc w:val="both"/>
        <w:ind w:firstLine="2596"/>
        <w:spacing w:after="0" w:line="267" w:lineRule="auto"/>
        <w:tabs>
          <w:tab w:leader="none" w:pos="3102" w:val="left"/>
        </w:tabs>
        <w:numPr>
          <w:ilvl w:val="0"/>
          <w:numId w:val="154"/>
        </w:numPr>
        <w:rPr>
          <w:rFonts w:ascii="Arial" w:cs="Arial" w:eastAsia="Arial" w:hAnsi="Arial"/>
          <w:sz w:val="14"/>
          <w:szCs w:val="14"/>
          <w:color w:val="231F20"/>
        </w:rPr>
      </w:pPr>
      <w:r>
        <w:rPr>
          <w:rFonts w:ascii="Arial" w:cs="Arial" w:eastAsia="Arial" w:hAnsi="Arial"/>
          <w:sz w:val="14"/>
          <w:szCs w:val="14"/>
          <w:color w:val="231F20"/>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of any series of Preferred Stock pursuant to the terms of </w:t>
      </w:r>
      <w:r>
        <w:rPr>
          <w:rFonts w:ascii="Arial" w:cs="Arial" w:eastAsia="Arial" w:hAnsi="Arial"/>
          <w:sz w:val="14"/>
          <w:szCs w:val="14"/>
          <w:u w:val="single" w:color="auto"/>
          <w:color w:val="231F20"/>
        </w:rPr>
        <w:t>Section 4.4.4</w:t>
      </w:r>
      <w:r>
        <w:rPr>
          <w:rFonts w:ascii="Arial" w:cs="Arial" w:eastAsia="Arial" w:hAnsi="Arial"/>
          <w:sz w:val="14"/>
          <w:szCs w:val="14"/>
          <w:color w:val="231F20"/>
        </w:rPr>
        <w:t>, the applicable Conversion Price shall be readjusted to such Conversion Price as would have obtained had such Option or Convertible Security (or portion thereof) never been issued.</w:t>
      </w:r>
    </w:p>
    <w:p>
      <w:pPr>
        <w:spacing w:after="0" w:line="157" w:lineRule="exact"/>
        <w:rPr>
          <w:rFonts w:ascii="Arial" w:cs="Arial" w:eastAsia="Arial" w:hAnsi="Arial"/>
          <w:sz w:val="14"/>
          <w:szCs w:val="14"/>
          <w:color w:val="231F20"/>
        </w:rPr>
      </w:pPr>
    </w:p>
    <w:p>
      <w:pPr>
        <w:jc w:val="both"/>
        <w:ind w:firstLine="2596"/>
        <w:spacing w:after="0" w:line="283" w:lineRule="auto"/>
        <w:tabs>
          <w:tab w:leader="none" w:pos="3101" w:val="left"/>
        </w:tabs>
        <w:numPr>
          <w:ilvl w:val="0"/>
          <w:numId w:val="154"/>
        </w:numPr>
        <w:rPr>
          <w:rFonts w:ascii="Arial" w:cs="Arial" w:eastAsia="Arial" w:hAnsi="Arial"/>
          <w:sz w:val="13"/>
          <w:szCs w:val="13"/>
          <w:color w:val="231F20"/>
        </w:rPr>
      </w:pPr>
      <w:r>
        <w:rPr>
          <w:rFonts w:ascii="Arial" w:cs="Arial" w:eastAsia="Arial" w:hAnsi="Arial"/>
          <w:sz w:val="13"/>
          <w:szCs w:val="13"/>
          <w:color w:val="231F20"/>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of any series of Preferred Stock provided for in this </w:t>
      </w:r>
      <w:r>
        <w:rPr>
          <w:rFonts w:ascii="Arial" w:cs="Arial" w:eastAsia="Arial" w:hAnsi="Arial"/>
          <w:sz w:val="13"/>
          <w:szCs w:val="13"/>
          <w:u w:val="single" w:color="auto"/>
          <w:color w:val="231F20"/>
        </w:rPr>
        <w:t>Section 4.4.3</w:t>
      </w:r>
      <w:r>
        <w:rPr>
          <w:rFonts w:ascii="Arial" w:cs="Arial" w:eastAsia="Arial" w:hAnsi="Arial"/>
          <w:sz w:val="13"/>
          <w:szCs w:val="13"/>
          <w:color w:val="231F20"/>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3"/>
          <w:szCs w:val="13"/>
          <w:u w:val="single" w:color="auto"/>
          <w:color w:val="231F20"/>
        </w:rPr>
        <w:t>Section 4.4.3</w:t>
      </w:r>
      <w:r>
        <w:rPr>
          <w:rFonts w:ascii="Arial" w:cs="Arial" w:eastAsia="Arial" w:hAnsi="Arial"/>
          <w:sz w:val="13"/>
          <w:szCs w:val="13"/>
          <w:color w:val="231F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of any series of Preferred Stock that would result under the terms of this </w:t>
      </w:r>
      <w:r>
        <w:rPr>
          <w:rFonts w:ascii="Arial" w:cs="Arial" w:eastAsia="Arial" w:hAnsi="Arial"/>
          <w:sz w:val="13"/>
          <w:szCs w:val="13"/>
          <w:u w:val="single" w:color="auto"/>
          <w:color w:val="231F20"/>
        </w:rPr>
        <w:t>Section 4.4.3</w:t>
      </w:r>
      <w:r>
        <w:rPr>
          <w:rFonts w:ascii="Arial" w:cs="Arial" w:eastAsia="Arial" w:hAnsi="Arial"/>
          <w:sz w:val="13"/>
          <w:szCs w:val="13"/>
          <w:color w:val="231F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140" w:lineRule="exact"/>
        <w:rPr>
          <w:sz w:val="20"/>
          <w:szCs w:val="20"/>
          <w:color w:val="auto"/>
        </w:rPr>
      </w:pPr>
    </w:p>
    <w:p>
      <w:pPr>
        <w:jc w:val="both"/>
        <w:ind w:firstLine="2072"/>
        <w:spacing w:after="0" w:line="273" w:lineRule="auto"/>
        <w:rPr>
          <w:sz w:val="20"/>
          <w:szCs w:val="20"/>
          <w:color w:val="auto"/>
        </w:rPr>
      </w:pPr>
      <w:r>
        <w:rPr>
          <w:rFonts w:ascii="Arial" w:cs="Arial" w:eastAsia="Arial" w:hAnsi="Arial"/>
          <w:sz w:val="14"/>
          <w:szCs w:val="14"/>
          <w:color w:val="231F20"/>
        </w:rPr>
        <w:t xml:space="preserve">4.4.4. </w:t>
      </w:r>
      <w:r>
        <w:rPr>
          <w:rFonts w:ascii="Arial" w:cs="Arial" w:eastAsia="Arial" w:hAnsi="Arial"/>
          <w:sz w:val="14"/>
          <w:szCs w:val="14"/>
          <w:u w:val="single" w:color="auto"/>
          <w:color w:val="231F20"/>
        </w:rPr>
        <w:t>Adjustment of Conversion Price Upon Issuance of Additional Shares of Common Stock</w:t>
      </w:r>
      <w:r>
        <w:rPr>
          <w:rFonts w:ascii="Arial" w:cs="Arial" w:eastAsia="Arial" w:hAnsi="Arial"/>
          <w:sz w:val="14"/>
          <w:szCs w:val="14"/>
          <w:color w:val="231F20"/>
        </w:rPr>
        <w:t xml:space="preserve">. In the event the Corporation shall at any time or from time to time after the Series C Original Issue Date issue Additional Shares of Common Stock (including Additional Shares of Common Stock deemed to be issued pursuant to </w:t>
      </w:r>
      <w:r>
        <w:rPr>
          <w:rFonts w:ascii="Arial" w:cs="Arial" w:eastAsia="Arial" w:hAnsi="Arial"/>
          <w:sz w:val="14"/>
          <w:szCs w:val="14"/>
          <w:u w:val="single" w:color="auto"/>
          <w:color w:val="231F20"/>
        </w:rPr>
        <w:t>Section 4.4.3</w:t>
      </w:r>
      <w:r>
        <w:rPr>
          <w:rFonts w:ascii="Arial" w:cs="Arial" w:eastAsia="Arial" w:hAnsi="Arial"/>
          <w:sz w:val="14"/>
          <w:szCs w:val="14"/>
          <w:color w:val="231F20"/>
        </w:rPr>
        <w:t>), without consideration or for a consideration per share less than the applicable Conversion Price for a series</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95" w:name="page296"/>
    <w:bookmarkEnd w:id="295"/>
    <w:p>
      <w:pPr>
        <w:spacing w:after="0" w:line="288" w:lineRule="auto"/>
        <w:rPr>
          <w:sz w:val="20"/>
          <w:szCs w:val="20"/>
          <w:color w:val="auto"/>
        </w:rPr>
      </w:pPr>
      <w:r>
        <w:rPr>
          <w:rFonts w:ascii="Arial" w:cs="Arial" w:eastAsia="Arial" w:hAnsi="Arial"/>
          <w:sz w:val="14"/>
          <w:szCs w:val="14"/>
          <w:color w:val="231F20"/>
        </w:rPr>
        <w:t>of Preferred Stock in effect immediately prior to such issue, then such Conversion Price shall be reduced, concurrently with such issue, to a price (calculated to the nearest one-hundredth of a cent) determined in accordance with the following formula:</w:t>
      </w:r>
    </w:p>
    <w:p>
      <w:pPr>
        <w:spacing w:after="0" w:line="192" w:lineRule="exact"/>
        <w:rPr>
          <w:sz w:val="20"/>
          <w:szCs w:val="20"/>
          <w:color w:val="auto"/>
        </w:rPr>
      </w:pPr>
    </w:p>
    <w:p>
      <w:pPr>
        <w:ind w:left="4120"/>
        <w:spacing w:after="0"/>
        <w:rPr>
          <w:sz w:val="20"/>
          <w:szCs w:val="20"/>
          <w:color w:val="auto"/>
        </w:rPr>
      </w:pPr>
      <w:r>
        <w:rPr>
          <w:rFonts w:ascii="Arial" w:cs="Arial" w:eastAsia="Arial" w:hAnsi="Arial"/>
          <w:sz w:val="14"/>
          <w:szCs w:val="14"/>
          <w:color w:val="231F20"/>
        </w:rPr>
        <w:t xml:space="preserve">CP2 </w:t>
      </w:r>
      <w:r>
        <w:rPr>
          <w:rFonts w:ascii="Arial" w:cs="Arial" w:eastAsia="Arial" w:hAnsi="Arial"/>
          <w:sz w:val="14"/>
          <w:szCs w:val="14"/>
          <w:b w:val="1"/>
          <w:bCs w:val="1"/>
          <w:color w:val="231F20"/>
        </w:rPr>
        <w:t>=</w:t>
      </w:r>
      <w:r>
        <w:rPr>
          <w:rFonts w:ascii="Arial" w:cs="Arial" w:eastAsia="Arial" w:hAnsi="Arial"/>
          <w:sz w:val="14"/>
          <w:szCs w:val="14"/>
          <w:color w:val="231F20"/>
        </w:rPr>
        <w:t xml:space="preserve"> CP1* (A + B)÷(A + C).</w:t>
      </w: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4"/>
          <w:szCs w:val="14"/>
          <w:color w:val="231F20"/>
        </w:rPr>
        <w:t>For purposes of the foregoing formula, the following definitions shall apply:</w:t>
      </w:r>
    </w:p>
    <w:p>
      <w:pPr>
        <w:spacing w:after="0" w:line="195" w:lineRule="exact"/>
        <w:rPr>
          <w:sz w:val="20"/>
          <w:szCs w:val="20"/>
          <w:color w:val="auto"/>
        </w:rPr>
      </w:pPr>
    </w:p>
    <w:p>
      <w:pPr>
        <w:ind w:left="3120" w:hanging="524"/>
        <w:spacing w:after="0"/>
        <w:tabs>
          <w:tab w:leader="none" w:pos="3120" w:val="left"/>
        </w:tabs>
        <w:numPr>
          <w:ilvl w:val="0"/>
          <w:numId w:val="155"/>
        </w:numPr>
        <w:rPr>
          <w:rFonts w:ascii="Arial" w:cs="Arial" w:eastAsia="Arial" w:hAnsi="Arial"/>
          <w:sz w:val="13"/>
          <w:szCs w:val="13"/>
          <w:color w:val="231F20"/>
        </w:rPr>
      </w:pPr>
      <w:r>
        <w:rPr>
          <w:rFonts w:ascii="Arial" w:cs="Arial" w:eastAsia="Arial" w:hAnsi="Arial"/>
          <w:sz w:val="13"/>
          <w:szCs w:val="13"/>
          <w:color w:val="231F20"/>
        </w:rPr>
        <w:t>“CP2” shall mean the applicable Conversion Price in effect immediately after such issuance or deemed issuance of Additional Shares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231F20"/>
        </w:rPr>
        <w:t>Common Stock</w:t>
      </w:r>
    </w:p>
    <w:p>
      <w:pPr>
        <w:spacing w:after="0" w:line="186" w:lineRule="exact"/>
        <w:rPr>
          <w:sz w:val="20"/>
          <w:szCs w:val="20"/>
          <w:color w:val="auto"/>
        </w:rPr>
      </w:pPr>
    </w:p>
    <w:p>
      <w:pPr>
        <w:ind w:left="3080" w:hanging="484"/>
        <w:spacing w:after="0"/>
        <w:tabs>
          <w:tab w:leader="none" w:pos="3080" w:val="left"/>
        </w:tabs>
        <w:numPr>
          <w:ilvl w:val="0"/>
          <w:numId w:val="156"/>
        </w:numPr>
        <w:rPr>
          <w:rFonts w:ascii="Arial" w:cs="Arial" w:eastAsia="Arial" w:hAnsi="Arial"/>
          <w:sz w:val="13"/>
          <w:szCs w:val="13"/>
          <w:color w:val="231F20"/>
        </w:rPr>
      </w:pPr>
      <w:r>
        <w:rPr>
          <w:rFonts w:ascii="Arial" w:cs="Arial" w:eastAsia="Arial" w:hAnsi="Arial"/>
          <w:sz w:val="13"/>
          <w:szCs w:val="13"/>
          <w:color w:val="231F20"/>
        </w:rPr>
        <w:t>“CP1” shall mean the applicable Conversion Price in effect immediately prior to such issuance or deemed issuance of Additional Shares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231F20"/>
        </w:rPr>
        <w:t>Common Stock;</w:t>
      </w:r>
    </w:p>
    <w:p>
      <w:pPr>
        <w:spacing w:after="0" w:line="175" w:lineRule="exact"/>
        <w:rPr>
          <w:sz w:val="20"/>
          <w:szCs w:val="20"/>
          <w:color w:val="auto"/>
        </w:rPr>
      </w:pPr>
    </w:p>
    <w:p>
      <w:pPr>
        <w:jc w:val="both"/>
        <w:ind w:firstLine="2596"/>
        <w:spacing w:after="0" w:line="267" w:lineRule="auto"/>
        <w:tabs>
          <w:tab w:leader="none" w:pos="3101" w:val="left"/>
        </w:tabs>
        <w:numPr>
          <w:ilvl w:val="0"/>
          <w:numId w:val="157"/>
        </w:numPr>
        <w:rPr>
          <w:rFonts w:ascii="Arial" w:cs="Arial" w:eastAsia="Arial" w:hAnsi="Arial"/>
          <w:sz w:val="14"/>
          <w:szCs w:val="14"/>
          <w:color w:val="231F20"/>
        </w:rPr>
      </w:pPr>
      <w:r>
        <w:rPr>
          <w:rFonts w:ascii="Arial" w:cs="Arial" w:eastAsia="Arial" w:hAnsi="Arial"/>
          <w:sz w:val="14"/>
          <w:szCs w:val="14"/>
          <w:color w:val="231F20"/>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46" w:lineRule="exact"/>
        <w:rPr>
          <w:rFonts w:ascii="Arial" w:cs="Arial" w:eastAsia="Arial" w:hAnsi="Arial"/>
          <w:sz w:val="14"/>
          <w:szCs w:val="14"/>
          <w:color w:val="231F20"/>
        </w:rPr>
      </w:pPr>
    </w:p>
    <w:p>
      <w:pPr>
        <w:ind w:firstLine="2596"/>
        <w:spacing w:after="0" w:line="329" w:lineRule="auto"/>
        <w:tabs>
          <w:tab w:leader="none" w:pos="3109" w:val="left"/>
        </w:tabs>
        <w:numPr>
          <w:ilvl w:val="0"/>
          <w:numId w:val="157"/>
        </w:numPr>
        <w:rPr>
          <w:rFonts w:ascii="Arial" w:cs="Arial" w:eastAsia="Arial" w:hAnsi="Arial"/>
          <w:sz w:val="13"/>
          <w:szCs w:val="13"/>
          <w:color w:val="231F20"/>
        </w:rPr>
      </w:pPr>
      <w:r>
        <w:rPr>
          <w:rFonts w:ascii="Arial" w:cs="Arial" w:eastAsia="Arial" w:hAnsi="Arial"/>
          <w:sz w:val="13"/>
          <w:szCs w:val="13"/>
          <w:color w:val="231F20"/>
        </w:rPr>
        <w:t>“B”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w:t>
      </w:r>
    </w:p>
    <w:p>
      <w:pPr>
        <w:spacing w:after="0" w:line="118" w:lineRule="exact"/>
        <w:rPr>
          <w:rFonts w:ascii="Arial" w:cs="Arial" w:eastAsia="Arial" w:hAnsi="Arial"/>
          <w:sz w:val="13"/>
          <w:szCs w:val="13"/>
          <w:color w:val="231F20"/>
        </w:rPr>
      </w:pPr>
    </w:p>
    <w:p>
      <w:pPr>
        <w:ind w:left="3100" w:hanging="504"/>
        <w:spacing w:after="0"/>
        <w:tabs>
          <w:tab w:leader="none" w:pos="3100" w:val="left"/>
        </w:tabs>
        <w:numPr>
          <w:ilvl w:val="0"/>
          <w:numId w:val="157"/>
        </w:numPr>
        <w:rPr>
          <w:rFonts w:ascii="Arial" w:cs="Arial" w:eastAsia="Arial" w:hAnsi="Arial"/>
          <w:sz w:val="14"/>
          <w:szCs w:val="14"/>
          <w:color w:val="231F20"/>
        </w:rPr>
      </w:pPr>
      <w:r>
        <w:rPr>
          <w:rFonts w:ascii="Arial" w:cs="Arial" w:eastAsia="Arial" w:hAnsi="Arial"/>
          <w:sz w:val="14"/>
          <w:szCs w:val="14"/>
          <w:color w:val="231F20"/>
        </w:rPr>
        <w:t>“C” shall mean the number of such Additional Shares of Common Stock issued in such transaction.</w:t>
      </w:r>
    </w:p>
    <w:p>
      <w:pPr>
        <w:spacing w:after="0" w:line="195" w:lineRule="exact"/>
        <w:rPr>
          <w:sz w:val="20"/>
          <w:szCs w:val="20"/>
          <w:color w:val="auto"/>
        </w:rPr>
      </w:pPr>
    </w:p>
    <w:p>
      <w:pPr>
        <w:ind w:firstLine="2072"/>
        <w:spacing w:after="0" w:line="288" w:lineRule="auto"/>
        <w:rPr>
          <w:sz w:val="20"/>
          <w:szCs w:val="20"/>
          <w:color w:val="auto"/>
        </w:rPr>
      </w:pPr>
      <w:r>
        <w:rPr>
          <w:rFonts w:ascii="Arial" w:cs="Arial" w:eastAsia="Arial" w:hAnsi="Arial"/>
          <w:sz w:val="14"/>
          <w:szCs w:val="14"/>
          <w:color w:val="231F20"/>
        </w:rPr>
        <w:t xml:space="preserve">4.4.5. </w:t>
      </w:r>
      <w:r>
        <w:rPr>
          <w:rFonts w:ascii="Arial" w:cs="Arial" w:eastAsia="Arial" w:hAnsi="Arial"/>
          <w:sz w:val="14"/>
          <w:szCs w:val="14"/>
          <w:u w:val="single" w:color="auto"/>
          <w:color w:val="231F20"/>
        </w:rPr>
        <w:t>Determination of Consideration</w:t>
      </w:r>
      <w:r>
        <w:rPr>
          <w:rFonts w:ascii="Arial" w:cs="Arial" w:eastAsia="Arial" w:hAnsi="Arial"/>
          <w:sz w:val="14"/>
          <w:szCs w:val="14"/>
          <w:color w:val="231F20"/>
        </w:rPr>
        <w:t xml:space="preserve">. For purposes of this </w:t>
      </w:r>
      <w:r>
        <w:rPr>
          <w:rFonts w:ascii="Arial" w:cs="Arial" w:eastAsia="Arial" w:hAnsi="Arial"/>
          <w:sz w:val="14"/>
          <w:szCs w:val="14"/>
          <w:u w:val="single" w:color="auto"/>
          <w:color w:val="231F20"/>
        </w:rPr>
        <w:t>Section 4.4</w:t>
      </w:r>
      <w:r>
        <w:rPr>
          <w:rFonts w:ascii="Arial" w:cs="Arial" w:eastAsia="Arial" w:hAnsi="Arial"/>
          <w:sz w:val="14"/>
          <w:szCs w:val="14"/>
          <w:color w:val="231F20"/>
        </w:rPr>
        <w:t>, the consideration received by the Corporation for the issuance or deemed issuance of any Additional Shares of Common Stock shall be computed as follows:</w:t>
      </w:r>
    </w:p>
    <w:p>
      <w:pPr>
        <w:spacing w:after="0" w:line="142" w:lineRule="exact"/>
        <w:rPr>
          <w:sz w:val="20"/>
          <w:szCs w:val="20"/>
          <w:color w:val="auto"/>
        </w:rPr>
      </w:pPr>
    </w:p>
    <w:p>
      <w:pPr>
        <w:ind w:left="3640" w:hanging="526"/>
        <w:spacing w:after="0"/>
        <w:tabs>
          <w:tab w:leader="none" w:pos="3640" w:val="left"/>
        </w:tabs>
        <w:numPr>
          <w:ilvl w:val="0"/>
          <w:numId w:val="158"/>
        </w:numPr>
        <w:rPr>
          <w:rFonts w:ascii="Arial" w:cs="Arial" w:eastAsia="Arial" w:hAnsi="Arial"/>
          <w:sz w:val="14"/>
          <w:szCs w:val="14"/>
          <w:color w:val="231F20"/>
        </w:rPr>
      </w:pPr>
      <w:r>
        <w:rPr>
          <w:rFonts w:ascii="Arial" w:cs="Arial" w:eastAsia="Arial" w:hAnsi="Arial"/>
          <w:sz w:val="14"/>
          <w:szCs w:val="14"/>
          <w:u w:val="single" w:color="auto"/>
          <w:color w:val="231F20"/>
        </w:rPr>
        <w:t>Cash and Property</w:t>
      </w:r>
      <w:r>
        <w:rPr>
          <w:rFonts w:ascii="Arial" w:cs="Arial" w:eastAsia="Arial" w:hAnsi="Arial"/>
          <w:sz w:val="14"/>
          <w:szCs w:val="14"/>
          <w:color w:val="231F20"/>
        </w:rPr>
        <w:t>: Such consideration shall:</w:t>
      </w:r>
    </w:p>
    <w:p>
      <w:pPr>
        <w:spacing w:after="0" w:line="184" w:lineRule="exact"/>
        <w:rPr>
          <w:rFonts w:ascii="Arial" w:cs="Arial" w:eastAsia="Arial" w:hAnsi="Arial"/>
          <w:sz w:val="14"/>
          <w:szCs w:val="14"/>
          <w:color w:val="231F20"/>
        </w:rPr>
      </w:pPr>
    </w:p>
    <w:p>
      <w:pPr>
        <w:ind w:left="4140" w:right="20" w:hanging="508"/>
        <w:spacing w:after="0" w:line="288" w:lineRule="auto"/>
        <w:tabs>
          <w:tab w:leader="none" w:pos="4140" w:val="left"/>
        </w:tabs>
        <w:numPr>
          <w:ilvl w:val="1"/>
          <w:numId w:val="158"/>
        </w:numPr>
        <w:rPr>
          <w:rFonts w:ascii="Arial" w:cs="Arial" w:eastAsia="Arial" w:hAnsi="Arial"/>
          <w:sz w:val="14"/>
          <w:szCs w:val="14"/>
          <w:color w:val="231F20"/>
        </w:rPr>
      </w:pPr>
      <w:r>
        <w:rPr>
          <w:rFonts w:ascii="Arial" w:cs="Arial" w:eastAsia="Arial" w:hAnsi="Arial"/>
          <w:sz w:val="14"/>
          <w:szCs w:val="14"/>
          <w:color w:val="231F20"/>
        </w:rPr>
        <w:t>insofar as it consists of cash, be computed at the aggregate amount of cash received by the Corporation, excluding amounts paid or payable for accrued interest;</w:t>
      </w:r>
    </w:p>
    <w:p>
      <w:pPr>
        <w:spacing w:after="0" w:line="142" w:lineRule="exact"/>
        <w:rPr>
          <w:rFonts w:ascii="Arial" w:cs="Arial" w:eastAsia="Arial" w:hAnsi="Arial"/>
          <w:sz w:val="14"/>
          <w:szCs w:val="14"/>
          <w:color w:val="231F20"/>
        </w:rPr>
      </w:pPr>
    </w:p>
    <w:p>
      <w:pPr>
        <w:ind w:left="4140" w:right="20" w:hanging="508"/>
        <w:spacing w:after="0" w:line="288" w:lineRule="auto"/>
        <w:tabs>
          <w:tab w:leader="none" w:pos="4140" w:val="left"/>
        </w:tabs>
        <w:numPr>
          <w:ilvl w:val="1"/>
          <w:numId w:val="158"/>
        </w:numPr>
        <w:rPr>
          <w:rFonts w:ascii="Arial" w:cs="Arial" w:eastAsia="Arial" w:hAnsi="Arial"/>
          <w:sz w:val="14"/>
          <w:szCs w:val="14"/>
          <w:color w:val="231F20"/>
        </w:rPr>
      </w:pPr>
      <w:r>
        <w:rPr>
          <w:rFonts w:ascii="Arial" w:cs="Arial" w:eastAsia="Arial" w:hAnsi="Arial"/>
          <w:sz w:val="14"/>
          <w:szCs w:val="14"/>
          <w:color w:val="231F20"/>
        </w:rPr>
        <w:t>insofar as it consists of property other than cash, be computed at the fair market value thereof at the time of such issue, as determined in good faith by the Board; and</w:t>
      </w:r>
    </w:p>
    <w:p>
      <w:pPr>
        <w:spacing w:after="0" w:line="142" w:lineRule="exact"/>
        <w:rPr>
          <w:rFonts w:ascii="Arial" w:cs="Arial" w:eastAsia="Arial" w:hAnsi="Arial"/>
          <w:sz w:val="14"/>
          <w:szCs w:val="14"/>
          <w:color w:val="231F20"/>
        </w:rPr>
      </w:pPr>
    </w:p>
    <w:p>
      <w:pPr>
        <w:ind w:left="4140" w:hanging="508"/>
        <w:spacing w:after="0"/>
        <w:tabs>
          <w:tab w:leader="none" w:pos="4140" w:val="left"/>
        </w:tabs>
        <w:numPr>
          <w:ilvl w:val="1"/>
          <w:numId w:val="158"/>
        </w:numPr>
        <w:rPr>
          <w:rFonts w:ascii="Arial" w:cs="Arial" w:eastAsia="Arial" w:hAnsi="Arial"/>
          <w:sz w:val="14"/>
          <w:szCs w:val="14"/>
          <w:color w:val="231F20"/>
        </w:rPr>
      </w:pPr>
      <w:r>
        <w:rPr>
          <w:rFonts w:ascii="Arial" w:cs="Arial" w:eastAsia="Arial" w:hAnsi="Arial"/>
          <w:sz w:val="14"/>
          <w:szCs w:val="14"/>
          <w:color w:val="231F20"/>
        </w:rPr>
        <w:t>in the event Additional Shares of Common Stock are issued together with other shares or</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96" w:name="page297"/>
    <w:bookmarkEnd w:id="296"/>
    <w:p>
      <w:pPr>
        <w:ind w:left="4140"/>
        <w:spacing w:after="0" w:line="329" w:lineRule="auto"/>
        <w:rPr>
          <w:sz w:val="20"/>
          <w:szCs w:val="20"/>
          <w:color w:val="auto"/>
        </w:rPr>
      </w:pPr>
      <w:r>
        <w:rPr>
          <w:rFonts w:ascii="Arial" w:cs="Arial" w:eastAsia="Arial" w:hAnsi="Arial"/>
          <w:sz w:val="13"/>
          <w:szCs w:val="13"/>
          <w:color w:val="231F20"/>
        </w:rPr>
        <w:t>securities or other assets of the Corporation for consideration which covers both, be the proportion of such consideration so received, computed as provided in clauses (i) and (ii) above, as determined in good faith by the Board.</w:t>
      </w:r>
    </w:p>
    <w:p>
      <w:pPr>
        <w:spacing w:after="0" w:line="130" w:lineRule="exact"/>
        <w:rPr>
          <w:sz w:val="20"/>
          <w:szCs w:val="20"/>
          <w:color w:val="auto"/>
        </w:rPr>
      </w:pPr>
    </w:p>
    <w:p>
      <w:pPr>
        <w:ind w:left="3620" w:hanging="506"/>
        <w:spacing w:after="0"/>
        <w:tabs>
          <w:tab w:leader="none" w:pos="3620" w:val="left"/>
        </w:tabs>
        <w:numPr>
          <w:ilvl w:val="0"/>
          <w:numId w:val="159"/>
        </w:numPr>
        <w:rPr>
          <w:rFonts w:ascii="Arial" w:cs="Arial" w:eastAsia="Arial" w:hAnsi="Arial"/>
          <w:sz w:val="13"/>
          <w:szCs w:val="13"/>
          <w:color w:val="231F20"/>
        </w:rPr>
      </w:pPr>
      <w:r>
        <w:rPr>
          <w:rFonts w:ascii="Arial" w:cs="Arial" w:eastAsia="Arial" w:hAnsi="Arial"/>
          <w:sz w:val="13"/>
          <w:szCs w:val="13"/>
          <w:u w:val="single" w:color="auto"/>
          <w:color w:val="231F20"/>
        </w:rPr>
        <w:t>Options and Convertible Securities</w:t>
      </w:r>
      <w:r>
        <w:rPr>
          <w:rFonts w:ascii="Arial" w:cs="Arial" w:eastAsia="Arial" w:hAnsi="Arial"/>
          <w:sz w:val="13"/>
          <w:szCs w:val="13"/>
          <w:color w:val="231F20"/>
        </w:rPr>
        <w:t>. The consideration per share received by the Corporation for Additional Shares of Common</w:t>
      </w:r>
    </w:p>
    <w:p>
      <w:pPr>
        <w:spacing w:after="0" w:line="32" w:lineRule="exact"/>
        <w:rPr>
          <w:rFonts w:ascii="Arial" w:cs="Arial" w:eastAsia="Arial" w:hAnsi="Arial"/>
          <w:sz w:val="13"/>
          <w:szCs w:val="13"/>
          <w:color w:val="231F20"/>
        </w:rPr>
      </w:pPr>
    </w:p>
    <w:p>
      <w:pPr>
        <w:spacing w:after="0"/>
        <w:rPr>
          <w:rFonts w:ascii="Arial" w:cs="Arial" w:eastAsia="Arial" w:hAnsi="Arial"/>
          <w:sz w:val="13"/>
          <w:szCs w:val="13"/>
          <w:color w:val="231F20"/>
        </w:rPr>
      </w:pPr>
      <w:r>
        <w:rPr>
          <w:rFonts w:ascii="Arial" w:cs="Arial" w:eastAsia="Arial" w:hAnsi="Arial"/>
          <w:sz w:val="14"/>
          <w:szCs w:val="14"/>
          <w:color w:val="231F20"/>
        </w:rPr>
        <w:t xml:space="preserve">Stock deemed to have been issued pursuant to </w:t>
      </w:r>
      <w:r>
        <w:rPr>
          <w:rFonts w:ascii="Arial" w:cs="Arial" w:eastAsia="Arial" w:hAnsi="Arial"/>
          <w:sz w:val="14"/>
          <w:szCs w:val="14"/>
          <w:u w:val="single" w:color="auto"/>
          <w:color w:val="231F20"/>
        </w:rPr>
        <w:t>Section 4.4.3</w:t>
      </w:r>
      <w:r>
        <w:rPr>
          <w:rFonts w:ascii="Arial" w:cs="Arial" w:eastAsia="Arial" w:hAnsi="Arial"/>
          <w:sz w:val="14"/>
          <w:szCs w:val="14"/>
          <w:color w:val="231F20"/>
        </w:rPr>
        <w:t>, relating to Options and Convertible Securities, shall be determined by dividing:</w:t>
      </w:r>
    </w:p>
    <w:p>
      <w:pPr>
        <w:spacing w:after="0" w:line="174" w:lineRule="exact"/>
        <w:rPr>
          <w:rFonts w:ascii="Arial" w:cs="Arial" w:eastAsia="Arial" w:hAnsi="Arial"/>
          <w:sz w:val="13"/>
          <w:szCs w:val="13"/>
          <w:color w:val="231F20"/>
        </w:rPr>
      </w:pPr>
    </w:p>
    <w:p>
      <w:pPr>
        <w:jc w:val="both"/>
        <w:ind w:left="4140" w:hanging="508"/>
        <w:spacing w:after="0" w:line="263" w:lineRule="auto"/>
        <w:tabs>
          <w:tab w:leader="none" w:pos="4140" w:val="left"/>
        </w:tabs>
        <w:numPr>
          <w:ilvl w:val="1"/>
          <w:numId w:val="159"/>
        </w:numPr>
        <w:rPr>
          <w:rFonts w:ascii="Arial" w:cs="Arial" w:eastAsia="Arial" w:hAnsi="Arial"/>
          <w:sz w:val="14"/>
          <w:szCs w:val="14"/>
          <w:color w:val="231F20"/>
        </w:rPr>
      </w:pPr>
      <w:r>
        <w:rPr>
          <w:rFonts w:ascii="Arial" w:cs="Arial" w:eastAsia="Arial" w:hAnsi="Arial"/>
          <w:sz w:val="14"/>
          <w:szCs w:val="14"/>
          <w:color w:val="231F20"/>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60" w:lineRule="exact"/>
        <w:rPr>
          <w:rFonts w:ascii="Arial" w:cs="Arial" w:eastAsia="Arial" w:hAnsi="Arial"/>
          <w:sz w:val="14"/>
          <w:szCs w:val="14"/>
          <w:color w:val="231F20"/>
        </w:rPr>
      </w:pPr>
    </w:p>
    <w:p>
      <w:pPr>
        <w:jc w:val="both"/>
        <w:ind w:left="4140" w:hanging="508"/>
        <w:spacing w:after="0" w:line="294" w:lineRule="auto"/>
        <w:tabs>
          <w:tab w:leader="none" w:pos="4140" w:val="left"/>
        </w:tabs>
        <w:numPr>
          <w:ilvl w:val="1"/>
          <w:numId w:val="159"/>
        </w:numPr>
        <w:rPr>
          <w:rFonts w:ascii="Arial" w:cs="Arial" w:eastAsia="Arial" w:hAnsi="Arial"/>
          <w:sz w:val="13"/>
          <w:szCs w:val="13"/>
          <w:color w:val="231F20"/>
        </w:rPr>
      </w:pPr>
      <w:r>
        <w:rPr>
          <w:rFonts w:ascii="Arial" w:cs="Arial" w:eastAsia="Arial" w:hAnsi="Arial"/>
          <w:sz w:val="13"/>
          <w:szCs w:val="13"/>
          <w:color w:val="231F20"/>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41" w:lineRule="exact"/>
        <w:rPr>
          <w:sz w:val="20"/>
          <w:szCs w:val="20"/>
          <w:color w:val="auto"/>
        </w:rPr>
      </w:pPr>
    </w:p>
    <w:p>
      <w:pPr>
        <w:jc w:val="both"/>
        <w:ind w:firstLine="2072"/>
        <w:spacing w:after="0" w:line="273" w:lineRule="auto"/>
        <w:rPr>
          <w:sz w:val="20"/>
          <w:szCs w:val="20"/>
          <w:color w:val="auto"/>
        </w:rPr>
      </w:pPr>
      <w:r>
        <w:rPr>
          <w:rFonts w:ascii="Arial" w:cs="Arial" w:eastAsia="Arial" w:hAnsi="Arial"/>
          <w:sz w:val="14"/>
          <w:szCs w:val="14"/>
          <w:color w:val="231F20"/>
        </w:rPr>
        <w:t xml:space="preserve">4.4.6. </w:t>
      </w:r>
      <w:r>
        <w:rPr>
          <w:rFonts w:ascii="Arial" w:cs="Arial" w:eastAsia="Arial" w:hAnsi="Arial"/>
          <w:sz w:val="14"/>
          <w:szCs w:val="14"/>
          <w:u w:val="single" w:color="auto"/>
          <w:color w:val="231F20"/>
        </w:rPr>
        <w:t>Multiple Closing Dates</w:t>
      </w:r>
      <w:r>
        <w:rPr>
          <w:rFonts w:ascii="Arial" w:cs="Arial" w:eastAsia="Arial" w:hAnsi="Arial"/>
          <w:sz w:val="14"/>
          <w:szCs w:val="14"/>
          <w:color w:val="231F20"/>
        </w:rPr>
        <w:t xml:space="preserve">. In the event the Corporation shall issue on more than one date Additional Shares of Common Stock that are a part of one transaction or a series of related transactions and that would result in an adjustment to the applicable Conversion Price for a series of Preferred Stock pursuant to the terms of </w:t>
      </w:r>
      <w:r>
        <w:rPr>
          <w:rFonts w:ascii="Arial" w:cs="Arial" w:eastAsia="Arial" w:hAnsi="Arial"/>
          <w:sz w:val="14"/>
          <w:szCs w:val="14"/>
          <w:u w:val="single" w:color="auto"/>
          <w:color w:val="231F20"/>
        </w:rPr>
        <w:t>Section 4.4.4</w:t>
      </w:r>
      <w:r>
        <w:rPr>
          <w:rFonts w:ascii="Arial" w:cs="Arial" w:eastAsia="Arial" w:hAnsi="Arial"/>
          <w:sz w:val="14"/>
          <w:szCs w:val="14"/>
          <w:color w:val="231F20"/>
        </w:rPr>
        <w:t>, and such issuance dates occur within a period of no more than ninety (90) days from the first such issuance</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76" w:right="399" w:bottom="1440" w:gutter="0" w:footer="0" w:header="0"/>
        </w:sectPr>
      </w:pPr>
    </w:p>
    <w:bookmarkStart w:id="297" w:name="page298"/>
    <w:bookmarkEnd w:id="297"/>
    <w:p>
      <w:pPr>
        <w:jc w:val="both"/>
        <w:spacing w:after="0" w:line="288" w:lineRule="auto"/>
        <w:rPr>
          <w:sz w:val="20"/>
          <w:szCs w:val="20"/>
          <w:color w:val="auto"/>
        </w:rPr>
      </w:pPr>
      <w:r>
        <w:rPr>
          <w:rFonts w:ascii="Arial" w:cs="Arial" w:eastAsia="Arial" w:hAnsi="Arial"/>
          <w:sz w:val="14"/>
          <w:szCs w:val="14"/>
          <w:color w:val="231F20"/>
        </w:rPr>
        <w:t>to the final such issuance, then, upon the final such issuance,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42" w:lineRule="exact"/>
        <w:rPr>
          <w:sz w:val="20"/>
          <w:szCs w:val="20"/>
          <w:color w:val="auto"/>
        </w:rPr>
      </w:pPr>
    </w:p>
    <w:p>
      <w:pPr>
        <w:jc w:val="both"/>
        <w:ind w:firstLine="1554"/>
        <w:spacing w:after="0" w:line="285" w:lineRule="auto"/>
        <w:rPr>
          <w:sz w:val="20"/>
          <w:szCs w:val="20"/>
          <w:color w:val="auto"/>
        </w:rPr>
      </w:pPr>
      <w:r>
        <w:rPr>
          <w:rFonts w:ascii="Arial" w:cs="Arial" w:eastAsia="Arial" w:hAnsi="Arial"/>
          <w:sz w:val="13"/>
          <w:szCs w:val="13"/>
          <w:color w:val="231F20"/>
        </w:rPr>
        <w:t xml:space="preserve">4.5. </w:t>
      </w:r>
      <w:r>
        <w:rPr>
          <w:rFonts w:ascii="Arial" w:cs="Arial" w:eastAsia="Arial" w:hAnsi="Arial"/>
          <w:sz w:val="13"/>
          <w:szCs w:val="13"/>
          <w:u w:val="single" w:color="auto"/>
          <w:color w:val="231F20"/>
        </w:rPr>
        <w:t>Adjustment for Stock Splits and Combinations</w:t>
      </w:r>
      <w:r>
        <w:rPr>
          <w:rFonts w:ascii="Arial" w:cs="Arial" w:eastAsia="Arial" w:hAnsi="Arial"/>
          <w:sz w:val="13"/>
          <w:szCs w:val="13"/>
          <w:color w:val="231F20"/>
        </w:rPr>
        <w:t>. If the Corporation shall at any time or from time to time after the Series C Original Issue Date effect a subdivision of the outstanding Common Stock, the applicable Conversion Price for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Conversion Price for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49" w:lineRule="exact"/>
        <w:rPr>
          <w:sz w:val="20"/>
          <w:szCs w:val="20"/>
          <w:color w:val="auto"/>
        </w:rPr>
      </w:pPr>
    </w:p>
    <w:p>
      <w:pPr>
        <w:jc w:val="both"/>
        <w:ind w:firstLine="1554"/>
        <w:spacing w:after="0" w:line="294" w:lineRule="auto"/>
        <w:rPr>
          <w:sz w:val="20"/>
          <w:szCs w:val="20"/>
          <w:color w:val="auto"/>
        </w:rPr>
      </w:pPr>
      <w:r>
        <w:rPr>
          <w:rFonts w:ascii="Arial" w:cs="Arial" w:eastAsia="Arial" w:hAnsi="Arial"/>
          <w:sz w:val="13"/>
          <w:szCs w:val="13"/>
          <w:color w:val="231F20"/>
        </w:rPr>
        <w:t xml:space="preserve">4.6. </w:t>
      </w:r>
      <w:r>
        <w:rPr>
          <w:rFonts w:ascii="Arial" w:cs="Arial" w:eastAsia="Arial" w:hAnsi="Arial"/>
          <w:sz w:val="13"/>
          <w:szCs w:val="13"/>
          <w:u w:val="single" w:color="auto"/>
          <w:color w:val="231F20"/>
        </w:rPr>
        <w:t>Adjustment for Certain Dividends and Distributions</w:t>
      </w:r>
      <w:r>
        <w:rPr>
          <w:rFonts w:ascii="Arial" w:cs="Arial" w:eastAsia="Arial" w:hAnsi="Arial"/>
          <w:sz w:val="13"/>
          <w:szCs w:val="13"/>
          <w:color w:val="231F20"/>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for each series of Preferred Stock in effect immediately before such event shall be decreased as of the time of such issuance or, in the event such a record date shall have been fixed, as of the close of business on such record date, by multiplying such Conversion Price for such series then in effect by a fraction:</w:t>
      </w:r>
    </w:p>
    <w:p>
      <w:pPr>
        <w:spacing w:after="0" w:line="131" w:lineRule="exact"/>
        <w:rPr>
          <w:sz w:val="20"/>
          <w:szCs w:val="20"/>
          <w:color w:val="auto"/>
        </w:rPr>
      </w:pPr>
    </w:p>
    <w:p>
      <w:pPr>
        <w:ind w:firstLine="1560"/>
        <w:spacing w:after="0" w:line="288" w:lineRule="auto"/>
        <w:tabs>
          <w:tab w:leader="none" w:pos="2152" w:val="left"/>
        </w:tabs>
        <w:numPr>
          <w:ilvl w:val="0"/>
          <w:numId w:val="160"/>
        </w:numPr>
        <w:rPr>
          <w:rFonts w:ascii="Arial" w:cs="Arial" w:eastAsia="Arial" w:hAnsi="Arial"/>
          <w:sz w:val="14"/>
          <w:szCs w:val="14"/>
          <w:color w:val="231F20"/>
        </w:rPr>
      </w:pPr>
      <w:r>
        <w:rPr>
          <w:rFonts w:ascii="Arial" w:cs="Arial" w:eastAsia="Arial" w:hAnsi="Arial"/>
          <w:sz w:val="14"/>
          <w:szCs w:val="14"/>
          <w:color w:val="231F20"/>
        </w:rPr>
        <w:t>the numerator of which shall be the total number of shares of Common Stock issued and outstanding immediately prior to the time of such issuance or the close of business on such record date, and</w:t>
      </w:r>
    </w:p>
    <w:p>
      <w:pPr>
        <w:spacing w:after="0" w:line="142" w:lineRule="exact"/>
        <w:rPr>
          <w:rFonts w:ascii="Arial" w:cs="Arial" w:eastAsia="Arial" w:hAnsi="Arial"/>
          <w:sz w:val="14"/>
          <w:szCs w:val="14"/>
          <w:color w:val="231F20"/>
        </w:rPr>
      </w:pPr>
    </w:p>
    <w:p>
      <w:pPr>
        <w:ind w:firstLine="1560"/>
        <w:spacing w:after="0" w:line="288" w:lineRule="auto"/>
        <w:tabs>
          <w:tab w:leader="none" w:pos="2160" w:val="left"/>
        </w:tabs>
        <w:numPr>
          <w:ilvl w:val="0"/>
          <w:numId w:val="160"/>
        </w:numPr>
        <w:rPr>
          <w:rFonts w:ascii="Arial" w:cs="Arial" w:eastAsia="Arial" w:hAnsi="Arial"/>
          <w:sz w:val="14"/>
          <w:szCs w:val="14"/>
          <w:color w:val="231F20"/>
        </w:rPr>
      </w:pPr>
      <w:r>
        <w:rPr>
          <w:rFonts w:ascii="Arial" w:cs="Arial" w:eastAsia="Arial" w:hAnsi="Arial"/>
          <w:sz w:val="14"/>
          <w:szCs w:val="14"/>
          <w:color w:val="231F20"/>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42" w:lineRule="exact"/>
        <w:rPr>
          <w:sz w:val="20"/>
          <w:szCs w:val="20"/>
          <w:color w:val="auto"/>
        </w:rPr>
      </w:pPr>
    </w:p>
    <w:p>
      <w:pPr>
        <w:jc w:val="both"/>
        <w:ind w:firstLine="1554"/>
        <w:spacing w:after="0" w:line="265" w:lineRule="auto"/>
        <w:rPr>
          <w:sz w:val="20"/>
          <w:szCs w:val="20"/>
          <w:color w:val="auto"/>
        </w:rPr>
      </w:pPr>
      <w:r>
        <w:rPr>
          <w:rFonts w:ascii="Arial" w:cs="Arial" w:eastAsia="Arial" w:hAnsi="Arial"/>
          <w:sz w:val="14"/>
          <w:szCs w:val="14"/>
          <w:color w:val="231F20"/>
        </w:rPr>
        <w:t>Notwithstanding the foregoing, (a) if such record date shall have been fixed and such dividend is not fully paid or if such distribution is not fully made on the date fixed therefor, the applicable Conversion Price for each series of Preferred Stock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98" w:name="page299"/>
    <w:bookmarkEnd w:id="298"/>
    <w:p>
      <w:pPr>
        <w:jc w:val="both"/>
        <w:ind w:firstLine="1554"/>
        <w:spacing w:after="0" w:line="263" w:lineRule="auto"/>
        <w:rPr>
          <w:sz w:val="20"/>
          <w:szCs w:val="20"/>
          <w:color w:val="auto"/>
        </w:rPr>
      </w:pPr>
      <w:r>
        <w:rPr>
          <w:rFonts w:ascii="Arial" w:cs="Arial" w:eastAsia="Arial" w:hAnsi="Arial"/>
          <w:sz w:val="14"/>
          <w:szCs w:val="14"/>
          <w:color w:val="231F20"/>
        </w:rPr>
        <w:t xml:space="preserve">4.7. </w:t>
      </w:r>
      <w:r>
        <w:rPr>
          <w:rFonts w:ascii="Arial" w:cs="Arial" w:eastAsia="Arial" w:hAnsi="Arial"/>
          <w:sz w:val="14"/>
          <w:szCs w:val="14"/>
          <w:u w:val="single" w:color="auto"/>
          <w:color w:val="231F20"/>
        </w:rPr>
        <w:t>Adjustments for Other Dividends and Distributions</w:t>
      </w:r>
      <w:r>
        <w:rPr>
          <w:rFonts w:ascii="Arial" w:cs="Arial" w:eastAsia="Arial" w:hAnsi="Arial"/>
          <w:sz w:val="14"/>
          <w:szCs w:val="14"/>
          <w:color w:val="231F20"/>
        </w:rPr>
        <w:t xml:space="preserve">.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4"/>
          <w:szCs w:val="14"/>
          <w:u w:val="single" w:color="auto"/>
          <w:color w:val="231F20"/>
        </w:rPr>
        <w:t>Section 1</w:t>
      </w:r>
      <w:r>
        <w:rPr>
          <w:rFonts w:ascii="Arial" w:cs="Arial" w:eastAsia="Arial" w:hAnsi="Arial"/>
          <w:sz w:val="14"/>
          <w:szCs w:val="14"/>
          <w:color w:val="231F20"/>
        </w:rPr>
        <w:t xml:space="preserve"> do not apply to such dividend or distribution, then and in each such event the holders of each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61" w:lineRule="exact"/>
        <w:rPr>
          <w:sz w:val="20"/>
          <w:szCs w:val="20"/>
          <w:color w:val="auto"/>
        </w:rPr>
      </w:pPr>
    </w:p>
    <w:p>
      <w:pPr>
        <w:jc w:val="both"/>
        <w:ind w:firstLine="1554"/>
        <w:spacing w:after="0" w:line="282" w:lineRule="auto"/>
        <w:rPr>
          <w:sz w:val="20"/>
          <w:szCs w:val="20"/>
          <w:color w:val="auto"/>
        </w:rPr>
      </w:pPr>
      <w:r>
        <w:rPr>
          <w:rFonts w:ascii="Arial" w:cs="Arial" w:eastAsia="Arial" w:hAnsi="Arial"/>
          <w:sz w:val="13"/>
          <w:szCs w:val="13"/>
          <w:color w:val="231F20"/>
        </w:rPr>
        <w:t xml:space="preserve">4.8. </w:t>
      </w:r>
      <w:r>
        <w:rPr>
          <w:rFonts w:ascii="Arial" w:cs="Arial" w:eastAsia="Arial" w:hAnsi="Arial"/>
          <w:sz w:val="13"/>
          <w:szCs w:val="13"/>
          <w:u w:val="single" w:color="auto"/>
          <w:color w:val="231F20"/>
        </w:rPr>
        <w:t>Adjustment for Merger or Reorganization, etc</w:t>
      </w:r>
      <w:r>
        <w:rPr>
          <w:rFonts w:ascii="Arial" w:cs="Arial" w:eastAsia="Arial" w:hAnsi="Arial"/>
          <w:sz w:val="13"/>
          <w:szCs w:val="13"/>
          <w:color w:val="231F20"/>
        </w:rPr>
        <w:t xml:space="preserve">. Subject to the provisions of </w:t>
      </w:r>
      <w:r>
        <w:rPr>
          <w:rFonts w:ascii="Arial" w:cs="Arial" w:eastAsia="Arial" w:hAnsi="Arial"/>
          <w:sz w:val="13"/>
          <w:szCs w:val="13"/>
          <w:u w:val="single" w:color="auto"/>
          <w:color w:val="231F20"/>
        </w:rPr>
        <w:t>Section 2.3</w:t>
      </w:r>
      <w:r>
        <w:rPr>
          <w:rFonts w:ascii="Arial" w:cs="Arial" w:eastAsia="Arial" w:hAnsi="Arial"/>
          <w:sz w:val="13"/>
          <w:szCs w:val="13"/>
          <w:color w:val="231F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3"/>
          <w:szCs w:val="13"/>
          <w:u w:val="single" w:color="auto"/>
          <w:color w:val="231F20"/>
        </w:rPr>
        <w:t>Sections 4.4</w:t>
      </w:r>
      <w:r>
        <w:rPr>
          <w:rFonts w:ascii="Arial" w:cs="Arial" w:eastAsia="Arial" w:hAnsi="Arial"/>
          <w:sz w:val="13"/>
          <w:szCs w:val="13"/>
          <w:color w:val="231F20"/>
        </w:rPr>
        <w:t xml:space="preserve">, </w:t>
      </w:r>
      <w:r>
        <w:rPr>
          <w:rFonts w:ascii="Arial" w:cs="Arial" w:eastAsia="Arial" w:hAnsi="Arial"/>
          <w:sz w:val="13"/>
          <w:szCs w:val="13"/>
          <w:u w:val="single" w:color="auto"/>
          <w:color w:val="231F20"/>
        </w:rPr>
        <w:t>4.6</w:t>
      </w:r>
      <w:r>
        <w:rPr>
          <w:rFonts w:ascii="Arial" w:cs="Arial" w:eastAsia="Arial" w:hAnsi="Arial"/>
          <w:sz w:val="13"/>
          <w:szCs w:val="13"/>
          <w:color w:val="231F20"/>
        </w:rPr>
        <w:t xml:space="preserve"> or </w:t>
      </w:r>
      <w:r>
        <w:rPr>
          <w:rFonts w:ascii="Arial" w:cs="Arial" w:eastAsia="Arial" w:hAnsi="Arial"/>
          <w:sz w:val="13"/>
          <w:szCs w:val="13"/>
          <w:u w:val="single" w:color="auto"/>
          <w:color w:val="231F20"/>
        </w:rPr>
        <w:t>4.7</w:t>
      </w:r>
      <w:r>
        <w:rPr>
          <w:rFonts w:ascii="Arial" w:cs="Arial" w:eastAsia="Arial" w:hAnsi="Arial"/>
          <w:sz w:val="13"/>
          <w:szCs w:val="13"/>
          <w:color w:val="231F20"/>
        </w:rPr>
        <w:t xml:space="preserve">), then, following any such reorganization, recapitalization, reclassification, consolidation or merger, each share of a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Arial" w:cs="Arial" w:eastAsia="Arial" w:hAnsi="Arial"/>
          <w:sz w:val="13"/>
          <w:szCs w:val="13"/>
          <w:u w:val="single" w:color="auto"/>
          <w:color w:val="231F20"/>
        </w:rPr>
        <w:t>Section 4</w:t>
      </w:r>
      <w:r>
        <w:rPr>
          <w:rFonts w:ascii="Arial" w:cs="Arial" w:eastAsia="Arial" w:hAnsi="Arial"/>
          <w:sz w:val="13"/>
          <w:szCs w:val="13"/>
          <w:color w:val="231F20"/>
        </w:rPr>
        <w:t xml:space="preserve"> with respect to the rights and interests thereafter of the holders of such series of Preferred Stock, to the end that the provisions set forth in this </w:t>
      </w:r>
      <w:r>
        <w:rPr>
          <w:rFonts w:ascii="Arial" w:cs="Arial" w:eastAsia="Arial" w:hAnsi="Arial"/>
          <w:sz w:val="13"/>
          <w:szCs w:val="13"/>
          <w:u w:val="single" w:color="auto"/>
          <w:color w:val="231F20"/>
        </w:rPr>
        <w:t>Section 4</w:t>
      </w:r>
      <w:r>
        <w:rPr>
          <w:rFonts w:ascii="Arial" w:cs="Arial" w:eastAsia="Arial" w:hAnsi="Arial"/>
          <w:sz w:val="13"/>
          <w:szCs w:val="13"/>
          <w:color w:val="231F20"/>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such Preferred Stock, For the avoidance of doubt, nothing in this </w:t>
      </w:r>
      <w:r>
        <w:rPr>
          <w:rFonts w:ascii="Arial" w:cs="Arial" w:eastAsia="Arial" w:hAnsi="Arial"/>
          <w:sz w:val="13"/>
          <w:szCs w:val="13"/>
          <w:u w:val="single" w:color="auto"/>
          <w:color w:val="231F20"/>
        </w:rPr>
        <w:t>Section 4.8</w:t>
      </w:r>
      <w:r>
        <w:rPr>
          <w:rFonts w:ascii="Arial" w:cs="Arial" w:eastAsia="Arial" w:hAnsi="Arial"/>
          <w:sz w:val="13"/>
          <w:szCs w:val="13"/>
          <w:color w:val="231F20"/>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3"/>
          <w:szCs w:val="13"/>
          <w:u w:val="single" w:color="auto"/>
          <w:color w:val="231F20"/>
        </w:rPr>
        <w:t>Section 4.8</w:t>
      </w:r>
      <w:r>
        <w:rPr>
          <w:rFonts w:ascii="Arial" w:cs="Arial" w:eastAsia="Arial" w:hAnsi="Arial"/>
          <w:sz w:val="13"/>
          <w:szCs w:val="13"/>
          <w:color w:val="231F20"/>
        </w:rPr>
        <w:t xml:space="preserve"> be deemed conclusive evidence of the fair value of the shares of Preferred Stock in any such appraisal proceeding.</w:t>
      </w:r>
    </w:p>
    <w:p>
      <w:pPr>
        <w:spacing w:after="0" w:line="150" w:lineRule="exact"/>
        <w:rPr>
          <w:sz w:val="20"/>
          <w:szCs w:val="20"/>
          <w:color w:val="auto"/>
        </w:rPr>
      </w:pPr>
    </w:p>
    <w:p>
      <w:pPr>
        <w:jc w:val="both"/>
        <w:ind w:firstLine="1554"/>
        <w:spacing w:after="0" w:line="262" w:lineRule="auto"/>
        <w:rPr>
          <w:sz w:val="20"/>
          <w:szCs w:val="20"/>
          <w:color w:val="auto"/>
        </w:rPr>
      </w:pPr>
      <w:r>
        <w:rPr>
          <w:rFonts w:ascii="Arial" w:cs="Arial" w:eastAsia="Arial" w:hAnsi="Arial"/>
          <w:sz w:val="14"/>
          <w:szCs w:val="14"/>
          <w:color w:val="231F20"/>
        </w:rPr>
        <w:t xml:space="preserve">4.9. </w:t>
      </w:r>
      <w:r>
        <w:rPr>
          <w:rFonts w:ascii="Arial" w:cs="Arial" w:eastAsia="Arial" w:hAnsi="Arial"/>
          <w:sz w:val="14"/>
          <w:szCs w:val="14"/>
          <w:u w:val="single" w:color="auto"/>
          <w:color w:val="231F20"/>
        </w:rPr>
        <w:t>Certificate as to Adjustments</w:t>
      </w:r>
      <w:r>
        <w:rPr>
          <w:rFonts w:ascii="Arial" w:cs="Arial" w:eastAsia="Arial" w:hAnsi="Arial"/>
          <w:sz w:val="14"/>
          <w:szCs w:val="14"/>
          <w:color w:val="231F20"/>
        </w:rPr>
        <w:t xml:space="preserve">. Upon the occurrence of each adjustment or readjustment of the applicable Conversion Price of a series of Preferred Stock pursuant to this </w:t>
      </w:r>
      <w:r>
        <w:rPr>
          <w:rFonts w:ascii="Arial" w:cs="Arial" w:eastAsia="Arial" w:hAnsi="Arial"/>
          <w:sz w:val="14"/>
          <w:szCs w:val="14"/>
          <w:u w:val="single" w:color="auto"/>
          <w:color w:val="231F20"/>
        </w:rPr>
        <w:t>Section 4</w:t>
      </w:r>
      <w:r>
        <w:rPr>
          <w:rFonts w:ascii="Arial" w:cs="Arial" w:eastAsia="Arial" w:hAnsi="Arial"/>
          <w:sz w:val="14"/>
          <w:szCs w:val="14"/>
          <w:color w:val="231F20"/>
        </w:rPr>
        <w:t>, the Corporation at its expense shall, as promptly as reasonably practicable but in any event not later than ten (10) days thereafter, compute such adjustment or readjustment in accordance with the terms hereof and furnish to each holder of such series of Preferred Stock a certificate setting forth such adjustment or readjustment (including the kind and amount of securities, cash or other property into which such Preferred Stock is convertible) and showing in detail the facts upon which such adjustment or readjustment is based. The Corporation shall, as promptly as reasonably practicable after the written request at any time of any holder of a series of Preferred Stock (but in any event not later than ten (10) days thereafter), furnish or cause to be furnished to such holder a certificate setting forth (i) the applicable Conversion Price for such series of Preferred Stock then in effect, and (ii) the number of shares of Common Stock and the</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3" w:right="399"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color w:val="231F20"/>
        </w:rPr>
        <w:t>amount, if any, of other securities, cash or property which then would be received upon the conversion of such series of Preferred Stock.</w:t>
      </w:r>
    </w:p>
    <w:p>
      <w:pPr>
        <w:spacing w:after="0" w:line="195" w:lineRule="exact"/>
        <w:rPr>
          <w:sz w:val="20"/>
          <w:szCs w:val="20"/>
          <w:color w:val="auto"/>
        </w:rPr>
      </w:pPr>
    </w:p>
    <w:p>
      <w:pPr>
        <w:ind w:left="2440"/>
        <w:spacing w:after="0"/>
        <w:tabs>
          <w:tab w:leader="none" w:pos="2940" w:val="left"/>
        </w:tabs>
        <w:rPr>
          <w:sz w:val="20"/>
          <w:szCs w:val="20"/>
          <w:color w:val="auto"/>
        </w:rPr>
      </w:pPr>
      <w:r>
        <w:rPr>
          <w:rFonts w:ascii="Arial" w:cs="Arial" w:eastAsia="Arial" w:hAnsi="Arial"/>
          <w:sz w:val="14"/>
          <w:szCs w:val="14"/>
          <w:color w:val="231F20"/>
        </w:rPr>
        <w:t>4.10.</w:t>
      </w:r>
      <w:r>
        <w:rPr>
          <w:sz w:val="20"/>
          <w:szCs w:val="20"/>
          <w:color w:val="auto"/>
        </w:rPr>
        <w:tab/>
      </w:r>
      <w:r>
        <w:rPr>
          <w:rFonts w:ascii="Arial" w:cs="Arial" w:eastAsia="Arial" w:hAnsi="Arial"/>
          <w:sz w:val="13"/>
          <w:szCs w:val="13"/>
          <w:u w:val="single" w:color="auto"/>
          <w:color w:val="231F20"/>
        </w:rPr>
        <w:t>Notice of Record Date</w:t>
      </w:r>
      <w:r>
        <w:rPr>
          <w:rFonts w:ascii="Arial" w:cs="Arial" w:eastAsia="Arial" w:hAnsi="Arial"/>
          <w:sz w:val="13"/>
          <w:szCs w:val="13"/>
          <w:color w:val="231F20"/>
        </w:rPr>
        <w:t>. In the event:</w:t>
      </w:r>
    </w:p>
    <w:p>
      <w:pPr>
        <w:spacing w:after="0" w:line="184" w:lineRule="exact"/>
        <w:rPr>
          <w:sz w:val="20"/>
          <w:szCs w:val="20"/>
          <w:color w:val="auto"/>
        </w:rPr>
      </w:pPr>
    </w:p>
    <w:p>
      <w:pPr>
        <w:jc w:val="both"/>
        <w:ind w:firstLine="1560"/>
        <w:spacing w:after="0" w:line="273" w:lineRule="auto"/>
        <w:tabs>
          <w:tab w:leader="none" w:pos="2162" w:val="left"/>
        </w:tabs>
        <w:numPr>
          <w:ilvl w:val="0"/>
          <w:numId w:val="161"/>
        </w:numPr>
        <w:rPr>
          <w:rFonts w:ascii="Arial" w:cs="Arial" w:eastAsia="Arial" w:hAnsi="Arial"/>
          <w:sz w:val="14"/>
          <w:szCs w:val="14"/>
          <w:color w:val="231F20"/>
        </w:rPr>
      </w:pPr>
      <w:r>
        <w:rPr>
          <w:rFonts w:ascii="Arial" w:cs="Arial" w:eastAsia="Arial" w:hAnsi="Arial"/>
          <w:sz w:val="14"/>
          <w:szCs w:val="14"/>
          <w:color w:val="231F20"/>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51" w:lineRule="exact"/>
        <w:rPr>
          <w:rFonts w:ascii="Arial" w:cs="Arial" w:eastAsia="Arial" w:hAnsi="Arial"/>
          <w:sz w:val="14"/>
          <w:szCs w:val="14"/>
          <w:color w:val="231F20"/>
        </w:rPr>
      </w:pPr>
    </w:p>
    <w:p>
      <w:pPr>
        <w:ind w:left="2160" w:hanging="600"/>
        <w:spacing w:after="0"/>
        <w:tabs>
          <w:tab w:leader="none" w:pos="2160" w:val="left"/>
        </w:tabs>
        <w:numPr>
          <w:ilvl w:val="0"/>
          <w:numId w:val="161"/>
        </w:numPr>
        <w:rPr>
          <w:rFonts w:ascii="Arial" w:cs="Arial" w:eastAsia="Arial" w:hAnsi="Arial"/>
          <w:sz w:val="13"/>
          <w:szCs w:val="13"/>
          <w:color w:val="231F20"/>
        </w:rPr>
      </w:pPr>
      <w:r>
        <w:rPr>
          <w:rFonts w:ascii="Arial" w:cs="Arial" w:eastAsia="Arial" w:hAnsi="Arial"/>
          <w:sz w:val="13"/>
          <w:szCs w:val="13"/>
          <w:color w:val="231F20"/>
        </w:rPr>
        <w:t>of any capital reorganization of the Corporation, any reclassification of the Common Stock of the Corporation, or any Deemed Liquidation Event; or</w:t>
      </w:r>
    </w:p>
    <w:p>
      <w:pPr>
        <w:spacing w:after="0" w:line="206" w:lineRule="exact"/>
        <w:rPr>
          <w:rFonts w:ascii="Arial" w:cs="Arial" w:eastAsia="Arial" w:hAnsi="Arial"/>
          <w:sz w:val="13"/>
          <w:szCs w:val="13"/>
          <w:color w:val="231F20"/>
        </w:rPr>
      </w:pPr>
    </w:p>
    <w:p>
      <w:pPr>
        <w:jc w:val="both"/>
        <w:ind w:firstLine="1560"/>
        <w:spacing w:after="0" w:line="285" w:lineRule="auto"/>
        <w:tabs>
          <w:tab w:leader="none" w:pos="2152" w:val="left"/>
        </w:tabs>
        <w:numPr>
          <w:ilvl w:val="0"/>
          <w:numId w:val="161"/>
        </w:numPr>
        <w:rPr>
          <w:rFonts w:ascii="Arial" w:cs="Arial" w:eastAsia="Arial" w:hAnsi="Arial"/>
          <w:sz w:val="13"/>
          <w:szCs w:val="13"/>
          <w:color w:val="231F20"/>
        </w:rPr>
      </w:pPr>
      <w:r>
        <w:rPr>
          <w:rFonts w:ascii="Arial" w:cs="Arial" w:eastAsia="Arial" w:hAnsi="Arial"/>
          <w:sz w:val="13"/>
          <w:szCs w:val="13"/>
          <w:color w:val="231F20"/>
        </w:rPr>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49" w:lineRule="exact"/>
        <w:rPr>
          <w:sz w:val="20"/>
          <w:szCs w:val="20"/>
          <w:color w:val="auto"/>
        </w:rPr>
      </w:pPr>
    </w:p>
    <w:p>
      <w:pPr>
        <w:ind w:left="2440" w:hanging="524"/>
        <w:spacing w:after="0"/>
        <w:tabs>
          <w:tab w:leader="none" w:pos="2440" w:val="left"/>
        </w:tabs>
        <w:numPr>
          <w:ilvl w:val="0"/>
          <w:numId w:val="162"/>
        </w:numPr>
        <w:rPr>
          <w:rFonts w:ascii="Arial" w:cs="Arial" w:eastAsia="Arial" w:hAnsi="Arial"/>
          <w:sz w:val="14"/>
          <w:szCs w:val="14"/>
          <w:b w:val="1"/>
          <w:bCs w:val="1"/>
          <w:color w:val="231F20"/>
        </w:rPr>
      </w:pPr>
      <w:r>
        <w:rPr>
          <w:rFonts w:ascii="Arial" w:cs="Arial" w:eastAsia="Arial" w:hAnsi="Arial"/>
          <w:sz w:val="14"/>
          <w:szCs w:val="14"/>
          <w:u w:val="single" w:color="auto"/>
          <w:color w:val="231F20"/>
        </w:rPr>
        <w:t>Mandatory Conversion.</w:t>
      </w:r>
    </w:p>
    <w:p>
      <w:pPr>
        <w:spacing w:after="0" w:line="184" w:lineRule="exact"/>
        <w:rPr>
          <w:sz w:val="20"/>
          <w:szCs w:val="20"/>
          <w:color w:val="auto"/>
        </w:rPr>
      </w:pPr>
    </w:p>
    <w:p>
      <w:pPr>
        <w:jc w:val="both"/>
        <w:ind w:firstLine="1554"/>
        <w:spacing w:after="0" w:line="285" w:lineRule="auto"/>
        <w:rPr>
          <w:sz w:val="20"/>
          <w:szCs w:val="20"/>
          <w:color w:val="auto"/>
        </w:rPr>
      </w:pPr>
      <w:r>
        <w:rPr>
          <w:rFonts w:ascii="Arial" w:cs="Arial" w:eastAsia="Arial" w:hAnsi="Arial"/>
          <w:sz w:val="13"/>
          <w:szCs w:val="13"/>
          <w:color w:val="231F20"/>
        </w:rPr>
        <w:t xml:space="preserve">5.1. </w:t>
      </w:r>
      <w:r>
        <w:rPr>
          <w:rFonts w:ascii="Arial" w:cs="Arial" w:eastAsia="Arial" w:hAnsi="Arial"/>
          <w:sz w:val="13"/>
          <w:szCs w:val="13"/>
          <w:u w:val="single" w:color="auto"/>
          <w:color w:val="231F20"/>
        </w:rPr>
        <w:t>Trigger Events</w:t>
      </w:r>
      <w:r>
        <w:rPr>
          <w:rFonts w:ascii="Arial" w:cs="Arial" w:eastAsia="Arial" w:hAnsi="Arial"/>
          <w:sz w:val="13"/>
          <w:szCs w:val="13"/>
          <w:color w:val="231F20"/>
        </w:rPr>
        <w:t>. Upon either (a) the closing of the sale of shares of Common Stock to the public at a price per share at least equal to $6.4720 (subject to appropriate adjustment in the event of any stock dividend, stock split, combination or other similar recapitalization with respect to the Common Stock), in a firm commitment underwritten public offering pursuant to an effective registration statement under the Securities Act of 1933, as amended, resulting in at least $50,000,000 of proceeds, net of the underwriting discount and commissions, to the Corporation (a “</w:t>
      </w:r>
      <w:r>
        <w:rPr>
          <w:rFonts w:ascii="Arial" w:cs="Arial" w:eastAsia="Arial" w:hAnsi="Arial"/>
          <w:sz w:val="13"/>
          <w:szCs w:val="13"/>
          <w:b w:val="1"/>
          <w:bCs w:val="1"/>
          <w:color w:val="231F20"/>
        </w:rPr>
        <w:t>Qualified IPO</w:t>
      </w:r>
      <w:r>
        <w:rPr>
          <w:rFonts w:ascii="Arial" w:cs="Arial" w:eastAsia="Arial" w:hAnsi="Arial"/>
          <w:sz w:val="13"/>
          <w:szCs w:val="13"/>
          <w:color w:val="231F20"/>
        </w:rPr>
        <w:t>”) or (b) the date and time, or the occurrence of an event, specified by vote or written consent of each of (i) the Preferred Threshold and (ii) the holders of a majority of the outstanding shares of Series C Preferred Stock, voting as a separate class (the time of such closing or the date and time specified or the time of the event specified in such vote or written consent is referred to herein as the “</w:t>
      </w:r>
      <w:r>
        <w:rPr>
          <w:rFonts w:ascii="Arial" w:cs="Arial" w:eastAsia="Arial" w:hAnsi="Arial"/>
          <w:sz w:val="13"/>
          <w:szCs w:val="13"/>
          <w:b w:val="1"/>
          <w:bCs w:val="1"/>
          <w:color w:val="231F20"/>
        </w:rPr>
        <w:t>Mandatory Conversion Time</w:t>
      </w:r>
      <w:r>
        <w:rPr>
          <w:rFonts w:ascii="Arial" w:cs="Arial" w:eastAsia="Arial" w:hAnsi="Arial"/>
          <w:sz w:val="13"/>
          <w:szCs w:val="13"/>
          <w:color w:val="231F20"/>
        </w:rPr>
        <w:t xml:space="preserve">”), then (A) all outstanding shares of Preferred Stock shall automatically be converted into shares of Common Stock, at the then effective conversion rate as calculated pursuant to </w:t>
      </w:r>
      <w:r>
        <w:rPr>
          <w:rFonts w:ascii="Arial" w:cs="Arial" w:eastAsia="Arial" w:hAnsi="Arial"/>
          <w:sz w:val="13"/>
          <w:szCs w:val="13"/>
          <w:u w:val="single" w:color="auto"/>
          <w:color w:val="231F20"/>
        </w:rPr>
        <w:t>Section 4.1.1</w:t>
      </w:r>
      <w:r>
        <w:rPr>
          <w:rFonts w:ascii="Arial" w:cs="Arial" w:eastAsia="Arial" w:hAnsi="Arial"/>
          <w:sz w:val="13"/>
          <w:szCs w:val="13"/>
          <w:color w:val="231F20"/>
        </w:rPr>
        <w:t xml:space="preserve"> and (B) such shares may not be reissued by the Corporation.</w:t>
      </w: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715962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300" w:name="page301"/>
    <w:bookmarkEnd w:id="300"/>
    <w:p>
      <w:pPr>
        <w:jc w:val="both"/>
        <w:ind w:firstLine="1554"/>
        <w:spacing w:after="0" w:line="280" w:lineRule="auto"/>
        <w:rPr>
          <w:sz w:val="20"/>
          <w:szCs w:val="20"/>
          <w:color w:val="auto"/>
        </w:rPr>
      </w:pPr>
      <w:r>
        <w:rPr>
          <w:rFonts w:ascii="Arial" w:cs="Arial" w:eastAsia="Arial" w:hAnsi="Arial"/>
          <w:sz w:val="13"/>
          <w:szCs w:val="13"/>
          <w:color w:val="231F20"/>
        </w:rPr>
        <w:t xml:space="preserve">5.2. </w:t>
      </w:r>
      <w:r>
        <w:rPr>
          <w:rFonts w:ascii="Arial" w:cs="Arial" w:eastAsia="Arial" w:hAnsi="Arial"/>
          <w:sz w:val="13"/>
          <w:szCs w:val="13"/>
          <w:u w:val="single" w:color="auto"/>
          <w:color w:val="231F20"/>
        </w:rPr>
        <w:t>Procedural Requirements</w:t>
      </w:r>
      <w:r>
        <w:rPr>
          <w:rFonts w:ascii="Arial" w:cs="Arial" w:eastAsia="Arial" w:hAnsi="Arial"/>
          <w:sz w:val="13"/>
          <w:szCs w:val="13"/>
          <w:color w:val="231F20"/>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3"/>
          <w:szCs w:val="13"/>
          <w:u w:val="single" w:color="auto"/>
          <w:color w:val="231F20"/>
        </w:rPr>
        <w:t>Section 5.</w:t>
      </w:r>
      <w:r>
        <w:rPr>
          <w:rFonts w:ascii="Arial" w:cs="Arial" w:eastAsia="Arial" w:hAnsi="Arial"/>
          <w:sz w:val="13"/>
          <w:szCs w:val="13"/>
          <w:color w:val="231F20"/>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3"/>
          <w:szCs w:val="13"/>
          <w:u w:val="single" w:color="auto"/>
          <w:color w:val="231F20"/>
        </w:rPr>
        <w:t>Section 5.1</w:t>
      </w:r>
      <w:r>
        <w:rPr>
          <w:rFonts w:ascii="Arial" w:cs="Arial" w:eastAsia="Arial" w:hAnsi="Arial"/>
          <w:sz w:val="13"/>
          <w:szCs w:val="13"/>
          <w:color w:val="231F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3"/>
          <w:szCs w:val="13"/>
          <w:u w:val="single" w:color="auto"/>
          <w:color w:val="231F20"/>
        </w:rPr>
        <w:t>Section 5.2</w:t>
      </w:r>
      <w:r>
        <w:rPr>
          <w:rFonts w:ascii="Arial" w:cs="Arial" w:eastAsia="Arial" w:hAnsi="Arial"/>
          <w:sz w:val="13"/>
          <w:szCs w:val="13"/>
          <w:color w:val="231F20"/>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3"/>
          <w:szCs w:val="13"/>
          <w:u w:val="single" w:color="auto"/>
          <w:color w:val="231F20"/>
        </w:rPr>
        <w:t>Section 4.2</w:t>
      </w:r>
      <w:r>
        <w:rPr>
          <w:rFonts w:ascii="Arial" w:cs="Arial" w:eastAsia="Arial" w:hAnsi="Arial"/>
          <w:sz w:val="13"/>
          <w:szCs w:val="13"/>
          <w:color w:val="231F20"/>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57" w:lineRule="exact"/>
        <w:rPr>
          <w:sz w:val="20"/>
          <w:szCs w:val="20"/>
          <w:color w:val="auto"/>
        </w:rPr>
      </w:pPr>
    </w:p>
    <w:p>
      <w:pPr>
        <w:ind w:left="2260" w:hanging="700"/>
        <w:spacing w:after="0"/>
        <w:tabs>
          <w:tab w:leader="none" w:pos="2260" w:val="left"/>
        </w:tabs>
        <w:numPr>
          <w:ilvl w:val="1"/>
          <w:numId w:val="163"/>
        </w:numPr>
        <w:rPr>
          <w:rFonts w:ascii="Arial" w:cs="Arial" w:eastAsia="Arial" w:hAnsi="Arial"/>
          <w:sz w:val="13"/>
          <w:szCs w:val="13"/>
          <w:b w:val="1"/>
          <w:bCs w:val="1"/>
          <w:color w:val="231F20"/>
        </w:rPr>
      </w:pPr>
      <w:r>
        <w:rPr>
          <w:rFonts w:ascii="Arial" w:cs="Arial" w:eastAsia="Arial" w:hAnsi="Arial"/>
          <w:sz w:val="13"/>
          <w:szCs w:val="13"/>
          <w:u w:val="single" w:color="auto"/>
          <w:color w:val="231F20"/>
        </w:rPr>
        <w:t>Redemption</w:t>
      </w:r>
      <w:r>
        <w:rPr>
          <w:rFonts w:ascii="Arial" w:cs="Arial" w:eastAsia="Arial" w:hAnsi="Arial"/>
          <w:sz w:val="13"/>
          <w:szCs w:val="13"/>
          <w:color w:val="231F20"/>
        </w:rPr>
        <w:t>. The Preferred Stock is not mandatorily redeemable. Any shares of Preferred Stock or Common Stock that are not reserved for issuance under</w:t>
      </w:r>
    </w:p>
    <w:p>
      <w:pPr>
        <w:spacing w:after="0" w:line="32" w:lineRule="exact"/>
        <w:rPr>
          <w:rFonts w:ascii="Arial" w:cs="Arial" w:eastAsia="Arial" w:hAnsi="Arial"/>
          <w:sz w:val="13"/>
          <w:szCs w:val="13"/>
          <w:b w:val="1"/>
          <w:bCs w:val="1"/>
          <w:color w:val="231F20"/>
        </w:rPr>
      </w:pPr>
    </w:p>
    <w:p>
      <w:pPr>
        <w:jc w:val="both"/>
        <w:ind w:firstLine="6"/>
        <w:spacing w:after="0" w:line="266" w:lineRule="auto"/>
        <w:tabs>
          <w:tab w:leader="none" w:pos="239" w:val="left"/>
        </w:tabs>
        <w:numPr>
          <w:ilvl w:val="0"/>
          <w:numId w:val="164"/>
        </w:numPr>
        <w:rPr>
          <w:rFonts w:ascii="Arial" w:cs="Arial" w:eastAsia="Arial" w:hAnsi="Arial"/>
          <w:sz w:val="14"/>
          <w:szCs w:val="14"/>
          <w:color w:val="231F20"/>
        </w:rPr>
      </w:pPr>
      <w:r>
        <w:rPr>
          <w:rFonts w:ascii="Arial" w:cs="Arial" w:eastAsia="Arial" w:hAnsi="Arial"/>
          <w:sz w:val="14"/>
          <w:szCs w:val="14"/>
          <w:color w:val="231F20"/>
        </w:rPr>
        <w:t>the Stock Plan, or (B) any other plan, agreement or arrangement that is approved by the Board, including at least two (2) Preferred Directors,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or Common Stock following redemption.</w:t>
      </w:r>
    </w:p>
    <w:p>
      <w:pPr>
        <w:spacing w:after="0" w:line="145" w:lineRule="exact"/>
        <w:rPr>
          <w:rFonts w:ascii="Arial" w:cs="Arial" w:eastAsia="Arial" w:hAnsi="Arial"/>
          <w:sz w:val="14"/>
          <w:szCs w:val="14"/>
          <w:color w:val="231F20"/>
        </w:rPr>
      </w:pPr>
    </w:p>
    <w:p>
      <w:pPr>
        <w:jc w:val="both"/>
        <w:ind w:firstLine="1560"/>
        <w:spacing w:after="0" w:line="267" w:lineRule="auto"/>
        <w:tabs>
          <w:tab w:leader="none" w:pos="2150" w:val="left"/>
        </w:tabs>
        <w:numPr>
          <w:ilvl w:val="1"/>
          <w:numId w:val="164"/>
        </w:numPr>
        <w:rPr>
          <w:rFonts w:ascii="Arial" w:cs="Arial" w:eastAsia="Arial" w:hAnsi="Arial"/>
          <w:sz w:val="14"/>
          <w:szCs w:val="14"/>
          <w:b w:val="1"/>
          <w:bCs w:val="1"/>
          <w:color w:val="231F20"/>
        </w:rPr>
      </w:pPr>
      <w:r>
        <w:rPr>
          <w:rFonts w:ascii="Arial" w:cs="Arial" w:eastAsia="Arial" w:hAnsi="Arial"/>
          <w:sz w:val="14"/>
          <w:szCs w:val="14"/>
          <w:u w:val="single" w:color="auto"/>
          <w:color w:val="231F20"/>
        </w:rPr>
        <w:t>Waiver</w:t>
      </w:r>
      <w:r>
        <w:rPr>
          <w:rFonts w:ascii="Arial" w:cs="Arial" w:eastAsia="Arial" w:hAnsi="Arial"/>
          <w:sz w:val="14"/>
          <w:szCs w:val="14"/>
          <w:color w:val="231F20"/>
        </w:rPr>
        <w:t xml:space="preserve">. Subject to </w:t>
      </w:r>
      <w:r>
        <w:rPr>
          <w:rFonts w:ascii="Arial" w:cs="Arial" w:eastAsia="Arial" w:hAnsi="Arial"/>
          <w:sz w:val="14"/>
          <w:szCs w:val="14"/>
          <w:u w:val="single" w:color="auto"/>
          <w:color w:val="231F20"/>
        </w:rPr>
        <w:t>Section 3.5</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3.6</w:t>
      </w:r>
      <w:r>
        <w:rPr>
          <w:rFonts w:ascii="Arial" w:cs="Arial" w:eastAsia="Arial" w:hAnsi="Arial"/>
          <w:sz w:val="14"/>
          <w:szCs w:val="14"/>
          <w:color w:val="231F20"/>
        </w:rPr>
        <w:t xml:space="preserve">, and </w:t>
      </w:r>
      <w:r>
        <w:rPr>
          <w:rFonts w:ascii="Arial" w:cs="Arial" w:eastAsia="Arial" w:hAnsi="Arial"/>
          <w:sz w:val="14"/>
          <w:szCs w:val="14"/>
          <w:u w:val="single" w:color="auto"/>
          <w:color w:val="231F20"/>
        </w:rPr>
        <w:t>3.7</w:t>
      </w:r>
      <w:r>
        <w:rPr>
          <w:rFonts w:ascii="Arial" w:cs="Arial" w:eastAsia="Arial" w:hAnsi="Arial"/>
          <w:sz w:val="14"/>
          <w:szCs w:val="14"/>
          <w:color w:val="231F20"/>
        </w:rPr>
        <w:t>, any of the rights, powers, preferences and other terms of the Preferred Stock set forth herein may be waived on behalf of all holders of Preferred Stock by the affirmative written consent or vote of the Preferred Threshold except for (i) the provisions herein that require the affirmative written consent or vote of the Super Preferred Threshold, which provisions may be waived on behalf of all holders of Preferred Stock by the affirmative written consent or vote of the Super Preferred Threshold, and (ii) in addition to the affirmative written consent or vote of the Preferred Threshold, the waiver of Section 2.3.1 or</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3" w:right="399"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color w:val="231F20"/>
        </w:rPr>
        <w:t>Section 5.1 shall require the affirmative written consent or vote of the holders of a majority of the outstanding shares of Series C Preferred Stock, voting as a separate class.</w:t>
      </w:r>
    </w:p>
    <w:p>
      <w:pPr>
        <w:spacing w:after="0" w:line="184" w:lineRule="exact"/>
        <w:rPr>
          <w:sz w:val="20"/>
          <w:szCs w:val="20"/>
          <w:color w:val="auto"/>
        </w:rPr>
      </w:pPr>
    </w:p>
    <w:p>
      <w:pPr>
        <w:jc w:val="both"/>
        <w:ind w:firstLine="1560"/>
        <w:spacing w:after="0" w:line="273" w:lineRule="auto"/>
        <w:tabs>
          <w:tab w:leader="none" w:pos="2197" w:val="left"/>
        </w:tabs>
        <w:numPr>
          <w:ilvl w:val="0"/>
          <w:numId w:val="165"/>
        </w:numPr>
        <w:rPr>
          <w:rFonts w:ascii="Arial" w:cs="Arial" w:eastAsia="Arial" w:hAnsi="Arial"/>
          <w:sz w:val="14"/>
          <w:szCs w:val="14"/>
          <w:b w:val="1"/>
          <w:bCs w:val="1"/>
          <w:color w:val="231F20"/>
        </w:rPr>
      </w:pPr>
      <w:r>
        <w:rPr>
          <w:rFonts w:ascii="Arial" w:cs="Arial" w:eastAsia="Arial" w:hAnsi="Arial"/>
          <w:sz w:val="14"/>
          <w:szCs w:val="14"/>
          <w:u w:val="single" w:color="auto"/>
          <w:color w:val="231F20"/>
        </w:rPr>
        <w:t>Notices</w:t>
      </w:r>
      <w:r>
        <w:rPr>
          <w:rFonts w:ascii="Arial" w:cs="Arial" w:eastAsia="Arial" w:hAnsi="Arial"/>
          <w:sz w:val="14"/>
          <w:szCs w:val="14"/>
          <w:color w:val="231F20"/>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the first business day after such mailing or electronic transmission.</w:t>
      </w:r>
    </w:p>
    <w:p>
      <w:pPr>
        <w:spacing w:after="0" w:line="148" w:lineRule="exact"/>
        <w:rPr>
          <w:sz w:val="20"/>
          <w:szCs w:val="20"/>
          <w:color w:val="auto"/>
        </w:rPr>
      </w:pPr>
    </w:p>
    <w:p>
      <w:pPr>
        <w:jc w:val="both"/>
        <w:ind w:right="20" w:firstLine="1554"/>
        <w:spacing w:after="0" w:line="294" w:lineRule="auto"/>
        <w:rPr>
          <w:sz w:val="20"/>
          <w:szCs w:val="20"/>
          <w:color w:val="auto"/>
        </w:rPr>
      </w:pPr>
      <w:r>
        <w:rPr>
          <w:rFonts w:ascii="Arial" w:cs="Arial" w:eastAsia="Arial" w:hAnsi="Arial"/>
          <w:sz w:val="14"/>
          <w:szCs w:val="14"/>
          <w:b w:val="1"/>
          <w:bCs w:val="1"/>
          <w:color w:val="231F20"/>
        </w:rPr>
        <w:t xml:space="preserve">FIFTH: </w:t>
      </w:r>
      <w:r>
        <w:rPr>
          <w:rFonts w:ascii="Arial" w:cs="Arial" w:eastAsia="Arial" w:hAnsi="Arial"/>
          <w:sz w:val="14"/>
          <w:szCs w:val="14"/>
          <w:color w:val="231F20"/>
        </w:rPr>
        <w:t>Subject to any additional vote required by this Certificate of Incorporation or Bylaws, in furtherance and not in limitation of the powers conferred by statute,</w:t>
      </w:r>
      <w:r>
        <w:rPr>
          <w:rFonts w:ascii="Arial" w:cs="Arial" w:eastAsia="Arial" w:hAnsi="Arial"/>
          <w:sz w:val="14"/>
          <w:szCs w:val="14"/>
          <w:b w:val="1"/>
          <w:bCs w:val="1"/>
          <w:color w:val="231F20"/>
        </w:rPr>
        <w:t xml:space="preserve"> </w:t>
      </w:r>
      <w:r>
        <w:rPr>
          <w:rFonts w:ascii="Arial" w:cs="Arial" w:eastAsia="Arial" w:hAnsi="Arial"/>
          <w:sz w:val="14"/>
          <w:szCs w:val="14"/>
          <w:color w:val="231F20"/>
        </w:rPr>
        <w:t>the Board is expressly authorized to make, repeal, alter, amend and rescind any or all of the Bylaws of the Corporation.</w:t>
      </w:r>
    </w:p>
    <w:p>
      <w:pPr>
        <w:spacing w:after="0" w:line="123" w:lineRule="exact"/>
        <w:rPr>
          <w:sz w:val="20"/>
          <w:szCs w:val="20"/>
          <w:color w:val="auto"/>
        </w:rPr>
      </w:pPr>
    </w:p>
    <w:p>
      <w:pPr>
        <w:jc w:val="both"/>
        <w:ind w:firstLine="1554"/>
        <w:spacing w:after="0" w:line="294" w:lineRule="auto"/>
        <w:rPr>
          <w:sz w:val="20"/>
          <w:szCs w:val="20"/>
          <w:color w:val="auto"/>
        </w:rPr>
      </w:pPr>
      <w:r>
        <w:rPr>
          <w:rFonts w:ascii="Arial" w:cs="Arial" w:eastAsia="Arial" w:hAnsi="Arial"/>
          <w:sz w:val="14"/>
          <w:szCs w:val="14"/>
          <w:b w:val="1"/>
          <w:bCs w:val="1"/>
          <w:color w:val="231F20"/>
        </w:rPr>
        <w:t xml:space="preserve">SIXTH: </w:t>
      </w:r>
      <w:r>
        <w:rPr>
          <w:rFonts w:ascii="Arial" w:cs="Arial" w:eastAsia="Arial" w:hAnsi="Arial"/>
          <w:sz w:val="14"/>
          <w:szCs w:val="14"/>
          <w:color w:val="231F20"/>
        </w:rPr>
        <w:t>The initial number of directors of the Corporation shall be seven. Subject to any additional vote required by this Certificate of Incorporation, the number of</w:t>
      </w:r>
      <w:r>
        <w:rPr>
          <w:rFonts w:ascii="Arial" w:cs="Arial" w:eastAsia="Arial" w:hAnsi="Arial"/>
          <w:sz w:val="14"/>
          <w:szCs w:val="14"/>
          <w:b w:val="1"/>
          <w:bCs w:val="1"/>
          <w:color w:val="231F20"/>
        </w:rPr>
        <w:t xml:space="preserve"> </w:t>
      </w:r>
      <w:r>
        <w:rPr>
          <w:rFonts w:ascii="Arial" w:cs="Arial" w:eastAsia="Arial" w:hAnsi="Arial"/>
          <w:sz w:val="14"/>
          <w:szCs w:val="14"/>
          <w:color w:val="231F20"/>
        </w:rPr>
        <w:t>directors of the Corporation shall be increased or decreased in the manner set forth in the Bylaws of the Corporation.</w:t>
      </w:r>
    </w:p>
    <w:p>
      <w:pPr>
        <w:spacing w:after="0" w:line="123"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231F20"/>
        </w:rPr>
        <w:t xml:space="preserve">SEVENTH: </w:t>
      </w:r>
      <w:r>
        <w:rPr>
          <w:rFonts w:ascii="Arial" w:cs="Arial" w:eastAsia="Arial" w:hAnsi="Arial"/>
          <w:sz w:val="14"/>
          <w:szCs w:val="14"/>
          <w:color w:val="231F20"/>
        </w:rPr>
        <w:t>Elections of directors need not be by written ballot unless the Bylaws of the Corporation shall so provide.</w:t>
      </w:r>
    </w:p>
    <w:p>
      <w:pPr>
        <w:spacing w:after="0" w:line="195" w:lineRule="exact"/>
        <w:rPr>
          <w:sz w:val="20"/>
          <w:szCs w:val="20"/>
          <w:color w:val="auto"/>
        </w:rPr>
      </w:pPr>
    </w:p>
    <w:p>
      <w:pPr>
        <w:jc w:val="both"/>
        <w:ind w:firstLine="1554"/>
        <w:spacing w:after="0" w:line="294" w:lineRule="auto"/>
        <w:rPr>
          <w:sz w:val="20"/>
          <w:szCs w:val="20"/>
          <w:color w:val="auto"/>
        </w:rPr>
      </w:pPr>
      <w:r>
        <w:rPr>
          <w:rFonts w:ascii="Arial" w:cs="Arial" w:eastAsia="Arial" w:hAnsi="Arial"/>
          <w:sz w:val="14"/>
          <w:szCs w:val="14"/>
          <w:b w:val="1"/>
          <w:bCs w:val="1"/>
          <w:color w:val="231F20"/>
        </w:rPr>
        <w:t xml:space="preserve">EIGHTH: </w:t>
      </w:r>
      <w:r>
        <w:rPr>
          <w:rFonts w:ascii="Arial" w:cs="Arial" w:eastAsia="Arial" w:hAnsi="Arial"/>
          <w:sz w:val="14"/>
          <w:szCs w:val="14"/>
          <w:color w:val="231F20"/>
        </w:rPr>
        <w:t>Meetings of stockholders may be held within or without the State of Delaware, as the Bylaws of the Corporation may provide. The books of the</w:t>
      </w:r>
      <w:r>
        <w:rPr>
          <w:rFonts w:ascii="Arial" w:cs="Arial" w:eastAsia="Arial" w:hAnsi="Arial"/>
          <w:sz w:val="14"/>
          <w:szCs w:val="14"/>
          <w:b w:val="1"/>
          <w:bCs w:val="1"/>
          <w:color w:val="231F20"/>
        </w:rPr>
        <w:t xml:space="preserve"> </w:t>
      </w:r>
      <w:r>
        <w:rPr>
          <w:rFonts w:ascii="Arial" w:cs="Arial" w:eastAsia="Arial" w:hAnsi="Arial"/>
          <w:sz w:val="14"/>
          <w:szCs w:val="14"/>
          <w:color w:val="231F20"/>
        </w:rPr>
        <w:t>Corporation may be kept outside the State of Delaware at such place or places as may be designated from time to time by the Board or in the Bylaws of the Corporation.</w:t>
      </w:r>
    </w:p>
    <w:p>
      <w:pPr>
        <w:spacing w:after="0" w:line="123" w:lineRule="exact"/>
        <w:rPr>
          <w:sz w:val="20"/>
          <w:szCs w:val="20"/>
          <w:color w:val="auto"/>
        </w:rPr>
      </w:pPr>
    </w:p>
    <w:p>
      <w:pPr>
        <w:jc w:val="both"/>
        <w:ind w:firstLine="1554"/>
        <w:spacing w:after="0" w:line="269" w:lineRule="auto"/>
        <w:rPr>
          <w:sz w:val="20"/>
          <w:szCs w:val="20"/>
          <w:color w:val="auto"/>
        </w:rPr>
      </w:pPr>
      <w:r>
        <w:rPr>
          <w:rFonts w:ascii="Arial" w:cs="Arial" w:eastAsia="Arial" w:hAnsi="Arial"/>
          <w:sz w:val="14"/>
          <w:szCs w:val="14"/>
          <w:b w:val="1"/>
          <w:bCs w:val="1"/>
          <w:color w:val="231F20"/>
        </w:rPr>
        <w:t xml:space="preserve">NINTH: </w:t>
      </w:r>
      <w:r>
        <w:rPr>
          <w:rFonts w:ascii="Arial" w:cs="Arial" w:eastAsia="Arial" w:hAnsi="Arial"/>
          <w:sz w:val="14"/>
          <w:szCs w:val="14"/>
          <w:color w:val="231F20"/>
        </w:rPr>
        <w:t>To the fullest extent permitted by law, a director of the Corporation shall not be personally liable to the Corporation or its stockholders for monetary damages</w:t>
      </w:r>
      <w:r>
        <w:rPr>
          <w:rFonts w:ascii="Arial" w:cs="Arial" w:eastAsia="Arial" w:hAnsi="Arial"/>
          <w:sz w:val="14"/>
          <w:szCs w:val="14"/>
          <w:b w:val="1"/>
          <w:bCs w:val="1"/>
          <w:color w:val="231F20"/>
        </w:rPr>
        <w:t xml:space="preserve"> </w:t>
      </w:r>
      <w:r>
        <w:rPr>
          <w:rFonts w:ascii="Arial" w:cs="Arial" w:eastAsia="Arial" w:hAnsi="Arial"/>
          <w:sz w:val="14"/>
          <w:szCs w:val="14"/>
          <w:color w:val="231F20"/>
        </w:rPr>
        <w:t>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6" w:lineRule="exact"/>
        <w:rPr>
          <w:sz w:val="20"/>
          <w:szCs w:val="20"/>
          <w:color w:val="auto"/>
        </w:rPr>
      </w:pPr>
    </w:p>
    <w:p>
      <w:pPr>
        <w:jc w:val="both"/>
        <w:ind w:firstLine="1554"/>
        <w:spacing w:after="0" w:line="273" w:lineRule="auto"/>
        <w:rPr>
          <w:sz w:val="20"/>
          <w:szCs w:val="20"/>
          <w:color w:val="auto"/>
        </w:rPr>
      </w:pPr>
      <w:r>
        <w:rPr>
          <w:rFonts w:ascii="Arial" w:cs="Arial" w:eastAsia="Arial" w:hAnsi="Arial"/>
          <w:sz w:val="14"/>
          <w:szCs w:val="14"/>
          <w:color w:val="231F20"/>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37"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231F20"/>
        </w:rPr>
        <w:t xml:space="preserve">TENTH: </w:t>
      </w:r>
      <w:r>
        <w:rPr>
          <w:rFonts w:ascii="Arial" w:cs="Arial" w:eastAsia="Arial" w:hAnsi="Arial"/>
          <w:sz w:val="14"/>
          <w:szCs w:val="14"/>
          <w:color w:val="231F20"/>
        </w:rPr>
        <w:t>The following indemnification provisions shall apply to the persons enumerated below.</w:t>
      </w:r>
    </w:p>
    <w:p>
      <w:pPr>
        <w:spacing w:after="0" w:line="188" w:lineRule="exact"/>
        <w:rPr>
          <w:sz w:val="20"/>
          <w:szCs w:val="20"/>
          <w:color w:val="auto"/>
        </w:rPr>
      </w:pPr>
    </w:p>
    <w:p>
      <w:pPr>
        <w:jc w:val="both"/>
        <w:ind w:firstLine="1560"/>
        <w:spacing w:after="0" w:line="273" w:lineRule="auto"/>
        <w:tabs>
          <w:tab w:leader="none" w:pos="2186" w:val="left"/>
        </w:tabs>
        <w:numPr>
          <w:ilvl w:val="0"/>
          <w:numId w:val="166"/>
        </w:numPr>
        <w:rPr>
          <w:rFonts w:ascii="Arial" w:cs="Arial" w:eastAsia="Arial" w:hAnsi="Arial"/>
          <w:sz w:val="14"/>
          <w:szCs w:val="14"/>
          <w:b w:val="1"/>
          <w:bCs w:val="1"/>
          <w:color w:val="231F20"/>
        </w:rPr>
      </w:pPr>
      <w:r>
        <w:rPr>
          <w:rFonts w:ascii="Arial" w:cs="Arial" w:eastAsia="Arial" w:hAnsi="Arial"/>
          <w:sz w:val="14"/>
          <w:szCs w:val="14"/>
          <w:u w:val="single" w:color="auto"/>
          <w:color w:val="231F20"/>
        </w:rPr>
        <w:t>Right to Indemnification of Directors and Officers</w:t>
      </w:r>
      <w:r>
        <w:rPr>
          <w:rFonts w:ascii="Arial" w:cs="Arial" w:eastAsia="Arial" w:hAnsi="Arial"/>
          <w:sz w:val="14"/>
          <w:szCs w:val="14"/>
          <w:color w:val="231F20"/>
        </w:rPr>
        <w:t>. The Corporation shall indemnify and hold harmless, to the fullest extent permitted by applicable law as it presently exists or may hereafter be amended, any person (an “</w:t>
      </w:r>
      <w:r>
        <w:rPr>
          <w:rFonts w:ascii="Arial" w:cs="Arial" w:eastAsia="Arial" w:hAnsi="Arial"/>
          <w:sz w:val="14"/>
          <w:szCs w:val="14"/>
          <w:b w:val="1"/>
          <w:bCs w:val="1"/>
          <w:color w:val="231F20"/>
        </w:rPr>
        <w:t>Indemnified Person</w:t>
      </w:r>
      <w:r>
        <w:rPr>
          <w:rFonts w:ascii="Arial" w:cs="Arial" w:eastAsia="Arial" w:hAnsi="Arial"/>
          <w:sz w:val="14"/>
          <w:szCs w:val="14"/>
          <w:color w:val="231F20"/>
        </w:rPr>
        <w:t>”) who was or is made or is threatened to be made a party or is otherwise involved in any action, suit or proceeding, whether</w:t>
      </w: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302" w:name="page303"/>
    <w:bookmarkEnd w:id="302"/>
    <w:p>
      <w:pPr>
        <w:jc w:val="both"/>
        <w:spacing w:after="0" w:line="264" w:lineRule="auto"/>
        <w:rPr>
          <w:sz w:val="20"/>
          <w:szCs w:val="20"/>
          <w:color w:val="auto"/>
        </w:rPr>
      </w:pPr>
      <w:r>
        <w:rPr>
          <w:rFonts w:ascii="Arial" w:cs="Arial" w:eastAsia="Arial" w:hAnsi="Arial"/>
          <w:sz w:val="14"/>
          <w:szCs w:val="14"/>
          <w:color w:val="231F20"/>
        </w:rPr>
        <w:t>civil, criminal, administrative or investigative (a “</w:t>
      </w:r>
      <w:r>
        <w:rPr>
          <w:rFonts w:ascii="Arial" w:cs="Arial" w:eastAsia="Arial" w:hAnsi="Arial"/>
          <w:sz w:val="14"/>
          <w:szCs w:val="14"/>
          <w:b w:val="1"/>
          <w:bCs w:val="1"/>
          <w:color w:val="231F20"/>
        </w:rPr>
        <w:t>Proceeding</w:t>
      </w:r>
      <w:r>
        <w:rPr>
          <w:rFonts w:ascii="Arial" w:cs="Arial" w:eastAsia="Arial" w:hAnsi="Arial"/>
          <w:sz w:val="14"/>
          <w:szCs w:val="14"/>
          <w:color w:val="231F20"/>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4"/>
          <w:szCs w:val="14"/>
          <w:u w:val="single" w:color="auto"/>
          <w:color w:val="231F20"/>
        </w:rPr>
        <w:t>Section 3</w:t>
      </w:r>
      <w:r>
        <w:rPr>
          <w:rFonts w:ascii="Arial" w:cs="Arial" w:eastAsia="Arial" w:hAnsi="Arial"/>
          <w:sz w:val="14"/>
          <w:szCs w:val="14"/>
          <w:color w:val="231F20"/>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w:t>
      </w:r>
    </w:p>
    <w:p>
      <w:pPr>
        <w:spacing w:after="0" w:line="150" w:lineRule="exact"/>
        <w:rPr>
          <w:sz w:val="20"/>
          <w:szCs w:val="20"/>
          <w:color w:val="auto"/>
        </w:rPr>
      </w:pPr>
    </w:p>
    <w:p>
      <w:pPr>
        <w:jc w:val="both"/>
        <w:ind w:firstLine="1560"/>
        <w:spacing w:after="0" w:line="267" w:lineRule="auto"/>
        <w:tabs>
          <w:tab w:leader="none" w:pos="2186" w:val="left"/>
        </w:tabs>
        <w:numPr>
          <w:ilvl w:val="0"/>
          <w:numId w:val="167"/>
        </w:numPr>
        <w:rPr>
          <w:rFonts w:ascii="Arial" w:cs="Arial" w:eastAsia="Arial" w:hAnsi="Arial"/>
          <w:sz w:val="14"/>
          <w:szCs w:val="14"/>
          <w:b w:val="1"/>
          <w:bCs w:val="1"/>
          <w:color w:val="231F20"/>
        </w:rPr>
      </w:pPr>
      <w:r>
        <w:rPr>
          <w:rFonts w:ascii="Arial" w:cs="Arial" w:eastAsia="Arial" w:hAnsi="Arial"/>
          <w:sz w:val="14"/>
          <w:szCs w:val="14"/>
          <w:u w:val="single" w:color="auto"/>
          <w:color w:val="231F20"/>
        </w:rPr>
        <w:t>Prepayment of Expenses of Directors and Officers</w:t>
      </w:r>
      <w:r>
        <w:rPr>
          <w:rFonts w:ascii="Arial" w:cs="Arial" w:eastAsia="Arial" w:hAnsi="Arial"/>
          <w:sz w:val="14"/>
          <w:szCs w:val="14"/>
          <w:color w:val="231F20"/>
        </w:rPr>
        <w:t xml:space="preserve">. The Corporation shall pay the expenses (including attorneys’ fees) incurred by an Indemnified Person in defending any Proceeding in advance of its final disposition, </w:t>
      </w:r>
      <w:r>
        <w:rPr>
          <w:rFonts w:ascii="Arial" w:cs="Arial" w:eastAsia="Arial" w:hAnsi="Arial"/>
          <w:sz w:val="14"/>
          <w:szCs w:val="14"/>
          <w:u w:val="single" w:color="auto"/>
          <w:color w:val="231F20"/>
        </w:rPr>
        <w:t>provided</w:t>
      </w:r>
      <w:r>
        <w:rPr>
          <w:rFonts w:ascii="Arial" w:cs="Arial" w:eastAsia="Arial" w:hAnsi="Arial"/>
          <w:sz w:val="14"/>
          <w:szCs w:val="14"/>
          <w:color w:val="231F20"/>
        </w:rPr>
        <w:t xml:space="preserve">, </w:t>
      </w:r>
      <w:r>
        <w:rPr>
          <w:rFonts w:ascii="Arial" w:cs="Arial" w:eastAsia="Arial" w:hAnsi="Arial"/>
          <w:sz w:val="14"/>
          <w:szCs w:val="14"/>
          <w:u w:val="single" w:color="auto"/>
          <w:color w:val="231F20"/>
        </w:rPr>
        <w:t>however</w:t>
      </w:r>
      <w:r>
        <w:rPr>
          <w:rFonts w:ascii="Arial" w:cs="Arial" w:eastAsia="Arial" w:hAnsi="Arial"/>
          <w:sz w:val="14"/>
          <w:szCs w:val="14"/>
          <w:color w:val="231F20"/>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57" w:lineRule="exact"/>
        <w:rPr>
          <w:rFonts w:ascii="Arial" w:cs="Arial" w:eastAsia="Arial" w:hAnsi="Arial"/>
          <w:sz w:val="14"/>
          <w:szCs w:val="14"/>
          <w:b w:val="1"/>
          <w:bCs w:val="1"/>
          <w:color w:val="231F20"/>
        </w:rPr>
      </w:pPr>
    </w:p>
    <w:p>
      <w:pPr>
        <w:jc w:val="both"/>
        <w:ind w:firstLine="1560"/>
        <w:spacing w:after="0" w:line="267" w:lineRule="auto"/>
        <w:tabs>
          <w:tab w:leader="none" w:pos="2186" w:val="left"/>
        </w:tabs>
        <w:numPr>
          <w:ilvl w:val="0"/>
          <w:numId w:val="167"/>
        </w:numPr>
        <w:rPr>
          <w:rFonts w:ascii="Arial" w:cs="Arial" w:eastAsia="Arial" w:hAnsi="Arial"/>
          <w:sz w:val="14"/>
          <w:szCs w:val="14"/>
          <w:b w:val="1"/>
          <w:bCs w:val="1"/>
          <w:color w:val="231F20"/>
        </w:rPr>
      </w:pPr>
      <w:r>
        <w:rPr>
          <w:rFonts w:ascii="Arial" w:cs="Arial" w:eastAsia="Arial" w:hAnsi="Arial"/>
          <w:sz w:val="14"/>
          <w:szCs w:val="14"/>
          <w:u w:val="single" w:color="auto"/>
          <w:color w:val="231F20"/>
        </w:rPr>
        <w:t>Claims by Directors and Officers</w:t>
      </w:r>
      <w:r>
        <w:rPr>
          <w:rFonts w:ascii="Arial" w:cs="Arial" w:eastAsia="Arial" w:hAnsi="Arial"/>
          <w:sz w:val="14"/>
          <w:szCs w:val="14"/>
          <w:color w:val="231F20"/>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57" w:lineRule="exact"/>
        <w:rPr>
          <w:rFonts w:ascii="Arial" w:cs="Arial" w:eastAsia="Arial" w:hAnsi="Arial"/>
          <w:sz w:val="14"/>
          <w:szCs w:val="14"/>
          <w:b w:val="1"/>
          <w:bCs w:val="1"/>
          <w:color w:val="231F20"/>
        </w:rPr>
      </w:pPr>
    </w:p>
    <w:p>
      <w:pPr>
        <w:jc w:val="both"/>
        <w:ind w:firstLine="1560"/>
        <w:spacing w:after="0" w:line="285" w:lineRule="auto"/>
        <w:tabs>
          <w:tab w:leader="none" w:pos="2186" w:val="left"/>
        </w:tabs>
        <w:numPr>
          <w:ilvl w:val="0"/>
          <w:numId w:val="167"/>
        </w:numPr>
        <w:rPr>
          <w:rFonts w:ascii="Arial" w:cs="Arial" w:eastAsia="Arial" w:hAnsi="Arial"/>
          <w:sz w:val="13"/>
          <w:szCs w:val="13"/>
          <w:b w:val="1"/>
          <w:bCs w:val="1"/>
          <w:color w:val="231F20"/>
        </w:rPr>
      </w:pPr>
      <w:r>
        <w:rPr>
          <w:rFonts w:ascii="Arial" w:cs="Arial" w:eastAsia="Arial" w:hAnsi="Arial"/>
          <w:sz w:val="13"/>
          <w:szCs w:val="13"/>
          <w:u w:val="single" w:color="auto"/>
          <w:color w:val="231F20"/>
        </w:rPr>
        <w:t>Indemnification of Employees and Agents</w:t>
      </w:r>
      <w:r>
        <w:rPr>
          <w:rFonts w:ascii="Arial" w:cs="Arial" w:eastAsia="Arial" w:hAnsi="Arial"/>
          <w:sz w:val="13"/>
          <w:szCs w:val="13"/>
          <w:color w:val="231F20"/>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in its sole discretion. Notwithstanding the foregoing sentence, the Corporation shall not be required to indemnify a person in connection with a Proceeding initiated by such person if the Proceeding was not authorized in advance by the Board.</w:t>
      </w:r>
    </w:p>
    <w:p>
      <w:pPr>
        <w:spacing w:after="0" w:line="138" w:lineRule="exact"/>
        <w:rPr>
          <w:rFonts w:ascii="Arial" w:cs="Arial" w:eastAsia="Arial" w:hAnsi="Arial"/>
          <w:sz w:val="13"/>
          <w:szCs w:val="13"/>
          <w:b w:val="1"/>
          <w:bCs w:val="1"/>
          <w:color w:val="231F20"/>
        </w:rPr>
      </w:pPr>
    </w:p>
    <w:p>
      <w:pPr>
        <w:ind w:left="2200" w:hanging="640"/>
        <w:spacing w:after="0"/>
        <w:tabs>
          <w:tab w:leader="none" w:pos="2200" w:val="left"/>
        </w:tabs>
        <w:numPr>
          <w:ilvl w:val="0"/>
          <w:numId w:val="167"/>
        </w:numPr>
        <w:rPr>
          <w:rFonts w:ascii="Arial" w:cs="Arial" w:eastAsia="Arial" w:hAnsi="Arial"/>
          <w:sz w:val="13"/>
          <w:szCs w:val="13"/>
          <w:b w:val="1"/>
          <w:bCs w:val="1"/>
          <w:color w:val="231F20"/>
        </w:rPr>
      </w:pPr>
      <w:r>
        <w:rPr>
          <w:rFonts w:ascii="Arial" w:cs="Arial" w:eastAsia="Arial" w:hAnsi="Arial"/>
          <w:sz w:val="13"/>
          <w:szCs w:val="13"/>
          <w:u w:val="single" w:color="auto"/>
          <w:color w:val="231F20"/>
        </w:rPr>
        <w:t>Advancement of Expenses of Employees and Agents</w:t>
      </w:r>
      <w:r>
        <w:rPr>
          <w:rFonts w:ascii="Arial" w:cs="Arial" w:eastAsia="Arial" w:hAnsi="Arial"/>
          <w:sz w:val="13"/>
          <w:szCs w:val="13"/>
          <w:color w:val="231F20"/>
        </w:rPr>
        <w:t>. The Corporation may pay the expenses (including attorneys’ fees) incurred by an employee or agent</w:t>
      </w:r>
    </w:p>
    <w:p>
      <w:pPr>
        <w:spacing w:after="0" w:line="32" w:lineRule="exact"/>
        <w:rPr>
          <w:rFonts w:ascii="Arial" w:cs="Arial" w:eastAsia="Arial" w:hAnsi="Arial"/>
          <w:sz w:val="13"/>
          <w:szCs w:val="13"/>
          <w:b w:val="1"/>
          <w:bCs w:val="1"/>
          <w:color w:val="231F20"/>
        </w:rPr>
      </w:pPr>
    </w:p>
    <w:p>
      <w:pPr>
        <w:spacing w:after="0"/>
        <w:rPr>
          <w:rFonts w:ascii="Arial" w:cs="Arial" w:eastAsia="Arial" w:hAnsi="Arial"/>
          <w:sz w:val="13"/>
          <w:szCs w:val="13"/>
          <w:b w:val="1"/>
          <w:bCs w:val="1"/>
          <w:color w:val="231F20"/>
        </w:rPr>
      </w:pPr>
      <w:r>
        <w:rPr>
          <w:rFonts w:ascii="Arial" w:cs="Arial" w:eastAsia="Arial" w:hAnsi="Arial"/>
          <w:sz w:val="14"/>
          <w:szCs w:val="14"/>
          <w:color w:val="231F20"/>
        </w:rPr>
        <w:t>in defending any</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1" w:right="399"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color w:val="231F20"/>
        </w:rPr>
        <w:t>Proceeding in advance of its final disposition on such terms and conditions as may be determined by the Board.</w:t>
      </w:r>
    </w:p>
    <w:p>
      <w:pPr>
        <w:spacing w:after="0" w:line="184" w:lineRule="exact"/>
        <w:rPr>
          <w:sz w:val="20"/>
          <w:szCs w:val="20"/>
          <w:color w:val="auto"/>
        </w:rPr>
      </w:pPr>
    </w:p>
    <w:p>
      <w:pPr>
        <w:ind w:firstLine="1560"/>
        <w:spacing w:after="0" w:line="329" w:lineRule="auto"/>
        <w:tabs>
          <w:tab w:leader="none" w:pos="2186" w:val="left"/>
        </w:tabs>
        <w:numPr>
          <w:ilvl w:val="0"/>
          <w:numId w:val="168"/>
        </w:numPr>
        <w:rPr>
          <w:rFonts w:ascii="Arial" w:cs="Arial" w:eastAsia="Arial" w:hAnsi="Arial"/>
          <w:sz w:val="13"/>
          <w:szCs w:val="13"/>
          <w:b w:val="1"/>
          <w:bCs w:val="1"/>
          <w:color w:val="231F20"/>
        </w:rPr>
      </w:pPr>
      <w:r>
        <w:rPr>
          <w:rFonts w:ascii="Arial" w:cs="Arial" w:eastAsia="Arial" w:hAnsi="Arial"/>
          <w:sz w:val="13"/>
          <w:szCs w:val="13"/>
          <w:u w:val="single" w:color="auto"/>
          <w:color w:val="231F20"/>
        </w:rPr>
        <w:t>Non-Exclusivity of Rights</w:t>
      </w:r>
      <w:r>
        <w:rPr>
          <w:rFonts w:ascii="Arial" w:cs="Arial" w:eastAsia="Arial" w:hAnsi="Arial"/>
          <w:sz w:val="13"/>
          <w:szCs w:val="13"/>
          <w:color w:val="231F20"/>
        </w:rPr>
        <w:t>. The rights conferred on any person by this Article Tenth shall not be exclusive of any other rights which such person may have or hereafter acquire under any statute, provision of the Certificate of Incorporation, the Bylaws of the Corporation, agreement, vote of stockholders or disinterested directors or otherwise.</w:t>
      </w:r>
    </w:p>
    <w:p>
      <w:pPr>
        <w:spacing w:after="0" w:line="118" w:lineRule="exact"/>
        <w:rPr>
          <w:rFonts w:ascii="Arial" w:cs="Arial" w:eastAsia="Arial" w:hAnsi="Arial"/>
          <w:sz w:val="13"/>
          <w:szCs w:val="13"/>
          <w:b w:val="1"/>
          <w:bCs w:val="1"/>
          <w:color w:val="231F20"/>
        </w:rPr>
      </w:pPr>
    </w:p>
    <w:p>
      <w:pPr>
        <w:jc w:val="both"/>
        <w:ind w:firstLine="1560"/>
        <w:spacing w:after="0" w:line="273" w:lineRule="auto"/>
        <w:tabs>
          <w:tab w:leader="none" w:pos="2121" w:val="left"/>
        </w:tabs>
        <w:numPr>
          <w:ilvl w:val="0"/>
          <w:numId w:val="168"/>
        </w:numPr>
        <w:rPr>
          <w:rFonts w:ascii="Arial" w:cs="Arial" w:eastAsia="Arial" w:hAnsi="Arial"/>
          <w:sz w:val="14"/>
          <w:szCs w:val="14"/>
          <w:b w:val="1"/>
          <w:bCs w:val="1"/>
          <w:color w:val="231F20"/>
        </w:rPr>
      </w:pPr>
      <w:r>
        <w:rPr>
          <w:rFonts w:ascii="Arial" w:cs="Arial" w:eastAsia="Arial" w:hAnsi="Arial"/>
          <w:sz w:val="14"/>
          <w:szCs w:val="14"/>
          <w:u w:val="single" w:color="auto"/>
          <w:color w:val="231F20"/>
        </w:rPr>
        <w:t>Other Indemnification</w:t>
      </w:r>
      <w:r>
        <w:rPr>
          <w:rFonts w:ascii="Arial" w:cs="Arial" w:eastAsia="Arial" w:hAnsi="Arial"/>
          <w:sz w:val="14"/>
          <w:szCs w:val="14"/>
          <w:color w:val="231F20"/>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41" w:lineRule="exact"/>
        <w:rPr>
          <w:rFonts w:ascii="Arial" w:cs="Arial" w:eastAsia="Arial" w:hAnsi="Arial"/>
          <w:sz w:val="14"/>
          <w:szCs w:val="14"/>
          <w:b w:val="1"/>
          <w:bCs w:val="1"/>
          <w:color w:val="231F20"/>
        </w:rPr>
      </w:pPr>
    </w:p>
    <w:p>
      <w:pPr>
        <w:jc w:val="both"/>
        <w:ind w:firstLine="1560"/>
        <w:spacing w:after="0" w:line="267" w:lineRule="auto"/>
        <w:tabs>
          <w:tab w:leader="none" w:pos="2186" w:val="left"/>
        </w:tabs>
        <w:numPr>
          <w:ilvl w:val="0"/>
          <w:numId w:val="168"/>
        </w:numPr>
        <w:rPr>
          <w:rFonts w:ascii="Arial" w:cs="Arial" w:eastAsia="Arial" w:hAnsi="Arial"/>
          <w:sz w:val="14"/>
          <w:szCs w:val="14"/>
          <w:b w:val="1"/>
          <w:bCs w:val="1"/>
          <w:color w:val="231F20"/>
        </w:rPr>
      </w:pPr>
      <w:r>
        <w:rPr>
          <w:rFonts w:ascii="Arial" w:cs="Arial" w:eastAsia="Arial" w:hAnsi="Arial"/>
          <w:sz w:val="14"/>
          <w:szCs w:val="14"/>
          <w:u w:val="single" w:color="auto"/>
          <w:color w:val="231F20"/>
        </w:rPr>
        <w:t>Insurance</w:t>
      </w:r>
      <w:r>
        <w:rPr>
          <w:rFonts w:ascii="Arial" w:cs="Arial" w:eastAsia="Arial" w:hAnsi="Arial"/>
          <w:sz w:val="14"/>
          <w:szCs w:val="14"/>
          <w:color w:val="231F20"/>
        </w:rPr>
        <w:t>. The Board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57" w:lineRule="exact"/>
        <w:rPr>
          <w:rFonts w:ascii="Arial" w:cs="Arial" w:eastAsia="Arial" w:hAnsi="Arial"/>
          <w:sz w:val="14"/>
          <w:szCs w:val="14"/>
          <w:b w:val="1"/>
          <w:bCs w:val="1"/>
          <w:color w:val="231F20"/>
        </w:rPr>
      </w:pPr>
    </w:p>
    <w:p>
      <w:pPr>
        <w:ind w:firstLine="1560"/>
        <w:spacing w:after="0" w:line="288" w:lineRule="auto"/>
        <w:tabs>
          <w:tab w:leader="none" w:pos="2197" w:val="left"/>
        </w:tabs>
        <w:numPr>
          <w:ilvl w:val="0"/>
          <w:numId w:val="168"/>
        </w:numPr>
        <w:rPr>
          <w:rFonts w:ascii="Arial" w:cs="Arial" w:eastAsia="Arial" w:hAnsi="Arial"/>
          <w:sz w:val="14"/>
          <w:szCs w:val="14"/>
          <w:b w:val="1"/>
          <w:bCs w:val="1"/>
          <w:color w:val="231F20"/>
        </w:rPr>
      </w:pPr>
      <w:r>
        <w:rPr>
          <w:rFonts w:ascii="Arial" w:cs="Arial" w:eastAsia="Arial" w:hAnsi="Arial"/>
          <w:sz w:val="14"/>
          <w:szCs w:val="14"/>
          <w:u w:val="single" w:color="auto"/>
          <w:color w:val="231F20"/>
        </w:rPr>
        <w:t>Amendment or Repeal</w:t>
      </w:r>
      <w:r>
        <w:rPr>
          <w:rFonts w:ascii="Arial" w:cs="Arial" w:eastAsia="Arial" w:hAnsi="Arial"/>
          <w:sz w:val="14"/>
          <w:szCs w:val="14"/>
          <w:color w:val="231F20"/>
        </w:rPr>
        <w:t>. Any repeal or modification of the foregoing provisions of this Article Tenth shall not adversely affect any right or protection hereunder of any person in respect of any act or omission occurring prior to the time of such repeal or modification.</w:t>
      </w:r>
    </w:p>
    <w:p>
      <w:pPr>
        <w:spacing w:after="0" w:line="132" w:lineRule="exact"/>
        <w:rPr>
          <w:sz w:val="20"/>
          <w:szCs w:val="20"/>
          <w:color w:val="auto"/>
        </w:rPr>
      </w:pPr>
    </w:p>
    <w:p>
      <w:pPr>
        <w:ind w:left="1560"/>
        <w:spacing w:after="0"/>
        <w:rPr>
          <w:sz w:val="20"/>
          <w:szCs w:val="20"/>
          <w:color w:val="auto"/>
        </w:rPr>
      </w:pPr>
      <w:r>
        <w:rPr>
          <w:rFonts w:ascii="Arial" w:cs="Arial" w:eastAsia="Arial" w:hAnsi="Arial"/>
          <w:sz w:val="14"/>
          <w:szCs w:val="14"/>
          <w:color w:val="231F20"/>
        </w:rPr>
        <w:t>The rights provided hereunder shall inure to the benefit of any Indemnified Person and such person’s heirs, executors and administrators.</w:t>
      </w:r>
    </w:p>
    <w:p>
      <w:pPr>
        <w:spacing w:after="0" w:line="191" w:lineRule="exact"/>
        <w:rPr>
          <w:sz w:val="20"/>
          <w:szCs w:val="20"/>
          <w:color w:val="auto"/>
        </w:rPr>
      </w:pPr>
    </w:p>
    <w:p>
      <w:pPr>
        <w:jc w:val="both"/>
        <w:ind w:firstLine="1554"/>
        <w:spacing w:after="0" w:line="285" w:lineRule="auto"/>
        <w:rPr>
          <w:sz w:val="20"/>
          <w:szCs w:val="20"/>
          <w:color w:val="auto"/>
        </w:rPr>
      </w:pPr>
      <w:r>
        <w:rPr>
          <w:rFonts w:ascii="Arial" w:cs="Arial" w:eastAsia="Arial" w:hAnsi="Arial"/>
          <w:sz w:val="13"/>
          <w:szCs w:val="13"/>
          <w:b w:val="1"/>
          <w:bCs w:val="1"/>
          <w:color w:val="231F20"/>
        </w:rPr>
        <w:t xml:space="preserve">ELEVENTH: </w:t>
      </w:r>
      <w:r>
        <w:rPr>
          <w:rFonts w:ascii="Arial" w:cs="Arial" w:eastAsia="Arial" w:hAnsi="Arial"/>
          <w:sz w:val="13"/>
          <w:szCs w:val="13"/>
          <w:color w:val="231F20"/>
        </w:rPr>
        <w:t>The Corporation renounces, to the fullest extent permitted by law, any interest or expectancy of the Corporation in, or in being offered an opportunity to</w:t>
      </w:r>
      <w:r>
        <w:rPr>
          <w:rFonts w:ascii="Arial" w:cs="Arial" w:eastAsia="Arial" w:hAnsi="Arial"/>
          <w:sz w:val="13"/>
          <w:szCs w:val="13"/>
          <w:b w:val="1"/>
          <w:bCs w:val="1"/>
          <w:color w:val="231F20"/>
        </w:rPr>
        <w:t xml:space="preserve"> </w:t>
      </w:r>
      <w:r>
        <w:rPr>
          <w:rFonts w:ascii="Arial" w:cs="Arial" w:eastAsia="Arial" w:hAnsi="Arial"/>
          <w:sz w:val="13"/>
          <w:szCs w:val="13"/>
          <w:color w:val="231F20"/>
        </w:rPr>
        <w:t>participate in, any Excluded Opportunity. An “</w:t>
      </w:r>
      <w:r>
        <w:rPr>
          <w:rFonts w:ascii="Arial" w:cs="Arial" w:eastAsia="Arial" w:hAnsi="Arial"/>
          <w:sz w:val="13"/>
          <w:szCs w:val="13"/>
          <w:b w:val="1"/>
          <w:bCs w:val="1"/>
          <w:color w:val="231F20"/>
        </w:rPr>
        <w:t>Excluded Opportunity</w:t>
      </w:r>
      <w:r>
        <w:rPr>
          <w:rFonts w:ascii="Arial" w:cs="Arial" w:eastAsia="Arial" w:hAnsi="Arial"/>
          <w:sz w:val="13"/>
          <w:szCs w:val="13"/>
          <w:color w:val="231F20"/>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3"/>
          <w:szCs w:val="13"/>
          <w:b w:val="1"/>
          <w:bCs w:val="1"/>
          <w:color w:val="231F20"/>
        </w:rPr>
        <w:t>Covered Persons</w:t>
      </w:r>
      <w:r>
        <w:rPr>
          <w:rFonts w:ascii="Arial" w:cs="Arial" w:eastAsia="Arial" w:hAnsi="Arial"/>
          <w:sz w:val="13"/>
          <w:szCs w:val="13"/>
          <w:color w:val="231F20"/>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Certificate of Incorporation, the affirmative vote of the holders of at least a majority of the shares of Preferred Stock then outstanding, will be required to amend or repeal, or to adopt any provisions inconsistent with this Article Eleventh.</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4"/>
          <w:szCs w:val="14"/>
          <w:color w:val="231F20"/>
        </w:rPr>
        <w:t>* * *</w:t>
      </w:r>
    </w:p>
    <w:p>
      <w:pPr>
        <w:spacing w:after="0" w:line="184" w:lineRule="exact"/>
        <w:rPr>
          <w:sz w:val="20"/>
          <w:szCs w:val="20"/>
          <w:color w:val="auto"/>
        </w:rPr>
      </w:pPr>
    </w:p>
    <w:p>
      <w:pPr>
        <w:ind w:left="-100" w:firstLine="1560"/>
        <w:spacing w:after="0" w:line="288" w:lineRule="auto"/>
        <w:tabs>
          <w:tab w:leader="none" w:pos="2097" w:val="left"/>
        </w:tabs>
        <w:numPr>
          <w:ilvl w:val="0"/>
          <w:numId w:val="169"/>
        </w:numPr>
        <w:rPr>
          <w:rFonts w:ascii="Arial" w:cs="Arial" w:eastAsia="Arial" w:hAnsi="Arial"/>
          <w:sz w:val="14"/>
          <w:szCs w:val="14"/>
          <w:b w:val="1"/>
          <w:bCs w:val="1"/>
          <w:color w:val="231F20"/>
        </w:rPr>
      </w:pPr>
      <w:r>
        <w:rPr>
          <w:rFonts w:ascii="Arial" w:cs="Arial" w:eastAsia="Arial" w:hAnsi="Arial"/>
          <w:sz w:val="14"/>
          <w:szCs w:val="14"/>
          <w:color w:val="231F20"/>
        </w:rPr>
        <w:t>That the foregoing amendment and restatement was approved by the holders of the requisite number of shares of this corporation in accordance with Section 228 of the General Corporation Law.</w:t>
      </w:r>
    </w:p>
    <w:p>
      <w:pPr>
        <w:spacing w:after="0" w:line="131" w:lineRule="exact"/>
        <w:rPr>
          <w:rFonts w:ascii="Arial" w:cs="Arial" w:eastAsia="Arial" w:hAnsi="Arial"/>
          <w:sz w:val="14"/>
          <w:szCs w:val="14"/>
          <w:b w:val="1"/>
          <w:bCs w:val="1"/>
          <w:color w:val="231F20"/>
        </w:rPr>
      </w:pPr>
    </w:p>
    <w:p>
      <w:pPr>
        <w:ind w:left="-100" w:right="20" w:firstLine="1560"/>
        <w:spacing w:after="0" w:line="288" w:lineRule="auto"/>
        <w:tabs>
          <w:tab w:leader="none" w:pos="2086" w:val="left"/>
        </w:tabs>
        <w:numPr>
          <w:ilvl w:val="0"/>
          <w:numId w:val="169"/>
        </w:numPr>
        <w:rPr>
          <w:rFonts w:ascii="Arial" w:cs="Arial" w:eastAsia="Arial" w:hAnsi="Arial"/>
          <w:sz w:val="14"/>
          <w:szCs w:val="14"/>
          <w:b w:val="1"/>
          <w:bCs w:val="1"/>
          <w:color w:val="231F20"/>
        </w:rPr>
      </w:pPr>
      <w:r>
        <w:rPr>
          <w:rFonts w:ascii="Arial" w:cs="Arial" w:eastAsia="Arial" w:hAnsi="Arial"/>
          <w:sz w:val="14"/>
          <w:szCs w:val="14"/>
          <w:color w:val="231F20"/>
        </w:rPr>
        <w:t>That this Certificate of Incorporation, which restates and integrates and further amends the provisions of this Corporation’s Certificate of Incorporation, has been duly adopted in accordance with Sections 242 and 245 of the General Corporation Law.</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231F20"/>
        </w:rPr>
        <w:t>[Signature Page Follows]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137795</wp:posOffset>
            </wp:positionV>
            <wp:extent cx="715962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00"/>
          </w:cols>
          <w:pgMar w:left="400" w:top="582" w:right="399" w:bottom="1440" w:gutter="0" w:footer="0" w:header="0"/>
        </w:sectPr>
      </w:pPr>
    </w:p>
    <w:bookmarkStart w:id="305" w:name="page306"/>
    <w:bookmarkEnd w:id="305"/>
    <w:p>
      <w:pPr>
        <w:ind w:left="1560"/>
        <w:spacing w:after="0"/>
        <w:rPr>
          <w:sz w:val="20"/>
          <w:szCs w:val="20"/>
          <w:color w:val="auto"/>
        </w:rPr>
      </w:pPr>
      <w:r>
        <w:rPr>
          <w:rFonts w:ascii="Arial" w:cs="Arial" w:eastAsia="Arial" w:hAnsi="Arial"/>
          <w:sz w:val="13"/>
          <w:szCs w:val="13"/>
          <w:b w:val="1"/>
          <w:bCs w:val="1"/>
          <w:color w:val="231F20"/>
        </w:rPr>
        <w:t>IN WITNESS WHEREOF</w:t>
      </w:r>
      <w:r>
        <w:rPr>
          <w:rFonts w:ascii="Arial" w:cs="Arial" w:eastAsia="Arial" w:hAnsi="Arial"/>
          <w:sz w:val="13"/>
          <w:szCs w:val="13"/>
          <w:color w:val="231F20"/>
        </w:rPr>
        <w:t>, this Amended and Restated Certificate of Incorporation has been executed by a duly authorized officer of this corporation on this 25</w:t>
      </w:r>
      <w:r>
        <w:rPr>
          <w:rFonts w:ascii="Arial" w:cs="Arial" w:eastAsia="Arial" w:hAnsi="Arial"/>
          <w:sz w:val="21"/>
          <w:szCs w:val="21"/>
          <w:color w:val="231F20"/>
          <w:vertAlign w:val="superscript"/>
        </w:rPr>
        <w:t>th</w:t>
      </w:r>
    </w:p>
    <w:p>
      <w:pPr>
        <w:spacing w:after="0"/>
        <w:rPr>
          <w:sz w:val="20"/>
          <w:szCs w:val="20"/>
          <w:color w:val="auto"/>
        </w:rPr>
      </w:pPr>
      <w:r>
        <w:rPr>
          <w:rFonts w:ascii="Arial" w:cs="Arial" w:eastAsia="Arial" w:hAnsi="Arial"/>
          <w:sz w:val="14"/>
          <w:szCs w:val="14"/>
          <w:color w:val="231F20"/>
        </w:rPr>
        <w:t>day of February, 2021.</w:t>
      </w:r>
    </w:p>
    <w:p>
      <w:pPr>
        <w:spacing w:after="0" w:line="172" w:lineRule="exact"/>
        <w:rPr>
          <w:sz w:val="20"/>
          <w:szCs w:val="20"/>
          <w:color w:val="auto"/>
        </w:rPr>
      </w:pPr>
    </w:p>
    <w:tbl>
      <w:tblPr>
        <w:tblLayout w:type="fixed"/>
        <w:tblInd w:w="7000" w:type="dxa"/>
        <w:tblCellMar>
          <w:top w:w="0" w:type="dxa"/>
          <w:left w:w="0" w:type="dxa"/>
          <w:bottom w:w="0" w:type="dxa"/>
          <w:right w:w="0" w:type="dxa"/>
        </w:tblCellMar>
      </w:tblPr>
      <w:tr>
        <w:trPr>
          <w:trHeight w:val="182"/>
        </w:trPr>
        <w:tc>
          <w:tcPr>
            <w:tcW w:w="680" w:type="dxa"/>
            <w:vAlign w:val="bottom"/>
          </w:tcPr>
          <w:p>
            <w:pPr>
              <w:spacing w:after="0"/>
              <w:rPr>
                <w:sz w:val="20"/>
                <w:szCs w:val="20"/>
                <w:color w:val="auto"/>
              </w:rPr>
            </w:pPr>
            <w:r>
              <w:rPr>
                <w:rFonts w:ascii="Arial" w:cs="Arial" w:eastAsia="Arial" w:hAnsi="Arial"/>
                <w:sz w:val="14"/>
                <w:szCs w:val="14"/>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54"/>
        </w:trPr>
        <w:tc>
          <w:tcPr>
            <w:tcW w:w="680" w:type="dxa"/>
            <w:vAlign w:val="bottom"/>
          </w:tcPr>
          <w:p>
            <w:pPr>
              <w:spacing w:after="0" w:line="154" w:lineRule="exact"/>
              <w:rPr>
                <w:sz w:val="20"/>
                <w:szCs w:val="20"/>
                <w:color w:val="auto"/>
              </w:rPr>
            </w:pPr>
            <w:r>
              <w:rPr>
                <w:rFonts w:ascii="Arial" w:cs="Arial" w:eastAsia="Arial" w:hAnsi="Arial"/>
                <w:sz w:val="14"/>
                <w:szCs w:val="14"/>
                <w:color w:val="auto"/>
              </w:rPr>
              <w:t>Name:</w:t>
            </w:r>
          </w:p>
        </w:tc>
        <w:tc>
          <w:tcPr>
            <w:tcW w:w="3600" w:type="dxa"/>
            <w:vAlign w:val="bottom"/>
          </w:tcPr>
          <w:p>
            <w:pPr>
              <w:spacing w:after="0" w:line="154" w:lineRule="exact"/>
              <w:rPr>
                <w:sz w:val="20"/>
                <w:szCs w:val="20"/>
                <w:color w:val="auto"/>
              </w:rPr>
            </w:pPr>
            <w:r>
              <w:rPr>
                <w:rFonts w:ascii="Arial" w:cs="Arial" w:eastAsia="Arial" w:hAnsi="Arial"/>
                <w:sz w:val="14"/>
                <w:szCs w:val="14"/>
                <w:color w:val="auto"/>
              </w:rPr>
              <w:t>Osvaldo Flores, Ph.D.</w:t>
            </w:r>
          </w:p>
        </w:tc>
      </w:tr>
      <w:tr>
        <w:trPr>
          <w:trHeight w:val="182"/>
        </w:trPr>
        <w:tc>
          <w:tcPr>
            <w:tcW w:w="680" w:type="dxa"/>
            <w:vAlign w:val="bottom"/>
          </w:tcPr>
          <w:p>
            <w:pPr>
              <w:spacing w:after="0"/>
              <w:rPr>
                <w:sz w:val="20"/>
                <w:szCs w:val="20"/>
                <w:color w:val="auto"/>
              </w:rPr>
            </w:pPr>
            <w:r>
              <w:rPr>
                <w:rFonts w:ascii="Arial" w:cs="Arial" w:eastAsia="Arial" w:hAnsi="Arial"/>
                <w:sz w:val="14"/>
                <w:szCs w:val="14"/>
                <w:color w:val="auto"/>
              </w:rPr>
              <w:t>Title:</w:t>
            </w:r>
          </w:p>
        </w:tc>
        <w:tc>
          <w:tcPr>
            <w:tcW w:w="360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 Series C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466090</wp:posOffset>
            </wp:positionV>
            <wp:extent cx="715962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306" w:name="page307"/>
    <w:bookmarkEnd w:id="306"/>
    <w:p>
      <w:pPr>
        <w:jc w:val="right"/>
        <w:spacing w:after="0"/>
        <w:rPr>
          <w:sz w:val="20"/>
          <w:szCs w:val="20"/>
          <w:color w:val="auto"/>
        </w:rPr>
      </w:pPr>
      <w:r>
        <w:rPr>
          <w:rFonts w:ascii="Arial" w:cs="Arial" w:eastAsia="Arial" w:hAnsi="Arial"/>
          <w:sz w:val="14"/>
          <w:szCs w:val="14"/>
          <w:b w:val="1"/>
          <w:bCs w:val="1"/>
          <w:color w:val="auto"/>
        </w:rPr>
        <w:t>Exhibit 3.3</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BYLAWS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CENTURYTX,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“Corporation”)</w:t>
      </w:r>
    </w:p>
    <w:p>
      <w:pPr>
        <w:spacing w:after="0" w:line="275" w:lineRule="exact"/>
        <w:rPr>
          <w:sz w:val="20"/>
          <w:szCs w:val="20"/>
          <w:color w:val="auto"/>
        </w:rPr>
      </w:pPr>
    </w:p>
    <w:p>
      <w:pPr>
        <w:ind w:left="1180" w:hanging="627"/>
        <w:spacing w:after="0"/>
        <w:tabs>
          <w:tab w:leader="none" w:pos="1180" w:val="left"/>
        </w:tabs>
        <w:numPr>
          <w:ilvl w:val="0"/>
          <w:numId w:val="170"/>
        </w:numPr>
        <w:rPr>
          <w:rFonts w:ascii="Arial" w:cs="Arial" w:eastAsia="Arial" w:hAnsi="Arial"/>
          <w:sz w:val="14"/>
          <w:szCs w:val="14"/>
          <w:color w:val="231E20"/>
        </w:rPr>
      </w:pPr>
      <w:r>
        <w:rPr>
          <w:rFonts w:ascii="Arial" w:cs="Arial" w:eastAsia="Arial" w:hAnsi="Arial"/>
          <w:sz w:val="14"/>
          <w:szCs w:val="14"/>
          <w:u w:val="single" w:color="auto"/>
          <w:color w:val="auto"/>
        </w:rPr>
        <w:t>Stockholders</w:t>
      </w:r>
    </w:p>
    <w:p>
      <w:pPr>
        <w:spacing w:after="0" w:line="184" w:lineRule="exact"/>
        <w:rPr>
          <w:rFonts w:ascii="Arial" w:cs="Arial" w:eastAsia="Arial" w:hAnsi="Arial"/>
          <w:sz w:val="14"/>
          <w:szCs w:val="14"/>
          <w:color w:val="231E20"/>
        </w:rPr>
      </w:pPr>
    </w:p>
    <w:p>
      <w:pPr>
        <w:jc w:val="both"/>
        <w:ind w:firstLine="1042"/>
        <w:spacing w:after="0" w:line="267" w:lineRule="auto"/>
        <w:tabs>
          <w:tab w:leader="none" w:pos="1663" w:val="left"/>
        </w:tabs>
        <w:numPr>
          <w:ilvl w:val="1"/>
          <w:numId w:val="170"/>
        </w:numPr>
        <w:rPr>
          <w:rFonts w:ascii="Arial" w:cs="Arial" w:eastAsia="Arial" w:hAnsi="Arial"/>
          <w:sz w:val="14"/>
          <w:szCs w:val="14"/>
          <w:color w:val="231E20"/>
        </w:rPr>
      </w:pPr>
      <w:r>
        <w:rPr>
          <w:rFonts w:ascii="Arial" w:cs="Arial" w:eastAsia="Arial" w:hAnsi="Arial"/>
          <w:sz w:val="14"/>
          <w:szCs w:val="14"/>
          <w:u w:val="single" w:color="auto"/>
          <w:color w:val="auto"/>
        </w:rPr>
        <w:t>Annual Meeting</w:t>
      </w:r>
      <w:r>
        <w:rPr>
          <w:rFonts w:ascii="Arial" w:cs="Arial" w:eastAsia="Arial" w:hAnsi="Arial"/>
          <w:sz w:val="14"/>
          <w:szCs w:val="14"/>
          <w:color w:val="auto"/>
        </w:rPr>
        <w:t>.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 or otherwise all the force and effect of an annual meeting.</w:t>
      </w:r>
    </w:p>
    <w:p>
      <w:pPr>
        <w:spacing w:after="0" w:line="146" w:lineRule="exact"/>
        <w:rPr>
          <w:rFonts w:ascii="Arial" w:cs="Arial" w:eastAsia="Arial" w:hAnsi="Arial"/>
          <w:sz w:val="14"/>
          <w:szCs w:val="14"/>
          <w:color w:val="231E20"/>
        </w:rPr>
      </w:pPr>
    </w:p>
    <w:p>
      <w:pPr>
        <w:jc w:val="both"/>
        <w:ind w:firstLine="1042"/>
        <w:spacing w:after="0" w:line="273" w:lineRule="auto"/>
        <w:tabs>
          <w:tab w:leader="none" w:pos="1681" w:val="left"/>
        </w:tabs>
        <w:numPr>
          <w:ilvl w:val="1"/>
          <w:numId w:val="170"/>
        </w:numPr>
        <w:rPr>
          <w:rFonts w:ascii="Arial" w:cs="Arial" w:eastAsia="Arial" w:hAnsi="Arial"/>
          <w:sz w:val="14"/>
          <w:szCs w:val="14"/>
          <w:color w:val="231E20"/>
        </w:rPr>
      </w:pPr>
      <w:r>
        <w:rPr>
          <w:rFonts w:ascii="Arial" w:cs="Arial" w:eastAsia="Arial" w:hAnsi="Arial"/>
          <w:sz w:val="14"/>
          <w:szCs w:val="14"/>
          <w:u w:val="single" w:color="auto"/>
          <w:color w:val="auto"/>
        </w:rPr>
        <w:t>Special Meetings</w:t>
      </w:r>
      <w:r>
        <w:rPr>
          <w:rFonts w:ascii="Arial" w:cs="Arial" w:eastAsia="Arial" w:hAnsi="Arial"/>
          <w:sz w:val="14"/>
          <w:szCs w:val="14"/>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141" w:lineRule="exact"/>
        <w:rPr>
          <w:rFonts w:ascii="Arial" w:cs="Arial" w:eastAsia="Arial" w:hAnsi="Arial"/>
          <w:sz w:val="14"/>
          <w:szCs w:val="14"/>
          <w:color w:val="231E20"/>
        </w:rPr>
      </w:pPr>
    </w:p>
    <w:p>
      <w:pPr>
        <w:jc w:val="both"/>
        <w:ind w:firstLine="1042"/>
        <w:spacing w:after="0" w:line="262" w:lineRule="auto"/>
        <w:tabs>
          <w:tab w:leader="none" w:pos="1663" w:val="left"/>
        </w:tabs>
        <w:numPr>
          <w:ilvl w:val="1"/>
          <w:numId w:val="170"/>
        </w:numPr>
        <w:rPr>
          <w:rFonts w:ascii="Arial" w:cs="Arial" w:eastAsia="Arial" w:hAnsi="Arial"/>
          <w:sz w:val="14"/>
          <w:szCs w:val="14"/>
          <w:color w:val="231E20"/>
        </w:rPr>
      </w:pPr>
      <w:r>
        <w:rPr>
          <w:rFonts w:ascii="Arial" w:cs="Arial" w:eastAsia="Arial" w:hAnsi="Arial"/>
          <w:sz w:val="14"/>
          <w:szCs w:val="14"/>
          <w:u w:val="single" w:color="auto"/>
          <w:color w:val="auto"/>
        </w:rPr>
        <w:t>Notice of Meetings</w:t>
      </w:r>
      <w:r>
        <w:rPr>
          <w:rFonts w:ascii="Arial" w:cs="Arial" w:eastAsia="Arial" w:hAnsi="Arial"/>
          <w:sz w:val="14"/>
          <w:szCs w:val="14"/>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 or by law) not less than ten (10) nor more than sixty (60) days before the meeting to each stockholder entitled to vote thereat and to each stockholder who, under the Certificate of Incorporation or under these Bylaw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w:t>
      </w:r>
    </w:p>
    <w:p>
      <w:pPr>
        <w:spacing w:after="0" w:line="151"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5962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7" w:name="page308"/>
    <w:bookmarkEnd w:id="307"/>
    <w:p>
      <w:pPr>
        <w:jc w:val="both"/>
        <w:ind w:firstLine="1042"/>
        <w:spacing w:after="0" w:line="303" w:lineRule="auto"/>
        <w:tabs>
          <w:tab w:leader="none" w:pos="1681" w:val="left"/>
        </w:tabs>
        <w:numPr>
          <w:ilvl w:val="0"/>
          <w:numId w:val="171"/>
        </w:numPr>
        <w:rPr>
          <w:rFonts w:ascii="Arial" w:cs="Arial" w:eastAsia="Arial" w:hAnsi="Arial"/>
          <w:sz w:val="13"/>
          <w:szCs w:val="13"/>
          <w:color w:val="231E20"/>
        </w:rPr>
      </w:pPr>
      <w:r>
        <w:rPr>
          <w:rFonts w:ascii="Arial" w:cs="Arial" w:eastAsia="Arial" w:hAnsi="Arial"/>
          <w:sz w:val="13"/>
          <w:szCs w:val="13"/>
          <w:u w:val="single" w:color="auto"/>
          <w:color w:val="auto"/>
        </w:rPr>
        <w:t>Quorum</w:t>
      </w:r>
      <w:r>
        <w:rPr>
          <w:rFonts w:ascii="Arial" w:cs="Arial" w:eastAsia="Arial" w:hAnsi="Arial"/>
          <w:sz w:val="13"/>
          <w:szCs w:val="13"/>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124" w:lineRule="exact"/>
        <w:rPr>
          <w:rFonts w:ascii="Arial" w:cs="Arial" w:eastAsia="Arial" w:hAnsi="Arial"/>
          <w:sz w:val="13"/>
          <w:szCs w:val="13"/>
          <w:color w:val="231E20"/>
        </w:rPr>
      </w:pPr>
    </w:p>
    <w:p>
      <w:pPr>
        <w:jc w:val="both"/>
        <w:ind w:firstLine="1042"/>
        <w:spacing w:after="0" w:line="263" w:lineRule="auto"/>
        <w:tabs>
          <w:tab w:leader="none" w:pos="1663" w:val="left"/>
        </w:tabs>
        <w:numPr>
          <w:ilvl w:val="0"/>
          <w:numId w:val="171"/>
        </w:numPr>
        <w:rPr>
          <w:rFonts w:ascii="Arial" w:cs="Arial" w:eastAsia="Arial" w:hAnsi="Arial"/>
          <w:sz w:val="14"/>
          <w:szCs w:val="14"/>
          <w:color w:val="231E20"/>
        </w:rPr>
      </w:pPr>
      <w:r>
        <w:rPr>
          <w:rFonts w:ascii="Arial" w:cs="Arial" w:eastAsia="Arial" w:hAnsi="Arial"/>
          <w:sz w:val="14"/>
          <w:szCs w:val="14"/>
          <w:u w:val="single" w:color="auto"/>
          <w:color w:val="auto"/>
        </w:rPr>
        <w:t>Voting and Proxies</w:t>
      </w:r>
      <w:r>
        <w:rPr>
          <w:rFonts w:ascii="Arial" w:cs="Arial" w:eastAsia="Arial" w:hAnsi="Arial"/>
          <w:sz w:val="14"/>
          <w:szCs w:val="14"/>
          <w:color w:val="auto"/>
        </w:rPr>
        <w:t>.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149" w:lineRule="exact"/>
        <w:rPr>
          <w:rFonts w:ascii="Arial" w:cs="Arial" w:eastAsia="Arial" w:hAnsi="Arial"/>
          <w:sz w:val="14"/>
          <w:szCs w:val="14"/>
          <w:color w:val="231E20"/>
        </w:rPr>
      </w:pPr>
    </w:p>
    <w:p>
      <w:pPr>
        <w:jc w:val="both"/>
        <w:ind w:firstLine="1042"/>
        <w:spacing w:after="0" w:line="267" w:lineRule="auto"/>
        <w:tabs>
          <w:tab w:leader="none" w:pos="1676" w:val="left"/>
        </w:tabs>
        <w:numPr>
          <w:ilvl w:val="0"/>
          <w:numId w:val="171"/>
        </w:numPr>
        <w:rPr>
          <w:rFonts w:ascii="Arial" w:cs="Arial" w:eastAsia="Arial" w:hAnsi="Arial"/>
          <w:sz w:val="14"/>
          <w:szCs w:val="14"/>
          <w:color w:val="231E20"/>
        </w:rPr>
      </w:pPr>
      <w:r>
        <w:rPr>
          <w:rFonts w:ascii="Arial" w:cs="Arial" w:eastAsia="Arial" w:hAnsi="Arial"/>
          <w:sz w:val="14"/>
          <w:szCs w:val="14"/>
          <w:u w:val="single" w:color="auto"/>
          <w:color w:val="auto"/>
        </w:rPr>
        <w:t>Action at Meeting</w:t>
      </w:r>
      <w:r>
        <w:rPr>
          <w:rFonts w:ascii="Arial" w:cs="Arial" w:eastAsia="Arial" w:hAnsi="Arial"/>
          <w:sz w:val="14"/>
          <w:szCs w:val="14"/>
          <w:color w:val="auto"/>
        </w:rPr>
        <w:t>. When a quorum is present, any matter before the meeting shall be decided by vote of the holders of a majority of the shares of stock voting on such matter except where a larger vote is required by law, by the Certificate of Incorporation or by these Bylaw. Any election of directors by stockholders shall be determined by a plurality of the votes cast, except where a larger vote is required by law, by the Certificate of Incorporation or by these Bylaw. The Corporation shall not directly or indirectly vote any share of its own stock; provided, however, that the Corporation may vote shares which it holds in a fiduciary capacity to the extent permitted by law.</w:t>
      </w:r>
    </w:p>
    <w:p>
      <w:pPr>
        <w:spacing w:after="0" w:line="146" w:lineRule="exact"/>
        <w:rPr>
          <w:rFonts w:ascii="Arial" w:cs="Arial" w:eastAsia="Arial" w:hAnsi="Arial"/>
          <w:sz w:val="14"/>
          <w:szCs w:val="14"/>
          <w:color w:val="231E20"/>
        </w:rPr>
      </w:pPr>
    </w:p>
    <w:p>
      <w:pPr>
        <w:jc w:val="both"/>
        <w:ind w:firstLine="1042"/>
        <w:spacing w:after="0" w:line="273" w:lineRule="auto"/>
        <w:tabs>
          <w:tab w:leader="none" w:pos="1671" w:val="left"/>
        </w:tabs>
        <w:numPr>
          <w:ilvl w:val="0"/>
          <w:numId w:val="171"/>
        </w:numPr>
        <w:rPr>
          <w:rFonts w:ascii="Arial" w:cs="Arial" w:eastAsia="Arial" w:hAnsi="Arial"/>
          <w:sz w:val="14"/>
          <w:szCs w:val="14"/>
          <w:color w:val="231E20"/>
        </w:rPr>
      </w:pPr>
      <w:r>
        <w:rPr>
          <w:rFonts w:ascii="Arial" w:cs="Arial" w:eastAsia="Arial" w:hAnsi="Arial"/>
          <w:sz w:val="14"/>
          <w:szCs w:val="14"/>
          <w:u w:val="single" w:color="auto"/>
          <w:color w:val="auto"/>
        </w:rPr>
        <w:t>Presiding Officer</w:t>
      </w:r>
      <w:r>
        <w:rPr>
          <w:rFonts w:ascii="Arial" w:cs="Arial" w:eastAsia="Arial" w:hAnsi="Arial"/>
          <w:sz w:val="14"/>
          <w:szCs w:val="14"/>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141" w:lineRule="exact"/>
        <w:rPr>
          <w:rFonts w:ascii="Arial" w:cs="Arial" w:eastAsia="Arial" w:hAnsi="Arial"/>
          <w:sz w:val="14"/>
          <w:szCs w:val="14"/>
          <w:color w:val="231E20"/>
        </w:rPr>
      </w:pPr>
    </w:p>
    <w:p>
      <w:pPr>
        <w:jc w:val="both"/>
        <w:ind w:firstLine="1042"/>
        <w:spacing w:after="0" w:line="262" w:lineRule="auto"/>
        <w:tabs>
          <w:tab w:leader="none" w:pos="1681" w:val="left"/>
        </w:tabs>
        <w:numPr>
          <w:ilvl w:val="0"/>
          <w:numId w:val="171"/>
        </w:numPr>
        <w:rPr>
          <w:rFonts w:ascii="Arial" w:cs="Arial" w:eastAsia="Arial" w:hAnsi="Arial"/>
          <w:sz w:val="14"/>
          <w:szCs w:val="14"/>
          <w:color w:val="231E20"/>
        </w:rPr>
      </w:pPr>
      <w:r>
        <w:rPr>
          <w:rFonts w:ascii="Arial" w:cs="Arial" w:eastAsia="Arial" w:hAnsi="Arial"/>
          <w:sz w:val="14"/>
          <w:szCs w:val="14"/>
          <w:u w:val="single" w:color="auto"/>
          <w:color w:val="auto"/>
        </w:rPr>
        <w:t>Conduct of Meetings</w:t>
      </w:r>
      <w:r>
        <w:rPr>
          <w:rFonts w:ascii="Arial" w:cs="Arial" w:eastAsia="Arial" w:hAnsi="Arial"/>
          <w:sz w:val="14"/>
          <w:szCs w:val="14"/>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08" w:name="page309"/>
    <w:bookmarkEnd w:id="308"/>
    <w:p>
      <w:pPr>
        <w:spacing w:after="0" w:line="288" w:lineRule="auto"/>
        <w:rPr>
          <w:sz w:val="20"/>
          <w:szCs w:val="20"/>
          <w:color w:val="auto"/>
        </w:rPr>
      </w:pPr>
      <w:r>
        <w:rPr>
          <w:rFonts w:ascii="Arial" w:cs="Arial" w:eastAsia="Arial" w:hAnsi="Arial"/>
          <w:sz w:val="14"/>
          <w:szCs w:val="14"/>
          <w:color w:val="auto"/>
        </w:rPr>
        <w:t>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132" w:lineRule="exact"/>
        <w:rPr>
          <w:sz w:val="20"/>
          <w:szCs w:val="20"/>
          <w:color w:val="auto"/>
        </w:rPr>
      </w:pPr>
    </w:p>
    <w:p>
      <w:pPr>
        <w:jc w:val="both"/>
        <w:ind w:firstLine="1042"/>
        <w:spacing w:after="0" w:line="263" w:lineRule="auto"/>
        <w:tabs>
          <w:tab w:leader="none" w:pos="1668" w:val="left"/>
        </w:tabs>
        <w:numPr>
          <w:ilvl w:val="1"/>
          <w:numId w:val="172"/>
        </w:numPr>
        <w:rPr>
          <w:rFonts w:ascii="Arial" w:cs="Arial" w:eastAsia="Arial" w:hAnsi="Arial"/>
          <w:sz w:val="14"/>
          <w:szCs w:val="14"/>
          <w:color w:val="231E20"/>
        </w:rPr>
      </w:pPr>
      <w:r>
        <w:rPr>
          <w:rFonts w:ascii="Arial" w:cs="Arial" w:eastAsia="Arial" w:hAnsi="Arial"/>
          <w:sz w:val="14"/>
          <w:szCs w:val="14"/>
          <w:u w:val="single" w:color="auto"/>
          <w:color w:val="auto"/>
        </w:rPr>
        <w:t>Action without a Meeting</w:t>
      </w:r>
      <w:r>
        <w:rPr>
          <w:rFonts w:ascii="Arial" w:cs="Arial" w:eastAsia="Arial" w:hAnsi="Arial"/>
          <w:sz w:val="14"/>
          <w:szCs w:val="14"/>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Prompt notice of the taking of the corporate action without a meeting by less than unanimous written consent shall be given to those stockholders who have not consented in writing.</w:t>
      </w:r>
    </w:p>
    <w:p>
      <w:pPr>
        <w:spacing w:after="0" w:line="149" w:lineRule="exact"/>
        <w:rPr>
          <w:rFonts w:ascii="Arial" w:cs="Arial" w:eastAsia="Arial" w:hAnsi="Arial"/>
          <w:sz w:val="14"/>
          <w:szCs w:val="14"/>
          <w:color w:val="231E20"/>
        </w:rPr>
      </w:pPr>
    </w:p>
    <w:p>
      <w:pPr>
        <w:jc w:val="both"/>
        <w:ind w:firstLine="1042"/>
        <w:spacing w:after="0" w:line="265" w:lineRule="auto"/>
        <w:tabs>
          <w:tab w:leader="none" w:pos="1689" w:val="left"/>
        </w:tabs>
        <w:numPr>
          <w:ilvl w:val="1"/>
          <w:numId w:val="172"/>
        </w:numPr>
        <w:rPr>
          <w:rFonts w:ascii="Arial" w:cs="Arial" w:eastAsia="Arial" w:hAnsi="Arial"/>
          <w:sz w:val="14"/>
          <w:szCs w:val="14"/>
          <w:color w:val="231E20"/>
        </w:rPr>
      </w:pPr>
      <w:r>
        <w:rPr>
          <w:rFonts w:ascii="Arial" w:cs="Arial" w:eastAsia="Arial" w:hAnsi="Arial"/>
          <w:sz w:val="14"/>
          <w:szCs w:val="14"/>
          <w:u w:val="single" w:color="auto"/>
          <w:color w:val="auto"/>
        </w:rPr>
        <w:t>Stockholder Lists</w:t>
      </w:r>
      <w:r>
        <w:rPr>
          <w:rFonts w:ascii="Arial" w:cs="Arial" w:eastAsia="Arial" w:hAnsi="Arial"/>
          <w:sz w:val="14"/>
          <w:szCs w:val="14"/>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1(j)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147" w:lineRule="exact"/>
        <w:rPr>
          <w:rFonts w:ascii="Arial" w:cs="Arial" w:eastAsia="Arial" w:hAnsi="Arial"/>
          <w:sz w:val="14"/>
          <w:szCs w:val="14"/>
          <w:color w:val="231E20"/>
        </w:rPr>
      </w:pPr>
    </w:p>
    <w:p>
      <w:pPr>
        <w:ind w:left="1180" w:hanging="656"/>
        <w:spacing w:after="0"/>
        <w:tabs>
          <w:tab w:leader="none" w:pos="1180" w:val="left"/>
        </w:tabs>
        <w:numPr>
          <w:ilvl w:val="0"/>
          <w:numId w:val="173"/>
        </w:numPr>
        <w:rPr>
          <w:rFonts w:ascii="Arial" w:cs="Arial" w:eastAsia="Arial" w:hAnsi="Arial"/>
          <w:sz w:val="14"/>
          <w:szCs w:val="14"/>
          <w:color w:val="231E20"/>
        </w:rPr>
      </w:pPr>
      <w:r>
        <w:rPr>
          <w:rFonts w:ascii="Arial" w:cs="Arial" w:eastAsia="Arial" w:hAnsi="Arial"/>
          <w:sz w:val="14"/>
          <w:szCs w:val="14"/>
          <w:u w:val="single" w:color="auto"/>
          <w:color w:val="auto"/>
        </w:rPr>
        <w:t>Directors</w:t>
      </w:r>
    </w:p>
    <w:p>
      <w:pPr>
        <w:spacing w:after="0" w:line="184" w:lineRule="exact"/>
        <w:rPr>
          <w:rFonts w:ascii="Arial" w:cs="Arial" w:eastAsia="Arial" w:hAnsi="Arial"/>
          <w:sz w:val="14"/>
          <w:szCs w:val="14"/>
          <w:color w:val="231E20"/>
        </w:rPr>
      </w:pPr>
    </w:p>
    <w:p>
      <w:pPr>
        <w:jc w:val="both"/>
        <w:ind w:firstLine="1042"/>
        <w:spacing w:after="0" w:line="273" w:lineRule="auto"/>
        <w:tabs>
          <w:tab w:leader="none" w:pos="1673" w:val="left"/>
        </w:tabs>
        <w:numPr>
          <w:ilvl w:val="1"/>
          <w:numId w:val="173"/>
        </w:numPr>
        <w:rPr>
          <w:rFonts w:ascii="Arial" w:cs="Arial" w:eastAsia="Arial" w:hAnsi="Arial"/>
          <w:sz w:val="14"/>
          <w:szCs w:val="14"/>
          <w:color w:val="231E20"/>
        </w:rPr>
      </w:pPr>
      <w:r>
        <w:rPr>
          <w:rFonts w:ascii="Arial" w:cs="Arial" w:eastAsia="Arial" w:hAnsi="Arial"/>
          <w:sz w:val="14"/>
          <w:szCs w:val="14"/>
          <w:u w:val="single" w:color="auto"/>
          <w:color w:val="auto"/>
        </w:rPr>
        <w:t>Powers</w:t>
      </w:r>
      <w:r>
        <w:rPr>
          <w:rFonts w:ascii="Arial" w:cs="Arial" w:eastAsia="Arial" w:hAnsi="Arial"/>
          <w:sz w:val="14"/>
          <w:szCs w:val="14"/>
          <w:color w:val="auto"/>
        </w:rPr>
        <w:t>. The business of the Corporation shall be managed by or under the direction of a Board of Directors who may exercise all the powers of the Corporation except as otherwise provided by law, by the Certificate of Incorporation or by these Bylaw. In the event of a vacancy in the Board of Directors, the remaining directors, except as otherwise provided by law, may exercise the powers of the full Board until the vacancy is filled.</w:t>
      </w:r>
    </w:p>
    <w:p>
      <w:pPr>
        <w:spacing w:after="0" w:line="141" w:lineRule="exact"/>
        <w:rPr>
          <w:rFonts w:ascii="Arial" w:cs="Arial" w:eastAsia="Arial" w:hAnsi="Arial"/>
          <w:sz w:val="14"/>
          <w:szCs w:val="14"/>
          <w:color w:val="231E20"/>
        </w:rPr>
      </w:pPr>
    </w:p>
    <w:p>
      <w:pPr>
        <w:ind w:firstLine="1042"/>
        <w:spacing w:after="0" w:line="288" w:lineRule="auto"/>
        <w:tabs>
          <w:tab w:leader="none" w:pos="1671" w:val="left"/>
        </w:tabs>
        <w:numPr>
          <w:ilvl w:val="1"/>
          <w:numId w:val="173"/>
        </w:numPr>
        <w:rPr>
          <w:rFonts w:ascii="Arial" w:cs="Arial" w:eastAsia="Arial" w:hAnsi="Arial"/>
          <w:sz w:val="14"/>
          <w:szCs w:val="14"/>
          <w:color w:val="231E20"/>
        </w:rPr>
      </w:pPr>
      <w:r>
        <w:rPr>
          <w:rFonts w:ascii="Arial" w:cs="Arial" w:eastAsia="Arial" w:hAnsi="Arial"/>
          <w:sz w:val="14"/>
          <w:szCs w:val="14"/>
          <w:u w:val="single" w:color="auto"/>
          <w:color w:val="auto"/>
        </w:rPr>
        <w:t>Number and Qualification</w:t>
      </w:r>
      <w:r>
        <w:rPr>
          <w:rFonts w:ascii="Arial" w:cs="Arial" w:eastAsia="Arial" w:hAnsi="Arial"/>
          <w:sz w:val="14"/>
          <w:szCs w:val="14"/>
          <w:color w:val="auto"/>
        </w:rPr>
        <w:t>. Unless otherwise provided in the Certificate of Incorporation or in these Bylaw, the number of directors which shall constitute the whole board shall be determined from time to time by resolution of the Board of Directors. Directors need not be stockholders.</w:t>
      </w:r>
    </w:p>
    <w:p>
      <w:pPr>
        <w:spacing w:after="0" w:line="131" w:lineRule="exact"/>
        <w:rPr>
          <w:rFonts w:ascii="Arial" w:cs="Arial" w:eastAsia="Arial" w:hAnsi="Arial"/>
          <w:sz w:val="14"/>
          <w:szCs w:val="14"/>
          <w:color w:val="231E20"/>
        </w:rPr>
      </w:pPr>
    </w:p>
    <w:p>
      <w:pPr>
        <w:jc w:val="both"/>
        <w:ind w:firstLine="1042"/>
        <w:spacing w:after="0" w:line="273" w:lineRule="auto"/>
        <w:tabs>
          <w:tab w:leader="none" w:pos="1663" w:val="left"/>
        </w:tabs>
        <w:numPr>
          <w:ilvl w:val="1"/>
          <w:numId w:val="173"/>
        </w:numPr>
        <w:rPr>
          <w:rFonts w:ascii="Arial" w:cs="Arial" w:eastAsia="Arial" w:hAnsi="Arial"/>
          <w:sz w:val="14"/>
          <w:szCs w:val="14"/>
          <w:color w:val="231E20"/>
        </w:rPr>
      </w:pPr>
      <w:r>
        <w:rPr>
          <w:rFonts w:ascii="Arial" w:cs="Arial" w:eastAsia="Arial" w:hAnsi="Arial"/>
          <w:sz w:val="14"/>
          <w:szCs w:val="14"/>
          <w:u w:val="single" w:color="auto"/>
          <w:color w:val="auto"/>
        </w:rPr>
        <w:t>Vacancies; Reduction of Board</w:t>
      </w:r>
      <w:r>
        <w:rPr>
          <w:rFonts w:ascii="Arial" w:cs="Arial" w:eastAsia="Arial" w:hAnsi="Arial"/>
          <w:sz w:val="14"/>
          <w:szCs w:val="14"/>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09" w:name="page310"/>
    <w:bookmarkEnd w:id="309"/>
    <w:p>
      <w:pPr>
        <w:jc w:val="both"/>
        <w:ind w:firstLine="1042"/>
        <w:spacing w:after="0" w:line="273" w:lineRule="auto"/>
        <w:tabs>
          <w:tab w:leader="none" w:pos="1671" w:val="left"/>
        </w:tabs>
        <w:numPr>
          <w:ilvl w:val="1"/>
          <w:numId w:val="174"/>
        </w:numPr>
        <w:rPr>
          <w:rFonts w:ascii="Arial" w:cs="Arial" w:eastAsia="Arial" w:hAnsi="Arial"/>
          <w:sz w:val="14"/>
          <w:szCs w:val="14"/>
          <w:color w:val="231E20"/>
        </w:rPr>
      </w:pPr>
      <w:r>
        <w:rPr>
          <w:rFonts w:ascii="Arial" w:cs="Arial" w:eastAsia="Arial" w:hAnsi="Arial"/>
          <w:sz w:val="14"/>
          <w:szCs w:val="14"/>
          <w:u w:val="single" w:color="auto"/>
          <w:color w:val="auto"/>
        </w:rPr>
        <w:t>Tenure</w:t>
      </w:r>
      <w:r>
        <w:rPr>
          <w:rFonts w:ascii="Arial" w:cs="Arial" w:eastAsia="Arial" w:hAnsi="Arial"/>
          <w:sz w:val="14"/>
          <w:szCs w:val="14"/>
          <w:color w:val="auto"/>
        </w:rPr>
        <w:t>. Except as otherwise provided by law, by the Certificate of Incorporation or by these Bylaw,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141" w:lineRule="exact"/>
        <w:rPr>
          <w:rFonts w:ascii="Arial" w:cs="Arial" w:eastAsia="Arial" w:hAnsi="Arial"/>
          <w:sz w:val="14"/>
          <w:szCs w:val="14"/>
          <w:color w:val="231E20"/>
        </w:rPr>
      </w:pPr>
    </w:p>
    <w:p>
      <w:pPr>
        <w:ind w:firstLine="1042"/>
        <w:spacing w:after="0" w:line="288" w:lineRule="auto"/>
        <w:tabs>
          <w:tab w:leader="none" w:pos="1673" w:val="left"/>
        </w:tabs>
        <w:numPr>
          <w:ilvl w:val="1"/>
          <w:numId w:val="174"/>
        </w:numPr>
        <w:rPr>
          <w:rFonts w:ascii="Arial" w:cs="Arial" w:eastAsia="Arial" w:hAnsi="Arial"/>
          <w:sz w:val="14"/>
          <w:szCs w:val="14"/>
          <w:color w:val="231E20"/>
        </w:rPr>
      </w:pPr>
      <w:r>
        <w:rPr>
          <w:rFonts w:ascii="Arial" w:cs="Arial" w:eastAsia="Arial" w:hAnsi="Arial"/>
          <w:sz w:val="14"/>
          <w:szCs w:val="14"/>
          <w:u w:val="single" w:color="auto"/>
          <w:color w:val="auto"/>
        </w:rPr>
        <w:t>Removal</w:t>
      </w:r>
      <w:r>
        <w:rPr>
          <w:rFonts w:ascii="Arial" w:cs="Arial" w:eastAsia="Arial" w:hAnsi="Arial"/>
          <w:sz w:val="14"/>
          <w:szCs w:val="14"/>
          <w:color w:val="auto"/>
        </w:rPr>
        <w:t>. To the extent permitted by law, a director may be removed from office with or without cause by vote of the holders of a majority of the shares of stock entitled to vote in the election of directors.</w:t>
      </w:r>
    </w:p>
    <w:p>
      <w:pPr>
        <w:spacing w:after="0" w:line="131" w:lineRule="exact"/>
        <w:rPr>
          <w:rFonts w:ascii="Arial" w:cs="Arial" w:eastAsia="Arial" w:hAnsi="Arial"/>
          <w:sz w:val="14"/>
          <w:szCs w:val="14"/>
          <w:color w:val="231E20"/>
        </w:rPr>
      </w:pPr>
    </w:p>
    <w:p>
      <w:pPr>
        <w:jc w:val="both"/>
        <w:ind w:firstLine="1042"/>
        <w:spacing w:after="0" w:line="265" w:lineRule="auto"/>
        <w:tabs>
          <w:tab w:leader="none" w:pos="1686" w:val="left"/>
        </w:tabs>
        <w:numPr>
          <w:ilvl w:val="1"/>
          <w:numId w:val="174"/>
        </w:numPr>
        <w:rPr>
          <w:rFonts w:ascii="Arial" w:cs="Arial" w:eastAsia="Arial" w:hAnsi="Arial"/>
          <w:sz w:val="14"/>
          <w:szCs w:val="14"/>
          <w:color w:val="231E20"/>
        </w:rPr>
      </w:pPr>
      <w:r>
        <w:rPr>
          <w:rFonts w:ascii="Arial" w:cs="Arial" w:eastAsia="Arial" w:hAnsi="Arial"/>
          <w:sz w:val="14"/>
          <w:szCs w:val="14"/>
          <w:u w:val="single" w:color="auto"/>
          <w:color w:val="auto"/>
        </w:rPr>
        <w:t>Meetings</w:t>
      </w:r>
      <w:r>
        <w:rPr>
          <w:rFonts w:ascii="Arial" w:cs="Arial" w:eastAsia="Arial" w:hAnsi="Arial"/>
          <w:sz w:val="14"/>
          <w:szCs w:val="14"/>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147" w:lineRule="exact"/>
        <w:rPr>
          <w:rFonts w:ascii="Arial" w:cs="Arial" w:eastAsia="Arial" w:hAnsi="Arial"/>
          <w:sz w:val="14"/>
          <w:szCs w:val="14"/>
          <w:color w:val="231E20"/>
        </w:rPr>
      </w:pPr>
    </w:p>
    <w:p>
      <w:pPr>
        <w:jc w:val="both"/>
        <w:ind w:firstLine="1042"/>
        <w:spacing w:after="0" w:line="267" w:lineRule="auto"/>
        <w:tabs>
          <w:tab w:leader="none" w:pos="1671" w:val="left"/>
        </w:tabs>
        <w:numPr>
          <w:ilvl w:val="1"/>
          <w:numId w:val="174"/>
        </w:numPr>
        <w:rPr>
          <w:rFonts w:ascii="Arial" w:cs="Arial" w:eastAsia="Arial" w:hAnsi="Arial"/>
          <w:sz w:val="14"/>
          <w:szCs w:val="14"/>
          <w:color w:val="231E20"/>
        </w:rPr>
      </w:pPr>
      <w:r>
        <w:rPr>
          <w:rFonts w:ascii="Arial" w:cs="Arial" w:eastAsia="Arial" w:hAnsi="Arial"/>
          <w:sz w:val="14"/>
          <w:szCs w:val="14"/>
          <w:u w:val="single" w:color="auto"/>
          <w:color w:val="auto"/>
        </w:rPr>
        <w:t>Notice of Meetings</w:t>
      </w:r>
      <w:r>
        <w:rPr>
          <w:rFonts w:ascii="Arial" w:cs="Arial" w:eastAsia="Arial" w:hAnsi="Arial"/>
          <w:sz w:val="14"/>
          <w:szCs w:val="14"/>
          <w:color w:val="auto"/>
        </w:rPr>
        <w:t>.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146" w:lineRule="exact"/>
        <w:rPr>
          <w:rFonts w:ascii="Arial" w:cs="Arial" w:eastAsia="Arial" w:hAnsi="Arial"/>
          <w:sz w:val="14"/>
          <w:szCs w:val="14"/>
          <w:color w:val="231E20"/>
        </w:rPr>
      </w:pPr>
    </w:p>
    <w:p>
      <w:pPr>
        <w:ind w:firstLine="1042"/>
        <w:spacing w:after="0" w:line="288" w:lineRule="auto"/>
        <w:tabs>
          <w:tab w:leader="none" w:pos="1671" w:val="left"/>
        </w:tabs>
        <w:numPr>
          <w:ilvl w:val="1"/>
          <w:numId w:val="174"/>
        </w:numPr>
        <w:rPr>
          <w:rFonts w:ascii="Arial" w:cs="Arial" w:eastAsia="Arial" w:hAnsi="Arial"/>
          <w:sz w:val="14"/>
          <w:szCs w:val="14"/>
          <w:color w:val="231E20"/>
        </w:rPr>
      </w:pPr>
      <w:r>
        <w:rPr>
          <w:rFonts w:ascii="Arial" w:cs="Arial" w:eastAsia="Arial" w:hAnsi="Arial"/>
          <w:sz w:val="14"/>
          <w:szCs w:val="14"/>
          <w:u w:val="single" w:color="auto"/>
          <w:color w:val="auto"/>
        </w:rPr>
        <w:t>Quorum</w:t>
      </w:r>
      <w:r>
        <w:rPr>
          <w:rFonts w:ascii="Arial" w:cs="Arial" w:eastAsia="Arial" w:hAnsi="Arial"/>
          <w:sz w:val="14"/>
          <w:szCs w:val="14"/>
          <w:color w:val="auto"/>
        </w:rPr>
        <w:t>. At any meeting of the Board of Directors, a majority of the total number of directors shall constitute a quorum for the transaction of business. Less than a quorum may adjourn any meeting from time to time and the meeting may be held as adjourned without further notice.</w:t>
      </w:r>
    </w:p>
    <w:p>
      <w:pPr>
        <w:spacing w:after="0" w:line="131" w:lineRule="exact"/>
        <w:rPr>
          <w:rFonts w:ascii="Arial" w:cs="Arial" w:eastAsia="Arial" w:hAnsi="Arial"/>
          <w:sz w:val="14"/>
          <w:szCs w:val="14"/>
          <w:color w:val="231E20"/>
        </w:rPr>
      </w:pPr>
    </w:p>
    <w:p>
      <w:pPr>
        <w:jc w:val="both"/>
        <w:ind w:firstLine="1042"/>
        <w:spacing w:after="0" w:line="284" w:lineRule="auto"/>
        <w:tabs>
          <w:tab w:leader="none" w:pos="1678" w:val="left"/>
        </w:tabs>
        <w:numPr>
          <w:ilvl w:val="1"/>
          <w:numId w:val="174"/>
        </w:numPr>
        <w:rPr>
          <w:rFonts w:ascii="Arial" w:cs="Arial" w:eastAsia="Arial" w:hAnsi="Arial"/>
          <w:sz w:val="13"/>
          <w:szCs w:val="13"/>
          <w:color w:val="231E20"/>
        </w:rPr>
      </w:pPr>
      <w:r>
        <w:rPr>
          <w:rFonts w:ascii="Arial" w:cs="Arial" w:eastAsia="Arial" w:hAnsi="Arial"/>
          <w:sz w:val="13"/>
          <w:szCs w:val="13"/>
          <w:u w:val="single" w:color="auto"/>
          <w:color w:val="auto"/>
        </w:rPr>
        <w:t>Action at Meeting</w:t>
      </w:r>
      <w:r>
        <w:rPr>
          <w:rFonts w:ascii="Arial" w:cs="Arial" w:eastAsia="Arial" w:hAnsi="Arial"/>
          <w:sz w:val="13"/>
          <w:szCs w:val="13"/>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 So long as there are two</w:t>
      </w:r>
    </w:p>
    <w:p>
      <w:pPr>
        <w:ind w:left="220" w:hanging="214"/>
        <w:spacing w:after="0"/>
        <w:tabs>
          <w:tab w:leader="none" w:pos="22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or fewer Directors, any action to be taken by the Board of Directors shall require the approval of all Directors.</w:t>
      </w:r>
    </w:p>
    <w:p>
      <w:pPr>
        <w:spacing w:after="0" w:line="174" w:lineRule="exact"/>
        <w:rPr>
          <w:rFonts w:ascii="Arial" w:cs="Arial" w:eastAsia="Arial" w:hAnsi="Arial"/>
          <w:sz w:val="14"/>
          <w:szCs w:val="14"/>
          <w:color w:val="auto"/>
        </w:rPr>
      </w:pPr>
    </w:p>
    <w:p>
      <w:pPr>
        <w:jc w:val="both"/>
        <w:ind w:firstLine="1042"/>
        <w:spacing w:after="0" w:line="273" w:lineRule="auto"/>
        <w:tabs>
          <w:tab w:leader="none" w:pos="1668" w:val="left"/>
        </w:tabs>
        <w:numPr>
          <w:ilvl w:val="1"/>
          <w:numId w:val="175"/>
        </w:numPr>
        <w:rPr>
          <w:rFonts w:ascii="Arial" w:cs="Arial" w:eastAsia="Arial" w:hAnsi="Arial"/>
          <w:sz w:val="14"/>
          <w:szCs w:val="14"/>
          <w:color w:val="231E20"/>
        </w:rPr>
      </w:pPr>
      <w:r>
        <w:rPr>
          <w:rFonts w:ascii="Arial" w:cs="Arial" w:eastAsia="Arial" w:hAnsi="Arial"/>
          <w:sz w:val="14"/>
          <w:szCs w:val="14"/>
          <w:u w:val="single" w:color="auto"/>
          <w:color w:val="auto"/>
        </w:rPr>
        <w:t>Action by Consent</w:t>
      </w:r>
      <w:r>
        <w:rPr>
          <w:rFonts w:ascii="Arial" w:cs="Arial" w:eastAsia="Arial" w:hAnsi="Arial"/>
          <w:sz w:val="14"/>
          <w:szCs w:val="14"/>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color w:val="auto"/>
        </w:rPr>
        <w:t>Directors. Such filing shall be in paper form if the minutes are maintained in paper form and shall be in electronic form if the minutes are maintained in electronic form.</w:t>
      </w:r>
    </w:p>
    <w:p>
      <w:pPr>
        <w:spacing w:after="0" w:line="184" w:lineRule="exact"/>
        <w:rPr>
          <w:sz w:val="20"/>
          <w:szCs w:val="20"/>
          <w:color w:val="auto"/>
        </w:rPr>
      </w:pPr>
    </w:p>
    <w:p>
      <w:pPr>
        <w:jc w:val="both"/>
        <w:ind w:firstLine="1042"/>
        <w:spacing w:after="0" w:line="294" w:lineRule="auto"/>
        <w:tabs>
          <w:tab w:leader="none" w:pos="1671" w:val="left"/>
        </w:tabs>
        <w:numPr>
          <w:ilvl w:val="0"/>
          <w:numId w:val="176"/>
        </w:numPr>
        <w:rPr>
          <w:rFonts w:ascii="Arial" w:cs="Arial" w:eastAsia="Arial" w:hAnsi="Arial"/>
          <w:sz w:val="13"/>
          <w:szCs w:val="13"/>
          <w:color w:val="231E20"/>
        </w:rPr>
      </w:pPr>
      <w:r>
        <w:rPr>
          <w:rFonts w:ascii="Arial" w:cs="Arial" w:eastAsia="Arial" w:hAnsi="Arial"/>
          <w:sz w:val="13"/>
          <w:szCs w:val="13"/>
          <w:u w:val="single" w:color="auto"/>
          <w:color w:val="auto"/>
        </w:rPr>
        <w:t>Committees</w:t>
      </w:r>
      <w:r>
        <w:rPr>
          <w:rFonts w:ascii="Arial" w:cs="Arial" w:eastAsia="Arial" w:hAnsi="Arial"/>
          <w:sz w:val="13"/>
          <w:szCs w:val="13"/>
          <w:color w:val="auto"/>
        </w:rPr>
        <w:t>.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31"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w:t>
      </w:r>
    </w:p>
    <w:p>
      <w:pPr>
        <w:spacing w:after="0" w:line="147"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Except as the Board of Directors may otherwise determine, any such committee may make rules for the conduct of its business, but in the absence of such rules its business shall be conducted so far as possible in the same manner as is provided in these Bylaw for the Board of Directors. All members of such committees shall hold their committee offices at the pleasure of the Board of Directors, and the Board may abolish any committee at any time.</w:t>
      </w:r>
    </w:p>
    <w:p>
      <w:pPr>
        <w:spacing w:after="0" w:line="141" w:lineRule="exact"/>
        <w:rPr>
          <w:sz w:val="20"/>
          <w:szCs w:val="20"/>
          <w:color w:val="auto"/>
        </w:rPr>
      </w:pPr>
    </w:p>
    <w:p>
      <w:pPr>
        <w:ind w:left="1200" w:hanging="661"/>
        <w:spacing w:after="0"/>
        <w:tabs>
          <w:tab w:leader="none" w:pos="1200" w:val="left"/>
        </w:tabs>
        <w:numPr>
          <w:ilvl w:val="0"/>
          <w:numId w:val="177"/>
        </w:numPr>
        <w:rPr>
          <w:rFonts w:ascii="Arial" w:cs="Arial" w:eastAsia="Arial" w:hAnsi="Arial"/>
          <w:sz w:val="14"/>
          <w:szCs w:val="14"/>
          <w:color w:val="231E20"/>
        </w:rPr>
      </w:pPr>
      <w:r>
        <w:rPr>
          <w:rFonts w:ascii="Arial" w:cs="Arial" w:eastAsia="Arial" w:hAnsi="Arial"/>
          <w:sz w:val="14"/>
          <w:szCs w:val="14"/>
          <w:u w:val="single" w:color="auto"/>
          <w:color w:val="auto"/>
        </w:rPr>
        <w:t>Officers</w:t>
      </w:r>
    </w:p>
    <w:p>
      <w:pPr>
        <w:spacing w:after="0" w:line="184" w:lineRule="exact"/>
        <w:rPr>
          <w:rFonts w:ascii="Arial" w:cs="Arial" w:eastAsia="Arial" w:hAnsi="Arial"/>
          <w:sz w:val="14"/>
          <w:szCs w:val="14"/>
          <w:color w:val="231E20"/>
        </w:rPr>
      </w:pPr>
    </w:p>
    <w:p>
      <w:pPr>
        <w:jc w:val="both"/>
        <w:ind w:firstLine="1042"/>
        <w:spacing w:after="0" w:line="267" w:lineRule="auto"/>
        <w:tabs>
          <w:tab w:leader="none" w:pos="1684" w:val="left"/>
        </w:tabs>
        <w:numPr>
          <w:ilvl w:val="1"/>
          <w:numId w:val="177"/>
        </w:numPr>
        <w:rPr>
          <w:rFonts w:ascii="Arial" w:cs="Arial" w:eastAsia="Arial" w:hAnsi="Arial"/>
          <w:sz w:val="14"/>
          <w:szCs w:val="14"/>
          <w:color w:val="231E20"/>
        </w:rPr>
      </w:pPr>
      <w:r>
        <w:rPr>
          <w:rFonts w:ascii="Arial" w:cs="Arial" w:eastAsia="Arial" w:hAnsi="Arial"/>
          <w:sz w:val="14"/>
          <w:szCs w:val="14"/>
          <w:u w:val="single" w:color="auto"/>
          <w:color w:val="auto"/>
        </w:rPr>
        <w:t>Enumeration</w:t>
      </w:r>
      <w:r>
        <w:rPr>
          <w:rFonts w:ascii="Arial" w:cs="Arial" w:eastAsia="Arial" w:hAnsi="Arial"/>
          <w:sz w:val="14"/>
          <w:szCs w:val="14"/>
          <w:color w:val="auto"/>
        </w:rPr>
        <w:t>.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146" w:lineRule="exact"/>
        <w:rPr>
          <w:rFonts w:ascii="Arial" w:cs="Arial" w:eastAsia="Arial" w:hAnsi="Arial"/>
          <w:sz w:val="14"/>
          <w:szCs w:val="14"/>
          <w:color w:val="231E20"/>
        </w:rPr>
      </w:pPr>
    </w:p>
    <w:p>
      <w:pPr>
        <w:ind w:firstLine="1042"/>
        <w:spacing w:after="0" w:line="288" w:lineRule="auto"/>
        <w:tabs>
          <w:tab w:leader="none" w:pos="1692" w:val="left"/>
        </w:tabs>
        <w:numPr>
          <w:ilvl w:val="1"/>
          <w:numId w:val="177"/>
        </w:numPr>
        <w:rPr>
          <w:rFonts w:ascii="Arial" w:cs="Arial" w:eastAsia="Arial" w:hAnsi="Arial"/>
          <w:sz w:val="14"/>
          <w:szCs w:val="14"/>
          <w:color w:val="231E20"/>
        </w:rPr>
      </w:pPr>
      <w:r>
        <w:rPr>
          <w:rFonts w:ascii="Arial" w:cs="Arial" w:eastAsia="Arial" w:hAnsi="Arial"/>
          <w:sz w:val="14"/>
          <w:szCs w:val="14"/>
          <w:u w:val="single" w:color="auto"/>
          <w:color w:val="auto"/>
        </w:rPr>
        <w:t>Election</w:t>
      </w:r>
      <w:r>
        <w:rPr>
          <w:rFonts w:ascii="Arial" w:cs="Arial" w:eastAsia="Arial" w:hAnsi="Arial"/>
          <w:sz w:val="14"/>
          <w:szCs w:val="14"/>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131" w:lineRule="exact"/>
        <w:rPr>
          <w:rFonts w:ascii="Arial" w:cs="Arial" w:eastAsia="Arial" w:hAnsi="Arial"/>
          <w:sz w:val="14"/>
          <w:szCs w:val="14"/>
          <w:color w:val="231E20"/>
        </w:rPr>
      </w:pPr>
    </w:p>
    <w:p>
      <w:pPr>
        <w:ind w:firstLine="1042"/>
        <w:spacing w:after="0" w:line="288" w:lineRule="auto"/>
        <w:tabs>
          <w:tab w:leader="none" w:pos="1663" w:val="left"/>
        </w:tabs>
        <w:numPr>
          <w:ilvl w:val="1"/>
          <w:numId w:val="177"/>
        </w:numPr>
        <w:rPr>
          <w:rFonts w:ascii="Arial" w:cs="Arial" w:eastAsia="Arial" w:hAnsi="Arial"/>
          <w:sz w:val="14"/>
          <w:szCs w:val="14"/>
          <w:color w:val="231E20"/>
        </w:rPr>
      </w:pPr>
      <w:r>
        <w:rPr>
          <w:rFonts w:ascii="Arial" w:cs="Arial" w:eastAsia="Arial" w:hAnsi="Arial"/>
          <w:sz w:val="14"/>
          <w:szCs w:val="14"/>
          <w:u w:val="single" w:color="auto"/>
          <w:color w:val="auto"/>
        </w:rPr>
        <w:t>Qualification</w:t>
      </w:r>
      <w:r>
        <w:rPr>
          <w:rFonts w:ascii="Arial" w:cs="Arial" w:eastAsia="Arial" w:hAnsi="Arial"/>
          <w:sz w:val="14"/>
          <w:szCs w:val="14"/>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131" w:lineRule="exact"/>
        <w:rPr>
          <w:rFonts w:ascii="Arial" w:cs="Arial" w:eastAsia="Arial" w:hAnsi="Arial"/>
          <w:sz w:val="14"/>
          <w:szCs w:val="14"/>
          <w:color w:val="231E20"/>
        </w:rPr>
      </w:pPr>
    </w:p>
    <w:p>
      <w:pPr>
        <w:ind w:left="1680" w:hanging="638"/>
        <w:spacing w:after="0"/>
        <w:tabs>
          <w:tab w:leader="none" w:pos="1680" w:val="left"/>
        </w:tabs>
        <w:numPr>
          <w:ilvl w:val="1"/>
          <w:numId w:val="177"/>
        </w:numPr>
        <w:rPr>
          <w:rFonts w:ascii="Arial" w:cs="Arial" w:eastAsia="Arial" w:hAnsi="Arial"/>
          <w:sz w:val="13"/>
          <w:szCs w:val="13"/>
          <w:color w:val="231E20"/>
        </w:rPr>
      </w:pPr>
      <w:r>
        <w:rPr>
          <w:rFonts w:ascii="Arial" w:cs="Arial" w:eastAsia="Arial" w:hAnsi="Arial"/>
          <w:sz w:val="13"/>
          <w:szCs w:val="13"/>
          <w:u w:val="single" w:color="auto"/>
          <w:color w:val="auto"/>
        </w:rPr>
        <w:t>Tenure</w:t>
      </w:r>
      <w:r>
        <w:rPr>
          <w:rFonts w:ascii="Arial" w:cs="Arial" w:eastAsia="Arial" w:hAnsi="Arial"/>
          <w:sz w:val="13"/>
          <w:szCs w:val="13"/>
          <w:color w:val="auto"/>
        </w:rPr>
        <w:t>. Except as otherwise provided by the Certificate of Incorporation or by these Bylaw, each of the officers of the Corporation shall hold office until the first</w:t>
      </w:r>
    </w:p>
    <w:p>
      <w:pPr>
        <w:spacing w:after="0" w:line="32" w:lineRule="exact"/>
        <w:rPr>
          <w:rFonts w:ascii="Arial" w:cs="Arial" w:eastAsia="Arial" w:hAnsi="Arial"/>
          <w:sz w:val="13"/>
          <w:szCs w:val="13"/>
          <w:color w:val="231E20"/>
        </w:rPr>
      </w:pPr>
    </w:p>
    <w:p>
      <w:pPr>
        <w:spacing w:after="0"/>
        <w:rPr>
          <w:rFonts w:ascii="Arial" w:cs="Arial" w:eastAsia="Arial" w:hAnsi="Arial"/>
          <w:sz w:val="13"/>
          <w:szCs w:val="13"/>
          <w:color w:val="231E20"/>
        </w:rPr>
      </w:pPr>
      <w:r>
        <w:rPr>
          <w:rFonts w:ascii="Arial" w:cs="Arial" w:eastAsia="Arial" w:hAnsi="Arial"/>
          <w:sz w:val="14"/>
          <w:szCs w:val="14"/>
          <w:color w:val="auto"/>
        </w:rPr>
        <w:t>meeting</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11" w:name="page312"/>
    <w:bookmarkEnd w:id="311"/>
    <w:p>
      <w:pPr>
        <w:jc w:val="both"/>
        <w:spacing w:after="0" w:line="273" w:lineRule="auto"/>
        <w:rPr>
          <w:sz w:val="20"/>
          <w:szCs w:val="20"/>
          <w:color w:val="auto"/>
        </w:rPr>
      </w:pPr>
      <w:r>
        <w:rPr>
          <w:rFonts w:ascii="Arial" w:cs="Arial" w:eastAsia="Arial" w:hAnsi="Arial"/>
          <w:sz w:val="14"/>
          <w:szCs w:val="14"/>
          <w:color w:val="auto"/>
        </w:rPr>
        <w:t>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141" w:lineRule="exact"/>
        <w:rPr>
          <w:sz w:val="20"/>
          <w:szCs w:val="20"/>
          <w:color w:val="auto"/>
        </w:rPr>
      </w:pPr>
    </w:p>
    <w:p>
      <w:pPr>
        <w:ind w:left="1660" w:hanging="618"/>
        <w:spacing w:after="0"/>
        <w:tabs>
          <w:tab w:leader="none" w:pos="1660" w:val="left"/>
        </w:tabs>
        <w:numPr>
          <w:ilvl w:val="0"/>
          <w:numId w:val="178"/>
        </w:numPr>
        <w:rPr>
          <w:rFonts w:ascii="Arial" w:cs="Arial" w:eastAsia="Arial" w:hAnsi="Arial"/>
          <w:sz w:val="14"/>
          <w:szCs w:val="14"/>
          <w:color w:val="231E20"/>
        </w:rPr>
      </w:pPr>
      <w:r>
        <w:rPr>
          <w:rFonts w:ascii="Arial" w:cs="Arial" w:eastAsia="Arial" w:hAnsi="Arial"/>
          <w:sz w:val="14"/>
          <w:szCs w:val="14"/>
          <w:u w:val="single" w:color="auto"/>
          <w:color w:val="auto"/>
        </w:rPr>
        <w:t>Removal</w:t>
      </w:r>
      <w:r>
        <w:rPr>
          <w:rFonts w:ascii="Arial" w:cs="Arial" w:eastAsia="Arial" w:hAnsi="Arial"/>
          <w:sz w:val="14"/>
          <w:szCs w:val="14"/>
          <w:color w:val="auto"/>
        </w:rPr>
        <w:t>. The Board of Directors may remove any officer with or without cause by a vote of a majority of the directors then in office.</w:t>
      </w:r>
    </w:p>
    <w:p>
      <w:pPr>
        <w:spacing w:after="0" w:line="184" w:lineRule="exact"/>
        <w:rPr>
          <w:rFonts w:ascii="Arial" w:cs="Arial" w:eastAsia="Arial" w:hAnsi="Arial"/>
          <w:sz w:val="14"/>
          <w:szCs w:val="14"/>
          <w:color w:val="231E20"/>
        </w:rPr>
      </w:pPr>
    </w:p>
    <w:p>
      <w:pPr>
        <w:ind w:left="1680" w:hanging="638"/>
        <w:spacing w:after="0"/>
        <w:tabs>
          <w:tab w:leader="none" w:pos="1680" w:val="left"/>
        </w:tabs>
        <w:numPr>
          <w:ilvl w:val="0"/>
          <w:numId w:val="178"/>
        </w:numPr>
        <w:rPr>
          <w:rFonts w:ascii="Arial" w:cs="Arial" w:eastAsia="Arial" w:hAnsi="Arial"/>
          <w:sz w:val="14"/>
          <w:szCs w:val="14"/>
          <w:color w:val="231E20"/>
        </w:rPr>
      </w:pPr>
      <w:r>
        <w:rPr>
          <w:rFonts w:ascii="Arial" w:cs="Arial" w:eastAsia="Arial" w:hAnsi="Arial"/>
          <w:sz w:val="14"/>
          <w:szCs w:val="14"/>
          <w:u w:val="single" w:color="auto"/>
          <w:color w:val="auto"/>
        </w:rPr>
        <w:t>Vacancies</w:t>
      </w:r>
      <w:r>
        <w:rPr>
          <w:rFonts w:ascii="Arial" w:cs="Arial" w:eastAsia="Arial" w:hAnsi="Arial"/>
          <w:sz w:val="14"/>
          <w:szCs w:val="14"/>
          <w:color w:val="auto"/>
        </w:rPr>
        <w:t>. Any vacancy in any office may be filled for the unexpired portion of the term by the Board of Directors.</w:t>
      </w:r>
    </w:p>
    <w:p>
      <w:pPr>
        <w:spacing w:after="0" w:line="184" w:lineRule="exact"/>
        <w:rPr>
          <w:rFonts w:ascii="Arial" w:cs="Arial" w:eastAsia="Arial" w:hAnsi="Arial"/>
          <w:sz w:val="14"/>
          <w:szCs w:val="14"/>
          <w:color w:val="231E20"/>
        </w:rPr>
      </w:pPr>
    </w:p>
    <w:p>
      <w:pPr>
        <w:jc w:val="both"/>
        <w:ind w:firstLine="1042"/>
        <w:spacing w:after="0" w:line="273" w:lineRule="auto"/>
        <w:tabs>
          <w:tab w:leader="none" w:pos="1681" w:val="left"/>
        </w:tabs>
        <w:numPr>
          <w:ilvl w:val="0"/>
          <w:numId w:val="178"/>
        </w:numPr>
        <w:rPr>
          <w:rFonts w:ascii="Arial" w:cs="Arial" w:eastAsia="Arial" w:hAnsi="Arial"/>
          <w:sz w:val="14"/>
          <w:szCs w:val="14"/>
          <w:color w:val="231E20"/>
        </w:rPr>
      </w:pPr>
      <w:r>
        <w:rPr>
          <w:rFonts w:ascii="Arial" w:cs="Arial" w:eastAsia="Arial" w:hAnsi="Arial"/>
          <w:sz w:val="14"/>
          <w:szCs w:val="14"/>
          <w:u w:val="single" w:color="auto"/>
          <w:color w:val="auto"/>
        </w:rPr>
        <w:t>Chairman of the Board and Vice Chairman</w:t>
      </w:r>
      <w:r>
        <w:rPr>
          <w:rFonts w:ascii="Arial" w:cs="Arial" w:eastAsia="Arial" w:hAnsi="Arial"/>
          <w:sz w:val="14"/>
          <w:szCs w:val="14"/>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41"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141" w:lineRule="exact"/>
        <w:rPr>
          <w:sz w:val="20"/>
          <w:szCs w:val="20"/>
          <w:color w:val="auto"/>
        </w:rPr>
      </w:pPr>
    </w:p>
    <w:p>
      <w:pPr>
        <w:ind w:left="1680" w:hanging="638"/>
        <w:spacing w:after="0"/>
        <w:tabs>
          <w:tab w:leader="none" w:pos="1680" w:val="left"/>
        </w:tabs>
        <w:numPr>
          <w:ilvl w:val="0"/>
          <w:numId w:val="179"/>
        </w:numPr>
        <w:rPr>
          <w:rFonts w:ascii="Arial" w:cs="Arial" w:eastAsia="Arial" w:hAnsi="Arial"/>
          <w:sz w:val="13"/>
          <w:szCs w:val="13"/>
          <w:color w:val="231E20"/>
        </w:rPr>
      </w:pPr>
      <w:r>
        <w:rPr>
          <w:rFonts w:ascii="Arial" w:cs="Arial" w:eastAsia="Arial" w:hAnsi="Arial"/>
          <w:sz w:val="13"/>
          <w:szCs w:val="13"/>
          <w:u w:val="single" w:color="auto"/>
          <w:color w:val="auto"/>
        </w:rPr>
        <w:t>Chief Executive Officer</w:t>
      </w:r>
      <w:r>
        <w:rPr>
          <w:rFonts w:ascii="Arial" w:cs="Arial" w:eastAsia="Arial" w:hAnsi="Arial"/>
          <w:sz w:val="13"/>
          <w:szCs w:val="13"/>
          <w:color w:val="auto"/>
        </w:rPr>
        <w:t>. The Chief Executive Officer, if one is elected, shall have such powers and shall perform such duties as the Board of Directors may from time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to time designate.</w:t>
      </w:r>
    </w:p>
    <w:p>
      <w:pPr>
        <w:spacing w:after="0" w:line="175" w:lineRule="exact"/>
        <w:rPr>
          <w:sz w:val="20"/>
          <w:szCs w:val="20"/>
          <w:color w:val="auto"/>
        </w:rPr>
      </w:pPr>
    </w:p>
    <w:p>
      <w:pPr>
        <w:jc w:val="both"/>
        <w:ind w:firstLine="1042"/>
        <w:spacing w:after="0" w:line="303" w:lineRule="auto"/>
        <w:tabs>
          <w:tab w:leader="none" w:pos="1668" w:val="left"/>
        </w:tabs>
        <w:numPr>
          <w:ilvl w:val="0"/>
          <w:numId w:val="180"/>
        </w:numPr>
        <w:rPr>
          <w:rFonts w:ascii="Arial" w:cs="Arial" w:eastAsia="Arial" w:hAnsi="Arial"/>
          <w:sz w:val="13"/>
          <w:szCs w:val="13"/>
          <w:color w:val="231E20"/>
        </w:rPr>
      </w:pPr>
      <w:r>
        <w:rPr>
          <w:rFonts w:ascii="Arial" w:cs="Arial" w:eastAsia="Arial" w:hAnsi="Arial"/>
          <w:sz w:val="13"/>
          <w:szCs w:val="13"/>
          <w:u w:val="single" w:color="auto"/>
          <w:color w:val="auto"/>
        </w:rPr>
        <w:t>Presidents</w:t>
      </w:r>
      <w:r>
        <w:rPr>
          <w:rFonts w:ascii="Arial" w:cs="Arial" w:eastAsia="Arial" w:hAnsi="Arial"/>
          <w:sz w:val="13"/>
          <w:szCs w:val="13"/>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24" w:lineRule="exact"/>
        <w:rPr>
          <w:rFonts w:ascii="Arial" w:cs="Arial" w:eastAsia="Arial" w:hAnsi="Arial"/>
          <w:sz w:val="13"/>
          <w:szCs w:val="13"/>
          <w:color w:val="231E20"/>
        </w:rPr>
      </w:pPr>
    </w:p>
    <w:p>
      <w:pPr>
        <w:ind w:firstLine="1042"/>
        <w:spacing w:after="0" w:line="288" w:lineRule="auto"/>
        <w:tabs>
          <w:tab w:leader="none" w:pos="1668" w:val="left"/>
        </w:tabs>
        <w:numPr>
          <w:ilvl w:val="0"/>
          <w:numId w:val="180"/>
        </w:numPr>
        <w:rPr>
          <w:rFonts w:ascii="Arial" w:cs="Arial" w:eastAsia="Arial" w:hAnsi="Arial"/>
          <w:sz w:val="14"/>
          <w:szCs w:val="14"/>
          <w:color w:val="231E20"/>
        </w:rPr>
      </w:pPr>
      <w:r>
        <w:rPr>
          <w:rFonts w:ascii="Arial" w:cs="Arial" w:eastAsia="Arial" w:hAnsi="Arial"/>
          <w:sz w:val="14"/>
          <w:szCs w:val="14"/>
          <w:u w:val="single" w:color="auto"/>
          <w:color w:val="auto"/>
        </w:rPr>
        <w:t>Vice Presidents and Assistant Vice Presidents</w:t>
      </w:r>
      <w:r>
        <w:rPr>
          <w:rFonts w:ascii="Arial" w:cs="Arial" w:eastAsia="Arial" w:hAnsi="Arial"/>
          <w:sz w:val="14"/>
          <w:szCs w:val="14"/>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131" w:lineRule="exact"/>
        <w:rPr>
          <w:rFonts w:ascii="Arial" w:cs="Arial" w:eastAsia="Arial" w:hAnsi="Arial"/>
          <w:sz w:val="14"/>
          <w:szCs w:val="14"/>
          <w:color w:val="231E20"/>
        </w:rPr>
      </w:pPr>
    </w:p>
    <w:p>
      <w:pPr>
        <w:jc w:val="both"/>
        <w:ind w:firstLine="1042"/>
        <w:spacing w:after="0" w:line="273" w:lineRule="auto"/>
        <w:tabs>
          <w:tab w:leader="none" w:pos="1692" w:val="left"/>
        </w:tabs>
        <w:numPr>
          <w:ilvl w:val="0"/>
          <w:numId w:val="180"/>
        </w:numPr>
        <w:rPr>
          <w:rFonts w:ascii="Arial" w:cs="Arial" w:eastAsia="Arial" w:hAnsi="Arial"/>
          <w:sz w:val="14"/>
          <w:szCs w:val="14"/>
          <w:color w:val="231E20"/>
        </w:rPr>
      </w:pPr>
      <w:r>
        <w:rPr>
          <w:rFonts w:ascii="Arial" w:cs="Arial" w:eastAsia="Arial" w:hAnsi="Arial"/>
          <w:sz w:val="14"/>
          <w:szCs w:val="14"/>
          <w:u w:val="single" w:color="auto"/>
          <w:color w:val="auto"/>
        </w:rPr>
        <w:t>Treasurer and Assistant Treasurers</w:t>
      </w:r>
      <w:r>
        <w:rPr>
          <w:rFonts w:ascii="Arial" w:cs="Arial" w:eastAsia="Arial" w:hAnsi="Arial"/>
          <w:sz w:val="14"/>
          <w:szCs w:val="14"/>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12" w:name="page313"/>
    <w:bookmarkEnd w:id="312"/>
    <w:p>
      <w:pPr>
        <w:ind w:left="1040"/>
        <w:spacing w:after="0"/>
        <w:rPr>
          <w:sz w:val="20"/>
          <w:szCs w:val="20"/>
          <w:color w:val="auto"/>
        </w:rPr>
      </w:pPr>
      <w:r>
        <w:rPr>
          <w:rFonts w:ascii="Arial" w:cs="Arial" w:eastAsia="Arial" w:hAnsi="Arial"/>
          <w:sz w:val="14"/>
          <w:szCs w:val="14"/>
          <w:color w:val="auto"/>
        </w:rPr>
        <w:t>Any Assistant Treasurer shall have such powers and perform such duties as the Board of Directors may from time to time designate.</w:t>
      </w:r>
    </w:p>
    <w:p>
      <w:pPr>
        <w:spacing w:after="0" w:line="184" w:lineRule="exact"/>
        <w:rPr>
          <w:sz w:val="20"/>
          <w:szCs w:val="20"/>
          <w:color w:val="auto"/>
        </w:rPr>
      </w:pPr>
    </w:p>
    <w:p>
      <w:pPr>
        <w:jc w:val="both"/>
        <w:ind w:firstLine="1042"/>
        <w:spacing w:after="0" w:line="267" w:lineRule="auto"/>
        <w:tabs>
          <w:tab w:leader="none" w:pos="1668" w:val="left"/>
        </w:tabs>
        <w:numPr>
          <w:ilvl w:val="0"/>
          <w:numId w:val="181"/>
        </w:numPr>
        <w:rPr>
          <w:rFonts w:ascii="Arial" w:cs="Arial" w:eastAsia="Arial" w:hAnsi="Arial"/>
          <w:sz w:val="14"/>
          <w:szCs w:val="14"/>
          <w:color w:val="231E20"/>
        </w:rPr>
      </w:pPr>
      <w:r>
        <w:rPr>
          <w:rFonts w:ascii="Arial" w:cs="Arial" w:eastAsia="Arial" w:hAnsi="Arial"/>
          <w:sz w:val="14"/>
          <w:szCs w:val="14"/>
          <w:u w:val="single" w:color="auto"/>
          <w:color w:val="auto"/>
        </w:rPr>
        <w:t>Secretary and Assistant Secretaries</w:t>
      </w:r>
      <w:r>
        <w:rPr>
          <w:rFonts w:ascii="Arial" w:cs="Arial" w:eastAsia="Arial" w:hAnsi="Arial"/>
          <w:sz w:val="14"/>
          <w:szCs w:val="14"/>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Any Assistant Secretary shall have such powers and perform such duties as the Board of Directors may from time to time designate.</w:t>
      </w:r>
    </w:p>
    <w:p>
      <w:pPr>
        <w:spacing w:after="0" w:line="184" w:lineRule="exact"/>
        <w:rPr>
          <w:sz w:val="20"/>
          <w:szCs w:val="20"/>
          <w:color w:val="auto"/>
        </w:rPr>
      </w:pPr>
    </w:p>
    <w:p>
      <w:pPr>
        <w:ind w:firstLine="1042"/>
        <w:spacing w:after="0" w:line="329" w:lineRule="auto"/>
        <w:tabs>
          <w:tab w:leader="none" w:pos="1653" w:val="left"/>
        </w:tabs>
        <w:numPr>
          <w:ilvl w:val="1"/>
          <w:numId w:val="182"/>
        </w:numPr>
        <w:rPr>
          <w:rFonts w:ascii="Arial" w:cs="Arial" w:eastAsia="Arial" w:hAnsi="Arial"/>
          <w:sz w:val="13"/>
          <w:szCs w:val="13"/>
          <w:color w:val="231E20"/>
        </w:rPr>
      </w:pPr>
      <w:r>
        <w:rPr>
          <w:rFonts w:ascii="Arial" w:cs="Arial" w:eastAsia="Arial" w:hAnsi="Arial"/>
          <w:sz w:val="13"/>
          <w:szCs w:val="13"/>
          <w:u w:val="single" w:color="auto"/>
          <w:color w:val="auto"/>
        </w:rPr>
        <w:t>Other Powers and Duties</w:t>
      </w:r>
      <w:r>
        <w:rPr>
          <w:rFonts w:ascii="Arial" w:cs="Arial" w:eastAsia="Arial" w:hAnsi="Arial"/>
          <w:sz w:val="13"/>
          <w:szCs w:val="13"/>
          <w:color w:val="auto"/>
        </w:rPr>
        <w:t>. Subject to these Bylaw, each officer of the Corporation shall have in addition to the duties and powers specifically set forth in these Bylaw, such duties and powers as are customarily incident to such officer’s office, and such duties and powers as may be designated from time to time by the Board of Directors.</w:t>
      </w:r>
    </w:p>
    <w:p>
      <w:pPr>
        <w:spacing w:after="0" w:line="108" w:lineRule="exact"/>
        <w:rPr>
          <w:rFonts w:ascii="Arial" w:cs="Arial" w:eastAsia="Arial" w:hAnsi="Arial"/>
          <w:sz w:val="13"/>
          <w:szCs w:val="13"/>
          <w:color w:val="231E20"/>
        </w:rPr>
      </w:pPr>
    </w:p>
    <w:p>
      <w:pPr>
        <w:ind w:left="1180" w:hanging="656"/>
        <w:spacing w:after="0"/>
        <w:tabs>
          <w:tab w:leader="none" w:pos="1180" w:val="left"/>
        </w:tabs>
        <w:numPr>
          <w:ilvl w:val="0"/>
          <w:numId w:val="183"/>
        </w:numPr>
        <w:rPr>
          <w:rFonts w:ascii="Arial" w:cs="Arial" w:eastAsia="Arial" w:hAnsi="Arial"/>
          <w:sz w:val="14"/>
          <w:szCs w:val="14"/>
          <w:color w:val="231E20"/>
        </w:rPr>
      </w:pPr>
      <w:r>
        <w:rPr>
          <w:rFonts w:ascii="Arial" w:cs="Arial" w:eastAsia="Arial" w:hAnsi="Arial"/>
          <w:sz w:val="14"/>
          <w:szCs w:val="14"/>
          <w:u w:val="single" w:color="auto"/>
          <w:color w:val="auto"/>
        </w:rPr>
        <w:t>Capital Stock</w:t>
      </w:r>
    </w:p>
    <w:p>
      <w:pPr>
        <w:spacing w:after="0" w:line="184" w:lineRule="exact"/>
        <w:rPr>
          <w:rFonts w:ascii="Arial" w:cs="Arial" w:eastAsia="Arial" w:hAnsi="Arial"/>
          <w:sz w:val="14"/>
          <w:szCs w:val="14"/>
          <w:color w:val="231E20"/>
        </w:rPr>
      </w:pPr>
    </w:p>
    <w:p>
      <w:pPr>
        <w:jc w:val="both"/>
        <w:ind w:firstLine="1042"/>
        <w:spacing w:after="0" w:line="263" w:lineRule="auto"/>
        <w:tabs>
          <w:tab w:leader="none" w:pos="1663" w:val="left"/>
        </w:tabs>
        <w:numPr>
          <w:ilvl w:val="1"/>
          <w:numId w:val="183"/>
        </w:numPr>
        <w:rPr>
          <w:rFonts w:ascii="Arial" w:cs="Arial" w:eastAsia="Arial" w:hAnsi="Arial"/>
          <w:sz w:val="14"/>
          <w:szCs w:val="14"/>
          <w:color w:val="231E20"/>
        </w:rPr>
      </w:pPr>
      <w:r>
        <w:rPr>
          <w:rFonts w:ascii="Arial" w:cs="Arial" w:eastAsia="Arial" w:hAnsi="Arial"/>
          <w:sz w:val="14"/>
          <w:szCs w:val="14"/>
          <w:u w:val="single" w:color="auto"/>
          <w:color w:val="auto"/>
        </w:rPr>
        <w:t>Certificates of Stock</w:t>
      </w:r>
      <w:r>
        <w:rPr>
          <w:rFonts w:ascii="Arial" w:cs="Arial" w:eastAsia="Arial" w:hAnsi="Arial"/>
          <w:sz w:val="14"/>
          <w:szCs w:val="14"/>
          <w:color w:val="auto"/>
        </w:rPr>
        <w:t>. Each stockholder shall be entitled to a certificate of the capital stock of the Corporation in such form as may from time to time be prescribed by the Board of Directors. Such certificate shall be signed by any two authorized officers of the Corporation.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149" w:lineRule="exact"/>
        <w:rPr>
          <w:rFonts w:ascii="Arial" w:cs="Arial" w:eastAsia="Arial" w:hAnsi="Arial"/>
          <w:sz w:val="14"/>
          <w:szCs w:val="14"/>
          <w:color w:val="231E20"/>
        </w:rPr>
      </w:pPr>
    </w:p>
    <w:p>
      <w:pPr>
        <w:jc w:val="both"/>
        <w:ind w:firstLine="1042"/>
        <w:spacing w:after="0" w:line="273" w:lineRule="auto"/>
        <w:tabs>
          <w:tab w:leader="none" w:pos="1671" w:val="left"/>
        </w:tabs>
        <w:numPr>
          <w:ilvl w:val="1"/>
          <w:numId w:val="183"/>
        </w:numPr>
        <w:rPr>
          <w:rFonts w:ascii="Arial" w:cs="Arial" w:eastAsia="Arial" w:hAnsi="Arial"/>
          <w:sz w:val="14"/>
          <w:szCs w:val="14"/>
          <w:color w:val="231E20"/>
        </w:rPr>
      </w:pPr>
      <w:r>
        <w:rPr>
          <w:rFonts w:ascii="Arial" w:cs="Arial" w:eastAsia="Arial" w:hAnsi="Arial"/>
          <w:sz w:val="14"/>
          <w:szCs w:val="14"/>
          <w:u w:val="single" w:color="auto"/>
          <w:color w:val="auto"/>
        </w:rPr>
        <w:t>Transfers</w:t>
      </w:r>
      <w:r>
        <w:rPr>
          <w:rFonts w:ascii="Arial" w:cs="Arial" w:eastAsia="Arial" w:hAnsi="Arial"/>
          <w:sz w:val="14"/>
          <w:szCs w:val="14"/>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141" w:lineRule="exact"/>
        <w:rPr>
          <w:rFonts w:ascii="Arial" w:cs="Arial" w:eastAsia="Arial" w:hAnsi="Arial"/>
          <w:sz w:val="14"/>
          <w:szCs w:val="14"/>
          <w:color w:val="231E20"/>
        </w:rPr>
      </w:pPr>
    </w:p>
    <w:p>
      <w:pPr>
        <w:jc w:val="both"/>
        <w:ind w:firstLine="1042"/>
        <w:spacing w:after="0" w:line="273" w:lineRule="auto"/>
        <w:tabs>
          <w:tab w:leader="none" w:pos="1663" w:val="left"/>
        </w:tabs>
        <w:numPr>
          <w:ilvl w:val="1"/>
          <w:numId w:val="183"/>
        </w:numPr>
        <w:rPr>
          <w:rFonts w:ascii="Arial" w:cs="Arial" w:eastAsia="Arial" w:hAnsi="Arial"/>
          <w:sz w:val="14"/>
          <w:szCs w:val="14"/>
          <w:color w:val="231E20"/>
        </w:rPr>
      </w:pPr>
      <w:r>
        <w:rPr>
          <w:rFonts w:ascii="Arial" w:cs="Arial" w:eastAsia="Arial" w:hAnsi="Arial"/>
          <w:sz w:val="14"/>
          <w:szCs w:val="14"/>
          <w:u w:val="single" w:color="auto"/>
          <w:color w:val="auto"/>
        </w:rPr>
        <w:t>Record Holders</w:t>
      </w:r>
      <w:r>
        <w:rPr>
          <w:rFonts w:ascii="Arial" w:cs="Arial" w:eastAsia="Arial" w:hAnsi="Arial"/>
          <w:sz w:val="14"/>
          <w:szCs w:val="14"/>
          <w:color w:val="auto"/>
        </w:rPr>
        <w:t>. Except as may otherwise be required by law, by the Certificate of Incorporation or by these Bylaw,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It shall be the duty of each stockholder to notify the Corporation of such stockholder’s post office address.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13" w:name="page314"/>
    <w:bookmarkEnd w:id="313"/>
    <w:p>
      <w:pPr>
        <w:jc w:val="both"/>
        <w:ind w:firstLine="1056"/>
        <w:spacing w:after="0" w:line="263" w:lineRule="auto"/>
        <w:tabs>
          <w:tab w:leader="none" w:pos="1656" w:val="left"/>
        </w:tabs>
        <w:numPr>
          <w:ilvl w:val="0"/>
          <w:numId w:val="184"/>
        </w:numPr>
        <w:rPr>
          <w:rFonts w:ascii="Arial" w:cs="Arial" w:eastAsia="Arial" w:hAnsi="Arial"/>
          <w:sz w:val="14"/>
          <w:szCs w:val="14"/>
          <w:color w:val="231E20"/>
        </w:rPr>
      </w:pPr>
      <w:r>
        <w:rPr>
          <w:rFonts w:ascii="Arial" w:cs="Arial" w:eastAsia="Arial" w:hAnsi="Arial"/>
          <w:sz w:val="14"/>
          <w:szCs w:val="14"/>
          <w:u w:val="single" w:color="auto"/>
          <w:color w:val="auto"/>
        </w:rPr>
        <w:t>Record Date</w:t>
      </w:r>
      <w:r>
        <w:rPr>
          <w:rFonts w:ascii="Arial" w:cs="Arial" w:eastAsia="Arial" w:hAnsi="Arial"/>
          <w:sz w:val="14"/>
          <w:szCs w:val="14"/>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50" w:lineRule="exact"/>
        <w:rPr>
          <w:sz w:val="20"/>
          <w:szCs w:val="20"/>
          <w:color w:val="auto"/>
        </w:rPr>
      </w:pPr>
    </w:p>
    <w:p>
      <w:pPr>
        <w:jc w:val="both"/>
        <w:ind w:firstLine="1050"/>
        <w:spacing w:after="0" w:line="263" w:lineRule="auto"/>
        <w:rPr>
          <w:sz w:val="20"/>
          <w:szCs w:val="20"/>
          <w:color w:val="auto"/>
        </w:rPr>
      </w:pPr>
      <w:r>
        <w:rPr>
          <w:rFonts w:ascii="Arial" w:cs="Arial" w:eastAsia="Arial" w:hAnsi="Arial"/>
          <w:sz w:val="14"/>
          <w:szCs w:val="14"/>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150" w:lineRule="exact"/>
        <w:rPr>
          <w:sz w:val="20"/>
          <w:szCs w:val="20"/>
          <w:color w:val="auto"/>
        </w:rPr>
      </w:pPr>
    </w:p>
    <w:p>
      <w:pPr>
        <w:jc w:val="both"/>
        <w:ind w:firstLine="1056"/>
        <w:spacing w:after="0" w:line="273" w:lineRule="auto"/>
        <w:tabs>
          <w:tab w:leader="none" w:pos="1688" w:val="left"/>
        </w:tabs>
        <w:numPr>
          <w:ilvl w:val="3"/>
          <w:numId w:val="185"/>
        </w:numPr>
        <w:rPr>
          <w:rFonts w:ascii="Arial" w:cs="Arial" w:eastAsia="Arial" w:hAnsi="Arial"/>
          <w:sz w:val="14"/>
          <w:szCs w:val="14"/>
          <w:color w:val="231E20"/>
        </w:rPr>
      </w:pPr>
      <w:r>
        <w:rPr>
          <w:rFonts w:ascii="Arial" w:cs="Arial" w:eastAsia="Arial" w:hAnsi="Arial"/>
          <w:sz w:val="14"/>
          <w:szCs w:val="14"/>
          <w:u w:val="single" w:color="auto"/>
          <w:color w:val="auto"/>
        </w:rPr>
        <w:t>Lost Certificates</w:t>
      </w:r>
      <w:r>
        <w:rPr>
          <w:rFonts w:ascii="Arial" w:cs="Arial" w:eastAsia="Arial" w:hAnsi="Arial"/>
          <w:sz w:val="14"/>
          <w:szCs w:val="14"/>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41" w:lineRule="exact"/>
        <w:rPr>
          <w:rFonts w:ascii="Arial" w:cs="Arial" w:eastAsia="Arial" w:hAnsi="Arial"/>
          <w:sz w:val="14"/>
          <w:szCs w:val="14"/>
          <w:color w:val="231E20"/>
        </w:rPr>
      </w:pPr>
    </w:p>
    <w:p>
      <w:pPr>
        <w:ind w:left="1200" w:hanging="661"/>
        <w:spacing w:after="0"/>
        <w:tabs>
          <w:tab w:leader="none" w:pos="1200" w:val="left"/>
        </w:tabs>
        <w:numPr>
          <w:ilvl w:val="1"/>
          <w:numId w:val="186"/>
        </w:numPr>
        <w:rPr>
          <w:rFonts w:ascii="Arial" w:cs="Arial" w:eastAsia="Arial" w:hAnsi="Arial"/>
          <w:sz w:val="14"/>
          <w:szCs w:val="14"/>
          <w:color w:val="231E20"/>
        </w:rPr>
      </w:pPr>
      <w:r>
        <w:rPr>
          <w:rFonts w:ascii="Arial" w:cs="Arial" w:eastAsia="Arial" w:hAnsi="Arial"/>
          <w:sz w:val="14"/>
          <w:szCs w:val="14"/>
          <w:u w:val="single" w:color="auto"/>
          <w:color w:val="auto"/>
        </w:rPr>
        <w:t>Indemnification</w:t>
      </w:r>
    </w:p>
    <w:p>
      <w:pPr>
        <w:spacing w:after="0" w:line="184" w:lineRule="exact"/>
        <w:rPr>
          <w:rFonts w:ascii="Arial" w:cs="Arial" w:eastAsia="Arial" w:hAnsi="Arial"/>
          <w:sz w:val="14"/>
          <w:szCs w:val="14"/>
          <w:color w:val="231E20"/>
        </w:rPr>
      </w:pPr>
    </w:p>
    <w:p>
      <w:pPr>
        <w:ind w:left="1660" w:hanging="618"/>
        <w:spacing w:after="0"/>
        <w:tabs>
          <w:tab w:leader="none" w:pos="1660" w:val="left"/>
        </w:tabs>
        <w:numPr>
          <w:ilvl w:val="2"/>
          <w:numId w:val="186"/>
        </w:numPr>
        <w:rPr>
          <w:rFonts w:ascii="Arial" w:cs="Arial" w:eastAsia="Arial" w:hAnsi="Arial"/>
          <w:sz w:val="14"/>
          <w:szCs w:val="14"/>
          <w:color w:val="231E20"/>
        </w:rPr>
      </w:pP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Section 5:</w:t>
      </w:r>
    </w:p>
    <w:p>
      <w:pPr>
        <w:spacing w:after="0" w:line="184" w:lineRule="exact"/>
        <w:rPr>
          <w:rFonts w:ascii="Arial" w:cs="Arial" w:eastAsia="Arial" w:hAnsi="Arial"/>
          <w:sz w:val="14"/>
          <w:szCs w:val="14"/>
          <w:color w:val="231E20"/>
        </w:rPr>
      </w:pPr>
    </w:p>
    <w:p>
      <w:pPr>
        <w:ind w:left="2200" w:hanging="626"/>
        <w:spacing w:after="0"/>
        <w:tabs>
          <w:tab w:leader="none" w:pos="2200" w:val="left"/>
        </w:tabs>
        <w:numPr>
          <w:ilvl w:val="4"/>
          <w:numId w:val="186"/>
        </w:numPr>
        <w:rPr>
          <w:rFonts w:ascii="Arial" w:cs="Arial" w:eastAsia="Arial" w:hAnsi="Arial"/>
          <w:sz w:val="13"/>
          <w:szCs w:val="13"/>
          <w:color w:val="231E20"/>
        </w:rPr>
      </w:pPr>
      <w:r>
        <w:rPr>
          <w:rFonts w:ascii="Arial" w:cs="Arial" w:eastAsia="Arial" w:hAnsi="Arial"/>
          <w:sz w:val="13"/>
          <w:szCs w:val="13"/>
          <w:color w:val="auto"/>
        </w:rPr>
        <w:t>“Corporate Status” describes the status of a person who is serving or has served (A) as a Director of the Corporation, (B) as an Officer of the Corporation,</w:t>
      </w:r>
    </w:p>
    <w:p>
      <w:pPr>
        <w:spacing w:after="0" w:line="32" w:lineRule="exact"/>
        <w:rPr>
          <w:rFonts w:ascii="Arial" w:cs="Arial" w:eastAsia="Arial" w:hAnsi="Arial"/>
          <w:sz w:val="13"/>
          <w:szCs w:val="13"/>
          <w:color w:val="231E20"/>
        </w:rPr>
      </w:pPr>
    </w:p>
    <w:p>
      <w:pPr>
        <w:jc w:val="both"/>
        <w:ind w:firstLine="6"/>
        <w:spacing w:after="0" w:line="261" w:lineRule="auto"/>
        <w:tabs>
          <w:tab w:leader="none" w:pos="234" w:val="left"/>
        </w:tabs>
        <w:numPr>
          <w:ilvl w:val="0"/>
          <w:numId w:val="187"/>
        </w:numPr>
        <w:rPr>
          <w:rFonts w:ascii="Arial" w:cs="Arial" w:eastAsia="Arial" w:hAnsi="Arial"/>
          <w:sz w:val="14"/>
          <w:szCs w:val="14"/>
          <w:color w:val="auto"/>
        </w:rPr>
      </w:pPr>
      <w:r>
        <w:rPr>
          <w:rFonts w:ascii="Arial" w:cs="Arial" w:eastAsia="Arial" w:hAnsi="Arial"/>
          <w:sz w:val="14"/>
          <w:szCs w:val="14"/>
          <w:color w:val="auto"/>
        </w:rPr>
        <w:t>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Section 5(a) (i),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1" w:right="319" w:bottom="1440" w:gutter="0" w:footer="0" w:header="0"/>
        </w:sectPr>
      </w:pPr>
    </w:p>
    <w:bookmarkStart w:id="314" w:name="page315"/>
    <w:bookmarkEnd w:id="314"/>
    <w:p>
      <w:pPr>
        <w:spacing w:after="0"/>
        <w:rPr>
          <w:sz w:val="20"/>
          <w:szCs w:val="20"/>
          <w:color w:val="auto"/>
        </w:rPr>
      </w:pPr>
      <w:r>
        <w:rPr>
          <w:rFonts w:ascii="Arial" w:cs="Arial" w:eastAsia="Arial" w:hAnsi="Arial"/>
          <w:sz w:val="14"/>
          <w:szCs w:val="14"/>
          <w:color w:val="auto"/>
        </w:rPr>
        <w:t>with respect to such person’s activities prior to said transaction, unless specifically authorized by the Board of Directors or the stockholders of the Corporation;</w:t>
      </w:r>
    </w:p>
    <w:p>
      <w:pPr>
        <w:spacing w:after="0" w:line="184" w:lineRule="exact"/>
        <w:rPr>
          <w:sz w:val="20"/>
          <w:szCs w:val="20"/>
          <w:color w:val="auto"/>
        </w:rPr>
      </w:pPr>
    </w:p>
    <w:p>
      <w:pPr>
        <w:ind w:left="2180" w:hanging="620"/>
        <w:spacing w:after="0"/>
        <w:tabs>
          <w:tab w:leader="none" w:pos="2180" w:val="left"/>
        </w:tabs>
        <w:numPr>
          <w:ilvl w:val="0"/>
          <w:numId w:val="188"/>
        </w:numPr>
        <w:rPr>
          <w:rFonts w:ascii="Arial" w:cs="Arial" w:eastAsia="Arial" w:hAnsi="Arial"/>
          <w:sz w:val="14"/>
          <w:szCs w:val="14"/>
          <w:color w:val="231E20"/>
        </w:rPr>
      </w:pPr>
      <w:r>
        <w:rPr>
          <w:rFonts w:ascii="Arial" w:cs="Arial" w:eastAsia="Arial" w:hAnsi="Arial"/>
          <w:sz w:val="14"/>
          <w:szCs w:val="14"/>
          <w:color w:val="auto"/>
        </w:rPr>
        <w:t>“Director” means any person who serves or has served the Corporation as a director on the Board of Directors of the Corporation;</w:t>
      </w:r>
    </w:p>
    <w:p>
      <w:pPr>
        <w:spacing w:after="0" w:line="184" w:lineRule="exact"/>
        <w:rPr>
          <w:rFonts w:ascii="Arial" w:cs="Arial" w:eastAsia="Arial" w:hAnsi="Arial"/>
          <w:sz w:val="14"/>
          <w:szCs w:val="14"/>
          <w:color w:val="231E20"/>
        </w:rPr>
      </w:pPr>
    </w:p>
    <w:p>
      <w:pPr>
        <w:ind w:firstLine="1560"/>
        <w:spacing w:after="0" w:line="288" w:lineRule="auto"/>
        <w:tabs>
          <w:tab w:leader="none" w:pos="2150" w:val="left"/>
        </w:tabs>
        <w:numPr>
          <w:ilvl w:val="0"/>
          <w:numId w:val="188"/>
        </w:numPr>
        <w:rPr>
          <w:rFonts w:ascii="Arial" w:cs="Arial" w:eastAsia="Arial" w:hAnsi="Arial"/>
          <w:sz w:val="14"/>
          <w:szCs w:val="14"/>
          <w:color w:val="231E20"/>
        </w:rPr>
      </w:pPr>
      <w:r>
        <w:rPr>
          <w:rFonts w:ascii="Arial" w:cs="Arial" w:eastAsia="Arial" w:hAnsi="Arial"/>
          <w:sz w:val="14"/>
          <w:szCs w:val="14"/>
          <w:color w:val="auto"/>
        </w:rPr>
        <w:t>“Disinterested Director” means, with respect to each Proceeding in respect of which indemnification is sought hereunder, a Director of the Corporation who is not and was not a party to such Proceeding;</w:t>
      </w:r>
    </w:p>
    <w:p>
      <w:pPr>
        <w:spacing w:after="0" w:line="131" w:lineRule="exact"/>
        <w:rPr>
          <w:rFonts w:ascii="Arial" w:cs="Arial" w:eastAsia="Arial" w:hAnsi="Arial"/>
          <w:sz w:val="14"/>
          <w:szCs w:val="14"/>
          <w:color w:val="231E20"/>
        </w:rPr>
      </w:pPr>
    </w:p>
    <w:p>
      <w:pPr>
        <w:jc w:val="both"/>
        <w:ind w:firstLine="1560"/>
        <w:spacing w:after="0" w:line="265" w:lineRule="auto"/>
        <w:tabs>
          <w:tab w:leader="none" w:pos="2193" w:val="left"/>
        </w:tabs>
        <w:numPr>
          <w:ilvl w:val="0"/>
          <w:numId w:val="188"/>
        </w:numPr>
        <w:rPr>
          <w:rFonts w:ascii="Arial" w:cs="Arial" w:eastAsia="Arial" w:hAnsi="Arial"/>
          <w:sz w:val="14"/>
          <w:szCs w:val="14"/>
          <w:color w:val="231E20"/>
        </w:rPr>
      </w:pPr>
      <w:r>
        <w:rPr>
          <w:rFonts w:ascii="Arial" w:cs="Arial" w:eastAsia="Arial" w:hAnsi="Arial"/>
          <w:sz w:val="14"/>
          <w:szCs w:val="14"/>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47" w:lineRule="exact"/>
        <w:rPr>
          <w:rFonts w:ascii="Arial" w:cs="Arial" w:eastAsia="Arial" w:hAnsi="Arial"/>
          <w:sz w:val="14"/>
          <w:szCs w:val="14"/>
          <w:color w:val="231E20"/>
        </w:rPr>
      </w:pPr>
    </w:p>
    <w:p>
      <w:pPr>
        <w:ind w:left="2200" w:hanging="640"/>
        <w:spacing w:after="0"/>
        <w:tabs>
          <w:tab w:leader="none" w:pos="2200" w:val="left"/>
        </w:tabs>
        <w:numPr>
          <w:ilvl w:val="0"/>
          <w:numId w:val="188"/>
        </w:numPr>
        <w:rPr>
          <w:rFonts w:ascii="Arial" w:cs="Arial" w:eastAsia="Arial" w:hAnsi="Arial"/>
          <w:sz w:val="14"/>
          <w:szCs w:val="14"/>
          <w:color w:val="231E20"/>
        </w:rPr>
      </w:pPr>
      <w:r>
        <w:rPr>
          <w:rFonts w:ascii="Arial" w:cs="Arial" w:eastAsia="Arial" w:hAnsi="Arial"/>
          <w:sz w:val="14"/>
          <w:szCs w:val="14"/>
          <w:color w:val="auto"/>
        </w:rPr>
        <w:t>“Liabilities” means judgments, damages, liabilities, losses, penalties, excise taxes, fines and amounts paid in settlement;</w:t>
      </w:r>
    </w:p>
    <w:p>
      <w:pPr>
        <w:spacing w:after="0" w:line="184" w:lineRule="exact"/>
        <w:rPr>
          <w:rFonts w:ascii="Arial" w:cs="Arial" w:eastAsia="Arial" w:hAnsi="Arial"/>
          <w:sz w:val="14"/>
          <w:szCs w:val="14"/>
          <w:color w:val="231E20"/>
        </w:rPr>
      </w:pPr>
    </w:p>
    <w:p>
      <w:pPr>
        <w:ind w:left="2180" w:hanging="620"/>
        <w:spacing w:after="0"/>
        <w:tabs>
          <w:tab w:leader="none" w:pos="2180" w:val="left"/>
        </w:tabs>
        <w:numPr>
          <w:ilvl w:val="0"/>
          <w:numId w:val="188"/>
        </w:numPr>
        <w:rPr>
          <w:rFonts w:ascii="Arial" w:cs="Arial" w:eastAsia="Arial" w:hAnsi="Arial"/>
          <w:sz w:val="13"/>
          <w:szCs w:val="13"/>
          <w:color w:val="231E20"/>
        </w:rPr>
      </w:pPr>
      <w:r>
        <w:rPr>
          <w:rFonts w:ascii="Arial" w:cs="Arial" w:eastAsia="Arial" w:hAnsi="Arial"/>
          <w:sz w:val="13"/>
          <w:szCs w:val="13"/>
          <w:color w:val="auto"/>
        </w:rPr>
        <w:t>“Non-Officer Employee” means any person who serves or has served as an employee or agent of the Corporation, but who is not or was not a Director or</w:t>
      </w:r>
    </w:p>
    <w:p>
      <w:pPr>
        <w:spacing w:after="0" w:line="32" w:lineRule="exact"/>
        <w:rPr>
          <w:rFonts w:ascii="Arial" w:cs="Arial" w:eastAsia="Arial" w:hAnsi="Arial"/>
          <w:sz w:val="13"/>
          <w:szCs w:val="13"/>
          <w:color w:val="231E20"/>
        </w:rPr>
      </w:pPr>
    </w:p>
    <w:p>
      <w:pPr>
        <w:spacing w:after="0"/>
        <w:rPr>
          <w:rFonts w:ascii="Arial" w:cs="Arial" w:eastAsia="Arial" w:hAnsi="Arial"/>
          <w:sz w:val="13"/>
          <w:szCs w:val="13"/>
          <w:color w:val="231E20"/>
        </w:rPr>
      </w:pPr>
      <w:r>
        <w:rPr>
          <w:rFonts w:ascii="Arial" w:cs="Arial" w:eastAsia="Arial" w:hAnsi="Arial"/>
          <w:sz w:val="14"/>
          <w:szCs w:val="14"/>
          <w:color w:val="auto"/>
        </w:rPr>
        <w:t>Officer;</w:t>
      </w:r>
    </w:p>
    <w:p>
      <w:pPr>
        <w:spacing w:after="0" w:line="174" w:lineRule="exact"/>
        <w:rPr>
          <w:rFonts w:ascii="Arial" w:cs="Arial" w:eastAsia="Arial" w:hAnsi="Arial"/>
          <w:sz w:val="13"/>
          <w:szCs w:val="13"/>
          <w:color w:val="231E20"/>
        </w:rPr>
      </w:pPr>
    </w:p>
    <w:p>
      <w:pPr>
        <w:ind w:left="2160" w:hanging="600"/>
        <w:spacing w:after="0"/>
        <w:tabs>
          <w:tab w:leader="none" w:pos="2160" w:val="left"/>
        </w:tabs>
        <w:numPr>
          <w:ilvl w:val="0"/>
          <w:numId w:val="188"/>
        </w:numPr>
        <w:rPr>
          <w:rFonts w:ascii="Arial" w:cs="Arial" w:eastAsia="Arial" w:hAnsi="Arial"/>
          <w:sz w:val="13"/>
          <w:szCs w:val="13"/>
          <w:color w:val="231E20"/>
        </w:rPr>
      </w:pPr>
      <w:r>
        <w:rPr>
          <w:rFonts w:ascii="Arial" w:cs="Arial" w:eastAsia="Arial" w:hAnsi="Arial"/>
          <w:sz w:val="13"/>
          <w:szCs w:val="13"/>
          <w:color w:val="auto"/>
        </w:rPr>
        <w:t>“Officer” means any person who serves or has served the Corporation as an officer of the Corporation appointed by the Board of Directors of the Corporation;</w:t>
      </w:r>
    </w:p>
    <w:p>
      <w:pPr>
        <w:spacing w:after="0" w:line="195" w:lineRule="exact"/>
        <w:rPr>
          <w:rFonts w:ascii="Arial" w:cs="Arial" w:eastAsia="Arial" w:hAnsi="Arial"/>
          <w:sz w:val="13"/>
          <w:szCs w:val="13"/>
          <w:color w:val="231E20"/>
        </w:rPr>
      </w:pPr>
    </w:p>
    <w:p>
      <w:pPr>
        <w:ind w:firstLine="1560"/>
        <w:spacing w:after="0" w:line="288" w:lineRule="auto"/>
        <w:tabs>
          <w:tab w:leader="none" w:pos="1887" w:val="left"/>
        </w:tabs>
        <w:numPr>
          <w:ilvl w:val="0"/>
          <w:numId w:val="188"/>
        </w:numPr>
        <w:rPr>
          <w:rFonts w:ascii="Arial" w:cs="Arial" w:eastAsia="Arial" w:hAnsi="Arial"/>
          <w:sz w:val="14"/>
          <w:szCs w:val="14"/>
          <w:color w:val="auto"/>
        </w:rPr>
      </w:pPr>
      <w:r>
        <w:rPr>
          <w:rFonts w:ascii="Arial" w:cs="Arial" w:eastAsia="Arial" w:hAnsi="Arial"/>
          <w:sz w:val="14"/>
          <w:szCs w:val="14"/>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1" w:lineRule="exact"/>
        <w:rPr>
          <w:rFonts w:ascii="Arial" w:cs="Arial" w:eastAsia="Arial" w:hAnsi="Arial"/>
          <w:sz w:val="14"/>
          <w:szCs w:val="14"/>
          <w:color w:val="auto"/>
        </w:rPr>
      </w:pPr>
    </w:p>
    <w:p>
      <w:pPr>
        <w:jc w:val="both"/>
        <w:ind w:firstLine="1560"/>
        <w:spacing w:after="0" w:line="267" w:lineRule="auto"/>
        <w:tabs>
          <w:tab w:leader="none" w:pos="1801" w:val="left"/>
        </w:tabs>
        <w:numPr>
          <w:ilvl w:val="0"/>
          <w:numId w:val="188"/>
        </w:numPr>
        <w:rPr>
          <w:rFonts w:ascii="Arial" w:cs="Arial" w:eastAsia="Arial" w:hAnsi="Arial"/>
          <w:sz w:val="14"/>
          <w:szCs w:val="14"/>
          <w:color w:val="auto"/>
        </w:rPr>
      </w:pPr>
      <w:r>
        <w:rPr>
          <w:rFonts w:ascii="Arial" w:cs="Arial" w:eastAsia="Arial" w:hAnsi="Arial"/>
          <w:sz w:val="14"/>
          <w:szCs w:val="14"/>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147" w:lineRule="exact"/>
        <w:rPr>
          <w:sz w:val="20"/>
          <w:szCs w:val="20"/>
          <w:color w:val="auto"/>
        </w:rPr>
      </w:pPr>
    </w:p>
    <w:p>
      <w:pPr>
        <w:ind w:firstLine="1042"/>
        <w:spacing w:after="0" w:line="329" w:lineRule="auto"/>
        <w:tabs>
          <w:tab w:leader="none" w:pos="1671" w:val="left"/>
        </w:tabs>
        <w:numPr>
          <w:ilvl w:val="0"/>
          <w:numId w:val="189"/>
        </w:numPr>
        <w:rPr>
          <w:rFonts w:ascii="Arial" w:cs="Arial" w:eastAsia="Arial" w:hAnsi="Arial"/>
          <w:sz w:val="13"/>
          <w:szCs w:val="13"/>
          <w:color w:val="231E20"/>
        </w:rPr>
      </w:pPr>
      <w:r>
        <w:rPr>
          <w:rFonts w:ascii="Arial" w:cs="Arial" w:eastAsia="Arial" w:hAnsi="Arial"/>
          <w:sz w:val="13"/>
          <w:szCs w:val="13"/>
          <w:u w:val="single" w:color="auto"/>
          <w:color w:val="auto"/>
        </w:rPr>
        <w:t>Indemnification of Directors and Officers</w:t>
      </w:r>
      <w:r>
        <w:rPr>
          <w:rFonts w:ascii="Arial" w:cs="Arial" w:eastAsia="Arial" w:hAnsi="Arial"/>
          <w:sz w:val="13"/>
          <w:szCs w:val="13"/>
          <w:color w:val="auto"/>
        </w:rPr>
        <w:t>. Subject to the operation of Section 5(d) of these Bylaw, each Director and Officer shall be indemnified and held harmless by the Corporation to the fullest extent authorized by the DGCL, as the same exists or may hereafter be amended (but, in the case of any such amendment, only to the extent that such amendment</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15" w:name="page316"/>
    <w:bookmarkEnd w:id="315"/>
    <w:p>
      <w:pPr>
        <w:spacing w:after="0" w:line="288" w:lineRule="auto"/>
        <w:rPr>
          <w:sz w:val="20"/>
          <w:szCs w:val="20"/>
          <w:color w:val="auto"/>
        </w:rPr>
      </w:pPr>
      <w:r>
        <w:rPr>
          <w:rFonts w:ascii="Arial" w:cs="Arial" w:eastAsia="Arial" w:hAnsi="Arial"/>
          <w:sz w:val="14"/>
          <w:szCs w:val="14"/>
          <w:color w:val="auto"/>
        </w:rPr>
        <w:t>permits the Corporation to provide broader indemnification rights than such law permitted the Corporation to provide prior to such amendment), and to the extent authorized in subsections (i) through (iv) of this Section 5(b).</w:t>
      </w:r>
    </w:p>
    <w:p>
      <w:pPr>
        <w:spacing w:after="0" w:line="132" w:lineRule="exact"/>
        <w:rPr>
          <w:sz w:val="20"/>
          <w:szCs w:val="20"/>
          <w:color w:val="auto"/>
        </w:rPr>
      </w:pPr>
    </w:p>
    <w:p>
      <w:pPr>
        <w:jc w:val="both"/>
        <w:ind w:firstLine="1574"/>
        <w:spacing w:after="0" w:line="265" w:lineRule="auto"/>
        <w:tabs>
          <w:tab w:leader="none" w:pos="2200" w:val="left"/>
        </w:tabs>
        <w:numPr>
          <w:ilvl w:val="0"/>
          <w:numId w:val="190"/>
        </w:numPr>
        <w:rPr>
          <w:rFonts w:ascii="Arial" w:cs="Arial" w:eastAsia="Arial" w:hAnsi="Arial"/>
          <w:sz w:val="14"/>
          <w:szCs w:val="14"/>
          <w:color w:val="231E20"/>
        </w:rPr>
      </w:pPr>
      <w:r>
        <w:rPr>
          <w:rFonts w:ascii="Arial" w:cs="Arial" w:eastAsia="Arial" w:hAnsi="Arial"/>
          <w:sz w:val="14"/>
          <w:szCs w:val="14"/>
          <w:u w:val="single" w:color="auto"/>
          <w:color w:val="auto"/>
        </w:rPr>
        <w:t>Actions, Suits and Proceedings Other than By or In the Right of the Corporation</w:t>
      </w:r>
      <w:r>
        <w:rPr>
          <w:rFonts w:ascii="Arial" w:cs="Arial" w:eastAsia="Arial" w:hAnsi="Arial"/>
          <w:sz w:val="14"/>
          <w:szCs w:val="14"/>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47" w:lineRule="exact"/>
        <w:rPr>
          <w:rFonts w:ascii="Arial" w:cs="Arial" w:eastAsia="Arial" w:hAnsi="Arial"/>
          <w:sz w:val="14"/>
          <w:szCs w:val="14"/>
          <w:color w:val="231E20"/>
        </w:rPr>
      </w:pPr>
    </w:p>
    <w:p>
      <w:pPr>
        <w:jc w:val="both"/>
        <w:ind w:firstLine="1574"/>
        <w:spacing w:after="0" w:line="261" w:lineRule="auto"/>
        <w:tabs>
          <w:tab w:leader="none" w:pos="2182" w:val="left"/>
        </w:tabs>
        <w:numPr>
          <w:ilvl w:val="0"/>
          <w:numId w:val="190"/>
        </w:numPr>
        <w:rPr>
          <w:rFonts w:ascii="Arial" w:cs="Arial" w:eastAsia="Arial" w:hAnsi="Arial"/>
          <w:sz w:val="14"/>
          <w:szCs w:val="14"/>
          <w:color w:val="231E20"/>
        </w:rPr>
      </w:pPr>
      <w:r>
        <w:rPr>
          <w:rFonts w:ascii="Arial" w:cs="Arial" w:eastAsia="Arial" w:hAnsi="Arial"/>
          <w:sz w:val="14"/>
          <w:szCs w:val="14"/>
          <w:u w:val="single" w:color="auto"/>
          <w:color w:val="auto"/>
        </w:rPr>
        <w:t>Actions, Suits and Proceedings By or In the Right of the Corporation</w:t>
      </w:r>
      <w:r>
        <w:rPr>
          <w:rFonts w:ascii="Arial" w:cs="Arial" w:eastAsia="Arial" w:hAnsi="Arial"/>
          <w:sz w:val="14"/>
          <w:szCs w:val="14"/>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5(b)(ii)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53" w:lineRule="exact"/>
        <w:rPr>
          <w:rFonts w:ascii="Arial" w:cs="Arial" w:eastAsia="Arial" w:hAnsi="Arial"/>
          <w:sz w:val="14"/>
          <w:szCs w:val="14"/>
          <w:color w:val="231E20"/>
        </w:rPr>
      </w:pPr>
    </w:p>
    <w:p>
      <w:pPr>
        <w:ind w:firstLine="1574"/>
        <w:spacing w:after="0" w:line="288" w:lineRule="auto"/>
        <w:tabs>
          <w:tab w:leader="none" w:pos="2165" w:val="left"/>
        </w:tabs>
        <w:numPr>
          <w:ilvl w:val="0"/>
          <w:numId w:val="190"/>
        </w:numPr>
        <w:rPr>
          <w:rFonts w:ascii="Arial" w:cs="Arial" w:eastAsia="Arial" w:hAnsi="Arial"/>
          <w:sz w:val="14"/>
          <w:szCs w:val="14"/>
          <w:color w:val="231E20"/>
        </w:rPr>
      </w:pPr>
      <w:r>
        <w:rPr>
          <w:rFonts w:ascii="Arial" w:cs="Arial" w:eastAsia="Arial" w:hAnsi="Arial"/>
          <w:sz w:val="14"/>
          <w:szCs w:val="14"/>
          <w:u w:val="single" w:color="auto"/>
          <w:color w:val="auto"/>
        </w:rPr>
        <w:t>Survival of Rights</w:t>
      </w:r>
      <w:r>
        <w:rPr>
          <w:rFonts w:ascii="Arial" w:cs="Arial" w:eastAsia="Arial" w:hAnsi="Arial"/>
          <w:sz w:val="14"/>
          <w:szCs w:val="14"/>
          <w:color w:val="auto"/>
        </w:rPr>
        <w:t>. The rights of indemnification provided by this Section 5(b) shall continue as to a Director or Officer after he or she has ceased to be a Director or Officer and shall inure to the benefit of his or her heirs, executors, administrators and personal representatives.</w:t>
      </w:r>
    </w:p>
    <w:p>
      <w:pPr>
        <w:spacing w:after="0" w:line="131" w:lineRule="exact"/>
        <w:rPr>
          <w:rFonts w:ascii="Arial" w:cs="Arial" w:eastAsia="Arial" w:hAnsi="Arial"/>
          <w:sz w:val="14"/>
          <w:szCs w:val="14"/>
          <w:color w:val="231E20"/>
        </w:rPr>
      </w:pPr>
    </w:p>
    <w:p>
      <w:pPr>
        <w:jc w:val="both"/>
        <w:ind w:firstLine="1574"/>
        <w:spacing w:after="0" w:line="267" w:lineRule="auto"/>
        <w:tabs>
          <w:tab w:leader="none" w:pos="2178" w:val="left"/>
        </w:tabs>
        <w:numPr>
          <w:ilvl w:val="0"/>
          <w:numId w:val="190"/>
        </w:numPr>
        <w:rPr>
          <w:rFonts w:ascii="Arial" w:cs="Arial" w:eastAsia="Arial" w:hAnsi="Arial"/>
          <w:sz w:val="14"/>
          <w:szCs w:val="14"/>
          <w:color w:val="231E20"/>
        </w:rPr>
      </w:pPr>
      <w:r>
        <w:rPr>
          <w:rFonts w:ascii="Arial" w:cs="Arial" w:eastAsia="Arial" w:hAnsi="Arial"/>
          <w:sz w:val="14"/>
          <w:szCs w:val="14"/>
          <w:u w:val="single" w:color="auto"/>
          <w:color w:val="auto"/>
        </w:rPr>
        <w:t>Actions by Directors or Officers</w:t>
      </w:r>
      <w:r>
        <w:rPr>
          <w:rFonts w:ascii="Arial" w:cs="Arial" w:eastAsia="Arial" w:hAnsi="Arial"/>
          <w:sz w:val="14"/>
          <w:szCs w:val="14"/>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 in accordance with the provisions set forth herein.</w:t>
      </w:r>
    </w:p>
    <w:p>
      <w:pPr>
        <w:spacing w:after="0" w:line="147" w:lineRule="exact"/>
        <w:rPr>
          <w:sz w:val="20"/>
          <w:szCs w:val="20"/>
          <w:color w:val="auto"/>
        </w:rPr>
      </w:pPr>
    </w:p>
    <w:p>
      <w:pPr>
        <w:jc w:val="both"/>
        <w:ind w:firstLine="1574"/>
        <w:spacing w:after="0" w:line="273" w:lineRule="auto"/>
        <w:tabs>
          <w:tab w:leader="none" w:pos="2195" w:val="left"/>
        </w:tabs>
        <w:numPr>
          <w:ilvl w:val="0"/>
          <w:numId w:val="191"/>
        </w:numPr>
        <w:rPr>
          <w:rFonts w:ascii="Arial" w:cs="Arial" w:eastAsia="Arial" w:hAnsi="Arial"/>
          <w:sz w:val="14"/>
          <w:szCs w:val="14"/>
          <w:color w:val="231E20"/>
        </w:rPr>
      </w:pPr>
      <w:r>
        <w:rPr>
          <w:rFonts w:ascii="Arial" w:cs="Arial" w:eastAsia="Arial" w:hAnsi="Arial"/>
          <w:sz w:val="14"/>
          <w:szCs w:val="14"/>
          <w:u w:val="single" w:color="auto"/>
          <w:color w:val="auto"/>
        </w:rPr>
        <w:t>Indemnification of Non-Officer Employees</w:t>
      </w:r>
      <w:r>
        <w:rPr>
          <w:rFonts w:ascii="Arial" w:cs="Arial" w:eastAsia="Arial" w:hAnsi="Arial"/>
          <w:sz w:val="14"/>
          <w:szCs w:val="14"/>
          <w:color w:val="auto"/>
        </w:rPr>
        <w:t>. Subject to the operation of Section 5(d) of these Bylaw, each Non-Officer Employee may, in the discretion of the Board of Directors of the Corporation, be indemnified by the Corporation to the fullest extent authorized by the DGCL, as the same exists or may hereafter be amended, against any or all Expenses and</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16" w:name="page317"/>
    <w:bookmarkEnd w:id="316"/>
    <w:p>
      <w:pPr>
        <w:jc w:val="both"/>
        <w:spacing w:after="0" w:line="262" w:lineRule="auto"/>
        <w:rPr>
          <w:sz w:val="20"/>
          <w:szCs w:val="20"/>
          <w:color w:val="auto"/>
        </w:rPr>
      </w:pPr>
      <w:r>
        <w:rPr>
          <w:rFonts w:ascii="Arial" w:cs="Arial" w:eastAsia="Arial" w:hAnsi="Arial"/>
          <w:sz w:val="14"/>
          <w:szCs w:val="14"/>
          <w:color w:val="auto"/>
        </w:rPr>
        <w:t>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51" w:lineRule="exact"/>
        <w:rPr>
          <w:sz w:val="20"/>
          <w:szCs w:val="20"/>
          <w:color w:val="auto"/>
        </w:rPr>
      </w:pPr>
    </w:p>
    <w:p>
      <w:pPr>
        <w:jc w:val="both"/>
        <w:ind w:firstLine="1056"/>
        <w:spacing w:after="0" w:line="263" w:lineRule="auto"/>
        <w:tabs>
          <w:tab w:leader="none" w:pos="1685" w:val="left"/>
        </w:tabs>
        <w:numPr>
          <w:ilvl w:val="0"/>
          <w:numId w:val="192"/>
        </w:numPr>
        <w:rPr>
          <w:rFonts w:ascii="Arial" w:cs="Arial" w:eastAsia="Arial" w:hAnsi="Arial"/>
          <w:sz w:val="14"/>
          <w:szCs w:val="14"/>
          <w:color w:val="231E20"/>
        </w:rPr>
      </w:pPr>
      <w:r>
        <w:rPr>
          <w:rFonts w:ascii="Arial" w:cs="Arial" w:eastAsia="Arial" w:hAnsi="Arial"/>
          <w:sz w:val="14"/>
          <w:szCs w:val="14"/>
          <w:u w:val="single" w:color="auto"/>
          <w:color w:val="auto"/>
        </w:rPr>
        <w:t>Determination</w:t>
      </w:r>
      <w:r>
        <w:rPr>
          <w:rFonts w:ascii="Arial" w:cs="Arial" w:eastAsia="Arial" w:hAnsi="Arial"/>
          <w:sz w:val="14"/>
          <w:szCs w:val="14"/>
          <w:color w:val="auto"/>
        </w:rPr>
        <w:t>.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149" w:lineRule="exact"/>
        <w:rPr>
          <w:rFonts w:ascii="Arial" w:cs="Arial" w:eastAsia="Arial" w:hAnsi="Arial"/>
          <w:sz w:val="14"/>
          <w:szCs w:val="14"/>
          <w:color w:val="231E20"/>
        </w:rPr>
      </w:pPr>
    </w:p>
    <w:p>
      <w:pPr>
        <w:ind w:left="1680" w:hanging="624"/>
        <w:spacing w:after="0"/>
        <w:tabs>
          <w:tab w:leader="none" w:pos="1680" w:val="left"/>
        </w:tabs>
        <w:numPr>
          <w:ilvl w:val="0"/>
          <w:numId w:val="192"/>
        </w:numPr>
        <w:rPr>
          <w:rFonts w:ascii="Arial" w:cs="Arial" w:eastAsia="Arial" w:hAnsi="Arial"/>
          <w:sz w:val="14"/>
          <w:szCs w:val="14"/>
          <w:color w:val="231E20"/>
        </w:rPr>
      </w:pPr>
      <w:r>
        <w:rPr>
          <w:rFonts w:ascii="Arial" w:cs="Arial" w:eastAsia="Arial" w:hAnsi="Arial"/>
          <w:sz w:val="14"/>
          <w:szCs w:val="14"/>
          <w:u w:val="single" w:color="auto"/>
          <w:color w:val="auto"/>
        </w:rPr>
        <w:t>Advancement of Expenses to Directors Prior to Final Disposition</w:t>
      </w:r>
      <w:r>
        <w:rPr>
          <w:rFonts w:ascii="Arial" w:cs="Arial" w:eastAsia="Arial" w:hAnsi="Arial"/>
          <w:sz w:val="14"/>
          <w:szCs w:val="14"/>
          <w:color w:val="auto"/>
        </w:rPr>
        <w:t>.</w:t>
      </w:r>
    </w:p>
    <w:p>
      <w:pPr>
        <w:spacing w:after="0" w:line="184" w:lineRule="exact"/>
        <w:rPr>
          <w:rFonts w:ascii="Arial" w:cs="Arial" w:eastAsia="Arial" w:hAnsi="Arial"/>
          <w:sz w:val="14"/>
          <w:szCs w:val="14"/>
          <w:color w:val="231E20"/>
        </w:rPr>
      </w:pPr>
    </w:p>
    <w:p>
      <w:pPr>
        <w:jc w:val="both"/>
        <w:ind w:firstLine="1574"/>
        <w:spacing w:after="0" w:line="285" w:lineRule="auto"/>
        <w:tabs>
          <w:tab w:leader="none" w:pos="2200" w:val="left"/>
        </w:tabs>
        <w:numPr>
          <w:ilvl w:val="1"/>
          <w:numId w:val="192"/>
        </w:numPr>
        <w:rPr>
          <w:rFonts w:ascii="Arial" w:cs="Arial" w:eastAsia="Arial" w:hAnsi="Arial"/>
          <w:sz w:val="13"/>
          <w:szCs w:val="13"/>
          <w:color w:val="231E20"/>
        </w:rPr>
      </w:pPr>
      <w:r>
        <w:rPr>
          <w:rFonts w:ascii="Arial" w:cs="Arial" w:eastAsia="Arial" w:hAnsi="Arial"/>
          <w:sz w:val="13"/>
          <w:szCs w:val="13"/>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w:t>
      </w:r>
    </w:p>
    <w:p>
      <w:pPr>
        <w:spacing w:after="0" w:line="138" w:lineRule="exact"/>
        <w:rPr>
          <w:rFonts w:ascii="Arial" w:cs="Arial" w:eastAsia="Arial" w:hAnsi="Arial"/>
          <w:sz w:val="13"/>
          <w:szCs w:val="13"/>
          <w:color w:val="231E20"/>
        </w:rPr>
      </w:pPr>
    </w:p>
    <w:p>
      <w:pPr>
        <w:jc w:val="both"/>
        <w:ind w:firstLine="1574"/>
        <w:spacing w:after="0" w:line="273" w:lineRule="auto"/>
        <w:tabs>
          <w:tab w:leader="none" w:pos="2182" w:val="left"/>
        </w:tabs>
        <w:numPr>
          <w:ilvl w:val="1"/>
          <w:numId w:val="192"/>
        </w:numPr>
        <w:rPr>
          <w:rFonts w:ascii="Arial" w:cs="Arial" w:eastAsia="Arial" w:hAnsi="Arial"/>
          <w:sz w:val="14"/>
          <w:szCs w:val="14"/>
          <w:color w:val="231E20"/>
        </w:rPr>
      </w:pPr>
      <w:r>
        <w:rPr>
          <w:rFonts w:ascii="Arial" w:cs="Arial" w:eastAsia="Arial" w:hAnsi="Arial"/>
          <w:sz w:val="14"/>
          <w:szCs w:val="14"/>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17" w:name="page318"/>
    <w:bookmarkEnd w:id="317"/>
    <w:p>
      <w:pPr>
        <w:jc w:val="both"/>
        <w:spacing w:after="0" w:line="267" w:lineRule="auto"/>
        <w:rPr>
          <w:sz w:val="20"/>
          <w:szCs w:val="20"/>
          <w:color w:val="auto"/>
        </w:rPr>
      </w:pPr>
      <w:r>
        <w:rPr>
          <w:rFonts w:ascii="Arial" w:cs="Arial" w:eastAsia="Arial" w:hAnsi="Arial"/>
          <w:sz w:val="14"/>
          <w:szCs w:val="14"/>
          <w:color w:val="auto"/>
        </w:rPr>
        <w:t>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47" w:lineRule="exact"/>
        <w:rPr>
          <w:sz w:val="20"/>
          <w:szCs w:val="20"/>
          <w:color w:val="auto"/>
        </w:rPr>
      </w:pPr>
    </w:p>
    <w:p>
      <w:pPr>
        <w:ind w:firstLine="1574"/>
        <w:spacing w:after="0" w:line="288" w:lineRule="auto"/>
        <w:tabs>
          <w:tab w:leader="none" w:pos="2165" w:val="left"/>
        </w:tabs>
        <w:numPr>
          <w:ilvl w:val="1"/>
          <w:numId w:val="193"/>
        </w:numPr>
        <w:rPr>
          <w:rFonts w:ascii="Arial" w:cs="Arial" w:eastAsia="Arial" w:hAnsi="Arial"/>
          <w:sz w:val="14"/>
          <w:szCs w:val="14"/>
          <w:color w:val="231E20"/>
        </w:rPr>
      </w:pPr>
      <w:r>
        <w:rPr>
          <w:rFonts w:ascii="Arial" w:cs="Arial" w:eastAsia="Arial" w:hAnsi="Arial"/>
          <w:sz w:val="14"/>
          <w:szCs w:val="14"/>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31" w:lineRule="exact"/>
        <w:rPr>
          <w:rFonts w:ascii="Arial" w:cs="Arial" w:eastAsia="Arial" w:hAnsi="Arial"/>
          <w:sz w:val="14"/>
          <w:szCs w:val="14"/>
          <w:color w:val="231E20"/>
        </w:rPr>
      </w:pPr>
    </w:p>
    <w:p>
      <w:pPr>
        <w:ind w:left="1700" w:hanging="644"/>
        <w:spacing w:after="0"/>
        <w:tabs>
          <w:tab w:leader="none" w:pos="1700" w:val="left"/>
        </w:tabs>
        <w:numPr>
          <w:ilvl w:val="0"/>
          <w:numId w:val="194"/>
        </w:numPr>
        <w:rPr>
          <w:rFonts w:ascii="Arial" w:cs="Arial" w:eastAsia="Arial" w:hAnsi="Arial"/>
          <w:sz w:val="14"/>
          <w:szCs w:val="14"/>
          <w:color w:val="231E20"/>
        </w:rPr>
      </w:pPr>
      <w:r>
        <w:rPr>
          <w:rFonts w:ascii="Arial" w:cs="Arial" w:eastAsia="Arial" w:hAnsi="Arial"/>
          <w:sz w:val="14"/>
          <w:szCs w:val="14"/>
          <w:u w:val="single" w:color="auto"/>
          <w:color w:val="auto"/>
        </w:rPr>
        <w:t>Advancement of Expenses to Officers and Non-Officer Employees Prior to Final Disposition</w:t>
      </w:r>
      <w:r>
        <w:rPr>
          <w:rFonts w:ascii="Arial" w:cs="Arial" w:eastAsia="Arial" w:hAnsi="Arial"/>
          <w:sz w:val="14"/>
          <w:szCs w:val="14"/>
          <w:color w:val="auto"/>
        </w:rPr>
        <w:t>.</w:t>
      </w:r>
    </w:p>
    <w:p>
      <w:pPr>
        <w:spacing w:after="0" w:line="184" w:lineRule="exact"/>
        <w:rPr>
          <w:rFonts w:ascii="Arial" w:cs="Arial" w:eastAsia="Arial" w:hAnsi="Arial"/>
          <w:sz w:val="14"/>
          <w:szCs w:val="14"/>
          <w:color w:val="231E20"/>
        </w:rPr>
      </w:pPr>
    </w:p>
    <w:p>
      <w:pPr>
        <w:jc w:val="both"/>
        <w:ind w:firstLine="1574"/>
        <w:spacing w:after="0" w:line="263" w:lineRule="auto"/>
        <w:tabs>
          <w:tab w:leader="none" w:pos="2200" w:val="left"/>
        </w:tabs>
        <w:numPr>
          <w:ilvl w:val="1"/>
          <w:numId w:val="194"/>
        </w:numPr>
        <w:rPr>
          <w:rFonts w:ascii="Arial" w:cs="Arial" w:eastAsia="Arial" w:hAnsi="Arial"/>
          <w:sz w:val="14"/>
          <w:szCs w:val="14"/>
          <w:color w:val="231E20"/>
        </w:rPr>
      </w:pPr>
      <w:r>
        <w:rPr>
          <w:rFonts w:ascii="Arial" w:cs="Arial" w:eastAsia="Arial" w:hAnsi="Arial"/>
          <w:sz w:val="14"/>
          <w:szCs w:val="14"/>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50" w:lineRule="exact"/>
        <w:rPr>
          <w:sz w:val="20"/>
          <w:szCs w:val="20"/>
          <w:color w:val="auto"/>
        </w:rPr>
      </w:pPr>
    </w:p>
    <w:p>
      <w:pPr>
        <w:ind w:firstLine="1574"/>
        <w:spacing w:after="0" w:line="288" w:lineRule="auto"/>
        <w:tabs>
          <w:tab w:leader="none" w:pos="2182" w:val="left"/>
        </w:tabs>
        <w:numPr>
          <w:ilvl w:val="1"/>
          <w:numId w:val="195"/>
        </w:numPr>
        <w:rPr>
          <w:rFonts w:ascii="Arial" w:cs="Arial" w:eastAsia="Arial" w:hAnsi="Arial"/>
          <w:sz w:val="14"/>
          <w:szCs w:val="14"/>
          <w:color w:val="231E20"/>
        </w:rPr>
      </w:pPr>
      <w:r>
        <w:rPr>
          <w:rFonts w:ascii="Arial" w:cs="Arial" w:eastAsia="Arial" w:hAnsi="Arial"/>
          <w:sz w:val="14"/>
          <w:szCs w:val="14"/>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31" w:lineRule="exact"/>
        <w:rPr>
          <w:rFonts w:ascii="Arial" w:cs="Arial" w:eastAsia="Arial" w:hAnsi="Arial"/>
          <w:sz w:val="14"/>
          <w:szCs w:val="14"/>
          <w:color w:val="231E20"/>
        </w:rPr>
      </w:pPr>
    </w:p>
    <w:p>
      <w:pPr>
        <w:ind w:left="1700" w:hanging="644"/>
        <w:spacing w:after="0"/>
        <w:tabs>
          <w:tab w:leader="none" w:pos="1700" w:val="left"/>
        </w:tabs>
        <w:numPr>
          <w:ilvl w:val="0"/>
          <w:numId w:val="196"/>
        </w:numPr>
        <w:rPr>
          <w:rFonts w:ascii="Arial" w:cs="Arial" w:eastAsia="Arial" w:hAnsi="Arial"/>
          <w:sz w:val="14"/>
          <w:szCs w:val="14"/>
          <w:color w:val="231E20"/>
        </w:rPr>
      </w:pPr>
      <w:r>
        <w:rPr>
          <w:rFonts w:ascii="Arial" w:cs="Arial" w:eastAsia="Arial" w:hAnsi="Arial"/>
          <w:sz w:val="14"/>
          <w:szCs w:val="14"/>
          <w:u w:val="single" w:color="auto"/>
          <w:color w:val="auto"/>
        </w:rPr>
        <w:t>Contractual Nature of Rights</w:t>
      </w:r>
      <w:r>
        <w:rPr>
          <w:rFonts w:ascii="Arial" w:cs="Arial" w:eastAsia="Arial" w:hAnsi="Arial"/>
          <w:sz w:val="14"/>
          <w:szCs w:val="14"/>
          <w:color w:val="auto"/>
        </w:rPr>
        <w:t>.</w:t>
      </w:r>
    </w:p>
    <w:p>
      <w:pPr>
        <w:spacing w:after="0" w:line="184" w:lineRule="exact"/>
        <w:rPr>
          <w:rFonts w:ascii="Arial" w:cs="Arial" w:eastAsia="Arial" w:hAnsi="Arial"/>
          <w:sz w:val="14"/>
          <w:szCs w:val="14"/>
          <w:color w:val="231E20"/>
        </w:rPr>
      </w:pPr>
    </w:p>
    <w:p>
      <w:pPr>
        <w:jc w:val="both"/>
        <w:ind w:firstLine="1574"/>
        <w:spacing w:after="0" w:line="287" w:lineRule="auto"/>
        <w:tabs>
          <w:tab w:leader="none" w:pos="1938" w:val="left"/>
        </w:tabs>
        <w:numPr>
          <w:ilvl w:val="1"/>
          <w:numId w:val="196"/>
        </w:numPr>
        <w:rPr>
          <w:rFonts w:ascii="Arial" w:cs="Arial" w:eastAsia="Arial" w:hAnsi="Arial"/>
          <w:sz w:val="13"/>
          <w:szCs w:val="13"/>
          <w:color w:val="auto"/>
        </w:rPr>
      </w:pPr>
      <w:r>
        <w:rPr>
          <w:rFonts w:ascii="Arial" w:cs="Arial" w:eastAsia="Arial" w:hAnsi="Arial"/>
          <w:sz w:val="13"/>
          <w:szCs w:val="13"/>
          <w:color w:val="auto"/>
        </w:rPr>
        <w:t>The provisions of this Section 5 shall be deemed to be a contract between the Corporation and each Director and Officer entitled to the benefits hereof at any time while this Section 5 is in effect, in consideration of such person’s past or current and any future performance of services for the Corporation. Neither amendment, repeal or modification of any provision of this Section 5 nor the adoption of any provision of the Certificate of Incorporation inconsistent with this Section 5 shall eliminate or reduce any right conferred by this Section 5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18" w:name="page319"/>
    <w:bookmarkEnd w:id="318"/>
    <w:p>
      <w:pPr>
        <w:spacing w:after="0" w:line="288" w:lineRule="auto"/>
        <w:rPr>
          <w:sz w:val="20"/>
          <w:szCs w:val="20"/>
          <w:color w:val="auto"/>
        </w:rPr>
      </w:pPr>
      <w:r>
        <w:rPr>
          <w:rFonts w:ascii="Arial" w:cs="Arial" w:eastAsia="Arial" w:hAnsi="Arial"/>
          <w:sz w:val="14"/>
          <w:szCs w:val="14"/>
          <w:color w:val="auto"/>
        </w:rPr>
        <w:t>is commenced. The rights to indemnification and to advancement of expenses provided by, or granted pursuant to, this Section 5 shall continue notwithstanding that the person has ceased to be a director or officer of the Corporation and shall inure to the benefit of the estate, heirs, executors, administrators, legatees and distributees of such person.</w:t>
      </w:r>
    </w:p>
    <w:p>
      <w:pPr>
        <w:spacing w:after="0" w:line="132" w:lineRule="exact"/>
        <w:rPr>
          <w:sz w:val="20"/>
          <w:szCs w:val="20"/>
          <w:color w:val="auto"/>
        </w:rPr>
      </w:pPr>
    </w:p>
    <w:p>
      <w:pPr>
        <w:jc w:val="both"/>
        <w:ind w:firstLine="1560"/>
        <w:spacing w:after="0" w:line="263" w:lineRule="auto"/>
        <w:tabs>
          <w:tab w:leader="none" w:pos="2168" w:val="left"/>
        </w:tabs>
        <w:numPr>
          <w:ilvl w:val="1"/>
          <w:numId w:val="197"/>
        </w:numPr>
        <w:rPr>
          <w:rFonts w:ascii="Arial" w:cs="Arial" w:eastAsia="Arial" w:hAnsi="Arial"/>
          <w:sz w:val="14"/>
          <w:szCs w:val="14"/>
          <w:color w:val="231E20"/>
        </w:rPr>
      </w:pPr>
      <w:r>
        <w:rPr>
          <w:rFonts w:ascii="Arial" w:cs="Arial" w:eastAsia="Arial" w:hAnsi="Arial"/>
          <w:sz w:val="14"/>
          <w:szCs w:val="14"/>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Section 5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49" w:lineRule="exact"/>
        <w:rPr>
          <w:rFonts w:ascii="Arial" w:cs="Arial" w:eastAsia="Arial" w:hAnsi="Arial"/>
          <w:sz w:val="14"/>
          <w:szCs w:val="14"/>
          <w:color w:val="231E20"/>
        </w:rPr>
      </w:pPr>
    </w:p>
    <w:p>
      <w:pPr>
        <w:ind w:firstLine="1560"/>
        <w:spacing w:after="0" w:line="288" w:lineRule="auto"/>
        <w:tabs>
          <w:tab w:leader="none" w:pos="2150" w:val="left"/>
        </w:tabs>
        <w:numPr>
          <w:ilvl w:val="1"/>
          <w:numId w:val="197"/>
        </w:numPr>
        <w:rPr>
          <w:rFonts w:ascii="Arial" w:cs="Arial" w:eastAsia="Arial" w:hAnsi="Arial"/>
          <w:sz w:val="14"/>
          <w:szCs w:val="14"/>
          <w:color w:val="231E20"/>
        </w:rPr>
      </w:pPr>
      <w:r>
        <w:rPr>
          <w:rFonts w:ascii="Arial" w:cs="Arial" w:eastAsia="Arial" w:hAnsi="Arial"/>
          <w:sz w:val="14"/>
          <w:szCs w:val="14"/>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31" w:lineRule="exact"/>
        <w:rPr>
          <w:rFonts w:ascii="Arial" w:cs="Arial" w:eastAsia="Arial" w:hAnsi="Arial"/>
          <w:sz w:val="14"/>
          <w:szCs w:val="14"/>
          <w:color w:val="231E20"/>
        </w:rPr>
      </w:pPr>
    </w:p>
    <w:p>
      <w:pPr>
        <w:jc w:val="both"/>
        <w:ind w:firstLine="1042"/>
        <w:spacing w:after="0" w:line="273" w:lineRule="auto"/>
        <w:tabs>
          <w:tab w:leader="none" w:pos="1671" w:val="left"/>
        </w:tabs>
        <w:numPr>
          <w:ilvl w:val="0"/>
          <w:numId w:val="198"/>
        </w:numPr>
        <w:rPr>
          <w:rFonts w:ascii="Arial" w:cs="Arial" w:eastAsia="Arial" w:hAnsi="Arial"/>
          <w:sz w:val="14"/>
          <w:szCs w:val="14"/>
          <w:color w:val="231E20"/>
        </w:rPr>
      </w:pPr>
      <w:r>
        <w:rPr>
          <w:rFonts w:ascii="Arial" w:cs="Arial" w:eastAsia="Arial" w:hAnsi="Arial"/>
          <w:sz w:val="14"/>
          <w:szCs w:val="14"/>
          <w:u w:val="single" w:color="auto"/>
          <w:color w:val="auto"/>
        </w:rPr>
        <w:t>Non-Exclusivity of Rights</w:t>
      </w:r>
      <w:r>
        <w:rPr>
          <w:rFonts w:ascii="Arial" w:cs="Arial" w:eastAsia="Arial" w:hAnsi="Arial"/>
          <w:sz w:val="14"/>
          <w:szCs w:val="14"/>
          <w:color w:val="auto"/>
        </w:rPr>
        <w:t>. The rights to indemnification and advancement of Expenses set forth in this Section 5 shall not be exclusive of any other right which any Director, Officer, or Non-Officer Employee may have or hereafter acquire under any statute, provision of the Certificate or these Bylaw, agreement, vote of stockholders or Disinterested Directors or otherwise.</w:t>
      </w:r>
    </w:p>
    <w:p>
      <w:pPr>
        <w:spacing w:after="0" w:line="141" w:lineRule="exact"/>
        <w:rPr>
          <w:rFonts w:ascii="Arial" w:cs="Arial" w:eastAsia="Arial" w:hAnsi="Arial"/>
          <w:sz w:val="14"/>
          <w:szCs w:val="14"/>
          <w:color w:val="231E20"/>
        </w:rPr>
      </w:pPr>
    </w:p>
    <w:p>
      <w:pPr>
        <w:jc w:val="both"/>
        <w:ind w:firstLine="1042"/>
        <w:spacing w:after="0" w:line="273" w:lineRule="auto"/>
        <w:tabs>
          <w:tab w:leader="none" w:pos="1668" w:val="left"/>
        </w:tabs>
        <w:numPr>
          <w:ilvl w:val="0"/>
          <w:numId w:val="198"/>
        </w:numPr>
        <w:rPr>
          <w:rFonts w:ascii="Arial" w:cs="Arial" w:eastAsia="Arial" w:hAnsi="Arial"/>
          <w:sz w:val="14"/>
          <w:szCs w:val="14"/>
          <w:color w:val="231E20"/>
        </w:rPr>
      </w:pPr>
      <w:r>
        <w:rPr>
          <w:rFonts w:ascii="Arial" w:cs="Arial" w:eastAsia="Arial" w:hAnsi="Arial"/>
          <w:sz w:val="14"/>
          <w:szCs w:val="14"/>
          <w:u w:val="single" w:color="auto"/>
          <w:color w:val="auto"/>
        </w:rPr>
        <w:t>Insurance</w:t>
      </w:r>
      <w:r>
        <w:rPr>
          <w:rFonts w:ascii="Arial" w:cs="Arial" w:eastAsia="Arial" w:hAnsi="Arial"/>
          <w:sz w:val="14"/>
          <w:szCs w:val="14"/>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Section 5.</w:t>
      </w:r>
    </w:p>
    <w:p>
      <w:pPr>
        <w:spacing w:after="0" w:line="141" w:lineRule="exact"/>
        <w:rPr>
          <w:rFonts w:ascii="Arial" w:cs="Arial" w:eastAsia="Arial" w:hAnsi="Arial"/>
          <w:sz w:val="14"/>
          <w:szCs w:val="14"/>
          <w:color w:val="231E20"/>
        </w:rPr>
      </w:pPr>
    </w:p>
    <w:p>
      <w:pPr>
        <w:jc w:val="both"/>
        <w:ind w:firstLine="1042"/>
        <w:spacing w:after="0" w:line="287" w:lineRule="auto"/>
        <w:tabs>
          <w:tab w:leader="none" w:pos="1668" w:val="left"/>
        </w:tabs>
        <w:numPr>
          <w:ilvl w:val="0"/>
          <w:numId w:val="198"/>
        </w:numPr>
        <w:rPr>
          <w:rFonts w:ascii="Arial" w:cs="Arial" w:eastAsia="Arial" w:hAnsi="Arial"/>
          <w:sz w:val="13"/>
          <w:szCs w:val="13"/>
          <w:color w:val="231E20"/>
        </w:rPr>
      </w:pPr>
      <w:r>
        <w:rPr>
          <w:rFonts w:ascii="Arial" w:cs="Arial" w:eastAsia="Arial" w:hAnsi="Arial"/>
          <w:sz w:val="13"/>
          <w:szCs w:val="13"/>
          <w:u w:val="single" w:color="auto"/>
          <w:color w:val="auto"/>
        </w:rPr>
        <w:t>Other Indemnification</w:t>
      </w:r>
      <w:r>
        <w:rPr>
          <w:rFonts w:ascii="Arial" w:cs="Arial" w:eastAsia="Arial" w:hAnsi="Arial"/>
          <w:sz w:val="13"/>
          <w:szCs w:val="13"/>
          <w:color w:val="auto"/>
        </w:rPr>
        <w:t>. The Corporation’s obligation, if any, to indemnify or provide advancement of Expenses to any person under this Section 5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Section 5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19" w:name="page320"/>
    <w:bookmarkEnd w:id="319"/>
    <w:p>
      <w:pPr>
        <w:ind w:left="1200" w:hanging="661"/>
        <w:spacing w:after="0"/>
        <w:tabs>
          <w:tab w:leader="none" w:pos="1200" w:val="left"/>
        </w:tabs>
        <w:numPr>
          <w:ilvl w:val="0"/>
          <w:numId w:val="199"/>
        </w:numPr>
        <w:rPr>
          <w:rFonts w:ascii="Arial" w:cs="Arial" w:eastAsia="Arial" w:hAnsi="Arial"/>
          <w:sz w:val="14"/>
          <w:szCs w:val="14"/>
          <w:color w:val="231E20"/>
        </w:rPr>
      </w:pPr>
      <w:r>
        <w:rPr>
          <w:rFonts w:ascii="Arial" w:cs="Arial" w:eastAsia="Arial" w:hAnsi="Arial"/>
          <w:sz w:val="14"/>
          <w:szCs w:val="14"/>
          <w:u w:val="single" w:color="auto"/>
          <w:color w:val="auto"/>
        </w:rPr>
        <w:t>Miscellaneous Provisions</w:t>
      </w:r>
    </w:p>
    <w:p>
      <w:pPr>
        <w:spacing w:after="0" w:line="184" w:lineRule="exact"/>
        <w:rPr>
          <w:rFonts w:ascii="Arial" w:cs="Arial" w:eastAsia="Arial" w:hAnsi="Arial"/>
          <w:sz w:val="14"/>
          <w:szCs w:val="14"/>
          <w:color w:val="231E20"/>
        </w:rPr>
      </w:pPr>
    </w:p>
    <w:p>
      <w:pPr>
        <w:ind w:left="1660" w:hanging="618"/>
        <w:spacing w:after="0"/>
        <w:tabs>
          <w:tab w:leader="none" w:pos="1660" w:val="left"/>
        </w:tabs>
        <w:numPr>
          <w:ilvl w:val="1"/>
          <w:numId w:val="199"/>
        </w:numPr>
        <w:rPr>
          <w:rFonts w:ascii="Arial" w:cs="Arial" w:eastAsia="Arial" w:hAnsi="Arial"/>
          <w:sz w:val="14"/>
          <w:szCs w:val="14"/>
          <w:color w:val="231E20"/>
        </w:rPr>
      </w:pPr>
      <w:r>
        <w:rPr>
          <w:rFonts w:ascii="Arial" w:cs="Arial" w:eastAsia="Arial" w:hAnsi="Arial"/>
          <w:sz w:val="14"/>
          <w:szCs w:val="14"/>
          <w:u w:val="single" w:color="auto"/>
          <w:color w:val="auto"/>
        </w:rPr>
        <w:t>Fiscal Year</w:t>
      </w:r>
      <w:r>
        <w:rPr>
          <w:rFonts w:ascii="Arial" w:cs="Arial" w:eastAsia="Arial" w:hAnsi="Arial"/>
          <w:sz w:val="14"/>
          <w:szCs w:val="14"/>
          <w:color w:val="auto"/>
        </w:rPr>
        <w:t>. Except as otherwise determined by the Board of Directors, the fiscal year of the Corporation shall end on December 31 of each year.</w:t>
      </w:r>
    </w:p>
    <w:p>
      <w:pPr>
        <w:spacing w:after="0" w:line="184" w:lineRule="exact"/>
        <w:rPr>
          <w:rFonts w:ascii="Arial" w:cs="Arial" w:eastAsia="Arial" w:hAnsi="Arial"/>
          <w:sz w:val="14"/>
          <w:szCs w:val="14"/>
          <w:color w:val="231E20"/>
        </w:rPr>
      </w:pPr>
    </w:p>
    <w:p>
      <w:pPr>
        <w:ind w:left="1680" w:hanging="638"/>
        <w:spacing w:after="0"/>
        <w:tabs>
          <w:tab w:leader="none" w:pos="1680" w:val="left"/>
        </w:tabs>
        <w:numPr>
          <w:ilvl w:val="1"/>
          <w:numId w:val="199"/>
        </w:numPr>
        <w:rPr>
          <w:rFonts w:ascii="Arial" w:cs="Arial" w:eastAsia="Arial" w:hAnsi="Arial"/>
          <w:sz w:val="14"/>
          <w:szCs w:val="14"/>
          <w:color w:val="231E20"/>
        </w:rPr>
      </w:pPr>
      <w:r>
        <w:rPr>
          <w:rFonts w:ascii="Arial" w:cs="Arial" w:eastAsia="Arial" w:hAnsi="Arial"/>
          <w:sz w:val="14"/>
          <w:szCs w:val="14"/>
          <w:u w:val="single" w:color="auto"/>
          <w:color w:val="auto"/>
        </w:rPr>
        <w:t>Seal</w:t>
      </w:r>
      <w:r>
        <w:rPr>
          <w:rFonts w:ascii="Arial" w:cs="Arial" w:eastAsia="Arial" w:hAnsi="Arial"/>
          <w:sz w:val="14"/>
          <w:szCs w:val="14"/>
          <w:color w:val="auto"/>
        </w:rPr>
        <w:t>. The Board of Directors shall have power to adopt and alter the seal of the Corporation.</w:t>
      </w:r>
    </w:p>
    <w:p>
      <w:pPr>
        <w:spacing w:after="0" w:line="184" w:lineRule="exact"/>
        <w:rPr>
          <w:rFonts w:ascii="Arial" w:cs="Arial" w:eastAsia="Arial" w:hAnsi="Arial"/>
          <w:sz w:val="14"/>
          <w:szCs w:val="14"/>
          <w:color w:val="231E20"/>
        </w:rPr>
      </w:pPr>
    </w:p>
    <w:p>
      <w:pPr>
        <w:jc w:val="both"/>
        <w:ind w:firstLine="1042"/>
        <w:spacing w:after="0" w:line="273" w:lineRule="auto"/>
        <w:tabs>
          <w:tab w:leader="none" w:pos="1673" w:val="left"/>
        </w:tabs>
        <w:numPr>
          <w:ilvl w:val="1"/>
          <w:numId w:val="199"/>
        </w:numPr>
        <w:rPr>
          <w:rFonts w:ascii="Arial" w:cs="Arial" w:eastAsia="Arial" w:hAnsi="Arial"/>
          <w:sz w:val="14"/>
          <w:szCs w:val="14"/>
          <w:color w:val="231E20"/>
        </w:rPr>
      </w:pPr>
      <w:r>
        <w:rPr>
          <w:rFonts w:ascii="Arial" w:cs="Arial" w:eastAsia="Arial" w:hAnsi="Arial"/>
          <w:sz w:val="14"/>
          <w:szCs w:val="14"/>
          <w:u w:val="single" w:color="auto"/>
          <w:color w:val="auto"/>
        </w:rPr>
        <w:t>Execution of Instruments</w:t>
      </w:r>
      <w:r>
        <w:rPr>
          <w:rFonts w:ascii="Arial" w:cs="Arial" w:eastAsia="Arial" w:hAnsi="Arial"/>
          <w:sz w:val="14"/>
          <w:szCs w:val="14"/>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41" w:lineRule="exact"/>
        <w:rPr>
          <w:rFonts w:ascii="Arial" w:cs="Arial" w:eastAsia="Arial" w:hAnsi="Arial"/>
          <w:sz w:val="14"/>
          <w:szCs w:val="14"/>
          <w:color w:val="231E20"/>
        </w:rPr>
      </w:pPr>
    </w:p>
    <w:p>
      <w:pPr>
        <w:jc w:val="both"/>
        <w:ind w:firstLine="1042"/>
        <w:spacing w:after="0" w:line="273" w:lineRule="auto"/>
        <w:tabs>
          <w:tab w:leader="none" w:pos="1671" w:val="left"/>
        </w:tabs>
        <w:numPr>
          <w:ilvl w:val="1"/>
          <w:numId w:val="199"/>
        </w:numPr>
        <w:rPr>
          <w:rFonts w:ascii="Arial" w:cs="Arial" w:eastAsia="Arial" w:hAnsi="Arial"/>
          <w:sz w:val="14"/>
          <w:szCs w:val="14"/>
          <w:color w:val="231E20"/>
        </w:rPr>
      </w:pPr>
      <w:r>
        <w:rPr>
          <w:rFonts w:ascii="Arial" w:cs="Arial" w:eastAsia="Arial" w:hAnsi="Arial"/>
          <w:sz w:val="14"/>
          <w:szCs w:val="14"/>
          <w:u w:val="single" w:color="auto"/>
          <w:color w:val="auto"/>
        </w:rPr>
        <w:t>Voting of Securities</w:t>
      </w:r>
      <w:r>
        <w:rPr>
          <w:rFonts w:ascii="Arial" w:cs="Arial" w:eastAsia="Arial" w:hAnsi="Arial"/>
          <w:sz w:val="14"/>
          <w:szCs w:val="14"/>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41" w:lineRule="exact"/>
        <w:rPr>
          <w:rFonts w:ascii="Arial" w:cs="Arial" w:eastAsia="Arial" w:hAnsi="Arial"/>
          <w:sz w:val="14"/>
          <w:szCs w:val="14"/>
          <w:color w:val="231E20"/>
        </w:rPr>
      </w:pPr>
    </w:p>
    <w:p>
      <w:pPr>
        <w:ind w:left="1660" w:hanging="618"/>
        <w:spacing w:after="0"/>
        <w:tabs>
          <w:tab w:leader="none" w:pos="1660" w:val="left"/>
        </w:tabs>
        <w:numPr>
          <w:ilvl w:val="1"/>
          <w:numId w:val="199"/>
        </w:numPr>
        <w:rPr>
          <w:rFonts w:ascii="Arial" w:cs="Arial" w:eastAsia="Arial" w:hAnsi="Arial"/>
          <w:sz w:val="13"/>
          <w:szCs w:val="13"/>
          <w:color w:val="231E20"/>
        </w:rPr>
      </w:pPr>
      <w:r>
        <w:rPr>
          <w:rFonts w:ascii="Arial" w:cs="Arial" w:eastAsia="Arial" w:hAnsi="Arial"/>
          <w:sz w:val="13"/>
          <w:szCs w:val="13"/>
          <w:u w:val="single" w:color="auto"/>
          <w:color w:val="auto"/>
        </w:rPr>
        <w:t>Resident Agent</w:t>
      </w:r>
      <w:r>
        <w:rPr>
          <w:rFonts w:ascii="Arial" w:cs="Arial" w:eastAsia="Arial" w:hAnsi="Arial"/>
          <w:sz w:val="13"/>
          <w:szCs w:val="13"/>
          <w:color w:val="auto"/>
        </w:rPr>
        <w:t>. The Board of Directors may appoint a resident agent upon whom legal process may be served in any action or proceeding against the Corporation.</w:t>
      </w:r>
    </w:p>
    <w:p>
      <w:pPr>
        <w:spacing w:after="0" w:line="195" w:lineRule="exact"/>
        <w:rPr>
          <w:rFonts w:ascii="Arial" w:cs="Arial" w:eastAsia="Arial" w:hAnsi="Arial"/>
          <w:sz w:val="13"/>
          <w:szCs w:val="13"/>
          <w:color w:val="231E20"/>
        </w:rPr>
      </w:pPr>
    </w:p>
    <w:p>
      <w:pPr>
        <w:jc w:val="both"/>
        <w:ind w:firstLine="1042"/>
        <w:spacing w:after="0" w:line="273" w:lineRule="auto"/>
        <w:tabs>
          <w:tab w:leader="none" w:pos="1676" w:val="left"/>
        </w:tabs>
        <w:numPr>
          <w:ilvl w:val="1"/>
          <w:numId w:val="199"/>
        </w:numPr>
        <w:rPr>
          <w:rFonts w:ascii="Arial" w:cs="Arial" w:eastAsia="Arial" w:hAnsi="Arial"/>
          <w:sz w:val="14"/>
          <w:szCs w:val="14"/>
          <w:color w:val="231E20"/>
        </w:rPr>
      </w:pPr>
      <w:r>
        <w:rPr>
          <w:rFonts w:ascii="Arial" w:cs="Arial" w:eastAsia="Arial" w:hAnsi="Arial"/>
          <w:sz w:val="14"/>
          <w:szCs w:val="14"/>
          <w:u w:val="single" w:color="auto"/>
          <w:color w:val="auto"/>
        </w:rPr>
        <w:t>Corporate Records</w:t>
      </w:r>
      <w:r>
        <w:rPr>
          <w:rFonts w:ascii="Arial" w:cs="Arial" w:eastAsia="Arial" w:hAnsi="Arial"/>
          <w:sz w:val="14"/>
          <w:szCs w:val="14"/>
          <w:color w:val="auto"/>
        </w:rPr>
        <w:t>. The original or attested copies of the Certificate of Incorporation, Bylaw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141" w:lineRule="exact"/>
        <w:rPr>
          <w:rFonts w:ascii="Arial" w:cs="Arial" w:eastAsia="Arial" w:hAnsi="Arial"/>
          <w:sz w:val="14"/>
          <w:szCs w:val="14"/>
          <w:color w:val="231E20"/>
        </w:rPr>
      </w:pPr>
    </w:p>
    <w:p>
      <w:pPr>
        <w:ind w:firstLine="1042"/>
        <w:spacing w:after="0" w:line="288" w:lineRule="auto"/>
        <w:tabs>
          <w:tab w:leader="none" w:pos="1681" w:val="left"/>
        </w:tabs>
        <w:numPr>
          <w:ilvl w:val="1"/>
          <w:numId w:val="199"/>
        </w:numPr>
        <w:rPr>
          <w:rFonts w:ascii="Arial" w:cs="Arial" w:eastAsia="Arial" w:hAnsi="Arial"/>
          <w:sz w:val="14"/>
          <w:szCs w:val="14"/>
          <w:color w:val="231E20"/>
        </w:rPr>
      </w:pPr>
      <w:r>
        <w:rPr>
          <w:rFonts w:ascii="Arial" w:cs="Arial" w:eastAsia="Arial" w:hAnsi="Arial"/>
          <w:sz w:val="14"/>
          <w:szCs w:val="14"/>
          <w:u w:val="single" w:color="auto"/>
          <w:color w:val="auto"/>
        </w:rPr>
        <w:t>Certificate of Incorporation</w:t>
      </w:r>
      <w:r>
        <w:rPr>
          <w:rFonts w:ascii="Arial" w:cs="Arial" w:eastAsia="Arial" w:hAnsi="Arial"/>
          <w:sz w:val="14"/>
          <w:szCs w:val="14"/>
          <w:color w:val="auto"/>
        </w:rPr>
        <w:t>. All references in these Bylaw to the Certificate of Incorporation shall be deemed to refer to the Certificate of Incorporation of the Corporation, as amended and in effect from time to time.</w:t>
      </w:r>
    </w:p>
    <w:p>
      <w:pPr>
        <w:spacing w:after="0" w:line="131" w:lineRule="exact"/>
        <w:rPr>
          <w:rFonts w:ascii="Arial" w:cs="Arial" w:eastAsia="Arial" w:hAnsi="Arial"/>
          <w:sz w:val="14"/>
          <w:szCs w:val="14"/>
          <w:color w:val="231E20"/>
        </w:rPr>
      </w:pPr>
    </w:p>
    <w:p>
      <w:pPr>
        <w:jc w:val="both"/>
        <w:ind w:firstLine="1042"/>
        <w:spacing w:after="0" w:line="303" w:lineRule="auto"/>
        <w:tabs>
          <w:tab w:leader="none" w:pos="1671" w:val="left"/>
        </w:tabs>
        <w:numPr>
          <w:ilvl w:val="1"/>
          <w:numId w:val="199"/>
        </w:numPr>
        <w:rPr>
          <w:rFonts w:ascii="Arial" w:cs="Arial" w:eastAsia="Arial" w:hAnsi="Arial"/>
          <w:sz w:val="13"/>
          <w:szCs w:val="13"/>
          <w:color w:val="231E20"/>
        </w:rPr>
      </w:pPr>
      <w:r>
        <w:rPr>
          <w:rFonts w:ascii="Arial" w:cs="Arial" w:eastAsia="Arial" w:hAnsi="Arial"/>
          <w:sz w:val="13"/>
          <w:szCs w:val="13"/>
          <w:u w:val="single" w:color="auto"/>
          <w:color w:val="auto"/>
        </w:rPr>
        <w:t>Amendments</w:t>
      </w:r>
      <w:r>
        <w:rPr>
          <w:rFonts w:ascii="Arial" w:cs="Arial" w:eastAsia="Arial" w:hAnsi="Arial"/>
          <w:sz w:val="13"/>
          <w:szCs w:val="13"/>
          <w:color w:val="auto"/>
        </w:rPr>
        <w:t>. These Bylaw may be altered, amended or repealed, and new Bylaw may be adopted, by the stockholders or by the Board of Directors; provided, that (a) the Board of Directors may not alter, amend or repeal any provision of these Bylaw which by law, by the Certificate of Incorporation or by these Bylaw requires action by the stockholders and (b) any alteration, amendment or repeal of these Bylaw by the Board of Directors and any new By-law adopted by the Board of Directors may be altered, amended or repealed by the stockholders.</w:t>
      </w:r>
    </w:p>
    <w:p>
      <w:pPr>
        <w:spacing w:after="0" w:line="124" w:lineRule="exact"/>
        <w:rPr>
          <w:rFonts w:ascii="Arial" w:cs="Arial" w:eastAsia="Arial" w:hAnsi="Arial"/>
          <w:sz w:val="13"/>
          <w:szCs w:val="13"/>
          <w:color w:val="231E20"/>
        </w:rPr>
      </w:pPr>
    </w:p>
    <w:p>
      <w:pPr>
        <w:jc w:val="both"/>
        <w:ind w:firstLine="1042"/>
        <w:spacing w:after="0" w:line="267" w:lineRule="auto"/>
        <w:tabs>
          <w:tab w:leader="none" w:pos="1668" w:val="left"/>
        </w:tabs>
        <w:numPr>
          <w:ilvl w:val="1"/>
          <w:numId w:val="199"/>
        </w:numPr>
        <w:rPr>
          <w:rFonts w:ascii="Arial" w:cs="Arial" w:eastAsia="Arial" w:hAnsi="Arial"/>
          <w:sz w:val="14"/>
          <w:szCs w:val="14"/>
          <w:color w:val="231E20"/>
        </w:rPr>
      </w:pPr>
      <w:r>
        <w:rPr>
          <w:rFonts w:ascii="Arial" w:cs="Arial" w:eastAsia="Arial" w:hAnsi="Arial"/>
          <w:sz w:val="14"/>
          <w:szCs w:val="14"/>
          <w:u w:val="single" w:color="auto"/>
          <w:color w:val="auto"/>
        </w:rPr>
        <w:t>Waiver of Notice</w:t>
      </w:r>
      <w:r>
        <w:rPr>
          <w:rFonts w:ascii="Arial" w:cs="Arial" w:eastAsia="Arial" w:hAnsi="Arial"/>
          <w:sz w:val="14"/>
          <w:szCs w:val="14"/>
          <w:color w:val="auto"/>
        </w:rPr>
        <w:t>. Whenever notice is required to be given under any provision of these Bylaw,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20" w:name="page321"/>
    <w:bookmarkEnd w:id="320"/>
    <w:p>
      <w:pPr>
        <w:ind w:left="1040"/>
        <w:spacing w:after="0"/>
        <w:rPr>
          <w:sz w:val="20"/>
          <w:szCs w:val="20"/>
          <w:color w:val="auto"/>
        </w:rPr>
      </w:pPr>
      <w:r>
        <w:rPr>
          <w:rFonts w:ascii="Arial" w:cs="Arial" w:eastAsia="Arial" w:hAnsi="Arial"/>
          <w:sz w:val="13"/>
          <w:szCs w:val="13"/>
          <w:color w:val="auto"/>
        </w:rPr>
        <w:t>transacted at, nor the purpose of, any meeting needs to be specified in any written waiver or any waiver by electronic transmission.</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Adopted: February 25, 2021</w:t>
      </w:r>
    </w:p>
    <w:p>
      <w:pPr>
        <w:spacing w:after="0" w:line="378"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928"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4"/>
          <w:szCs w:val="14"/>
          <w:b w:val="1"/>
          <w:bCs w:val="1"/>
          <w:color w:val="auto"/>
        </w:rPr>
        <w:t>Exhibit 4.2</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CENTURY THERAPEUTICS, INC.</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INVESTORS’ RIGHTS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359410</wp:posOffset>
            </wp:positionV>
            <wp:extent cx="715962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80" w:type="dxa"/>
            <w:vAlign w:val="bottom"/>
            <w:gridSpan w:val="4"/>
          </w:tcPr>
          <w:p>
            <w:pPr>
              <w:jc w:val="right"/>
              <w:ind w:right="4788"/>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357"/>
        </w:trPr>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w w:val="85"/>
              </w:rPr>
              <w:t>1.</w:t>
            </w:r>
          </w:p>
        </w:tc>
        <w:tc>
          <w:tcPr>
            <w:tcW w:w="4060" w:type="dxa"/>
            <w:vAlign w:val="bottom"/>
            <w:gridSpan w:val="2"/>
            <w:vMerge w:val="restart"/>
          </w:tcPr>
          <w:p>
            <w:pPr>
              <w:ind w:left="240"/>
              <w:spacing w:after="0"/>
              <w:rPr>
                <w:sz w:val="20"/>
                <w:szCs w:val="20"/>
                <w:color w:val="auto"/>
              </w:rPr>
            </w:pPr>
            <w:r>
              <w:rPr>
                <w:rFonts w:ascii="Arial" w:cs="Arial" w:eastAsia="Arial" w:hAnsi="Arial"/>
                <w:sz w:val="14"/>
                <w:szCs w:val="14"/>
                <w:color w:val="auto"/>
              </w:rPr>
              <w:t>Definitions</w:t>
            </w:r>
          </w:p>
        </w:tc>
        <w:tc>
          <w:tcPr>
            <w:tcW w:w="4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340" w:type="dxa"/>
            <w:vAlign w:val="bottom"/>
            <w:vMerge w:val="continue"/>
          </w:tcPr>
          <w:p>
            <w:pPr>
              <w:spacing w:after="0"/>
              <w:rPr>
                <w:sz w:val="15"/>
                <w:szCs w:val="15"/>
                <w:color w:val="auto"/>
              </w:rPr>
            </w:pPr>
          </w:p>
        </w:tc>
        <w:tc>
          <w:tcPr>
            <w:tcW w:w="40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35"/>
        </w:trPr>
        <w:tc>
          <w:tcPr>
            <w:tcW w:w="340" w:type="dxa"/>
            <w:vAlign w:val="bottom"/>
          </w:tcPr>
          <w:p>
            <w:pPr>
              <w:jc w:val="right"/>
              <w:ind w:right="148"/>
              <w:spacing w:after="0"/>
              <w:rPr>
                <w:sz w:val="20"/>
                <w:szCs w:val="20"/>
                <w:color w:val="auto"/>
              </w:rPr>
            </w:pPr>
            <w:r>
              <w:rPr>
                <w:rFonts w:ascii="Arial" w:cs="Arial" w:eastAsia="Arial" w:hAnsi="Arial"/>
                <w:sz w:val="14"/>
                <w:szCs w:val="14"/>
                <w:color w:val="auto"/>
                <w:w w:val="85"/>
              </w:rPr>
              <w:t>2.</w:t>
            </w:r>
          </w:p>
        </w:tc>
        <w:tc>
          <w:tcPr>
            <w:tcW w:w="4060" w:type="dxa"/>
            <w:vAlign w:val="bottom"/>
            <w:gridSpan w:val="2"/>
          </w:tcPr>
          <w:p>
            <w:pPr>
              <w:ind w:left="240"/>
              <w:spacing w:after="0"/>
              <w:rPr>
                <w:sz w:val="20"/>
                <w:szCs w:val="20"/>
                <w:color w:val="auto"/>
              </w:rPr>
            </w:pPr>
            <w:r>
              <w:rPr>
                <w:rFonts w:ascii="Arial" w:cs="Arial" w:eastAsia="Arial" w:hAnsi="Arial"/>
                <w:sz w:val="14"/>
                <w:szCs w:val="14"/>
                <w:color w:val="auto"/>
              </w:rPr>
              <w:t>Registration Rights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2.1</w:t>
            </w:r>
          </w:p>
        </w:tc>
        <w:tc>
          <w:tcPr>
            <w:tcW w:w="3420" w:type="dxa"/>
            <w:vAlign w:val="bottom"/>
          </w:tcPr>
          <w:p>
            <w:pPr>
              <w:ind w:left="160"/>
              <w:spacing w:after="0"/>
              <w:rPr>
                <w:sz w:val="20"/>
                <w:szCs w:val="20"/>
                <w:color w:val="auto"/>
              </w:rPr>
            </w:pPr>
            <w:r>
              <w:rPr>
                <w:rFonts w:ascii="Arial" w:cs="Arial" w:eastAsia="Arial" w:hAnsi="Arial"/>
                <w:sz w:val="14"/>
                <w:szCs w:val="14"/>
                <w:color w:val="auto"/>
              </w:rPr>
              <w:t>Demand Registration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2.2</w:t>
            </w:r>
          </w:p>
        </w:tc>
        <w:tc>
          <w:tcPr>
            <w:tcW w:w="3420" w:type="dxa"/>
            <w:vAlign w:val="bottom"/>
          </w:tcPr>
          <w:p>
            <w:pPr>
              <w:ind w:left="160"/>
              <w:spacing w:after="0"/>
              <w:rPr>
                <w:sz w:val="20"/>
                <w:szCs w:val="20"/>
                <w:color w:val="auto"/>
              </w:rPr>
            </w:pPr>
            <w:r>
              <w:rPr>
                <w:rFonts w:ascii="Arial" w:cs="Arial" w:eastAsia="Arial" w:hAnsi="Arial"/>
                <w:sz w:val="14"/>
                <w:szCs w:val="14"/>
                <w:color w:val="auto"/>
              </w:rPr>
              <w:t>Company Registration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2.3</w:t>
            </w:r>
          </w:p>
        </w:tc>
        <w:tc>
          <w:tcPr>
            <w:tcW w:w="3420" w:type="dxa"/>
            <w:vAlign w:val="bottom"/>
          </w:tcPr>
          <w:p>
            <w:pPr>
              <w:ind w:left="160"/>
              <w:spacing w:after="0"/>
              <w:rPr>
                <w:sz w:val="20"/>
                <w:szCs w:val="20"/>
                <w:color w:val="auto"/>
              </w:rPr>
            </w:pPr>
            <w:r>
              <w:rPr>
                <w:rFonts w:ascii="Arial" w:cs="Arial" w:eastAsia="Arial" w:hAnsi="Arial"/>
                <w:sz w:val="14"/>
                <w:szCs w:val="14"/>
                <w:color w:val="auto"/>
              </w:rPr>
              <w:t>Underwriting Requirements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2.4</w:t>
            </w:r>
          </w:p>
        </w:tc>
        <w:tc>
          <w:tcPr>
            <w:tcW w:w="3420" w:type="dxa"/>
            <w:vAlign w:val="bottom"/>
          </w:tcPr>
          <w:p>
            <w:pPr>
              <w:ind w:left="160"/>
              <w:spacing w:after="0"/>
              <w:rPr>
                <w:sz w:val="20"/>
                <w:szCs w:val="20"/>
                <w:color w:val="auto"/>
              </w:rPr>
            </w:pPr>
            <w:r>
              <w:rPr>
                <w:rFonts w:ascii="Arial" w:cs="Arial" w:eastAsia="Arial" w:hAnsi="Arial"/>
                <w:sz w:val="14"/>
                <w:szCs w:val="14"/>
                <w:color w:val="auto"/>
              </w:rPr>
              <w:t>Obligations of the Company</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2.5</w:t>
            </w:r>
          </w:p>
        </w:tc>
        <w:tc>
          <w:tcPr>
            <w:tcW w:w="3420" w:type="dxa"/>
            <w:vAlign w:val="bottom"/>
          </w:tcPr>
          <w:p>
            <w:pPr>
              <w:ind w:left="160"/>
              <w:spacing w:after="0"/>
              <w:rPr>
                <w:sz w:val="20"/>
                <w:szCs w:val="20"/>
                <w:color w:val="auto"/>
              </w:rPr>
            </w:pPr>
            <w:r>
              <w:rPr>
                <w:rFonts w:ascii="Arial" w:cs="Arial" w:eastAsia="Arial" w:hAnsi="Arial"/>
                <w:sz w:val="14"/>
                <w:szCs w:val="14"/>
                <w:color w:val="auto"/>
              </w:rPr>
              <w:t>Furnish Information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2.6</w:t>
            </w:r>
          </w:p>
        </w:tc>
        <w:tc>
          <w:tcPr>
            <w:tcW w:w="3420" w:type="dxa"/>
            <w:vAlign w:val="bottom"/>
          </w:tcPr>
          <w:p>
            <w:pPr>
              <w:ind w:left="160"/>
              <w:spacing w:after="0"/>
              <w:rPr>
                <w:sz w:val="20"/>
                <w:szCs w:val="20"/>
                <w:color w:val="auto"/>
              </w:rPr>
            </w:pPr>
            <w:r>
              <w:rPr>
                <w:rFonts w:ascii="Arial" w:cs="Arial" w:eastAsia="Arial" w:hAnsi="Arial"/>
                <w:sz w:val="14"/>
                <w:szCs w:val="14"/>
                <w:color w:val="auto"/>
              </w:rPr>
              <w:t>Expenses of Registration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2.7</w:t>
            </w:r>
          </w:p>
        </w:tc>
        <w:tc>
          <w:tcPr>
            <w:tcW w:w="3420" w:type="dxa"/>
            <w:vAlign w:val="bottom"/>
          </w:tcPr>
          <w:p>
            <w:pPr>
              <w:ind w:left="160"/>
              <w:spacing w:after="0"/>
              <w:rPr>
                <w:sz w:val="20"/>
                <w:szCs w:val="20"/>
                <w:color w:val="auto"/>
              </w:rPr>
            </w:pPr>
            <w:r>
              <w:rPr>
                <w:rFonts w:ascii="Arial" w:cs="Arial" w:eastAsia="Arial" w:hAnsi="Arial"/>
                <w:sz w:val="14"/>
                <w:szCs w:val="14"/>
                <w:color w:val="auto"/>
              </w:rPr>
              <w:t>Delay of Registration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2.8</w:t>
            </w:r>
          </w:p>
        </w:tc>
        <w:tc>
          <w:tcPr>
            <w:tcW w:w="3420" w:type="dxa"/>
            <w:vAlign w:val="bottom"/>
          </w:tcPr>
          <w:p>
            <w:pPr>
              <w:ind w:left="160"/>
              <w:spacing w:after="0"/>
              <w:rPr>
                <w:sz w:val="20"/>
                <w:szCs w:val="20"/>
                <w:color w:val="auto"/>
              </w:rPr>
            </w:pPr>
            <w:r>
              <w:rPr>
                <w:rFonts w:ascii="Arial" w:cs="Arial" w:eastAsia="Arial" w:hAnsi="Arial"/>
                <w:sz w:val="14"/>
                <w:szCs w:val="14"/>
                <w:color w:val="auto"/>
              </w:rPr>
              <w:t>Indemnification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2.9</w:t>
            </w:r>
          </w:p>
        </w:tc>
        <w:tc>
          <w:tcPr>
            <w:tcW w:w="3420" w:type="dxa"/>
            <w:vAlign w:val="bottom"/>
          </w:tcPr>
          <w:p>
            <w:pPr>
              <w:ind w:left="160"/>
              <w:spacing w:after="0"/>
              <w:rPr>
                <w:sz w:val="20"/>
                <w:szCs w:val="20"/>
                <w:color w:val="auto"/>
              </w:rPr>
            </w:pPr>
            <w:r>
              <w:rPr>
                <w:rFonts w:ascii="Arial" w:cs="Arial" w:eastAsia="Arial" w:hAnsi="Arial"/>
                <w:sz w:val="14"/>
                <w:szCs w:val="14"/>
                <w:color w:val="auto"/>
              </w:rPr>
              <w:t>Reports Under Exchange Act</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2.10</w:t>
            </w:r>
          </w:p>
        </w:tc>
        <w:tc>
          <w:tcPr>
            <w:tcW w:w="3420" w:type="dxa"/>
            <w:vAlign w:val="bottom"/>
          </w:tcPr>
          <w:p>
            <w:pPr>
              <w:ind w:left="160"/>
              <w:spacing w:after="0"/>
              <w:rPr>
                <w:sz w:val="20"/>
                <w:szCs w:val="20"/>
                <w:color w:val="auto"/>
              </w:rPr>
            </w:pPr>
            <w:r>
              <w:rPr>
                <w:rFonts w:ascii="Arial" w:cs="Arial" w:eastAsia="Arial" w:hAnsi="Arial"/>
                <w:sz w:val="14"/>
                <w:szCs w:val="14"/>
                <w:color w:val="auto"/>
              </w:rPr>
              <w:t>Limitations on Subsequent Registration Rights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2.11</w:t>
            </w:r>
          </w:p>
        </w:tc>
        <w:tc>
          <w:tcPr>
            <w:tcW w:w="3420" w:type="dxa"/>
            <w:vAlign w:val="bottom"/>
          </w:tcPr>
          <w:p>
            <w:pPr>
              <w:ind w:left="160"/>
              <w:spacing w:after="0"/>
              <w:rPr>
                <w:sz w:val="20"/>
                <w:szCs w:val="20"/>
                <w:color w:val="auto"/>
              </w:rPr>
            </w:pPr>
            <w:r>
              <w:rPr>
                <w:rFonts w:ascii="Arial" w:cs="Arial" w:eastAsia="Arial" w:hAnsi="Arial"/>
                <w:sz w:val="14"/>
                <w:szCs w:val="14"/>
                <w:color w:val="auto"/>
              </w:rPr>
              <w:t>“Market Stand-off” Agreement</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2.12</w:t>
            </w:r>
          </w:p>
        </w:tc>
        <w:tc>
          <w:tcPr>
            <w:tcW w:w="3420" w:type="dxa"/>
            <w:vAlign w:val="bottom"/>
          </w:tcPr>
          <w:p>
            <w:pPr>
              <w:ind w:left="160"/>
              <w:spacing w:after="0"/>
              <w:rPr>
                <w:sz w:val="20"/>
                <w:szCs w:val="20"/>
                <w:color w:val="auto"/>
              </w:rPr>
            </w:pPr>
            <w:r>
              <w:rPr>
                <w:rFonts w:ascii="Arial" w:cs="Arial" w:eastAsia="Arial" w:hAnsi="Arial"/>
                <w:sz w:val="14"/>
                <w:szCs w:val="14"/>
                <w:color w:val="auto"/>
              </w:rPr>
              <w:t>Restrictions on Transfer</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2.13</w:t>
            </w:r>
          </w:p>
        </w:tc>
        <w:tc>
          <w:tcPr>
            <w:tcW w:w="3420" w:type="dxa"/>
            <w:vAlign w:val="bottom"/>
          </w:tcPr>
          <w:p>
            <w:pPr>
              <w:ind w:left="160"/>
              <w:spacing w:after="0"/>
              <w:rPr>
                <w:sz w:val="20"/>
                <w:szCs w:val="20"/>
                <w:color w:val="auto"/>
              </w:rPr>
            </w:pPr>
            <w:r>
              <w:rPr>
                <w:rFonts w:ascii="Arial" w:cs="Arial" w:eastAsia="Arial" w:hAnsi="Arial"/>
                <w:sz w:val="14"/>
                <w:szCs w:val="14"/>
                <w:color w:val="auto"/>
              </w:rPr>
              <w:t>Termination of Registration Rights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45"/>
        </w:trPr>
        <w:tc>
          <w:tcPr>
            <w:tcW w:w="340" w:type="dxa"/>
            <w:vAlign w:val="bottom"/>
          </w:tcPr>
          <w:p>
            <w:pPr>
              <w:jc w:val="right"/>
              <w:ind w:right="148"/>
              <w:spacing w:after="0"/>
              <w:rPr>
                <w:sz w:val="20"/>
                <w:szCs w:val="20"/>
                <w:color w:val="auto"/>
              </w:rPr>
            </w:pPr>
            <w:r>
              <w:rPr>
                <w:rFonts w:ascii="Arial" w:cs="Arial" w:eastAsia="Arial" w:hAnsi="Arial"/>
                <w:sz w:val="14"/>
                <w:szCs w:val="14"/>
                <w:color w:val="auto"/>
                <w:w w:val="85"/>
              </w:rPr>
              <w:t>3.</w:t>
            </w:r>
          </w:p>
        </w:tc>
        <w:tc>
          <w:tcPr>
            <w:tcW w:w="4060" w:type="dxa"/>
            <w:vAlign w:val="bottom"/>
            <w:gridSpan w:val="2"/>
          </w:tcPr>
          <w:p>
            <w:pPr>
              <w:ind w:left="240"/>
              <w:spacing w:after="0"/>
              <w:rPr>
                <w:sz w:val="20"/>
                <w:szCs w:val="20"/>
                <w:color w:val="auto"/>
              </w:rPr>
            </w:pPr>
            <w:r>
              <w:rPr>
                <w:rFonts w:ascii="Arial" w:cs="Arial" w:eastAsia="Arial" w:hAnsi="Arial"/>
                <w:sz w:val="14"/>
                <w:szCs w:val="14"/>
                <w:color w:val="auto"/>
              </w:rPr>
              <w:t>Rights to Future Stock Issuances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3.1</w:t>
            </w:r>
          </w:p>
        </w:tc>
        <w:tc>
          <w:tcPr>
            <w:tcW w:w="3420" w:type="dxa"/>
            <w:vAlign w:val="bottom"/>
          </w:tcPr>
          <w:p>
            <w:pPr>
              <w:ind w:left="160"/>
              <w:spacing w:after="0"/>
              <w:rPr>
                <w:sz w:val="20"/>
                <w:szCs w:val="20"/>
                <w:color w:val="auto"/>
              </w:rPr>
            </w:pPr>
            <w:r>
              <w:rPr>
                <w:rFonts w:ascii="Arial" w:cs="Arial" w:eastAsia="Arial" w:hAnsi="Arial"/>
                <w:sz w:val="14"/>
                <w:szCs w:val="14"/>
                <w:color w:val="auto"/>
              </w:rPr>
              <w:t>Right of First Offer</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3.2</w:t>
            </w:r>
          </w:p>
        </w:tc>
        <w:tc>
          <w:tcPr>
            <w:tcW w:w="3420" w:type="dxa"/>
            <w:vAlign w:val="bottom"/>
          </w:tcPr>
          <w:p>
            <w:pPr>
              <w:ind w:left="160"/>
              <w:spacing w:after="0"/>
              <w:rPr>
                <w:sz w:val="20"/>
                <w:szCs w:val="20"/>
                <w:color w:val="auto"/>
              </w:rPr>
            </w:pPr>
            <w:r>
              <w:rPr>
                <w:rFonts w:ascii="Arial" w:cs="Arial" w:eastAsia="Arial" w:hAnsi="Arial"/>
                <w:sz w:val="14"/>
                <w:szCs w:val="14"/>
                <w:color w:val="auto"/>
              </w:rPr>
              <w:t>Termination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45"/>
        </w:trPr>
        <w:tc>
          <w:tcPr>
            <w:tcW w:w="340" w:type="dxa"/>
            <w:vAlign w:val="bottom"/>
          </w:tcPr>
          <w:p>
            <w:pPr>
              <w:jc w:val="right"/>
              <w:ind w:right="148"/>
              <w:spacing w:after="0"/>
              <w:rPr>
                <w:sz w:val="20"/>
                <w:szCs w:val="20"/>
                <w:color w:val="auto"/>
              </w:rPr>
            </w:pPr>
            <w:r>
              <w:rPr>
                <w:rFonts w:ascii="Arial" w:cs="Arial" w:eastAsia="Arial" w:hAnsi="Arial"/>
                <w:sz w:val="14"/>
                <w:szCs w:val="14"/>
                <w:color w:val="auto"/>
                <w:w w:val="85"/>
              </w:rPr>
              <w:t>4.</w:t>
            </w:r>
          </w:p>
        </w:tc>
        <w:tc>
          <w:tcPr>
            <w:tcW w:w="4060" w:type="dxa"/>
            <w:vAlign w:val="bottom"/>
            <w:gridSpan w:val="2"/>
          </w:tcPr>
          <w:p>
            <w:pPr>
              <w:ind w:left="240"/>
              <w:spacing w:after="0"/>
              <w:rPr>
                <w:sz w:val="20"/>
                <w:szCs w:val="20"/>
                <w:color w:val="auto"/>
              </w:rPr>
            </w:pPr>
            <w:r>
              <w:rPr>
                <w:rFonts w:ascii="Arial" w:cs="Arial" w:eastAsia="Arial" w:hAnsi="Arial"/>
                <w:sz w:val="14"/>
                <w:szCs w:val="14"/>
                <w:color w:val="auto"/>
              </w:rPr>
              <w:t>Additional Covenants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36"/>
        </w:trPr>
        <w:tc>
          <w:tcPr>
            <w:tcW w:w="34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w:t>
            </w:r>
          </w:p>
        </w:tc>
        <w:tc>
          <w:tcPr>
            <w:tcW w:w="3420" w:type="dxa"/>
            <w:vAlign w:val="bottom"/>
          </w:tcPr>
          <w:p>
            <w:pPr>
              <w:ind w:left="160"/>
              <w:spacing w:after="0"/>
              <w:rPr>
                <w:sz w:val="20"/>
                <w:szCs w:val="20"/>
                <w:color w:val="auto"/>
              </w:rPr>
            </w:pPr>
            <w:r>
              <w:rPr>
                <w:rFonts w:ascii="Arial" w:cs="Arial" w:eastAsia="Arial" w:hAnsi="Arial"/>
                <w:sz w:val="14"/>
                <w:szCs w:val="14"/>
                <w:color w:val="auto"/>
              </w:rPr>
              <w:t>Information Rights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4.2</w:t>
            </w:r>
          </w:p>
        </w:tc>
        <w:tc>
          <w:tcPr>
            <w:tcW w:w="3420" w:type="dxa"/>
            <w:vAlign w:val="bottom"/>
          </w:tcPr>
          <w:p>
            <w:pPr>
              <w:ind w:left="160"/>
              <w:spacing w:after="0"/>
              <w:rPr>
                <w:sz w:val="20"/>
                <w:szCs w:val="20"/>
                <w:color w:val="auto"/>
              </w:rPr>
            </w:pPr>
            <w:r>
              <w:rPr>
                <w:rFonts w:ascii="Arial" w:cs="Arial" w:eastAsia="Arial" w:hAnsi="Arial"/>
                <w:sz w:val="14"/>
                <w:szCs w:val="14"/>
                <w:color w:val="auto"/>
              </w:rPr>
              <w:t>Successor Indemnification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4.3</w:t>
            </w:r>
          </w:p>
        </w:tc>
        <w:tc>
          <w:tcPr>
            <w:tcW w:w="3420" w:type="dxa"/>
            <w:vAlign w:val="bottom"/>
          </w:tcPr>
          <w:p>
            <w:pPr>
              <w:ind w:left="160"/>
              <w:spacing w:after="0"/>
              <w:rPr>
                <w:sz w:val="20"/>
                <w:szCs w:val="20"/>
                <w:color w:val="auto"/>
              </w:rPr>
            </w:pPr>
            <w:r>
              <w:rPr>
                <w:rFonts w:ascii="Arial" w:cs="Arial" w:eastAsia="Arial" w:hAnsi="Arial"/>
                <w:sz w:val="14"/>
                <w:szCs w:val="14"/>
                <w:color w:val="auto"/>
              </w:rPr>
              <w:t>Inspection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4.4</w:t>
            </w:r>
          </w:p>
        </w:tc>
        <w:tc>
          <w:tcPr>
            <w:tcW w:w="3420" w:type="dxa"/>
            <w:vAlign w:val="bottom"/>
          </w:tcPr>
          <w:p>
            <w:pPr>
              <w:ind w:left="160"/>
              <w:spacing w:after="0"/>
              <w:rPr>
                <w:sz w:val="20"/>
                <w:szCs w:val="20"/>
                <w:color w:val="auto"/>
              </w:rPr>
            </w:pPr>
            <w:r>
              <w:rPr>
                <w:rFonts w:ascii="Arial" w:cs="Arial" w:eastAsia="Arial" w:hAnsi="Arial"/>
                <w:sz w:val="14"/>
                <w:szCs w:val="14"/>
                <w:color w:val="auto"/>
              </w:rPr>
              <w:t>Observer Rights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4.5</w:t>
            </w:r>
          </w:p>
        </w:tc>
        <w:tc>
          <w:tcPr>
            <w:tcW w:w="3420" w:type="dxa"/>
            <w:vAlign w:val="bottom"/>
          </w:tcPr>
          <w:p>
            <w:pPr>
              <w:ind w:left="160"/>
              <w:spacing w:after="0"/>
              <w:rPr>
                <w:sz w:val="20"/>
                <w:szCs w:val="20"/>
                <w:color w:val="auto"/>
              </w:rPr>
            </w:pPr>
            <w:r>
              <w:rPr>
                <w:rFonts w:ascii="Arial" w:cs="Arial" w:eastAsia="Arial" w:hAnsi="Arial"/>
                <w:sz w:val="14"/>
                <w:szCs w:val="14"/>
                <w:color w:val="auto"/>
              </w:rPr>
              <w:t>Termination of Information and Observer Rights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4.6</w:t>
            </w:r>
          </w:p>
        </w:tc>
        <w:tc>
          <w:tcPr>
            <w:tcW w:w="3420" w:type="dxa"/>
            <w:vAlign w:val="bottom"/>
          </w:tcPr>
          <w:p>
            <w:pPr>
              <w:ind w:left="160"/>
              <w:spacing w:after="0"/>
              <w:rPr>
                <w:sz w:val="20"/>
                <w:szCs w:val="20"/>
                <w:color w:val="auto"/>
              </w:rPr>
            </w:pPr>
            <w:r>
              <w:rPr>
                <w:rFonts w:ascii="Arial" w:cs="Arial" w:eastAsia="Arial" w:hAnsi="Arial"/>
                <w:sz w:val="14"/>
                <w:szCs w:val="14"/>
                <w:color w:val="auto"/>
              </w:rPr>
              <w:t>Confidentiality</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4.7</w:t>
            </w:r>
          </w:p>
        </w:tc>
        <w:tc>
          <w:tcPr>
            <w:tcW w:w="3420" w:type="dxa"/>
            <w:vAlign w:val="bottom"/>
          </w:tcPr>
          <w:p>
            <w:pPr>
              <w:ind w:left="160"/>
              <w:spacing w:after="0"/>
              <w:rPr>
                <w:sz w:val="20"/>
                <w:szCs w:val="20"/>
                <w:color w:val="auto"/>
              </w:rPr>
            </w:pPr>
            <w:r>
              <w:rPr>
                <w:rFonts w:ascii="Arial" w:cs="Arial" w:eastAsia="Arial" w:hAnsi="Arial"/>
                <w:sz w:val="14"/>
                <w:szCs w:val="14"/>
                <w:color w:val="auto"/>
              </w:rPr>
              <w:t>Insurance</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4.8</w:t>
            </w:r>
          </w:p>
        </w:tc>
        <w:tc>
          <w:tcPr>
            <w:tcW w:w="3420" w:type="dxa"/>
            <w:vAlign w:val="bottom"/>
          </w:tcPr>
          <w:p>
            <w:pPr>
              <w:ind w:left="160"/>
              <w:spacing w:after="0"/>
              <w:rPr>
                <w:sz w:val="20"/>
                <w:szCs w:val="20"/>
                <w:color w:val="auto"/>
              </w:rPr>
            </w:pPr>
            <w:r>
              <w:rPr>
                <w:rFonts w:ascii="Arial" w:cs="Arial" w:eastAsia="Arial" w:hAnsi="Arial"/>
                <w:sz w:val="14"/>
                <w:szCs w:val="14"/>
                <w:color w:val="auto"/>
              </w:rPr>
              <w:t>Employee Agreements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4.9</w:t>
            </w:r>
          </w:p>
        </w:tc>
        <w:tc>
          <w:tcPr>
            <w:tcW w:w="3420" w:type="dxa"/>
            <w:vAlign w:val="bottom"/>
          </w:tcPr>
          <w:p>
            <w:pPr>
              <w:ind w:left="160"/>
              <w:spacing w:after="0"/>
              <w:rPr>
                <w:sz w:val="20"/>
                <w:szCs w:val="20"/>
                <w:color w:val="auto"/>
              </w:rPr>
            </w:pPr>
            <w:r>
              <w:rPr>
                <w:rFonts w:ascii="Arial" w:cs="Arial" w:eastAsia="Arial" w:hAnsi="Arial"/>
                <w:sz w:val="14"/>
                <w:szCs w:val="14"/>
                <w:color w:val="auto"/>
              </w:rPr>
              <w:t>Employee Stock</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4.10</w:t>
            </w:r>
          </w:p>
        </w:tc>
        <w:tc>
          <w:tcPr>
            <w:tcW w:w="3420" w:type="dxa"/>
            <w:vAlign w:val="bottom"/>
          </w:tcPr>
          <w:p>
            <w:pPr>
              <w:ind w:left="160"/>
              <w:spacing w:after="0"/>
              <w:rPr>
                <w:sz w:val="20"/>
                <w:szCs w:val="20"/>
                <w:color w:val="auto"/>
              </w:rPr>
            </w:pPr>
            <w:r>
              <w:rPr>
                <w:rFonts w:ascii="Arial" w:cs="Arial" w:eastAsia="Arial" w:hAnsi="Arial"/>
                <w:sz w:val="14"/>
                <w:szCs w:val="14"/>
                <w:color w:val="auto"/>
              </w:rPr>
              <w:t>Reserved</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4.11</w:t>
            </w:r>
          </w:p>
        </w:tc>
        <w:tc>
          <w:tcPr>
            <w:tcW w:w="3420" w:type="dxa"/>
            <w:vAlign w:val="bottom"/>
          </w:tcPr>
          <w:p>
            <w:pPr>
              <w:ind w:left="160"/>
              <w:spacing w:after="0"/>
              <w:rPr>
                <w:sz w:val="20"/>
                <w:szCs w:val="20"/>
                <w:color w:val="auto"/>
              </w:rPr>
            </w:pPr>
            <w:r>
              <w:rPr>
                <w:rFonts w:ascii="Arial" w:cs="Arial" w:eastAsia="Arial" w:hAnsi="Arial"/>
                <w:sz w:val="14"/>
                <w:szCs w:val="14"/>
                <w:color w:val="auto"/>
              </w:rPr>
              <w:t>Matters Requiring Preferred Director Approval</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4.12</w:t>
            </w:r>
          </w:p>
        </w:tc>
        <w:tc>
          <w:tcPr>
            <w:tcW w:w="3420" w:type="dxa"/>
            <w:vAlign w:val="bottom"/>
          </w:tcPr>
          <w:p>
            <w:pPr>
              <w:ind w:left="160"/>
              <w:spacing w:after="0"/>
              <w:rPr>
                <w:sz w:val="20"/>
                <w:szCs w:val="20"/>
                <w:color w:val="auto"/>
              </w:rPr>
            </w:pPr>
            <w:r>
              <w:rPr>
                <w:rFonts w:ascii="Arial" w:cs="Arial" w:eastAsia="Arial" w:hAnsi="Arial"/>
                <w:sz w:val="14"/>
                <w:szCs w:val="14"/>
                <w:color w:val="auto"/>
              </w:rPr>
              <w:t>Board Matters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4.13</w:t>
            </w:r>
          </w:p>
        </w:tc>
        <w:tc>
          <w:tcPr>
            <w:tcW w:w="3420" w:type="dxa"/>
            <w:vAlign w:val="bottom"/>
          </w:tcPr>
          <w:p>
            <w:pPr>
              <w:ind w:left="160"/>
              <w:spacing w:after="0"/>
              <w:rPr>
                <w:sz w:val="20"/>
                <w:szCs w:val="20"/>
                <w:color w:val="auto"/>
              </w:rPr>
            </w:pPr>
            <w:r>
              <w:rPr>
                <w:rFonts w:ascii="Arial" w:cs="Arial" w:eastAsia="Arial" w:hAnsi="Arial"/>
                <w:sz w:val="14"/>
                <w:szCs w:val="14"/>
                <w:color w:val="auto"/>
              </w:rPr>
              <w:t>Expenses of Counsel</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4.14</w:t>
            </w:r>
          </w:p>
        </w:tc>
        <w:tc>
          <w:tcPr>
            <w:tcW w:w="3420" w:type="dxa"/>
            <w:vAlign w:val="bottom"/>
          </w:tcPr>
          <w:p>
            <w:pPr>
              <w:ind w:left="160"/>
              <w:spacing w:after="0"/>
              <w:rPr>
                <w:sz w:val="20"/>
                <w:szCs w:val="20"/>
                <w:color w:val="auto"/>
              </w:rPr>
            </w:pPr>
            <w:r>
              <w:rPr>
                <w:rFonts w:ascii="Arial" w:cs="Arial" w:eastAsia="Arial" w:hAnsi="Arial"/>
                <w:sz w:val="14"/>
                <w:szCs w:val="14"/>
                <w:color w:val="auto"/>
              </w:rPr>
              <w:t>Indemnification Matters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4.15</w:t>
            </w:r>
          </w:p>
        </w:tc>
        <w:tc>
          <w:tcPr>
            <w:tcW w:w="3420" w:type="dxa"/>
            <w:vAlign w:val="bottom"/>
          </w:tcPr>
          <w:p>
            <w:pPr>
              <w:ind w:left="160"/>
              <w:spacing w:after="0"/>
              <w:rPr>
                <w:sz w:val="20"/>
                <w:szCs w:val="20"/>
                <w:color w:val="auto"/>
              </w:rPr>
            </w:pPr>
            <w:r>
              <w:rPr>
                <w:rFonts w:ascii="Arial" w:cs="Arial" w:eastAsia="Arial" w:hAnsi="Arial"/>
                <w:sz w:val="14"/>
                <w:szCs w:val="14"/>
                <w:color w:val="auto"/>
              </w:rPr>
              <w:t>Right to Conduct Activities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4.16</w:t>
            </w:r>
          </w:p>
        </w:tc>
        <w:tc>
          <w:tcPr>
            <w:tcW w:w="3420" w:type="dxa"/>
            <w:vAlign w:val="bottom"/>
          </w:tcPr>
          <w:p>
            <w:pPr>
              <w:ind w:left="160"/>
              <w:spacing w:after="0"/>
              <w:rPr>
                <w:sz w:val="20"/>
                <w:szCs w:val="20"/>
                <w:color w:val="auto"/>
              </w:rPr>
            </w:pPr>
            <w:r>
              <w:rPr>
                <w:rFonts w:ascii="Arial" w:cs="Arial" w:eastAsia="Arial" w:hAnsi="Arial"/>
                <w:sz w:val="14"/>
                <w:szCs w:val="14"/>
                <w:color w:val="auto"/>
              </w:rPr>
              <w:t>Business of the Company</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4.17</w:t>
            </w:r>
          </w:p>
        </w:tc>
        <w:tc>
          <w:tcPr>
            <w:tcW w:w="3420" w:type="dxa"/>
            <w:vAlign w:val="bottom"/>
          </w:tcPr>
          <w:p>
            <w:pPr>
              <w:ind w:left="160"/>
              <w:spacing w:after="0"/>
              <w:rPr>
                <w:sz w:val="20"/>
                <w:szCs w:val="20"/>
                <w:color w:val="auto"/>
              </w:rPr>
            </w:pPr>
            <w:r>
              <w:rPr>
                <w:rFonts w:ascii="Arial" w:cs="Arial" w:eastAsia="Arial" w:hAnsi="Arial"/>
                <w:sz w:val="14"/>
                <w:szCs w:val="14"/>
                <w:color w:val="auto"/>
              </w:rPr>
              <w:t>Real Property Holding Corporation</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4.18</w:t>
            </w:r>
          </w:p>
        </w:tc>
        <w:tc>
          <w:tcPr>
            <w:tcW w:w="3420" w:type="dxa"/>
            <w:vAlign w:val="bottom"/>
          </w:tcPr>
          <w:p>
            <w:pPr>
              <w:ind w:left="160"/>
              <w:spacing w:after="0"/>
              <w:rPr>
                <w:sz w:val="20"/>
                <w:szCs w:val="20"/>
                <w:color w:val="auto"/>
              </w:rPr>
            </w:pPr>
            <w:r>
              <w:rPr>
                <w:rFonts w:ascii="Arial" w:cs="Arial" w:eastAsia="Arial" w:hAnsi="Arial"/>
                <w:sz w:val="14"/>
                <w:szCs w:val="14"/>
                <w:color w:val="auto"/>
              </w:rPr>
              <w:t>No Use of Trademarks or Logos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4.19</w:t>
            </w:r>
          </w:p>
        </w:tc>
        <w:tc>
          <w:tcPr>
            <w:tcW w:w="3420" w:type="dxa"/>
            <w:vAlign w:val="bottom"/>
          </w:tcPr>
          <w:p>
            <w:pPr>
              <w:ind w:left="160"/>
              <w:spacing w:after="0"/>
              <w:rPr>
                <w:sz w:val="20"/>
                <w:szCs w:val="20"/>
                <w:color w:val="auto"/>
              </w:rPr>
            </w:pPr>
            <w:r>
              <w:rPr>
                <w:rFonts w:ascii="Arial" w:cs="Arial" w:eastAsia="Arial" w:hAnsi="Arial"/>
                <w:sz w:val="14"/>
                <w:szCs w:val="14"/>
                <w:color w:val="auto"/>
              </w:rPr>
              <w:t>Termination of Covenants</w:t>
            </w:r>
          </w:p>
        </w:tc>
        <w:tc>
          <w:tcPr>
            <w:tcW w:w="6880" w:type="dxa"/>
            <w:vAlign w:val="bottom"/>
            <w:gridSpan w:val="4"/>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72" w:right="31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182"/>
        </w:trPr>
        <w:tc>
          <w:tcPr>
            <w:tcW w:w="340" w:type="dxa"/>
            <w:vAlign w:val="bottom"/>
          </w:tcPr>
          <w:p>
            <w:pPr>
              <w:jc w:val="right"/>
              <w:ind w:right="148"/>
              <w:spacing w:after="0"/>
              <w:rPr>
                <w:sz w:val="20"/>
                <w:szCs w:val="20"/>
                <w:color w:val="auto"/>
              </w:rPr>
            </w:pPr>
            <w:r>
              <w:rPr>
                <w:rFonts w:ascii="Arial" w:cs="Arial" w:eastAsia="Arial" w:hAnsi="Arial"/>
                <w:sz w:val="14"/>
                <w:szCs w:val="14"/>
                <w:color w:val="auto"/>
                <w:w w:val="85"/>
              </w:rPr>
              <w:t>5.</w:t>
            </w:r>
          </w:p>
        </w:tc>
        <w:tc>
          <w:tcPr>
            <w:tcW w:w="6660" w:type="dxa"/>
            <w:vAlign w:val="bottom"/>
            <w:gridSpan w:val="2"/>
          </w:tcPr>
          <w:p>
            <w:pPr>
              <w:ind w:left="240"/>
              <w:spacing w:after="0"/>
              <w:rPr>
                <w:sz w:val="20"/>
                <w:szCs w:val="20"/>
                <w:color w:val="auto"/>
              </w:rPr>
            </w:pPr>
            <w:r>
              <w:rPr>
                <w:rFonts w:ascii="Arial" w:cs="Arial" w:eastAsia="Arial" w:hAnsi="Arial"/>
                <w:sz w:val="14"/>
                <w:szCs w:val="14"/>
                <w:color w:val="auto"/>
              </w:rPr>
              <w:t>Tag-Along Rights</w:t>
            </w:r>
          </w:p>
        </w:tc>
        <w:tc>
          <w:tcPr>
            <w:tcW w:w="42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45"/>
        </w:trPr>
        <w:tc>
          <w:tcPr>
            <w:tcW w:w="340" w:type="dxa"/>
            <w:vAlign w:val="bottom"/>
          </w:tcPr>
          <w:p>
            <w:pPr>
              <w:jc w:val="right"/>
              <w:ind w:right="148"/>
              <w:spacing w:after="0"/>
              <w:rPr>
                <w:sz w:val="20"/>
                <w:szCs w:val="20"/>
                <w:color w:val="auto"/>
              </w:rPr>
            </w:pPr>
            <w:r>
              <w:rPr>
                <w:rFonts w:ascii="Arial" w:cs="Arial" w:eastAsia="Arial" w:hAnsi="Arial"/>
                <w:sz w:val="14"/>
                <w:szCs w:val="14"/>
                <w:color w:val="auto"/>
                <w:w w:val="85"/>
              </w:rPr>
              <w:t>6.</w:t>
            </w:r>
          </w:p>
        </w:tc>
        <w:tc>
          <w:tcPr>
            <w:tcW w:w="6660" w:type="dxa"/>
            <w:vAlign w:val="bottom"/>
            <w:gridSpan w:val="2"/>
          </w:tcPr>
          <w:p>
            <w:pPr>
              <w:ind w:left="240"/>
              <w:spacing w:after="0"/>
              <w:rPr>
                <w:sz w:val="20"/>
                <w:szCs w:val="20"/>
                <w:color w:val="auto"/>
              </w:rPr>
            </w:pPr>
            <w:r>
              <w:rPr>
                <w:rFonts w:ascii="Arial" w:cs="Arial" w:eastAsia="Arial" w:hAnsi="Arial"/>
                <w:sz w:val="14"/>
                <w:szCs w:val="14"/>
                <w:color w:val="auto"/>
              </w:rPr>
              <w:t>Miscellaneous</w:t>
            </w:r>
          </w:p>
        </w:tc>
        <w:tc>
          <w:tcPr>
            <w:tcW w:w="42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36"/>
        </w:trPr>
        <w:tc>
          <w:tcPr>
            <w:tcW w:w="34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6.1</w:t>
            </w:r>
          </w:p>
        </w:tc>
        <w:tc>
          <w:tcPr>
            <w:tcW w:w="6020" w:type="dxa"/>
            <w:vAlign w:val="bottom"/>
          </w:tcPr>
          <w:p>
            <w:pPr>
              <w:ind w:left="160"/>
              <w:spacing w:after="0"/>
              <w:rPr>
                <w:sz w:val="20"/>
                <w:szCs w:val="20"/>
                <w:color w:val="auto"/>
              </w:rPr>
            </w:pPr>
            <w:r>
              <w:rPr>
                <w:rFonts w:ascii="Arial" w:cs="Arial" w:eastAsia="Arial" w:hAnsi="Arial"/>
                <w:sz w:val="14"/>
                <w:szCs w:val="14"/>
                <w:color w:val="auto"/>
              </w:rPr>
              <w:t>Successors and Assigns</w:t>
            </w:r>
          </w:p>
        </w:tc>
        <w:tc>
          <w:tcPr>
            <w:tcW w:w="42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6.2</w:t>
            </w:r>
          </w:p>
        </w:tc>
        <w:tc>
          <w:tcPr>
            <w:tcW w:w="6020" w:type="dxa"/>
            <w:vAlign w:val="bottom"/>
          </w:tcPr>
          <w:p>
            <w:pPr>
              <w:ind w:left="160"/>
              <w:spacing w:after="0"/>
              <w:rPr>
                <w:sz w:val="20"/>
                <w:szCs w:val="20"/>
                <w:color w:val="auto"/>
              </w:rPr>
            </w:pPr>
            <w:r>
              <w:rPr>
                <w:rFonts w:ascii="Arial" w:cs="Arial" w:eastAsia="Arial" w:hAnsi="Arial"/>
                <w:sz w:val="14"/>
                <w:szCs w:val="14"/>
                <w:color w:val="auto"/>
              </w:rPr>
              <w:t>Governing Law</w:t>
            </w:r>
          </w:p>
        </w:tc>
        <w:tc>
          <w:tcPr>
            <w:tcW w:w="42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6.3</w:t>
            </w:r>
          </w:p>
        </w:tc>
        <w:tc>
          <w:tcPr>
            <w:tcW w:w="6020" w:type="dxa"/>
            <w:vAlign w:val="bottom"/>
          </w:tcPr>
          <w:p>
            <w:pPr>
              <w:ind w:left="160"/>
              <w:spacing w:after="0"/>
              <w:rPr>
                <w:sz w:val="20"/>
                <w:szCs w:val="20"/>
                <w:color w:val="auto"/>
              </w:rPr>
            </w:pPr>
            <w:r>
              <w:rPr>
                <w:rFonts w:ascii="Arial" w:cs="Arial" w:eastAsia="Arial" w:hAnsi="Arial"/>
                <w:sz w:val="14"/>
                <w:szCs w:val="14"/>
                <w:color w:val="auto"/>
              </w:rPr>
              <w:t>Counterparts</w:t>
            </w:r>
          </w:p>
        </w:tc>
        <w:tc>
          <w:tcPr>
            <w:tcW w:w="42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6.4</w:t>
            </w:r>
          </w:p>
        </w:tc>
        <w:tc>
          <w:tcPr>
            <w:tcW w:w="6020" w:type="dxa"/>
            <w:vAlign w:val="bottom"/>
          </w:tcPr>
          <w:p>
            <w:pPr>
              <w:ind w:left="160"/>
              <w:spacing w:after="0"/>
              <w:rPr>
                <w:sz w:val="20"/>
                <w:szCs w:val="20"/>
                <w:color w:val="auto"/>
              </w:rPr>
            </w:pPr>
            <w:r>
              <w:rPr>
                <w:rFonts w:ascii="Arial" w:cs="Arial" w:eastAsia="Arial" w:hAnsi="Arial"/>
                <w:sz w:val="14"/>
                <w:szCs w:val="14"/>
                <w:color w:val="auto"/>
              </w:rPr>
              <w:t>Titles and Subtitles</w:t>
            </w:r>
          </w:p>
        </w:tc>
        <w:tc>
          <w:tcPr>
            <w:tcW w:w="42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6.5</w:t>
            </w:r>
          </w:p>
        </w:tc>
        <w:tc>
          <w:tcPr>
            <w:tcW w:w="6020" w:type="dxa"/>
            <w:vAlign w:val="bottom"/>
          </w:tcPr>
          <w:p>
            <w:pPr>
              <w:ind w:left="160"/>
              <w:spacing w:after="0"/>
              <w:rPr>
                <w:sz w:val="20"/>
                <w:szCs w:val="20"/>
                <w:color w:val="auto"/>
              </w:rPr>
            </w:pPr>
            <w:r>
              <w:rPr>
                <w:rFonts w:ascii="Arial" w:cs="Arial" w:eastAsia="Arial" w:hAnsi="Arial"/>
                <w:sz w:val="14"/>
                <w:szCs w:val="14"/>
                <w:color w:val="auto"/>
              </w:rPr>
              <w:t>Notices</w:t>
            </w:r>
          </w:p>
        </w:tc>
        <w:tc>
          <w:tcPr>
            <w:tcW w:w="42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6.6</w:t>
            </w:r>
          </w:p>
        </w:tc>
        <w:tc>
          <w:tcPr>
            <w:tcW w:w="6020" w:type="dxa"/>
            <w:vAlign w:val="bottom"/>
          </w:tcPr>
          <w:p>
            <w:pPr>
              <w:ind w:left="160"/>
              <w:spacing w:after="0"/>
              <w:rPr>
                <w:sz w:val="20"/>
                <w:szCs w:val="20"/>
                <w:color w:val="auto"/>
              </w:rPr>
            </w:pPr>
            <w:r>
              <w:rPr>
                <w:rFonts w:ascii="Arial" w:cs="Arial" w:eastAsia="Arial" w:hAnsi="Arial"/>
                <w:sz w:val="14"/>
                <w:szCs w:val="14"/>
                <w:color w:val="auto"/>
              </w:rPr>
              <w:t>Amendments and Waivers</w:t>
            </w:r>
          </w:p>
        </w:tc>
        <w:tc>
          <w:tcPr>
            <w:tcW w:w="42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6.7</w:t>
            </w:r>
          </w:p>
        </w:tc>
        <w:tc>
          <w:tcPr>
            <w:tcW w:w="6020" w:type="dxa"/>
            <w:vAlign w:val="bottom"/>
          </w:tcPr>
          <w:p>
            <w:pPr>
              <w:ind w:left="160"/>
              <w:spacing w:after="0"/>
              <w:rPr>
                <w:sz w:val="20"/>
                <w:szCs w:val="20"/>
                <w:color w:val="auto"/>
              </w:rPr>
            </w:pPr>
            <w:r>
              <w:rPr>
                <w:rFonts w:ascii="Arial" w:cs="Arial" w:eastAsia="Arial" w:hAnsi="Arial"/>
                <w:sz w:val="14"/>
                <w:szCs w:val="14"/>
                <w:color w:val="auto"/>
              </w:rPr>
              <w:t>Severability</w:t>
            </w:r>
          </w:p>
        </w:tc>
        <w:tc>
          <w:tcPr>
            <w:tcW w:w="42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6.8</w:t>
            </w:r>
          </w:p>
        </w:tc>
        <w:tc>
          <w:tcPr>
            <w:tcW w:w="6020" w:type="dxa"/>
            <w:vAlign w:val="bottom"/>
          </w:tcPr>
          <w:p>
            <w:pPr>
              <w:ind w:left="160"/>
              <w:spacing w:after="0"/>
              <w:rPr>
                <w:sz w:val="20"/>
                <w:szCs w:val="20"/>
                <w:color w:val="auto"/>
              </w:rPr>
            </w:pPr>
            <w:r>
              <w:rPr>
                <w:rFonts w:ascii="Arial" w:cs="Arial" w:eastAsia="Arial" w:hAnsi="Arial"/>
                <w:sz w:val="14"/>
                <w:szCs w:val="14"/>
                <w:color w:val="auto"/>
              </w:rPr>
              <w:t>Aggregation of Stock</w:t>
            </w:r>
          </w:p>
        </w:tc>
        <w:tc>
          <w:tcPr>
            <w:tcW w:w="42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6.9</w:t>
            </w:r>
          </w:p>
        </w:tc>
        <w:tc>
          <w:tcPr>
            <w:tcW w:w="6020" w:type="dxa"/>
            <w:vAlign w:val="bottom"/>
          </w:tcPr>
          <w:p>
            <w:pPr>
              <w:ind w:left="160"/>
              <w:spacing w:after="0"/>
              <w:rPr>
                <w:sz w:val="20"/>
                <w:szCs w:val="20"/>
                <w:color w:val="auto"/>
              </w:rPr>
            </w:pPr>
            <w:r>
              <w:rPr>
                <w:rFonts w:ascii="Arial" w:cs="Arial" w:eastAsia="Arial" w:hAnsi="Arial"/>
                <w:sz w:val="14"/>
                <w:szCs w:val="14"/>
                <w:color w:val="auto"/>
              </w:rPr>
              <w:t>Entire Agreement</w:t>
            </w:r>
          </w:p>
        </w:tc>
        <w:tc>
          <w:tcPr>
            <w:tcW w:w="42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6.10</w:t>
            </w:r>
          </w:p>
        </w:tc>
        <w:tc>
          <w:tcPr>
            <w:tcW w:w="6020" w:type="dxa"/>
            <w:vAlign w:val="bottom"/>
          </w:tcPr>
          <w:p>
            <w:pPr>
              <w:ind w:left="160"/>
              <w:spacing w:after="0"/>
              <w:rPr>
                <w:sz w:val="20"/>
                <w:szCs w:val="20"/>
                <w:color w:val="auto"/>
              </w:rPr>
            </w:pPr>
            <w:r>
              <w:rPr>
                <w:rFonts w:ascii="Arial" w:cs="Arial" w:eastAsia="Arial" w:hAnsi="Arial"/>
                <w:sz w:val="14"/>
                <w:szCs w:val="14"/>
                <w:color w:val="auto"/>
              </w:rPr>
              <w:t>Dispute Resolution</w:t>
            </w:r>
          </w:p>
        </w:tc>
        <w:tc>
          <w:tcPr>
            <w:tcW w:w="42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6.11</w:t>
            </w:r>
          </w:p>
        </w:tc>
        <w:tc>
          <w:tcPr>
            <w:tcW w:w="6020" w:type="dxa"/>
            <w:vAlign w:val="bottom"/>
          </w:tcPr>
          <w:p>
            <w:pPr>
              <w:ind w:left="160"/>
              <w:spacing w:after="0"/>
              <w:rPr>
                <w:sz w:val="20"/>
                <w:szCs w:val="20"/>
                <w:color w:val="auto"/>
              </w:rPr>
            </w:pPr>
            <w:r>
              <w:rPr>
                <w:rFonts w:ascii="Arial" w:cs="Arial" w:eastAsia="Arial" w:hAnsi="Arial"/>
                <w:sz w:val="14"/>
                <w:szCs w:val="14"/>
                <w:color w:val="auto"/>
              </w:rPr>
              <w:t>Delays or Omissions</w:t>
            </w:r>
          </w:p>
        </w:tc>
        <w:tc>
          <w:tcPr>
            <w:tcW w:w="42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6.12</w:t>
            </w:r>
          </w:p>
        </w:tc>
        <w:tc>
          <w:tcPr>
            <w:tcW w:w="6020" w:type="dxa"/>
            <w:vAlign w:val="bottom"/>
          </w:tcPr>
          <w:p>
            <w:pPr>
              <w:ind w:left="160"/>
              <w:spacing w:after="0"/>
              <w:rPr>
                <w:sz w:val="20"/>
                <w:szCs w:val="20"/>
                <w:color w:val="auto"/>
              </w:rPr>
            </w:pPr>
            <w:r>
              <w:rPr>
                <w:rFonts w:ascii="Arial" w:cs="Arial" w:eastAsia="Arial" w:hAnsi="Arial"/>
                <w:sz w:val="14"/>
                <w:szCs w:val="14"/>
                <w:color w:val="auto"/>
              </w:rPr>
              <w:t>Acknowledgment</w:t>
            </w:r>
          </w:p>
        </w:tc>
        <w:tc>
          <w:tcPr>
            <w:tcW w:w="42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3"/>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6.13</w:t>
            </w:r>
          </w:p>
        </w:tc>
        <w:tc>
          <w:tcPr>
            <w:tcW w:w="6020" w:type="dxa"/>
            <w:vAlign w:val="bottom"/>
          </w:tcPr>
          <w:p>
            <w:pPr>
              <w:ind w:left="160"/>
              <w:spacing w:after="0"/>
              <w:rPr>
                <w:sz w:val="20"/>
                <w:szCs w:val="20"/>
                <w:color w:val="auto"/>
              </w:rPr>
            </w:pPr>
            <w:r>
              <w:rPr>
                <w:rFonts w:ascii="Arial" w:cs="Arial" w:eastAsia="Arial" w:hAnsi="Arial"/>
                <w:sz w:val="14"/>
                <w:szCs w:val="14"/>
                <w:color w:val="auto"/>
              </w:rPr>
              <w:t>Submission to Jurisdiction</w:t>
            </w:r>
          </w:p>
        </w:tc>
        <w:tc>
          <w:tcPr>
            <w:tcW w:w="42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2"/>
        </w:trPr>
        <w:tc>
          <w:tcPr>
            <w:tcW w:w="34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6.14</w:t>
            </w:r>
          </w:p>
        </w:tc>
        <w:tc>
          <w:tcPr>
            <w:tcW w:w="6020" w:type="dxa"/>
            <w:vAlign w:val="bottom"/>
          </w:tcPr>
          <w:p>
            <w:pPr>
              <w:ind w:left="160"/>
              <w:spacing w:after="0"/>
              <w:rPr>
                <w:sz w:val="20"/>
                <w:szCs w:val="20"/>
                <w:color w:val="auto"/>
              </w:rPr>
            </w:pPr>
            <w:r>
              <w:rPr>
                <w:rFonts w:ascii="Arial" w:cs="Arial" w:eastAsia="Arial" w:hAnsi="Arial"/>
                <w:sz w:val="14"/>
                <w:szCs w:val="14"/>
                <w:color w:val="auto"/>
              </w:rPr>
              <w:t>Massachusetts Business Trust</w:t>
            </w:r>
          </w:p>
        </w:tc>
        <w:tc>
          <w:tcPr>
            <w:tcW w:w="4280" w:type="dxa"/>
            <w:vAlign w:val="bottom"/>
          </w:tcPr>
          <w:p>
            <w:pPr>
              <w:jc w:val="right"/>
              <w:spacing w:after="0"/>
              <w:rPr>
                <w:sz w:val="20"/>
                <w:szCs w:val="20"/>
                <w:color w:val="auto"/>
              </w:rPr>
            </w:pPr>
            <w:r>
              <w:rPr>
                <w:rFonts w:ascii="Arial" w:cs="Arial" w:eastAsia="Arial" w:hAnsi="Arial"/>
                <w:sz w:val="14"/>
                <w:szCs w:val="14"/>
                <w:color w:val="auto"/>
              </w:rPr>
              <w:t>28</w:t>
            </w:r>
          </w:p>
        </w:tc>
      </w:tr>
    </w:tbl>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4"/>
          <w:szCs w:val="14"/>
          <w:b w:val="1"/>
          <w:bCs w:val="1"/>
          <w:color w:val="auto"/>
        </w:rPr>
        <w:t>INVESTORS’ RIGHTS AGREEMENT</w:t>
      </w:r>
    </w:p>
    <w:p>
      <w:pPr>
        <w:spacing w:after="0" w:line="190" w:lineRule="exact"/>
        <w:rPr>
          <w:sz w:val="20"/>
          <w:szCs w:val="20"/>
          <w:color w:val="auto"/>
        </w:rPr>
      </w:pPr>
    </w:p>
    <w:p>
      <w:pPr>
        <w:jc w:val="both"/>
        <w:ind w:firstLine="518"/>
        <w:spacing w:after="0" w:line="217" w:lineRule="auto"/>
        <w:rPr>
          <w:sz w:val="20"/>
          <w:szCs w:val="20"/>
          <w:color w:val="auto"/>
        </w:rPr>
      </w:pPr>
      <w:r>
        <w:rPr>
          <w:rFonts w:ascii="Arial" w:cs="Arial" w:eastAsia="Arial" w:hAnsi="Arial"/>
          <w:sz w:val="14"/>
          <w:szCs w:val="14"/>
          <w:color w:val="auto"/>
        </w:rPr>
        <w:t>THIS INVESTORS’ RIGHTS AGREEMENT, is made as of the 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of February, 2021, by and among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xml:space="preserve">”), and each of the investors listed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(each, an “</w:t>
      </w:r>
      <w:r>
        <w:rPr>
          <w:rFonts w:ascii="Arial" w:cs="Arial" w:eastAsia="Arial" w:hAnsi="Arial"/>
          <w:sz w:val="14"/>
          <w:szCs w:val="14"/>
          <w:b w:val="1"/>
          <w:bCs w:val="1"/>
          <w:color w:val="auto"/>
        </w:rPr>
        <w:t>Investor</w:t>
      </w:r>
      <w:r>
        <w:rPr>
          <w:rFonts w:ascii="Arial" w:cs="Arial" w:eastAsia="Arial" w:hAnsi="Arial"/>
          <w:sz w:val="14"/>
          <w:szCs w:val="14"/>
          <w:color w:val="auto"/>
        </w:rPr>
        <w:t>” and collectively, the “</w:t>
      </w:r>
      <w:r>
        <w:rPr>
          <w:rFonts w:ascii="Arial" w:cs="Arial" w:eastAsia="Arial" w:hAnsi="Arial"/>
          <w:sz w:val="14"/>
          <w:szCs w:val="14"/>
          <w:b w:val="1"/>
          <w:bCs w:val="1"/>
          <w:color w:val="auto"/>
        </w:rPr>
        <w:t>Investors</w:t>
      </w:r>
      <w:r>
        <w:rPr>
          <w:rFonts w:ascii="Arial" w:cs="Arial" w:eastAsia="Arial" w:hAnsi="Arial"/>
          <w:sz w:val="14"/>
          <w:szCs w:val="14"/>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231F20"/>
        </w:rPr>
        <w:t>RECITALS</w:t>
      </w:r>
    </w:p>
    <w:p>
      <w:pPr>
        <w:spacing w:after="0" w:line="25"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certain of the Investors (the “</w:t>
      </w:r>
      <w:r>
        <w:rPr>
          <w:rFonts w:ascii="Arial" w:cs="Arial" w:eastAsia="Arial" w:hAnsi="Arial"/>
          <w:sz w:val="14"/>
          <w:szCs w:val="14"/>
          <w:b w:val="1"/>
          <w:bCs w:val="1"/>
          <w:color w:val="auto"/>
        </w:rPr>
        <w:t>Existing Investors</w:t>
      </w:r>
      <w:r>
        <w:rPr>
          <w:rFonts w:ascii="Arial" w:cs="Arial" w:eastAsia="Arial" w:hAnsi="Arial"/>
          <w:sz w:val="14"/>
          <w:szCs w:val="14"/>
          <w:color w:val="auto"/>
        </w:rPr>
        <w:t>”) hold shares of the Company’s Series A Preferred Stock, Series B Preferred Stock and/or shares of Common Stock issued</w:t>
      </w:r>
      <w:r>
        <w:rPr>
          <w:rFonts w:ascii="Arial" w:cs="Arial" w:eastAsia="Arial" w:hAnsi="Arial"/>
          <w:sz w:val="14"/>
          <w:szCs w:val="14"/>
          <w:b w:val="1"/>
          <w:bCs w:val="1"/>
          <w:color w:val="auto"/>
        </w:rPr>
        <w:t xml:space="preserve"> </w:t>
      </w:r>
      <w:r>
        <w:rPr>
          <w:rFonts w:ascii="Arial" w:cs="Arial" w:eastAsia="Arial" w:hAnsi="Arial"/>
          <w:sz w:val="14"/>
          <w:szCs w:val="14"/>
          <w:color w:val="auto"/>
        </w:rPr>
        <w:t>upon conversion thereof;</w:t>
      </w:r>
    </w:p>
    <w:p>
      <w:pPr>
        <w:spacing w:after="0" w:line="13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certain of the Investors are parties to that certain Series C Preferred Stock Purchase Agreement of even date herewith by and among the Company and such Investors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Purchase Agreement</w:t>
      </w:r>
      <w:r>
        <w:rPr>
          <w:rFonts w:ascii="Arial" w:cs="Arial" w:eastAsia="Arial" w:hAnsi="Arial"/>
          <w:sz w:val="14"/>
          <w:szCs w:val="14"/>
          <w:color w:val="auto"/>
        </w:rPr>
        <w:t>”), under which certain of the Company’s and such Investors’ obligations are conditioned upon the execution and delivery of this Agreement by such Investors, the Existing Investors and the Company.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the parties hereby agree as follows:</w:t>
      </w:r>
    </w:p>
    <w:p>
      <w:pPr>
        <w:spacing w:after="0" w:line="188" w:lineRule="exact"/>
        <w:rPr>
          <w:sz w:val="20"/>
          <w:szCs w:val="20"/>
          <w:color w:val="auto"/>
        </w:rPr>
      </w:pPr>
    </w:p>
    <w:p>
      <w:pPr>
        <w:ind w:left="1160" w:hanging="636"/>
        <w:spacing w:after="0"/>
        <w:tabs>
          <w:tab w:leader="none" w:pos="1160" w:val="left"/>
        </w:tabs>
        <w:numPr>
          <w:ilvl w:val="0"/>
          <w:numId w:val="200"/>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Agreement:</w:t>
      </w:r>
    </w:p>
    <w:p>
      <w:pPr>
        <w:spacing w:after="0" w:line="180" w:lineRule="exact"/>
        <w:rPr>
          <w:sz w:val="20"/>
          <w:szCs w:val="20"/>
          <w:color w:val="auto"/>
        </w:rPr>
      </w:pPr>
    </w:p>
    <w:p>
      <w:pPr>
        <w:jc w:val="both"/>
        <w:ind w:firstLine="1036"/>
        <w:spacing w:after="0" w:line="269" w:lineRule="auto"/>
        <w:rPr>
          <w:sz w:val="20"/>
          <w:szCs w:val="20"/>
          <w:color w:val="auto"/>
        </w:rPr>
      </w:pPr>
      <w:r>
        <w:rPr>
          <w:rFonts w:ascii="Arial" w:cs="Arial" w:eastAsia="Arial" w:hAnsi="Arial"/>
          <w:sz w:val="14"/>
          <w:szCs w:val="14"/>
          <w:color w:val="auto"/>
        </w:rPr>
        <w:t>1.1 “</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advisers (including but not limited to registered investment advisers) of, or shares the same management company or investment adviser with, such Person.</w:t>
      </w:r>
    </w:p>
    <w:p>
      <w:pPr>
        <w:spacing w:after="0" w:line="141"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Bayer</w:t>
      </w:r>
      <w:r>
        <w:rPr>
          <w:rFonts w:ascii="Arial" w:cs="Arial" w:eastAsia="Arial" w:hAnsi="Arial"/>
          <w:sz w:val="13"/>
          <w:szCs w:val="13"/>
          <w:color w:val="auto"/>
        </w:rPr>
        <w:t>” means Bayer Healthcare LLC.</w:t>
      </w:r>
    </w:p>
    <w:p>
      <w:pPr>
        <w:spacing w:after="0" w:line="184"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Board</w:t>
      </w:r>
      <w:r>
        <w:rPr>
          <w:rFonts w:ascii="Arial" w:cs="Arial" w:eastAsia="Arial" w:hAnsi="Arial"/>
          <w:sz w:val="13"/>
          <w:szCs w:val="13"/>
          <w:color w:val="auto"/>
        </w:rPr>
        <w:t>” means the Board of Directors of the Company.</w:t>
      </w:r>
    </w:p>
    <w:p>
      <w:pPr>
        <w:spacing w:after="0" w:line="184"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Casdin</w:t>
      </w:r>
      <w:r>
        <w:rPr>
          <w:rFonts w:ascii="Arial" w:cs="Arial" w:eastAsia="Arial" w:hAnsi="Arial"/>
          <w:sz w:val="13"/>
          <w:szCs w:val="13"/>
          <w:color w:val="auto"/>
        </w:rPr>
        <w:t>” means Casdin Capital, LLC.</w:t>
      </w:r>
    </w:p>
    <w:p>
      <w:pPr>
        <w:spacing w:after="0" w:line="184"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Certificate of Incorporation</w:t>
      </w:r>
      <w:r>
        <w:rPr>
          <w:rFonts w:ascii="Arial" w:cs="Arial" w:eastAsia="Arial" w:hAnsi="Arial"/>
          <w:sz w:val="13"/>
          <w:szCs w:val="13"/>
          <w:color w:val="auto"/>
        </w:rPr>
        <w:t>” means the Company’s Amended and Restated Certificate of Incorporation (as it may be amended and/or restated from time to time).</w:t>
      </w:r>
    </w:p>
    <w:p>
      <w:pPr>
        <w:spacing w:after="0" w:line="184"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Common Stock</w:t>
      </w:r>
      <w:r>
        <w:rPr>
          <w:rFonts w:ascii="Arial" w:cs="Arial" w:eastAsia="Arial" w:hAnsi="Arial"/>
          <w:sz w:val="12"/>
          <w:szCs w:val="12"/>
          <w:color w:val="auto"/>
        </w:rPr>
        <w:t>” means shares of the Company’s common stock, par value $0.0001 per share.</w:t>
      </w:r>
    </w:p>
    <w:p>
      <w:pPr>
        <w:spacing w:after="0" w:line="184"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1.7 “</w:t>
      </w:r>
      <w:r>
        <w:rPr>
          <w:rFonts w:ascii="Arial" w:cs="Arial" w:eastAsia="Arial" w:hAnsi="Arial"/>
          <w:sz w:val="14"/>
          <w:szCs w:val="14"/>
          <w:b w:val="1"/>
          <w:bCs w:val="1"/>
          <w:color w:val="auto"/>
        </w:rPr>
        <w:t>Damages</w:t>
      </w:r>
      <w:r>
        <w:rPr>
          <w:rFonts w:ascii="Arial" w:cs="Arial" w:eastAsia="Arial" w:hAnsi="Arial"/>
          <w:sz w:val="14"/>
          <w:szCs w:val="14"/>
          <w:color w:val="auto"/>
        </w:rPr>
        <w:t xml:space="preserve">”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w:t>
      </w:r>
      <w:r>
        <w:rPr>
          <w:rFonts w:ascii="Arial" w:cs="Arial" w:eastAsia="Arial" w:hAnsi="Arial"/>
          <w:sz w:val="14"/>
          <w:szCs w:val="14"/>
          <w:color w:val="231F20"/>
        </w:rPr>
        <w:t>untrue statement of a</w:t>
      </w:r>
      <w:r>
        <w:rPr>
          <w:rFonts w:ascii="Arial" w:cs="Arial" w:eastAsia="Arial" w:hAnsi="Arial"/>
          <w:sz w:val="14"/>
          <w:szCs w:val="14"/>
          <w:color w:val="auto"/>
        </w:rPr>
        <w:t xml:space="preserve"> </w:t>
      </w:r>
      <w:r>
        <w:rPr>
          <w:rFonts w:ascii="Arial" w:cs="Arial" w:eastAsia="Arial" w:hAnsi="Arial"/>
          <w:sz w:val="14"/>
          <w:szCs w:val="14"/>
          <w:color w:val="231F20"/>
        </w:rPr>
        <w:t>material fact contained in any registration statement of the Company, including any 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328295</wp:posOffset>
            </wp:positionV>
            <wp:extent cx="715962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25" w:name="page326"/>
    <w:bookmarkEnd w:id="325"/>
    <w:p>
      <w:pPr>
        <w:jc w:val="both"/>
        <w:spacing w:after="0" w:line="273" w:lineRule="auto"/>
        <w:rPr>
          <w:sz w:val="20"/>
          <w:szCs w:val="20"/>
          <w:color w:val="auto"/>
        </w:rPr>
      </w:pPr>
      <w:r>
        <w:rPr>
          <w:rFonts w:ascii="Arial" w:cs="Arial" w:eastAsia="Arial" w:hAnsi="Arial"/>
          <w:sz w:val="14"/>
          <w:szCs w:val="14"/>
          <w:color w:val="231F20"/>
        </w:rPr>
        <w:t>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r>
        <w:rPr>
          <w:rFonts w:ascii="Arial" w:cs="Arial" w:eastAsia="Arial" w:hAnsi="Arial"/>
          <w:sz w:val="14"/>
          <w:szCs w:val="14"/>
          <w:color w:val="000000"/>
        </w:rPr>
        <w:t>.</w:t>
      </w:r>
    </w:p>
    <w:p>
      <w:pPr>
        <w:spacing w:after="0" w:line="137"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4"/>
          <w:szCs w:val="14"/>
          <w:color w:val="auto"/>
        </w:rPr>
        <w:t>1.8 “</w:t>
      </w:r>
      <w:r>
        <w:rPr>
          <w:rFonts w:ascii="Arial" w:cs="Arial" w:eastAsia="Arial" w:hAnsi="Arial"/>
          <w:sz w:val="14"/>
          <w:szCs w:val="14"/>
          <w:b w:val="1"/>
          <w:bCs w:val="1"/>
          <w:color w:val="auto"/>
        </w:rPr>
        <w:t>Derivative Securities</w:t>
      </w:r>
      <w:r>
        <w:rPr>
          <w:rFonts w:ascii="Arial" w:cs="Arial" w:eastAsia="Arial" w:hAnsi="Arial"/>
          <w:sz w:val="14"/>
          <w:szCs w:val="14"/>
          <w:color w:val="auto"/>
        </w:rPr>
        <w:t>” means any securities or rights convertible into, or exercisable or exchangeable for (in each case, directly or indirectly)</w:t>
      </w:r>
      <w:r>
        <w:rPr>
          <w:rFonts w:ascii="Arial" w:cs="Arial" w:eastAsia="Arial" w:hAnsi="Arial"/>
          <w:sz w:val="14"/>
          <w:szCs w:val="14"/>
          <w:b w:val="1"/>
          <w:bCs w:val="1"/>
          <w:color w:val="auto"/>
        </w:rPr>
        <w:t>,</w:t>
      </w:r>
      <w:r>
        <w:rPr>
          <w:rFonts w:ascii="Arial" w:cs="Arial" w:eastAsia="Arial" w:hAnsi="Arial"/>
          <w:sz w:val="14"/>
          <w:szCs w:val="14"/>
          <w:color w:val="auto"/>
        </w:rPr>
        <w:t xml:space="preserve"> Common Stock, including options and warrants.</w:t>
      </w:r>
    </w:p>
    <w:p>
      <w:pPr>
        <w:spacing w:after="0" w:line="123"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Securities Exchange Act of 1934, as amended, and the rules and regulations promulgated thereunder.</w:t>
      </w:r>
    </w:p>
    <w:p>
      <w:pPr>
        <w:spacing w:after="0" w:line="184" w:lineRule="exact"/>
        <w:rPr>
          <w:sz w:val="20"/>
          <w:szCs w:val="20"/>
          <w:color w:val="auto"/>
        </w:rPr>
      </w:pPr>
    </w:p>
    <w:p>
      <w:pPr>
        <w:jc w:val="both"/>
        <w:ind w:firstLine="1036"/>
        <w:spacing w:after="0" w:line="269" w:lineRule="auto"/>
        <w:rPr>
          <w:sz w:val="20"/>
          <w:szCs w:val="20"/>
          <w:color w:val="auto"/>
        </w:rPr>
      </w:pPr>
      <w:r>
        <w:rPr>
          <w:rFonts w:ascii="Arial" w:cs="Arial" w:eastAsia="Arial" w:hAnsi="Arial"/>
          <w:sz w:val="14"/>
          <w:szCs w:val="14"/>
          <w:color w:val="auto"/>
        </w:rPr>
        <w:t>1.10 “</w:t>
      </w:r>
      <w:r>
        <w:rPr>
          <w:rFonts w:ascii="Arial" w:cs="Arial" w:eastAsia="Arial" w:hAnsi="Arial"/>
          <w:sz w:val="14"/>
          <w:szCs w:val="14"/>
          <w:b w:val="1"/>
          <w:bCs w:val="1"/>
          <w:color w:val="auto"/>
        </w:rPr>
        <w:t>Excluded Registration</w:t>
      </w:r>
      <w:r>
        <w:rPr>
          <w:rFonts w:ascii="Arial" w:cs="Arial" w:eastAsia="Arial" w:hAnsi="Arial"/>
          <w:sz w:val="14"/>
          <w:szCs w:val="14"/>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41"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Form S-1</w:t>
      </w:r>
      <w:r>
        <w:rPr>
          <w:rFonts w:ascii="Arial" w:cs="Arial" w:eastAsia="Arial" w:hAnsi="Arial"/>
          <w:sz w:val="13"/>
          <w:szCs w:val="13"/>
          <w:color w:val="auto"/>
        </w:rPr>
        <w:t>” means such form under the Securities Act as in effect on the date hereof or any successor registration form under the Securities Act subsequently adopted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by the SEC.</w:t>
      </w:r>
    </w:p>
    <w:p>
      <w:pPr>
        <w:spacing w:after="0" w:line="171"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color w:val="auto"/>
        </w:rPr>
        <w:t>Form S-3</w:t>
      </w:r>
      <w:r>
        <w:rPr>
          <w:rFonts w:ascii="Arial" w:cs="Arial" w:eastAsia="Arial" w:hAnsi="Arial"/>
          <w:sz w:val="14"/>
          <w:szCs w:val="14"/>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FCDI</w:t>
      </w:r>
      <w:r>
        <w:rPr>
          <w:rFonts w:ascii="Arial" w:cs="Arial" w:eastAsia="Arial" w:hAnsi="Arial"/>
          <w:sz w:val="13"/>
          <w:szCs w:val="13"/>
          <w:color w:val="auto"/>
        </w:rPr>
        <w:t>” means FUJIFILM Cellular Dynamics Inc.</w:t>
      </w:r>
    </w:p>
    <w:p>
      <w:pPr>
        <w:spacing w:after="0" w:line="171"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xml:space="preserve">” means generally accepted accounting principles in the </w:t>
      </w:r>
      <w:r>
        <w:rPr>
          <w:rFonts w:ascii="Arial" w:cs="Arial" w:eastAsia="Arial" w:hAnsi="Arial"/>
          <w:sz w:val="13"/>
          <w:szCs w:val="13"/>
          <w:color w:val="231F20"/>
        </w:rPr>
        <w:t>United States</w:t>
      </w:r>
      <w:r>
        <w:rPr>
          <w:rFonts w:ascii="Arial" w:cs="Arial" w:eastAsia="Arial" w:hAnsi="Arial"/>
          <w:sz w:val="13"/>
          <w:szCs w:val="13"/>
          <w:color w:val="auto"/>
        </w:rPr>
        <w:t>.</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Holder</w:t>
      </w:r>
      <w:r>
        <w:rPr>
          <w:rFonts w:ascii="Arial" w:cs="Arial" w:eastAsia="Arial" w:hAnsi="Arial"/>
          <w:sz w:val="13"/>
          <w:szCs w:val="13"/>
          <w:color w:val="auto"/>
        </w:rPr>
        <w:t xml:space="preserve">” means any holder of Registrable Securities who is a party </w:t>
      </w:r>
      <w:r>
        <w:rPr>
          <w:rFonts w:ascii="Arial" w:cs="Arial" w:eastAsia="Arial" w:hAnsi="Arial"/>
          <w:sz w:val="13"/>
          <w:szCs w:val="13"/>
          <w:color w:val="231F20"/>
        </w:rPr>
        <w:t>to this Agreement</w:t>
      </w:r>
      <w:r>
        <w:rPr>
          <w:rFonts w:ascii="Arial" w:cs="Arial" w:eastAsia="Arial" w:hAnsi="Arial"/>
          <w:sz w:val="13"/>
          <w:szCs w:val="13"/>
          <w:color w:val="auto"/>
        </w:rPr>
        <w:t>.</w:t>
      </w:r>
    </w:p>
    <w:p>
      <w:pPr>
        <w:spacing w:after="0" w:line="184" w:lineRule="exact"/>
        <w:rPr>
          <w:sz w:val="20"/>
          <w:szCs w:val="20"/>
          <w:color w:val="auto"/>
        </w:rPr>
      </w:pPr>
    </w:p>
    <w:p>
      <w:pPr>
        <w:jc w:val="both"/>
        <w:ind w:firstLine="1036"/>
        <w:spacing w:after="0" w:line="336" w:lineRule="auto"/>
        <w:rPr>
          <w:sz w:val="20"/>
          <w:szCs w:val="20"/>
          <w:color w:val="auto"/>
        </w:rPr>
      </w:pPr>
      <w:r>
        <w:rPr>
          <w:rFonts w:ascii="Arial" w:cs="Arial" w:eastAsia="Arial" w:hAnsi="Arial"/>
          <w:sz w:val="13"/>
          <w:szCs w:val="13"/>
          <w:color w:val="auto"/>
        </w:rPr>
        <w:t>1.16 “</w:t>
      </w:r>
      <w:r>
        <w:rPr>
          <w:rFonts w:ascii="Arial" w:cs="Arial" w:eastAsia="Arial" w:hAnsi="Arial"/>
          <w:sz w:val="13"/>
          <w:szCs w:val="13"/>
          <w:b w:val="1"/>
          <w:bCs w:val="1"/>
          <w:color w:val="auto"/>
        </w:rPr>
        <w:t>Immediate Family Member</w:t>
      </w:r>
      <w:r>
        <w:rPr>
          <w:rFonts w:ascii="Arial" w:cs="Arial" w:eastAsia="Arial" w:hAnsi="Arial"/>
          <w:sz w:val="13"/>
          <w:szCs w:val="13"/>
          <w:color w:val="auto"/>
        </w:rPr>
        <w:t>” means a child, stepchild, grandchild, parent, stepparent, grandparent, spouse, life partner or similar statutorily recognized domestic partner, sibling, mother-in-law, father-in-law, son-in-law, daughter-in-law, brother-in-law, or sister-in-law, including, adoptive relationships, of a natural person referred to herein.</w:t>
      </w:r>
    </w:p>
    <w:p>
      <w:pPr>
        <w:spacing w:after="0" w:line="99"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Initiating Holders</w:t>
      </w:r>
      <w:r>
        <w:rPr>
          <w:rFonts w:ascii="Arial" w:cs="Arial" w:eastAsia="Arial" w:hAnsi="Arial"/>
          <w:sz w:val="13"/>
          <w:szCs w:val="13"/>
          <w:color w:val="auto"/>
        </w:rPr>
        <w:t xml:space="preserve">” means, collectively, Holders who properly </w:t>
      </w:r>
      <w:r>
        <w:rPr>
          <w:rFonts w:ascii="Arial" w:cs="Arial" w:eastAsia="Arial" w:hAnsi="Arial"/>
          <w:sz w:val="13"/>
          <w:szCs w:val="13"/>
          <w:color w:val="231F20"/>
        </w:rPr>
        <w:t>initiate a registration request under this Agreement</w:t>
      </w:r>
      <w:r>
        <w:rPr>
          <w:rFonts w:ascii="Arial" w:cs="Arial" w:eastAsia="Arial" w:hAnsi="Arial"/>
          <w:sz w:val="13"/>
          <w:szCs w:val="13"/>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26" w:name="page327"/>
    <w:bookmarkEnd w:id="326"/>
    <w:p>
      <w:pPr>
        <w:ind w:left="1040"/>
        <w:spacing w:after="0"/>
        <w:tabs>
          <w:tab w:leader="none" w:pos="156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IPO</w:t>
      </w:r>
      <w:r>
        <w:rPr>
          <w:rFonts w:ascii="Arial" w:cs="Arial" w:eastAsia="Arial" w:hAnsi="Arial"/>
          <w:sz w:val="13"/>
          <w:szCs w:val="13"/>
          <w:color w:val="auto"/>
        </w:rPr>
        <w:t xml:space="preserve">” means the Company’s first underwritten public offering of its </w:t>
      </w:r>
      <w:r>
        <w:rPr>
          <w:rFonts w:ascii="Arial" w:cs="Arial" w:eastAsia="Arial" w:hAnsi="Arial"/>
          <w:sz w:val="13"/>
          <w:szCs w:val="13"/>
          <w:color w:val="231F20"/>
        </w:rPr>
        <w:t>Common Stock under the Securities Act</w:t>
      </w:r>
      <w:r>
        <w:rPr>
          <w:rFonts w:ascii="Arial" w:cs="Arial" w:eastAsia="Arial" w:hAnsi="Arial"/>
          <w:sz w:val="13"/>
          <w:szCs w:val="13"/>
          <w:color w:val="auto"/>
        </w:rPr>
        <w:t>.</w:t>
      </w:r>
    </w:p>
    <w:p>
      <w:pPr>
        <w:spacing w:after="0" w:line="184"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1.19 “</w:t>
      </w:r>
      <w:r>
        <w:rPr>
          <w:rFonts w:ascii="Arial" w:cs="Arial" w:eastAsia="Arial" w:hAnsi="Arial"/>
          <w:sz w:val="14"/>
          <w:szCs w:val="14"/>
          <w:b w:val="1"/>
          <w:bCs w:val="1"/>
          <w:color w:val="auto"/>
        </w:rPr>
        <w:t>Key Employee</w:t>
      </w:r>
      <w:r>
        <w:rPr>
          <w:rFonts w:ascii="Arial" w:cs="Arial" w:eastAsia="Arial" w:hAnsi="Arial"/>
          <w:sz w:val="14"/>
          <w:szCs w:val="14"/>
          <w:color w:val="auto"/>
        </w:rPr>
        <w:t>” means any executive-level employee (including, without limitation, any Chief Executive Officer, Chief Technology Officer, Chief Scientific Officer, Chief of Research and Development and any division director and vice president level positions) as well as any employee or consultant who either alone or in concert with others, develops, invents, programs or designs any Company Intellectual Property (as defined in the Purchase Agreement).</w:t>
      </w:r>
    </w:p>
    <w:p>
      <w:pPr>
        <w:spacing w:after="0" w:line="135"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4"/>
          <w:szCs w:val="14"/>
          <w:color w:val="auto"/>
        </w:rPr>
        <w:t>1.20 “</w:t>
      </w:r>
      <w:r>
        <w:rPr>
          <w:rFonts w:ascii="Arial" w:cs="Arial" w:eastAsia="Arial" w:hAnsi="Arial"/>
          <w:sz w:val="14"/>
          <w:szCs w:val="14"/>
          <w:b w:val="1"/>
          <w:bCs w:val="1"/>
          <w:color w:val="auto"/>
        </w:rPr>
        <w:t>Major Investor</w:t>
      </w:r>
      <w:r>
        <w:rPr>
          <w:rFonts w:ascii="Arial" w:cs="Arial" w:eastAsia="Arial" w:hAnsi="Arial"/>
          <w:sz w:val="14"/>
          <w:szCs w:val="14"/>
          <w:color w:val="auto"/>
        </w:rPr>
        <w:t>” means any Investor that, individually or together with such Investor’s Affiliates, holds at least 750,000 shares of Common Stock issuable or issued upon conversion of th</w:t>
      </w:r>
      <w:r>
        <w:rPr>
          <w:rFonts w:ascii="Arial" w:cs="Arial" w:eastAsia="Arial" w:hAnsi="Arial"/>
          <w:sz w:val="14"/>
          <w:szCs w:val="14"/>
          <w:b w:val="1"/>
          <w:bCs w:val="1"/>
          <w:color w:val="auto"/>
        </w:rPr>
        <w:t>e</w:t>
      </w:r>
      <w:r>
        <w:rPr>
          <w:rFonts w:ascii="Arial" w:cs="Arial" w:eastAsia="Arial" w:hAnsi="Arial"/>
          <w:sz w:val="14"/>
          <w:szCs w:val="14"/>
          <w:color w:val="auto"/>
        </w:rPr>
        <w:t xml:space="preserve"> Preferred Stock (as adjusted for any stock split, stock dividend, combination, or other recapitalization or reclassification effected after the date hereof).</w:t>
      </w:r>
    </w:p>
    <w:p>
      <w:pPr>
        <w:spacing w:after="0" w:line="123"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b w:val="1"/>
          <w:bCs w:val="1"/>
          <w:color w:val="auto"/>
        </w:rPr>
        <w:t>New Securities</w:t>
      </w:r>
      <w:r>
        <w:rPr>
          <w:rFonts w:ascii="Arial" w:cs="Arial" w:eastAsia="Arial" w:hAnsi="Arial"/>
          <w:sz w:val="14"/>
          <w:szCs w:val="14"/>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23"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Person</w:t>
      </w:r>
      <w:r>
        <w:rPr>
          <w:rFonts w:ascii="Arial" w:cs="Arial" w:eastAsia="Arial" w:hAnsi="Arial"/>
          <w:sz w:val="13"/>
          <w:szCs w:val="13"/>
          <w:color w:val="auto"/>
        </w:rPr>
        <w:t xml:space="preserve">” means any individual, corporation, partnership, trust, </w:t>
      </w:r>
      <w:r>
        <w:rPr>
          <w:rFonts w:ascii="Arial" w:cs="Arial" w:eastAsia="Arial" w:hAnsi="Arial"/>
          <w:sz w:val="13"/>
          <w:szCs w:val="13"/>
          <w:color w:val="231F20"/>
        </w:rPr>
        <w:t>limited liability company, association or other entity</w:t>
      </w:r>
      <w:r>
        <w:rPr>
          <w:rFonts w:ascii="Arial" w:cs="Arial" w:eastAsia="Arial" w:hAnsi="Arial"/>
          <w:sz w:val="13"/>
          <w:szCs w:val="13"/>
          <w:color w:val="auto"/>
        </w:rPr>
        <w:t>.</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Preferred Directors</w:t>
      </w:r>
      <w:r>
        <w:rPr>
          <w:rFonts w:ascii="Arial" w:cs="Arial" w:eastAsia="Arial" w:hAnsi="Arial"/>
          <w:sz w:val="13"/>
          <w:szCs w:val="13"/>
          <w:color w:val="auto"/>
        </w:rPr>
        <w:t>” means, collectively, the Series A Directors, the Series B Director and the Series C Director.</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Preferred Stock</w:t>
      </w:r>
      <w:r>
        <w:rPr>
          <w:rFonts w:ascii="Arial" w:cs="Arial" w:eastAsia="Arial" w:hAnsi="Arial"/>
          <w:sz w:val="12"/>
          <w:szCs w:val="12"/>
          <w:color w:val="auto"/>
        </w:rPr>
        <w:t>” means, collectively, the Series A Preferred Stock, the Series B Preferred Stock and the Series C Preferred Stock.</w:t>
      </w:r>
    </w:p>
    <w:p>
      <w:pPr>
        <w:spacing w:after="0" w:line="184" w:lineRule="exact"/>
        <w:rPr>
          <w:sz w:val="20"/>
          <w:szCs w:val="20"/>
          <w:color w:val="auto"/>
        </w:rPr>
      </w:pPr>
    </w:p>
    <w:p>
      <w:pPr>
        <w:jc w:val="both"/>
        <w:ind w:firstLine="1036"/>
        <w:spacing w:after="0" w:line="264" w:lineRule="auto"/>
        <w:rPr>
          <w:sz w:val="20"/>
          <w:szCs w:val="20"/>
          <w:color w:val="auto"/>
        </w:rPr>
      </w:pPr>
      <w:r>
        <w:rPr>
          <w:rFonts w:ascii="Arial" w:cs="Arial" w:eastAsia="Arial" w:hAnsi="Arial"/>
          <w:sz w:val="14"/>
          <w:szCs w:val="14"/>
          <w:color w:val="auto"/>
        </w:rPr>
        <w:t>1.25 “</w:t>
      </w:r>
      <w:r>
        <w:rPr>
          <w:rFonts w:ascii="Arial" w:cs="Arial" w:eastAsia="Arial" w:hAnsi="Arial"/>
          <w:sz w:val="14"/>
          <w:szCs w:val="14"/>
          <w:b w:val="1"/>
          <w:bCs w:val="1"/>
          <w:color w:val="auto"/>
        </w:rPr>
        <w:t>Registrable Securities</w:t>
      </w:r>
      <w:r>
        <w:rPr>
          <w:rFonts w:ascii="Arial" w:cs="Arial" w:eastAsia="Arial" w:hAnsi="Arial"/>
          <w:sz w:val="14"/>
          <w:szCs w:val="14"/>
          <w:color w:val="auto"/>
        </w:rPr>
        <w:t>” means (i) the Common Stock issuable or issued upon conversion of the Preferred Stock; (ii) any Common Stock, or any Common Stock issued or issuable (directly or indirectly) upon conversion and/or exercise of any other securities of the Company</w:t>
      </w:r>
      <w:r>
        <w:rPr>
          <w:rFonts w:ascii="Arial" w:cs="Arial" w:eastAsia="Arial" w:hAnsi="Arial"/>
          <w:sz w:val="14"/>
          <w:szCs w:val="14"/>
          <w:b w:val="1"/>
          <w:bCs w:val="1"/>
          <w:color w:val="auto"/>
        </w:rPr>
        <w:t>,</w:t>
      </w:r>
      <w:r>
        <w:rPr>
          <w:rFonts w:ascii="Arial" w:cs="Arial" w:eastAsia="Arial" w:hAnsi="Arial"/>
          <w:sz w:val="14"/>
          <w:szCs w:val="14"/>
          <w:color w:val="auto"/>
        </w:rPr>
        <w:t xml:space="preserve"> acquired by the Investors after the date hereof; (iii) any Common Stock held by the Investors as of the date hereof; and (iv) any Common Stock issued as (or issuable upon the conversion or exercise of any warrant, right, or other security that is issued as) a dividend or other distribution with respect to, or in exchange for or in replacement of, the shares referenced in clauses (i), (ii) and (iii) above; excluding in all cases, however, any Registrable Securities sold by a Person in a transaction in which the applicable rights under this Agreement are not assigned pursuant to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and excluding for purposes of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any shares for which registration rights have terminated pursuant to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of this Agreement.</w:t>
      </w:r>
    </w:p>
    <w:p>
      <w:pPr>
        <w:spacing w:after="0" w:line="146" w:lineRule="exact"/>
        <w:rPr>
          <w:sz w:val="20"/>
          <w:szCs w:val="20"/>
          <w:color w:val="auto"/>
        </w:rPr>
      </w:pPr>
    </w:p>
    <w:p>
      <w:pPr>
        <w:jc w:val="both"/>
        <w:ind w:firstLine="1036"/>
        <w:spacing w:after="0" w:line="336" w:lineRule="auto"/>
        <w:rPr>
          <w:sz w:val="20"/>
          <w:szCs w:val="20"/>
          <w:color w:val="auto"/>
        </w:rPr>
      </w:pPr>
      <w:r>
        <w:rPr>
          <w:rFonts w:ascii="Arial" w:cs="Arial" w:eastAsia="Arial" w:hAnsi="Arial"/>
          <w:sz w:val="13"/>
          <w:szCs w:val="13"/>
          <w:color w:val="auto"/>
        </w:rPr>
        <w:t>1.26 “</w:t>
      </w:r>
      <w:r>
        <w:rPr>
          <w:rFonts w:ascii="Arial" w:cs="Arial" w:eastAsia="Arial" w:hAnsi="Arial"/>
          <w:sz w:val="13"/>
          <w:szCs w:val="13"/>
          <w:b w:val="1"/>
          <w:bCs w:val="1"/>
          <w:color w:val="auto"/>
        </w:rPr>
        <w:t>Registrable Securities then outstanding</w:t>
      </w:r>
      <w:r>
        <w:rPr>
          <w:rFonts w:ascii="Arial" w:cs="Arial" w:eastAsia="Arial" w:hAnsi="Arial"/>
          <w:sz w:val="13"/>
          <w:szCs w:val="13"/>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99"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Restricted Securities</w:t>
      </w:r>
      <w:r>
        <w:rPr>
          <w:rFonts w:ascii="Arial" w:cs="Arial" w:eastAsia="Arial" w:hAnsi="Arial"/>
          <w:sz w:val="12"/>
          <w:szCs w:val="12"/>
          <w:color w:val="auto"/>
        </w:rPr>
        <w:t xml:space="preserve">” means the securities of the Company required to bear the legend set forth in </w:t>
      </w:r>
      <w:r>
        <w:rPr>
          <w:rFonts w:ascii="Arial" w:cs="Arial" w:eastAsia="Arial" w:hAnsi="Arial"/>
          <w:sz w:val="12"/>
          <w:szCs w:val="12"/>
          <w:u w:val="single" w:color="auto"/>
          <w:color w:val="auto"/>
        </w:rPr>
        <w:t>Section 2.12(b)</w:t>
      </w:r>
      <w:r>
        <w:rPr>
          <w:rFonts w:ascii="Arial" w:cs="Arial" w:eastAsia="Arial" w:hAnsi="Arial"/>
          <w:sz w:val="12"/>
          <w:szCs w:val="12"/>
          <w:color w:val="auto"/>
        </w:rPr>
        <w:t xml:space="preserve"> hereof.</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7" w:name="page328"/>
    <w:bookmarkEnd w:id="327"/>
    <w:p>
      <w:pPr>
        <w:ind w:left="1040"/>
        <w:spacing w:after="0"/>
        <w:tabs>
          <w:tab w:leader="none" w:pos="156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w:t>
      </w:r>
      <w:r>
        <w:rPr>
          <w:rFonts w:ascii="Arial" w:cs="Arial" w:eastAsia="Arial" w:hAnsi="Arial"/>
          <w:sz w:val="13"/>
          <w:szCs w:val="13"/>
          <w:color w:val="auto"/>
        </w:rPr>
        <w:t>” means the Securities and Exchange Commission.</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Rule 144</w:t>
      </w:r>
      <w:r>
        <w:rPr>
          <w:rFonts w:ascii="Arial" w:cs="Arial" w:eastAsia="Arial" w:hAnsi="Arial"/>
          <w:sz w:val="13"/>
          <w:szCs w:val="13"/>
          <w:color w:val="auto"/>
        </w:rPr>
        <w:t xml:space="preserve">” means Rule 144 promulgated by the SEC under the </w:t>
      </w:r>
      <w:r>
        <w:rPr>
          <w:rFonts w:ascii="Arial" w:cs="Arial" w:eastAsia="Arial" w:hAnsi="Arial"/>
          <w:sz w:val="13"/>
          <w:szCs w:val="13"/>
          <w:color w:val="231F20"/>
        </w:rPr>
        <w:t>Securities Act</w:t>
      </w:r>
      <w:r>
        <w:rPr>
          <w:rFonts w:ascii="Arial" w:cs="Arial" w:eastAsia="Arial" w:hAnsi="Arial"/>
          <w:sz w:val="13"/>
          <w:szCs w:val="13"/>
          <w:color w:val="auto"/>
        </w:rPr>
        <w:t>.</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Rule 145</w:t>
      </w:r>
      <w:r>
        <w:rPr>
          <w:rFonts w:ascii="Arial" w:cs="Arial" w:eastAsia="Arial" w:hAnsi="Arial"/>
          <w:sz w:val="13"/>
          <w:szCs w:val="13"/>
          <w:color w:val="auto"/>
        </w:rPr>
        <w:t>” means Rule 145 promulgated by the SEC under the Securities Act.</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Securities Act</w:t>
      </w:r>
      <w:r>
        <w:rPr>
          <w:rFonts w:ascii="Arial" w:cs="Arial" w:eastAsia="Arial" w:hAnsi="Arial"/>
          <w:sz w:val="12"/>
          <w:szCs w:val="12"/>
          <w:color w:val="auto"/>
        </w:rPr>
        <w:t>” means the Securities Act of 1933, as amended, and the rules and regulations promulgated thereunder.</w:t>
      </w:r>
    </w:p>
    <w:p>
      <w:pPr>
        <w:spacing w:after="0" w:line="184"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b w:val="1"/>
          <w:bCs w:val="1"/>
          <w:color w:val="auto"/>
        </w:rPr>
        <w:t>Selling Expenses</w:t>
      </w:r>
      <w:r>
        <w:rPr>
          <w:rFonts w:ascii="Arial" w:cs="Arial" w:eastAsia="Arial" w:hAnsi="Arial"/>
          <w:sz w:val="14"/>
          <w:szCs w:val="14"/>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and Major Investor Counsel borne and paid by the Company as provided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2.6</w:t>
      </w:r>
      <w:r>
        <w:rPr>
          <w:rFonts w:ascii="Arial" w:cs="Arial" w:eastAsia="Arial" w:hAnsi="Arial"/>
          <w:sz w:val="14"/>
          <w:szCs w:val="14"/>
          <w:color w:val="auto"/>
        </w:rPr>
        <w:t>.</w:t>
      </w:r>
    </w:p>
    <w:p>
      <w:pPr>
        <w:spacing w:after="0" w:line="135"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Series A Directors</w:t>
      </w:r>
      <w:r>
        <w:rPr>
          <w:rFonts w:ascii="Arial" w:cs="Arial" w:eastAsia="Arial" w:hAnsi="Arial"/>
          <w:sz w:val="13"/>
          <w:szCs w:val="13"/>
          <w:color w:val="auto"/>
        </w:rPr>
        <w:t>” means any director of the Company that the holders of record of the Series A Preferred Stock are entitled to elect pursuant to the Certificate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Incorporation.</w:t>
      </w:r>
    </w:p>
    <w:p>
      <w:pPr>
        <w:spacing w:after="0" w:line="171"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Series A Preferred Stock</w:t>
      </w:r>
      <w:r>
        <w:rPr>
          <w:rFonts w:ascii="Arial" w:cs="Arial" w:eastAsia="Arial" w:hAnsi="Arial"/>
          <w:sz w:val="12"/>
          <w:szCs w:val="12"/>
          <w:color w:val="auto"/>
        </w:rPr>
        <w:t>” means shares of the Company’s Series A Preferred Stock, par value $0.0001 per share.</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Series B Director</w:t>
      </w:r>
      <w:r>
        <w:rPr>
          <w:rFonts w:ascii="Arial" w:cs="Arial" w:eastAsia="Arial" w:hAnsi="Arial"/>
          <w:sz w:val="13"/>
          <w:szCs w:val="13"/>
          <w:color w:val="auto"/>
        </w:rPr>
        <w:t>” means any director of the Company that the holders of record of the Series B Preferred Stock are entitled to elect pursuant to the Certificate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Incorporation.</w:t>
      </w:r>
    </w:p>
    <w:p>
      <w:pPr>
        <w:spacing w:after="0" w:line="171"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Series B Preferred Stock</w:t>
      </w:r>
      <w:r>
        <w:rPr>
          <w:rFonts w:ascii="Arial" w:cs="Arial" w:eastAsia="Arial" w:hAnsi="Arial"/>
          <w:sz w:val="12"/>
          <w:szCs w:val="12"/>
          <w:color w:val="auto"/>
        </w:rPr>
        <w:t>” means shares of the Company’s Series B Preferred Stock, par value $0.0001 per share.</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Series C Director</w:t>
      </w:r>
      <w:r>
        <w:rPr>
          <w:rFonts w:ascii="Arial" w:cs="Arial" w:eastAsia="Arial" w:hAnsi="Arial"/>
          <w:sz w:val="13"/>
          <w:szCs w:val="13"/>
          <w:color w:val="auto"/>
        </w:rPr>
        <w:t>” means any director of the Company that the holders of record of the Series C Preferred Stock are entitled to elect pursuant to the Certificate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Incorporation.</w:t>
      </w:r>
    </w:p>
    <w:p>
      <w:pPr>
        <w:spacing w:after="0" w:line="171"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Series C Preferred Stock</w:t>
      </w:r>
      <w:r>
        <w:rPr>
          <w:rFonts w:ascii="Arial" w:cs="Arial" w:eastAsia="Arial" w:hAnsi="Arial"/>
          <w:sz w:val="12"/>
          <w:szCs w:val="12"/>
          <w:color w:val="auto"/>
        </w:rPr>
        <w:t>” means shares of the Company’s Series C Preferred Stock, par value $0.0001 per share.</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1.39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Versant</w:t>
      </w:r>
      <w:r>
        <w:rPr>
          <w:rFonts w:ascii="Arial" w:cs="Arial" w:eastAsia="Arial" w:hAnsi="Arial"/>
          <w:sz w:val="13"/>
          <w:szCs w:val="13"/>
          <w:color w:val="auto"/>
        </w:rPr>
        <w:t>” means Versant Venture Capital VI, L.P and Versant Vantage II, L.P.</w:t>
      </w:r>
    </w:p>
    <w:p>
      <w:pPr>
        <w:spacing w:after="0" w:line="188" w:lineRule="exact"/>
        <w:rPr>
          <w:sz w:val="20"/>
          <w:szCs w:val="20"/>
          <w:color w:val="auto"/>
        </w:rPr>
      </w:pPr>
    </w:p>
    <w:p>
      <w:pPr>
        <w:ind w:left="1160" w:hanging="636"/>
        <w:spacing w:after="0"/>
        <w:tabs>
          <w:tab w:leader="none" w:pos="1160" w:val="left"/>
        </w:tabs>
        <w:numPr>
          <w:ilvl w:val="0"/>
          <w:numId w:val="201"/>
        </w:numPr>
        <w:rPr>
          <w:rFonts w:ascii="Arial" w:cs="Arial" w:eastAsia="Arial" w:hAnsi="Arial"/>
          <w:sz w:val="14"/>
          <w:szCs w:val="14"/>
          <w:color w:val="auto"/>
        </w:rPr>
      </w:pPr>
      <w:r>
        <w:rPr>
          <w:rFonts w:ascii="Arial" w:cs="Arial" w:eastAsia="Arial" w:hAnsi="Arial"/>
          <w:sz w:val="14"/>
          <w:szCs w:val="14"/>
          <w:u w:val="single" w:color="auto"/>
          <w:color w:val="auto"/>
        </w:rPr>
        <w:t>Registration Rights</w:t>
      </w:r>
      <w:r>
        <w:rPr>
          <w:rFonts w:ascii="Arial" w:cs="Arial" w:eastAsia="Arial" w:hAnsi="Arial"/>
          <w:sz w:val="14"/>
          <w:szCs w:val="14"/>
          <w:color w:val="auto"/>
        </w:rPr>
        <w:t>. The Company covenants and agrees as follows:</w:t>
      </w:r>
    </w:p>
    <w:p>
      <w:pPr>
        <w:spacing w:after="0" w:line="2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2.1</w:t>
      </w:r>
      <w:r>
        <w:rPr>
          <w:rFonts w:ascii="Arial" w:cs="Arial" w:eastAsia="Arial" w:hAnsi="Arial"/>
          <w:sz w:val="13"/>
          <w:szCs w:val="13"/>
          <w:u w:val="single" w:color="auto"/>
          <w:color w:val="auto"/>
        </w:rPr>
        <w:t>Demand Registration</w:t>
      </w:r>
      <w:r>
        <w:rPr>
          <w:rFonts w:ascii="Arial" w:cs="Arial" w:eastAsia="Arial" w:hAnsi="Arial"/>
          <w:sz w:val="13"/>
          <w:szCs w:val="13"/>
          <w:color w:val="auto"/>
        </w:rPr>
        <w:t>.</w:t>
      </w:r>
    </w:p>
    <w:p>
      <w:pPr>
        <w:spacing w:after="0" w:line="11" w:lineRule="exact"/>
        <w:rPr>
          <w:rFonts w:ascii="Arial" w:cs="Arial" w:eastAsia="Arial" w:hAnsi="Arial"/>
          <w:sz w:val="14"/>
          <w:szCs w:val="14"/>
          <w:color w:val="auto"/>
        </w:rPr>
      </w:pPr>
    </w:p>
    <w:p>
      <w:pPr>
        <w:jc w:val="both"/>
        <w:ind w:firstLine="1560"/>
        <w:spacing w:after="0" w:line="266" w:lineRule="auto"/>
        <w:tabs>
          <w:tab w:leader="none" w:pos="2180" w:val="left"/>
        </w:tabs>
        <w:numPr>
          <w:ilvl w:val="1"/>
          <w:numId w:val="201"/>
        </w:numPr>
        <w:rPr>
          <w:rFonts w:ascii="Arial" w:cs="Arial" w:eastAsia="Arial" w:hAnsi="Arial"/>
          <w:sz w:val="14"/>
          <w:szCs w:val="14"/>
          <w:color w:val="auto"/>
        </w:rPr>
      </w:pPr>
      <w:r>
        <w:rPr>
          <w:rFonts w:ascii="Arial" w:cs="Arial" w:eastAsia="Arial" w:hAnsi="Arial"/>
          <w:sz w:val="14"/>
          <w:szCs w:val="14"/>
          <w:u w:val="single" w:color="auto"/>
          <w:color w:val="auto"/>
        </w:rPr>
        <w:t>Form S-1 Demand</w:t>
      </w:r>
      <w:r>
        <w:rPr>
          <w:rFonts w:ascii="Arial" w:cs="Arial" w:eastAsia="Arial" w:hAnsi="Arial"/>
          <w:sz w:val="14"/>
          <w:szCs w:val="14"/>
          <w:color w:val="auto"/>
        </w:rPr>
        <w:t>. If at any time after the earlier of (i) five (5) years after the date of this Agreement or (ii) one hundred eighty (180) days after the effective date of the registration statement for the IPO, the Company receives a request from Holders of a majority of the Common Stock issued or issuable upon conversion of the Preferred Stock then outstanding that the Company file a Form S-1 registration statement with respect to at least forty percent (40%) of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28" w:name="page329"/>
    <w:bookmarkEnd w:id="328"/>
    <w:p>
      <w:pPr>
        <w:jc w:val="both"/>
        <w:spacing w:after="0" w:line="266" w:lineRule="auto"/>
        <w:rPr>
          <w:sz w:val="20"/>
          <w:szCs w:val="20"/>
          <w:color w:val="auto"/>
        </w:rPr>
      </w:pPr>
      <w:r>
        <w:rPr>
          <w:rFonts w:ascii="Arial" w:cs="Arial" w:eastAsia="Arial" w:hAnsi="Arial"/>
          <w:sz w:val="14"/>
          <w:szCs w:val="14"/>
          <w:color w:val="auto"/>
        </w:rPr>
        <w:t>the Registrable Securities then outstanding, then the Company shall (x) within ten (10) days after the date such request is given, give notice thereof (the “</w:t>
      </w:r>
      <w:r>
        <w:rPr>
          <w:rFonts w:ascii="Arial" w:cs="Arial" w:eastAsia="Arial" w:hAnsi="Arial"/>
          <w:sz w:val="14"/>
          <w:szCs w:val="14"/>
          <w:b w:val="1"/>
          <w:bCs w:val="1"/>
          <w:color w:val="auto"/>
        </w:rPr>
        <w:t>Demand Notice</w:t>
      </w:r>
      <w:r>
        <w:rPr>
          <w:rFonts w:ascii="Arial" w:cs="Arial" w:eastAsia="Arial" w:hAnsi="Arial"/>
          <w:sz w:val="14"/>
          <w:szCs w:val="14"/>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4"/>
          <w:szCs w:val="14"/>
          <w:u w:val="single" w:color="auto"/>
          <w:color w:val="auto"/>
        </w:rPr>
        <w:t>Sections 2.1(c)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2.3</w:t>
      </w:r>
      <w:r>
        <w:rPr>
          <w:rFonts w:ascii="Arial" w:cs="Arial" w:eastAsia="Arial" w:hAnsi="Arial"/>
          <w:sz w:val="14"/>
          <w:szCs w:val="14"/>
          <w:color w:val="auto"/>
        </w:rPr>
        <w:t>.</w:t>
      </w:r>
    </w:p>
    <w:p>
      <w:pPr>
        <w:spacing w:after="0" w:line="148" w:lineRule="exact"/>
        <w:rPr>
          <w:sz w:val="20"/>
          <w:szCs w:val="20"/>
          <w:color w:val="auto"/>
        </w:rPr>
      </w:pPr>
    </w:p>
    <w:p>
      <w:pPr>
        <w:jc w:val="both"/>
        <w:ind w:firstLine="1560"/>
        <w:spacing w:after="0" w:line="287" w:lineRule="auto"/>
        <w:tabs>
          <w:tab w:leader="none" w:pos="2160" w:val="left"/>
        </w:tabs>
        <w:numPr>
          <w:ilvl w:val="1"/>
          <w:numId w:val="202"/>
        </w:numPr>
        <w:rPr>
          <w:rFonts w:ascii="Arial" w:cs="Arial" w:eastAsia="Arial" w:hAnsi="Arial"/>
          <w:sz w:val="13"/>
          <w:szCs w:val="13"/>
          <w:color w:val="auto"/>
        </w:rPr>
      </w:pPr>
      <w:r>
        <w:rPr>
          <w:rFonts w:ascii="Arial" w:cs="Arial" w:eastAsia="Arial" w:hAnsi="Arial"/>
          <w:sz w:val="13"/>
          <w:szCs w:val="13"/>
          <w:u w:val="single" w:color="auto"/>
          <w:color w:val="auto"/>
        </w:rPr>
        <w:t>Form S-3 Demand</w:t>
      </w:r>
      <w:r>
        <w:rPr>
          <w:rFonts w:ascii="Arial" w:cs="Arial" w:eastAsia="Arial" w:hAnsi="Arial"/>
          <w:sz w:val="13"/>
          <w:szCs w:val="13"/>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3"/>
          <w:szCs w:val="13"/>
          <w:u w:val="single" w:color="auto"/>
          <w:color w:val="auto"/>
        </w:rPr>
        <w:t>Sections 2.1(c)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2.3</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jc w:val="both"/>
        <w:ind w:firstLine="1560"/>
        <w:spacing w:after="0" w:line="284" w:lineRule="auto"/>
        <w:tabs>
          <w:tab w:leader="none" w:pos="218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 xml:space="preserve">Notwithstanding the foregoing obligations, if the Company furnishes to Holders requesting a registration pursuant to this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Company may not invoke this right more than once in any twelve (12) month period;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the Company shall not register any securities for its own account or that of any other stockholder during such ninety day period other than an Excluded Registration.</w:t>
      </w:r>
    </w:p>
    <w:p>
      <w:pPr>
        <w:spacing w:after="0" w:line="138" w:lineRule="exact"/>
        <w:rPr>
          <w:rFonts w:ascii="Arial" w:cs="Arial" w:eastAsia="Arial" w:hAnsi="Arial"/>
          <w:sz w:val="13"/>
          <w:szCs w:val="13"/>
          <w:color w:val="auto"/>
        </w:rPr>
      </w:pPr>
    </w:p>
    <w:p>
      <w:pPr>
        <w:jc w:val="both"/>
        <w:ind w:firstLine="1560"/>
        <w:spacing w:after="0" w:line="282" w:lineRule="auto"/>
        <w:tabs>
          <w:tab w:leader="none" w:pos="2160" w:val="left"/>
        </w:tabs>
        <w:numPr>
          <w:ilvl w:val="1"/>
          <w:numId w:val="202"/>
        </w:numPr>
        <w:rPr>
          <w:rFonts w:ascii="Arial" w:cs="Arial" w:eastAsia="Arial" w:hAnsi="Arial"/>
          <w:sz w:val="13"/>
          <w:szCs w:val="13"/>
          <w:color w:val="auto"/>
        </w:rPr>
      </w:pPr>
      <w:r>
        <w:rPr>
          <w:rFonts w:ascii="Arial" w:cs="Arial" w:eastAsia="Arial" w:hAnsi="Arial"/>
          <w:sz w:val="13"/>
          <w:szCs w:val="13"/>
          <w:color w:val="auto"/>
        </w:rPr>
        <w:t xml:space="preserve">The Company shall not be obligated to effect, or to take any action to effect, any registration pursuant to </w:t>
      </w:r>
      <w:r>
        <w:rPr>
          <w:rFonts w:ascii="Arial" w:cs="Arial" w:eastAsia="Arial" w:hAnsi="Arial"/>
          <w:sz w:val="13"/>
          <w:szCs w:val="13"/>
          <w:u w:val="single" w:color="auto"/>
          <w:color w:val="auto"/>
        </w:rPr>
        <w:t>Section 2.1(a)</w:t>
      </w:r>
      <w:r>
        <w:rPr>
          <w:rFonts w:ascii="Arial" w:cs="Arial" w:eastAsia="Arial" w:hAnsi="Arial"/>
          <w:sz w:val="13"/>
          <w:szCs w:val="13"/>
          <w:color w:val="auto"/>
        </w:rPr>
        <w:t xml:space="preserve">, </w:t>
      </w:r>
      <w:r>
        <w:rPr>
          <w:rFonts w:ascii="Arial" w:cs="Arial" w:eastAsia="Arial" w:hAnsi="Arial"/>
          <w:sz w:val="13"/>
          <w:szCs w:val="13"/>
          <w:u w:val="single" w:color="auto"/>
          <w:color w:val="auto"/>
        </w:rPr>
        <w:t>(i)</w:t>
      </w:r>
      <w:r>
        <w:rPr>
          <w:rFonts w:ascii="Arial" w:cs="Arial" w:eastAsia="Arial" w:hAnsi="Arial"/>
          <w:sz w:val="13"/>
          <w:szCs w:val="13"/>
          <w:color w:val="auto"/>
        </w:rPr>
        <w:t xml:space="preserve">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3"/>
          <w:szCs w:val="13"/>
          <w:u w:val="single" w:color="auto"/>
          <w:color w:val="auto"/>
        </w:rPr>
        <w:t>provided</w:t>
      </w:r>
      <w:r>
        <w:rPr>
          <w:rFonts w:ascii="Arial" w:cs="Arial" w:eastAsia="Arial" w:hAnsi="Arial"/>
          <w:sz w:val="13"/>
          <w:szCs w:val="13"/>
          <w:color w:val="auto"/>
        </w:rPr>
        <w:t>, that the Company is actively employing in good faith commercially reasonable efforts to cause such registration statement to become effective; (ii) after the Company has effected two</w:t>
      </w:r>
    </w:p>
    <w:p>
      <w:pPr>
        <w:ind w:left="220" w:hanging="214"/>
        <w:spacing w:after="0"/>
        <w:tabs>
          <w:tab w:leader="none" w:pos="22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 xml:space="preserve">registrations pursuant to </w:t>
      </w:r>
      <w:r>
        <w:rPr>
          <w:rFonts w:ascii="Arial" w:cs="Arial" w:eastAsia="Arial" w:hAnsi="Arial"/>
          <w:sz w:val="14"/>
          <w:szCs w:val="14"/>
          <w:u w:val="single" w:color="auto"/>
          <w:color w:val="auto"/>
        </w:rPr>
        <w:t>Section 2.1(a)</w:t>
      </w:r>
      <w:r>
        <w:rPr>
          <w:rFonts w:ascii="Arial" w:cs="Arial" w:eastAsia="Arial" w:hAnsi="Arial"/>
          <w:sz w:val="14"/>
          <w:szCs w:val="14"/>
          <w:color w:val="auto"/>
        </w:rPr>
        <w:t>; or (iii) if the Initiating Holders propose to dispose of shares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0" w:right="319" w:bottom="1440" w:gutter="0" w:footer="0" w:header="0"/>
        </w:sectPr>
      </w:pPr>
    </w:p>
    <w:bookmarkStart w:id="329" w:name="page330"/>
    <w:bookmarkEnd w:id="329"/>
    <w:p>
      <w:pPr>
        <w:spacing w:after="0" w:line="284" w:lineRule="auto"/>
        <w:rPr>
          <w:sz w:val="20"/>
          <w:szCs w:val="20"/>
          <w:color w:val="auto"/>
        </w:rPr>
      </w:pPr>
      <w:r>
        <w:rPr>
          <w:rFonts w:ascii="Arial" w:cs="Arial" w:eastAsia="Arial" w:hAnsi="Arial"/>
          <w:sz w:val="13"/>
          <w:szCs w:val="13"/>
          <w:color w:val="auto"/>
        </w:rPr>
        <w:t xml:space="preserve">of Registrable Securities that may be immediately registered on Form S-3 pursuant to a request made pursuant to </w:t>
      </w:r>
      <w:r>
        <w:rPr>
          <w:rFonts w:ascii="Arial" w:cs="Arial" w:eastAsia="Arial" w:hAnsi="Arial"/>
          <w:sz w:val="13"/>
          <w:szCs w:val="13"/>
          <w:u w:val="single" w:color="auto"/>
          <w:color w:val="auto"/>
        </w:rPr>
        <w:t>Section 2.1(b)</w:t>
      </w:r>
      <w:r>
        <w:rPr>
          <w:rFonts w:ascii="Arial" w:cs="Arial" w:eastAsia="Arial" w:hAnsi="Arial"/>
          <w:sz w:val="13"/>
          <w:szCs w:val="13"/>
          <w:color w:val="auto"/>
        </w:rPr>
        <w:t xml:space="preserve">. The Company shall not be obligated to effect, or to take any action to effect, any registration pursuant to </w:t>
      </w:r>
      <w:r>
        <w:rPr>
          <w:rFonts w:ascii="Arial" w:cs="Arial" w:eastAsia="Arial" w:hAnsi="Arial"/>
          <w:sz w:val="13"/>
          <w:szCs w:val="13"/>
          <w:u w:val="single" w:color="auto"/>
          <w:color w:val="auto"/>
        </w:rPr>
        <w:t>Section 2.1(b)</w:t>
      </w:r>
      <w:r>
        <w:rPr>
          <w:rFonts w:ascii="Arial" w:cs="Arial" w:eastAsia="Arial" w:hAnsi="Arial"/>
          <w:sz w:val="13"/>
          <w:szCs w:val="13"/>
          <w:color w:val="auto"/>
        </w:rPr>
        <w:t xml:space="preserve"> (i) during the period that is thirty (30) days before the Company’s good faith estimate of the date of filing of, and ending on a date that is ninety</w:t>
      </w:r>
    </w:p>
    <w:p>
      <w:pPr>
        <w:spacing w:after="0" w:line="1" w:lineRule="exact"/>
        <w:rPr>
          <w:sz w:val="20"/>
          <w:szCs w:val="20"/>
          <w:color w:val="auto"/>
        </w:rPr>
      </w:pPr>
    </w:p>
    <w:p>
      <w:pPr>
        <w:jc w:val="both"/>
        <w:ind w:firstLine="6"/>
        <w:spacing w:after="0" w:line="286" w:lineRule="auto"/>
        <w:tabs>
          <w:tab w:leader="none" w:pos="283" w:val="left"/>
        </w:tabs>
        <w:numPr>
          <w:ilvl w:val="0"/>
          <w:numId w:val="204"/>
        </w:numPr>
        <w:rPr>
          <w:rFonts w:ascii="Arial" w:cs="Arial" w:eastAsia="Arial" w:hAnsi="Arial"/>
          <w:sz w:val="13"/>
          <w:szCs w:val="13"/>
          <w:color w:val="auto"/>
        </w:rPr>
      </w:pPr>
      <w:r>
        <w:rPr>
          <w:rFonts w:ascii="Arial" w:cs="Arial" w:eastAsia="Arial" w:hAnsi="Arial"/>
          <w:sz w:val="13"/>
          <w:szCs w:val="13"/>
          <w:color w:val="auto"/>
        </w:rPr>
        <w:t xml:space="preserve">days after the effective date of, a Company-initiated registration,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is actively employing in good faith commercially reasonable efforts to cause such registration statement to become effective; or (ii) if the Company has effected two (2) registrations pursuant to </w:t>
      </w:r>
      <w:r>
        <w:rPr>
          <w:rFonts w:ascii="Arial" w:cs="Arial" w:eastAsia="Arial" w:hAnsi="Arial"/>
          <w:sz w:val="13"/>
          <w:szCs w:val="13"/>
          <w:u w:val="single" w:color="auto"/>
          <w:color w:val="auto"/>
        </w:rPr>
        <w:t>Section 2.1(b)</w:t>
      </w:r>
      <w:r>
        <w:rPr>
          <w:rFonts w:ascii="Arial" w:cs="Arial" w:eastAsia="Arial" w:hAnsi="Arial"/>
          <w:sz w:val="13"/>
          <w:szCs w:val="13"/>
          <w:color w:val="auto"/>
        </w:rPr>
        <w:t xml:space="preserve"> within the twelve (12) month period immediately preceding the date of such request. A registration shall not be counted as “effected” for purposes of this </w:t>
      </w:r>
      <w:r>
        <w:rPr>
          <w:rFonts w:ascii="Arial" w:cs="Arial" w:eastAsia="Arial" w:hAnsi="Arial"/>
          <w:sz w:val="13"/>
          <w:szCs w:val="13"/>
          <w:u w:val="single" w:color="auto"/>
          <w:color w:val="auto"/>
        </w:rPr>
        <w:t>Section 2.1(d)</w:t>
      </w:r>
      <w:r>
        <w:rPr>
          <w:rFonts w:ascii="Arial" w:cs="Arial" w:eastAsia="Arial" w:hAnsi="Arial"/>
          <w:sz w:val="13"/>
          <w:szCs w:val="13"/>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(1) demand registration statement pursuant to </w:t>
      </w: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in which case such withdrawn registration statement shall be counted as “effected” for purposes of this </w:t>
      </w:r>
      <w:r>
        <w:rPr>
          <w:rFonts w:ascii="Arial" w:cs="Arial" w:eastAsia="Arial" w:hAnsi="Arial"/>
          <w:sz w:val="13"/>
          <w:szCs w:val="13"/>
          <w:u w:val="single" w:color="auto"/>
          <w:color w:val="auto"/>
        </w:rPr>
        <w:t>Section 2.1(d)</w:t>
      </w:r>
      <w:r>
        <w:rPr>
          <w:rFonts w:ascii="Arial" w:cs="Arial" w:eastAsia="Arial" w:hAnsi="Arial"/>
          <w:sz w:val="13"/>
          <w:szCs w:val="13"/>
          <w:color w:val="auto"/>
        </w:rPr>
        <w:t>.</w:t>
      </w:r>
    </w:p>
    <w:p>
      <w:pPr>
        <w:spacing w:after="0" w:line="136" w:lineRule="exact"/>
        <w:rPr>
          <w:sz w:val="20"/>
          <w:szCs w:val="20"/>
          <w:color w:val="auto"/>
        </w:rPr>
      </w:pPr>
    </w:p>
    <w:p>
      <w:pPr>
        <w:jc w:val="both"/>
        <w:ind w:firstLine="1036"/>
        <w:spacing w:after="0" w:line="287"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Company Registration</w:t>
      </w:r>
      <w:r>
        <w:rPr>
          <w:rFonts w:ascii="Arial" w:cs="Arial" w:eastAsia="Arial" w:hAnsi="Arial"/>
          <w:sz w:val="13"/>
          <w:szCs w:val="13"/>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3"/>
          <w:szCs w:val="13"/>
          <w:u w:val="single" w:color="auto"/>
          <w:color w:val="auto"/>
        </w:rPr>
        <w:t>Section 2.6</w:t>
      </w:r>
      <w:r>
        <w:rPr>
          <w:rFonts w:ascii="Arial" w:cs="Arial" w:eastAsia="Arial" w:hAnsi="Arial"/>
          <w:sz w:val="13"/>
          <w:szCs w:val="13"/>
          <w:color w:val="auto"/>
        </w:rPr>
        <w:t>.</w:t>
      </w:r>
    </w:p>
    <w:p>
      <w:pPr>
        <w:spacing w:after="0" w:line="136"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u w:val="single" w:color="auto"/>
          <w:color w:val="auto"/>
        </w:rPr>
        <w:t>Underwriting Requirements</w:t>
      </w:r>
      <w:r>
        <w:rPr>
          <w:rFonts w:ascii="Arial" w:cs="Arial" w:eastAsia="Arial" w:hAnsi="Arial"/>
          <w:sz w:val="13"/>
          <w:szCs w:val="13"/>
          <w:color w:val="auto"/>
        </w:rPr>
        <w:t>.</w:t>
      </w:r>
    </w:p>
    <w:p>
      <w:pPr>
        <w:spacing w:after="0" w:line="21" w:lineRule="exact"/>
        <w:rPr>
          <w:sz w:val="20"/>
          <w:szCs w:val="20"/>
          <w:color w:val="auto"/>
        </w:rPr>
      </w:pPr>
    </w:p>
    <w:p>
      <w:pPr>
        <w:jc w:val="both"/>
        <w:ind w:firstLine="1560"/>
        <w:spacing w:after="0" w:line="281" w:lineRule="auto"/>
        <w:tabs>
          <w:tab w:leader="none" w:pos="2180" w:val="left"/>
        </w:tabs>
        <w:numPr>
          <w:ilvl w:val="0"/>
          <w:numId w:val="205"/>
        </w:numPr>
        <w:rPr>
          <w:rFonts w:ascii="Arial" w:cs="Arial" w:eastAsia="Arial" w:hAnsi="Arial"/>
          <w:sz w:val="13"/>
          <w:szCs w:val="13"/>
          <w:color w:val="auto"/>
        </w:rPr>
      </w:pPr>
      <w:r>
        <w:rPr>
          <w:rFonts w:ascii="Arial" w:cs="Arial" w:eastAsia="Arial" w:hAnsi="Arial"/>
          <w:sz w:val="13"/>
          <w:szCs w:val="13"/>
          <w:color w:val="auto"/>
        </w:rPr>
        <w:t xml:space="preserve">If, pursuant to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3"/>
          <w:szCs w:val="13"/>
          <w:u w:val="single" w:color="auto"/>
          <w:color w:val="auto"/>
        </w:rPr>
        <w:t>Section 2.4(e)</w:t>
      </w:r>
      <w:r>
        <w:rPr>
          <w:rFonts w:ascii="Arial" w:cs="Arial" w:eastAsia="Arial" w:hAnsi="Arial"/>
          <w:sz w:val="13"/>
          <w:szCs w:val="13"/>
          <w:color w:val="auto"/>
        </w:rPr>
        <w:t xml:space="preserve">) enter into an underwriting agreement in customary form with the underwriter(s) selected for such underwriting. Notwithstanding any other provision of this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0" w:name="page331"/>
    <w:bookmarkEnd w:id="330"/>
    <w:p>
      <w:pPr>
        <w:jc w:val="both"/>
        <w:spacing w:after="0" w:line="262" w:lineRule="auto"/>
        <w:rPr>
          <w:sz w:val="20"/>
          <w:szCs w:val="20"/>
          <w:color w:val="auto"/>
        </w:rPr>
      </w:pPr>
      <w:r>
        <w:rPr>
          <w:rFonts w:ascii="Arial" w:cs="Arial" w:eastAsia="Arial" w:hAnsi="Arial"/>
          <w:sz w:val="14"/>
          <w:szCs w:val="14"/>
          <w:color w:val="auto"/>
        </w:rPr>
        <w:t xml:space="preserve">owned by each Holder or in such other proportion as shall mutually be agreed to by all such selling Holders;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 For purposes of the provision in this </w:t>
      </w:r>
      <w:r>
        <w:rPr>
          <w:rFonts w:ascii="Arial" w:cs="Arial" w:eastAsia="Arial" w:hAnsi="Arial"/>
          <w:sz w:val="14"/>
          <w:szCs w:val="14"/>
          <w:u w:val="single" w:color="auto"/>
          <w:color w:val="auto"/>
        </w:rPr>
        <w:t>Section 2.3(a)</w:t>
      </w:r>
      <w:r>
        <w:rPr>
          <w:rFonts w:ascii="Arial" w:cs="Arial" w:eastAsia="Arial" w:hAnsi="Arial"/>
          <w:sz w:val="14"/>
          <w:szCs w:val="14"/>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51" w:lineRule="exact"/>
        <w:rPr>
          <w:sz w:val="20"/>
          <w:szCs w:val="20"/>
          <w:color w:val="auto"/>
        </w:rPr>
      </w:pPr>
    </w:p>
    <w:p>
      <w:pPr>
        <w:jc w:val="both"/>
        <w:ind w:firstLine="1560"/>
        <w:spacing w:after="0" w:line="278" w:lineRule="auto"/>
        <w:tabs>
          <w:tab w:leader="none" w:pos="2171" w:val="left"/>
        </w:tabs>
        <w:numPr>
          <w:ilvl w:val="1"/>
          <w:numId w:val="206"/>
        </w:numPr>
        <w:rPr>
          <w:rFonts w:ascii="Arial" w:cs="Arial" w:eastAsia="Arial" w:hAnsi="Arial"/>
          <w:sz w:val="13"/>
          <w:szCs w:val="13"/>
          <w:color w:val="auto"/>
        </w:rPr>
      </w:pPr>
      <w:r>
        <w:rPr>
          <w:rFonts w:ascii="Arial" w:cs="Arial" w:eastAsia="Arial" w:hAnsi="Arial"/>
          <w:sz w:val="13"/>
          <w:szCs w:val="13"/>
          <w:color w:val="auto"/>
        </w:rPr>
        <w:t xml:space="preserve">In connection with any offering involving an underwriting of shares of the Company’s capital stock pursuant to </w:t>
      </w:r>
      <w:r>
        <w:rPr>
          <w:rFonts w:ascii="Arial" w:cs="Arial" w:eastAsia="Arial" w:hAnsi="Arial"/>
          <w:sz w:val="13"/>
          <w:szCs w:val="13"/>
          <w:u w:val="single" w:color="auto"/>
          <w:color w:val="auto"/>
        </w:rPr>
        <w:t>Section 2.2</w:t>
      </w:r>
      <w:r>
        <w:rPr>
          <w:rFonts w:ascii="Arial" w:cs="Arial" w:eastAsia="Arial" w:hAnsi="Arial"/>
          <w:sz w:val="13"/>
          <w:szCs w:val="13"/>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w:t>
      </w:r>
    </w:p>
    <w:p>
      <w:pPr>
        <w:spacing w:after="0" w:line="4" w:lineRule="exact"/>
        <w:rPr>
          <w:rFonts w:ascii="Arial" w:cs="Arial" w:eastAsia="Arial" w:hAnsi="Arial"/>
          <w:sz w:val="13"/>
          <w:szCs w:val="13"/>
          <w:color w:val="auto"/>
        </w:rPr>
      </w:pPr>
    </w:p>
    <w:p>
      <w:pPr>
        <w:jc w:val="both"/>
        <w:ind w:firstLine="6"/>
        <w:spacing w:after="0" w:line="283" w:lineRule="auto"/>
        <w:tabs>
          <w:tab w:leader="none" w:pos="348" w:val="left"/>
        </w:tabs>
        <w:numPr>
          <w:ilvl w:val="0"/>
          <w:numId w:val="207"/>
        </w:numPr>
        <w:rPr>
          <w:rFonts w:ascii="Arial" w:cs="Arial" w:eastAsia="Arial" w:hAnsi="Arial"/>
          <w:sz w:val="13"/>
          <w:szCs w:val="13"/>
          <w:color w:val="auto"/>
        </w:rPr>
      </w:pPr>
      <w:r>
        <w:rPr>
          <w:rFonts w:ascii="Arial" w:cs="Arial" w:eastAsia="Arial" w:hAnsi="Arial"/>
          <w:sz w:val="13"/>
          <w:szCs w:val="13"/>
          <w:color w:val="auto"/>
        </w:rPr>
        <w:t xml:space="preserve">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3"/>
          <w:szCs w:val="13"/>
          <w:u w:val="single" w:color="auto"/>
          <w:color w:val="auto"/>
        </w:rPr>
        <w:t>Section 2.3(b)</w:t>
      </w:r>
      <w:r>
        <w:rPr>
          <w:rFonts w:ascii="Arial" w:cs="Arial" w:eastAsia="Arial" w:hAnsi="Arial"/>
          <w:sz w:val="13"/>
          <w:szCs w:val="13"/>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1" w:name="page332"/>
    <w:bookmarkEnd w:id="331"/>
    <w:p>
      <w:pPr>
        <w:ind w:firstLine="1560"/>
        <w:spacing w:after="0" w:line="288" w:lineRule="auto"/>
        <w:tabs>
          <w:tab w:leader="none" w:pos="2180" w:val="left"/>
        </w:tabs>
        <w:numPr>
          <w:ilvl w:val="0"/>
          <w:numId w:val="208"/>
        </w:numPr>
        <w:rPr>
          <w:rFonts w:ascii="Arial" w:cs="Arial" w:eastAsia="Arial" w:hAnsi="Arial"/>
          <w:sz w:val="14"/>
          <w:szCs w:val="14"/>
          <w:color w:val="auto"/>
        </w:rPr>
      </w:pPr>
      <w:r>
        <w:rPr>
          <w:rFonts w:ascii="Arial" w:cs="Arial" w:eastAsia="Arial" w:hAnsi="Arial"/>
          <w:sz w:val="14"/>
          <w:szCs w:val="14"/>
          <w:color w:val="auto"/>
        </w:rPr>
        <w:t xml:space="preserve">For purposes of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a registration shall not be counted as “effected” if, as a result of an exercise of the underwriter’s cutback provisions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2.3(a)</w:t>
      </w:r>
      <w:r>
        <w:rPr>
          <w:rFonts w:ascii="Arial" w:cs="Arial" w:eastAsia="Arial" w:hAnsi="Arial"/>
          <w:sz w:val="14"/>
          <w:szCs w:val="14"/>
          <w:color w:val="auto"/>
        </w:rPr>
        <w:t>, fewer than the total number of Registrable Securities that Holders have requested to be included in such registration statement are actually included.</w:t>
      </w:r>
    </w:p>
    <w:p>
      <w:pPr>
        <w:spacing w:after="0" w:line="132"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Obligations of the Company</w:t>
      </w:r>
      <w:r>
        <w:rPr>
          <w:rFonts w:ascii="Arial" w:cs="Arial" w:eastAsia="Arial" w:hAnsi="Arial"/>
          <w:sz w:val="14"/>
          <w:szCs w:val="14"/>
          <w:color w:val="auto"/>
        </w:rPr>
        <w:t xml:space="preserve">. Whenever required under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to effect the registration of any Registrable Securities, the Company shall, as expeditiously as reasonably possible:</w:t>
      </w:r>
    </w:p>
    <w:p>
      <w:pPr>
        <w:spacing w:after="0" w:line="132" w:lineRule="exact"/>
        <w:rPr>
          <w:sz w:val="20"/>
          <w:szCs w:val="20"/>
          <w:color w:val="auto"/>
        </w:rPr>
      </w:pPr>
    </w:p>
    <w:p>
      <w:pPr>
        <w:jc w:val="both"/>
        <w:ind w:firstLine="1560"/>
        <w:spacing w:after="0" w:line="285" w:lineRule="auto"/>
        <w:tabs>
          <w:tab w:leader="none" w:pos="21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Common Stock issued or issuable upon conversion of the Preferred Stock then outstanding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ninety (90) days, if necessary, to keep the registration statement effective until all such Registrable Securities are sold;</w:t>
      </w:r>
    </w:p>
    <w:p>
      <w:pPr>
        <w:spacing w:after="0" w:line="138" w:lineRule="exact"/>
        <w:rPr>
          <w:rFonts w:ascii="Arial" w:cs="Arial" w:eastAsia="Arial" w:hAnsi="Arial"/>
          <w:sz w:val="13"/>
          <w:szCs w:val="13"/>
          <w:color w:val="auto"/>
        </w:rPr>
      </w:pPr>
    </w:p>
    <w:p>
      <w:pPr>
        <w:ind w:firstLine="1560"/>
        <w:spacing w:after="0" w:line="288" w:lineRule="auto"/>
        <w:tabs>
          <w:tab w:leader="none" w:pos="216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31" w:lineRule="exact"/>
        <w:rPr>
          <w:rFonts w:ascii="Arial" w:cs="Arial" w:eastAsia="Arial" w:hAnsi="Arial"/>
          <w:sz w:val="14"/>
          <w:szCs w:val="14"/>
          <w:color w:val="auto"/>
        </w:rPr>
      </w:pPr>
    </w:p>
    <w:p>
      <w:pPr>
        <w:ind w:firstLine="1560"/>
        <w:spacing w:after="0" w:line="288" w:lineRule="auto"/>
        <w:tabs>
          <w:tab w:leader="none" w:pos="218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1" w:lineRule="exact"/>
        <w:rPr>
          <w:rFonts w:ascii="Arial" w:cs="Arial" w:eastAsia="Arial" w:hAnsi="Arial"/>
          <w:sz w:val="14"/>
          <w:szCs w:val="14"/>
          <w:color w:val="auto"/>
        </w:rPr>
      </w:pPr>
    </w:p>
    <w:p>
      <w:pPr>
        <w:jc w:val="both"/>
        <w:ind w:firstLine="1560"/>
        <w:spacing w:after="0" w:line="303" w:lineRule="auto"/>
        <w:tabs>
          <w:tab w:leader="none" w:pos="2171" w:val="left"/>
        </w:tabs>
        <w:numPr>
          <w:ilvl w:val="0"/>
          <w:numId w:val="209"/>
        </w:numPr>
        <w:rPr>
          <w:rFonts w:ascii="Arial" w:cs="Arial" w:eastAsia="Arial" w:hAnsi="Arial"/>
          <w:sz w:val="13"/>
          <w:szCs w:val="13"/>
          <w:color w:val="auto"/>
        </w:rPr>
      </w:pPr>
      <w:r>
        <w:rPr>
          <w:rFonts w:ascii="Arial" w:cs="Arial" w:eastAsia="Arial" w:hAnsi="Arial"/>
          <w:sz w:val="13"/>
          <w:szCs w:val="13"/>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24" w:lineRule="exact"/>
        <w:rPr>
          <w:rFonts w:ascii="Arial" w:cs="Arial" w:eastAsia="Arial" w:hAnsi="Arial"/>
          <w:sz w:val="13"/>
          <w:szCs w:val="13"/>
          <w:color w:val="auto"/>
        </w:rPr>
      </w:pPr>
    </w:p>
    <w:p>
      <w:pPr>
        <w:ind w:left="2180" w:hanging="620"/>
        <w:spacing w:after="0"/>
        <w:tabs>
          <w:tab w:leader="none" w:pos="21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in the event of any underwritten public offering, enter into and perform its obligations under an underwriting agreement, in usual and customary form, with</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the underwriter(s) of such offering;</w:t>
      </w:r>
    </w:p>
    <w:p>
      <w:pPr>
        <w:spacing w:after="0" w:line="174" w:lineRule="exact"/>
        <w:rPr>
          <w:rFonts w:ascii="Arial" w:cs="Arial" w:eastAsia="Arial" w:hAnsi="Arial"/>
          <w:sz w:val="13"/>
          <w:szCs w:val="13"/>
          <w:color w:val="auto"/>
        </w:rPr>
      </w:pPr>
    </w:p>
    <w:p>
      <w:pPr>
        <w:ind w:left="2180" w:hanging="620"/>
        <w:spacing w:after="0"/>
        <w:tabs>
          <w:tab w:leader="none" w:pos="218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use its commercially reasonable efforts to cause all such Registrable Securities covered by such registration statement to be listed on a national securities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exchange or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color w:val="auto"/>
        </w:rPr>
        <w:t>trading system and each securities exchange and trading system (if any) on which similar securities issued by the Company are then listed;</w:t>
      </w:r>
    </w:p>
    <w:p>
      <w:pPr>
        <w:spacing w:after="0" w:line="184" w:lineRule="exact"/>
        <w:rPr>
          <w:sz w:val="20"/>
          <w:szCs w:val="20"/>
          <w:color w:val="auto"/>
        </w:rPr>
      </w:pPr>
    </w:p>
    <w:p>
      <w:pPr>
        <w:ind w:firstLine="1560"/>
        <w:spacing w:after="0" w:line="288" w:lineRule="auto"/>
        <w:tabs>
          <w:tab w:leader="none" w:pos="216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1" w:lineRule="exact"/>
        <w:rPr>
          <w:rFonts w:ascii="Arial" w:cs="Arial" w:eastAsia="Arial" w:hAnsi="Arial"/>
          <w:sz w:val="14"/>
          <w:szCs w:val="14"/>
          <w:color w:val="auto"/>
        </w:rPr>
      </w:pPr>
    </w:p>
    <w:p>
      <w:pPr>
        <w:jc w:val="both"/>
        <w:ind w:firstLine="1560"/>
        <w:spacing w:after="0" w:line="265" w:lineRule="auto"/>
        <w:tabs>
          <w:tab w:leader="none" w:pos="2171" w:val="left"/>
        </w:tabs>
        <w:numPr>
          <w:ilvl w:val="0"/>
          <w:numId w:val="210"/>
        </w:numPr>
        <w:rPr>
          <w:rFonts w:ascii="Arial" w:cs="Arial" w:eastAsia="Arial" w:hAnsi="Arial"/>
          <w:sz w:val="14"/>
          <w:szCs w:val="14"/>
          <w:color w:val="auto"/>
        </w:rPr>
      </w:pPr>
      <w:r>
        <w:rPr>
          <w:rFonts w:ascii="Arial" w:cs="Arial" w:eastAsia="Arial" w:hAnsi="Arial"/>
          <w:sz w:val="14"/>
          <w:szCs w:val="14"/>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7" w:lineRule="exact"/>
        <w:rPr>
          <w:rFonts w:ascii="Arial" w:cs="Arial" w:eastAsia="Arial" w:hAnsi="Arial"/>
          <w:sz w:val="14"/>
          <w:szCs w:val="14"/>
          <w:color w:val="auto"/>
        </w:rPr>
      </w:pPr>
    </w:p>
    <w:p>
      <w:pPr>
        <w:ind w:firstLine="1560"/>
        <w:spacing w:after="0" w:line="288" w:lineRule="auto"/>
        <w:tabs>
          <w:tab w:leader="none" w:pos="2186" w:val="left"/>
        </w:tabs>
        <w:numPr>
          <w:ilvl w:val="0"/>
          <w:numId w:val="210"/>
        </w:numPr>
        <w:rPr>
          <w:rFonts w:ascii="Arial" w:cs="Arial" w:eastAsia="Arial" w:hAnsi="Arial"/>
          <w:sz w:val="14"/>
          <w:szCs w:val="14"/>
          <w:color w:val="auto"/>
        </w:rPr>
      </w:pPr>
      <w:r>
        <w:rPr>
          <w:rFonts w:ascii="Arial" w:cs="Arial" w:eastAsia="Arial" w:hAnsi="Arial"/>
          <w:sz w:val="14"/>
          <w:szCs w:val="14"/>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31" w:lineRule="exact"/>
        <w:rPr>
          <w:rFonts w:ascii="Arial" w:cs="Arial" w:eastAsia="Arial" w:hAnsi="Arial"/>
          <w:sz w:val="14"/>
          <w:szCs w:val="14"/>
          <w:color w:val="auto"/>
        </w:rPr>
      </w:pPr>
    </w:p>
    <w:p>
      <w:pPr>
        <w:ind w:left="2200" w:hanging="640"/>
        <w:spacing w:after="0"/>
        <w:tabs>
          <w:tab w:leader="none" w:pos="220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after such registration statement becomes effective, notify each selling Holder of any request by the SEC that the Company amend or supplement such</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registration statement or prospectus.</w:t>
      </w:r>
    </w:p>
    <w:p>
      <w:pPr>
        <w:spacing w:after="0" w:line="175" w:lineRule="exact"/>
        <w:rPr>
          <w:sz w:val="20"/>
          <w:szCs w:val="20"/>
          <w:color w:val="auto"/>
        </w:rPr>
      </w:pPr>
    </w:p>
    <w:p>
      <w:pPr>
        <w:jc w:val="both"/>
        <w:ind w:firstLine="259"/>
        <w:spacing w:after="0" w:line="273" w:lineRule="auto"/>
        <w:rPr>
          <w:sz w:val="20"/>
          <w:szCs w:val="20"/>
          <w:color w:val="auto"/>
        </w:rPr>
      </w:pPr>
      <w:r>
        <w:rPr>
          <w:rFonts w:ascii="Arial" w:cs="Arial" w:eastAsia="Arial" w:hAnsi="Arial"/>
          <w:sz w:val="14"/>
          <w:szCs w:val="14"/>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 pursuant to the terms of such insider trading policy.</w:t>
      </w:r>
    </w:p>
    <w:p>
      <w:pPr>
        <w:spacing w:after="0" w:line="141"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Furnish Information</w:t>
      </w:r>
      <w:r>
        <w:rPr>
          <w:rFonts w:ascii="Arial" w:cs="Arial" w:eastAsia="Arial" w:hAnsi="Arial"/>
          <w:sz w:val="14"/>
          <w:szCs w:val="14"/>
          <w:color w:val="auto"/>
        </w:rPr>
        <w:t xml:space="preserve">. It shall be a condition precedent to the obligations of the Company to take any action pursuant to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41" w:lineRule="exact"/>
        <w:rPr>
          <w:sz w:val="20"/>
          <w:szCs w:val="20"/>
          <w:color w:val="auto"/>
        </w:rPr>
      </w:pPr>
    </w:p>
    <w:p>
      <w:pPr>
        <w:jc w:val="both"/>
        <w:ind w:firstLine="1036"/>
        <w:spacing w:after="0" w:line="265"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Expenses of Registration</w:t>
      </w:r>
      <w:r>
        <w:rPr>
          <w:rFonts w:ascii="Arial" w:cs="Arial" w:eastAsia="Arial" w:hAnsi="Arial"/>
          <w:sz w:val="14"/>
          <w:szCs w:val="14"/>
          <w:color w:val="auto"/>
        </w:rPr>
        <w:t xml:space="preserve">. All expenses (other than Selling Expenses) incurred in connection with registrations, filings, or qualifications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including all registration, filing, and qualification fees; printers’ and accounting fees; fees and disbursements of counsel for the Company; the reasonable fees and disbursements, not to exceed $35,000, of one (1) counsel for the selling Holders (“</w:t>
      </w:r>
      <w:r>
        <w:rPr>
          <w:rFonts w:ascii="Arial" w:cs="Arial" w:eastAsia="Arial" w:hAnsi="Arial"/>
          <w:sz w:val="14"/>
          <w:szCs w:val="14"/>
          <w:b w:val="1"/>
          <w:bCs w:val="1"/>
          <w:color w:val="auto"/>
        </w:rPr>
        <w:t>Selling Holder Counsel</w:t>
      </w:r>
      <w:r>
        <w:rPr>
          <w:rFonts w:ascii="Arial" w:cs="Arial" w:eastAsia="Arial" w:hAnsi="Arial"/>
          <w:sz w:val="14"/>
          <w:szCs w:val="14"/>
          <w:color w:val="auto"/>
        </w:rPr>
        <w:t>”); and at the request of the Major Investors, the reasonable fees and disbursements of one (1) counsel for the Major Investors (“</w:t>
      </w:r>
      <w:r>
        <w:rPr>
          <w:rFonts w:ascii="Arial" w:cs="Arial" w:eastAsia="Arial" w:hAnsi="Arial"/>
          <w:sz w:val="14"/>
          <w:szCs w:val="14"/>
          <w:b w:val="1"/>
          <w:bCs w:val="1"/>
          <w:color w:val="auto"/>
        </w:rPr>
        <w:t>Major Investor Counsel</w:t>
      </w:r>
      <w:r>
        <w:rPr>
          <w:rFonts w:ascii="Arial" w:cs="Arial" w:eastAsia="Arial" w:hAnsi="Arial"/>
          <w:sz w:val="14"/>
          <w:szCs w:val="14"/>
          <w:color w:val="auto"/>
        </w:rPr>
        <w:t xml:space="preserve">”), shall be borne and paid by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Company shall not be required to pay for any expenses of any registration proceeding begun pursuant to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if the registration request is subsequently withdrawn at the request of the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3" w:name="page334"/>
    <w:bookmarkEnd w:id="333"/>
    <w:p>
      <w:pPr>
        <w:jc w:val="both"/>
        <w:spacing w:after="0" w:line="262" w:lineRule="auto"/>
        <w:rPr>
          <w:sz w:val="20"/>
          <w:szCs w:val="20"/>
          <w:color w:val="auto"/>
        </w:rPr>
      </w:pPr>
      <w:r>
        <w:rPr>
          <w:rFonts w:ascii="Arial" w:cs="Arial" w:eastAsia="Arial" w:hAnsi="Arial"/>
          <w:sz w:val="14"/>
          <w:szCs w:val="14"/>
          <w:color w:val="auto"/>
        </w:rPr>
        <w:t xml:space="preserve">Holders of a majority of the Common Stock issued or issuable upon conversion of the Preferred Stock to be registered (in which case all selling Holders shall bear such expenses pro rata based upon the number of Registrable Securities that were to be included in the withdrawn registration), unless the Holders of a majority of the Common Stock issued or issuable upon conversion of the Preferred Stock agree to forfeit their right to one registration pursuant to </w:t>
      </w:r>
      <w:r>
        <w:rPr>
          <w:rFonts w:ascii="Arial" w:cs="Arial" w:eastAsia="Arial" w:hAnsi="Arial"/>
          <w:sz w:val="14"/>
          <w:szCs w:val="14"/>
          <w:u w:val="single" w:color="auto"/>
          <w:color w:val="auto"/>
        </w:rPr>
        <w:t>Sections 2.1(a)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2.1(b)</w:t>
      </w:r>
      <w:r>
        <w:rPr>
          <w:rFonts w:ascii="Arial" w:cs="Arial" w:eastAsia="Arial" w:hAnsi="Arial"/>
          <w:sz w:val="14"/>
          <w:szCs w:val="14"/>
          <w:color w:val="auto"/>
        </w:rPr>
        <w:t xml:space="preserve">, as the case may be;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4"/>
          <w:szCs w:val="14"/>
          <w:u w:val="single" w:color="auto"/>
          <w:color w:val="auto"/>
        </w:rPr>
        <w:t>Sections</w:t>
      </w:r>
      <w:r>
        <w:rPr>
          <w:rFonts w:ascii="Arial" w:cs="Arial" w:eastAsia="Arial" w:hAnsi="Arial"/>
          <w:sz w:val="14"/>
          <w:szCs w:val="14"/>
          <w:color w:val="auto"/>
        </w:rPr>
        <w:t xml:space="preserve"> </w:t>
      </w:r>
      <w:r>
        <w:rPr>
          <w:rFonts w:ascii="Arial" w:cs="Arial" w:eastAsia="Arial" w:hAnsi="Arial"/>
          <w:sz w:val="14"/>
          <w:szCs w:val="14"/>
          <w:u w:val="single" w:color="auto"/>
          <w:color w:val="auto"/>
        </w:rPr>
        <w:t>2.1(a)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2.1(b)</w:t>
      </w:r>
      <w:r>
        <w:rPr>
          <w:rFonts w:ascii="Arial" w:cs="Arial" w:eastAsia="Arial" w:hAnsi="Arial"/>
          <w:sz w:val="14"/>
          <w:szCs w:val="14"/>
          <w:color w:val="auto"/>
        </w:rPr>
        <w:t xml:space="preserve">. All Selling Expenses relating to Registrable Securities registered pursuant to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shall be borne and paid by the Holders pro rata on the basis of the number of Registrable Securities registered on their behalf.</w:t>
      </w:r>
    </w:p>
    <w:p>
      <w:pPr>
        <w:spacing w:after="0" w:line="151"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Delay of Registration</w:t>
      </w:r>
      <w:r>
        <w:rPr>
          <w:rFonts w:ascii="Arial" w:cs="Arial" w:eastAsia="Arial" w:hAnsi="Arial"/>
          <w:sz w:val="14"/>
          <w:szCs w:val="14"/>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4"/>
          <w:szCs w:val="14"/>
          <w:u w:val="single" w:color="auto"/>
          <w:color w:val="auto"/>
        </w:rPr>
        <w:t>Section 2</w:t>
      </w:r>
      <w:r>
        <w:rPr>
          <w:rFonts w:ascii="Arial" w:cs="Arial" w:eastAsia="Arial" w:hAnsi="Arial"/>
          <w:sz w:val="14"/>
          <w:szCs w:val="14"/>
          <w:color w:val="auto"/>
        </w:rPr>
        <w:t>.</w:t>
      </w:r>
    </w:p>
    <w:p>
      <w:pPr>
        <w:spacing w:after="0" w:line="132"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 If any Registrable Securities are included in a registration statement under this</w:t>
      </w:r>
      <w:r>
        <w:rPr>
          <w:rFonts w:ascii="Arial" w:cs="Arial" w:eastAsia="Arial" w:hAnsi="Arial"/>
          <w:sz w:val="13"/>
          <w:szCs w:val="13"/>
          <w:u w:val="single" w:color="auto"/>
          <w:color w:val="auto"/>
        </w:rPr>
        <w:t xml:space="preserve"> Section 2</w:t>
      </w:r>
      <w:r>
        <w:rPr>
          <w:rFonts w:ascii="Arial" w:cs="Arial" w:eastAsia="Arial" w:hAnsi="Arial"/>
          <w:sz w:val="13"/>
          <w:szCs w:val="13"/>
          <w:color w:val="auto"/>
        </w:rPr>
        <w:t>:</w:t>
      </w:r>
    </w:p>
    <w:p>
      <w:pPr>
        <w:spacing w:after="0" w:line="184" w:lineRule="exact"/>
        <w:rPr>
          <w:sz w:val="20"/>
          <w:szCs w:val="20"/>
          <w:color w:val="auto"/>
        </w:rPr>
      </w:pPr>
    </w:p>
    <w:p>
      <w:pPr>
        <w:jc w:val="both"/>
        <w:ind w:firstLine="1560"/>
        <w:spacing w:after="0" w:line="261" w:lineRule="auto"/>
        <w:tabs>
          <w:tab w:leader="none" w:pos="2191" w:val="left"/>
        </w:tabs>
        <w:numPr>
          <w:ilvl w:val="0"/>
          <w:numId w:val="211"/>
        </w:numPr>
        <w:rPr>
          <w:rFonts w:ascii="Arial" w:cs="Arial" w:eastAsia="Arial" w:hAnsi="Arial"/>
          <w:sz w:val="14"/>
          <w:szCs w:val="14"/>
          <w:color w:val="auto"/>
        </w:rPr>
      </w:pPr>
      <w:r>
        <w:rPr>
          <w:rFonts w:ascii="Arial" w:cs="Arial" w:eastAsia="Arial" w:hAnsi="Arial"/>
          <w:sz w:val="14"/>
          <w:szCs w:val="14"/>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indemnity agreement contained in this </w:t>
      </w:r>
      <w:r>
        <w:rPr>
          <w:rFonts w:ascii="Arial" w:cs="Arial" w:eastAsia="Arial" w:hAnsi="Arial"/>
          <w:sz w:val="14"/>
          <w:szCs w:val="14"/>
          <w:u w:val="single" w:color="auto"/>
          <w:color w:val="auto"/>
        </w:rPr>
        <w:t>Section 2.8(a)</w:t>
      </w:r>
      <w:r>
        <w:rPr>
          <w:rFonts w:ascii="Arial" w:cs="Arial" w:eastAsia="Arial" w:hAnsi="Arial"/>
          <w:sz w:val="14"/>
          <w:szCs w:val="14"/>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53" w:lineRule="exact"/>
        <w:rPr>
          <w:rFonts w:ascii="Arial" w:cs="Arial" w:eastAsia="Arial" w:hAnsi="Arial"/>
          <w:sz w:val="14"/>
          <w:szCs w:val="14"/>
          <w:color w:val="auto"/>
        </w:rPr>
      </w:pPr>
    </w:p>
    <w:p>
      <w:pPr>
        <w:jc w:val="both"/>
        <w:ind w:firstLine="1560"/>
        <w:spacing w:after="0" w:line="290" w:lineRule="auto"/>
        <w:tabs>
          <w:tab w:leader="none" w:pos="2160" w:val="left"/>
        </w:tabs>
        <w:numPr>
          <w:ilvl w:val="0"/>
          <w:numId w:val="211"/>
        </w:numPr>
        <w:rPr>
          <w:rFonts w:ascii="Arial" w:cs="Arial" w:eastAsia="Arial" w:hAnsi="Arial"/>
          <w:sz w:val="13"/>
          <w:szCs w:val="13"/>
          <w:color w:val="auto"/>
        </w:rPr>
      </w:pPr>
      <w:r>
        <w:rPr>
          <w:rFonts w:ascii="Arial" w:cs="Arial" w:eastAsia="Arial" w:hAnsi="Arial"/>
          <w:sz w:val="13"/>
          <w:szCs w:val="13"/>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4" w:name="page335"/>
    <w:bookmarkEnd w:id="334"/>
    <w:p>
      <w:pPr>
        <w:jc w:val="both"/>
        <w:spacing w:after="0" w:line="265" w:lineRule="auto"/>
        <w:rPr>
          <w:sz w:val="20"/>
          <w:szCs w:val="20"/>
          <w:color w:val="auto"/>
        </w:rPr>
      </w:pPr>
      <w:r>
        <w:rPr>
          <w:rFonts w:ascii="Arial" w:cs="Arial" w:eastAsia="Arial" w:hAnsi="Arial"/>
          <w:sz w:val="14"/>
          <w:szCs w:val="14"/>
          <w:color w:val="auto"/>
        </w:rPr>
        <w:t xml:space="preserve">or other expenses reasonably incurred thereby in connection with investigating or defending any claim or proceeding from which Damages may result, as such expenses are incurred;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indemnity agreement contained in this </w:t>
      </w:r>
      <w:r>
        <w:rPr>
          <w:rFonts w:ascii="Arial" w:cs="Arial" w:eastAsia="Arial" w:hAnsi="Arial"/>
          <w:sz w:val="14"/>
          <w:szCs w:val="14"/>
          <w:u w:val="single" w:color="auto"/>
          <w:color w:val="auto"/>
        </w:rPr>
        <w:t>Section 2.8(b)</w:t>
      </w:r>
      <w:r>
        <w:rPr>
          <w:rFonts w:ascii="Arial" w:cs="Arial" w:eastAsia="Arial" w:hAnsi="Arial"/>
          <w:sz w:val="14"/>
          <w:szCs w:val="14"/>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in no event shall the aggregate amounts payable by any Holder by way of indemnity or contribution under </w:t>
      </w:r>
      <w:r>
        <w:rPr>
          <w:rFonts w:ascii="Arial" w:cs="Arial" w:eastAsia="Arial" w:hAnsi="Arial"/>
          <w:sz w:val="14"/>
          <w:szCs w:val="14"/>
          <w:u w:val="single" w:color="auto"/>
          <w:color w:val="auto"/>
        </w:rPr>
        <w:t>Sections 2.8(b)</w:t>
      </w:r>
      <w:r>
        <w:rPr>
          <w:rFonts w:ascii="Arial" w:cs="Arial" w:eastAsia="Arial" w:hAnsi="Arial"/>
          <w:sz w:val="14"/>
          <w:szCs w:val="14"/>
          <w:color w:val="auto"/>
        </w:rPr>
        <w:t xml:space="preserve"> and 2.8(d) exceed the proceeds from the offering received by such Holder (net of any Selling Expenses paid by such Holder), except in the case of fraud or willful misconduct by such Holder.</w:t>
      </w:r>
    </w:p>
    <w:p>
      <w:pPr>
        <w:spacing w:after="0" w:line="147" w:lineRule="exact"/>
        <w:rPr>
          <w:sz w:val="20"/>
          <w:szCs w:val="20"/>
          <w:color w:val="auto"/>
        </w:rPr>
      </w:pPr>
    </w:p>
    <w:p>
      <w:pPr>
        <w:jc w:val="both"/>
        <w:ind w:firstLine="1560"/>
        <w:spacing w:after="0" w:line="260" w:lineRule="auto"/>
        <w:tabs>
          <w:tab w:leader="none" w:pos="218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4"/>
          <w:szCs w:val="14"/>
          <w:u w:val="single" w:color="auto"/>
          <w:color w:val="auto"/>
        </w:rPr>
        <w:t>Section 2.8</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1560"/>
        <w:spacing w:after="0" w:line="283" w:lineRule="auto"/>
        <w:tabs>
          <w:tab w:leader="none" w:pos="2181" w:val="left"/>
        </w:tabs>
        <w:numPr>
          <w:ilvl w:val="0"/>
          <w:numId w:val="212"/>
        </w:numPr>
        <w:rPr>
          <w:rFonts w:ascii="Arial" w:cs="Arial" w:eastAsia="Arial" w:hAnsi="Arial"/>
          <w:sz w:val="13"/>
          <w:szCs w:val="13"/>
          <w:color w:val="auto"/>
        </w:rPr>
      </w:pPr>
      <w:r>
        <w:rPr>
          <w:rFonts w:ascii="Arial" w:cs="Arial" w:eastAsia="Arial" w:hAnsi="Arial"/>
          <w:sz w:val="13"/>
          <w:szCs w:val="13"/>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3"/>
          <w:szCs w:val="13"/>
          <w:u w:val="single" w:color="auto"/>
          <w:color w:val="auto"/>
        </w:rPr>
        <w:t>Section 2.8</w:t>
      </w:r>
      <w:r>
        <w:rPr>
          <w:rFonts w:ascii="Arial" w:cs="Arial" w:eastAsia="Arial" w:hAnsi="Arial"/>
          <w:sz w:val="13"/>
          <w:szCs w:val="13"/>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3"/>
          <w:szCs w:val="13"/>
          <w:u w:val="single" w:color="auto"/>
          <w:color w:val="auto"/>
        </w:rPr>
        <w:t>Section 2.8</w:t>
      </w:r>
      <w:r>
        <w:rPr>
          <w:rFonts w:ascii="Arial" w:cs="Arial" w:eastAsia="Arial" w:hAnsi="Arial"/>
          <w:sz w:val="13"/>
          <w:szCs w:val="13"/>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3"/>
          <w:szCs w:val="13"/>
          <w:u w:val="single" w:color="auto"/>
          <w:color w:val="auto"/>
        </w:rPr>
        <w:t>Section 2.8</w:t>
      </w:r>
      <w:r>
        <w:rPr>
          <w:rFonts w:ascii="Arial" w:cs="Arial" w:eastAsia="Arial" w:hAnsi="Arial"/>
          <w:sz w:val="13"/>
          <w:szCs w:val="13"/>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5" w:name="page336"/>
    <w:bookmarkEnd w:id="335"/>
    <w:p>
      <w:pPr>
        <w:jc w:val="both"/>
        <w:spacing w:after="0" w:line="290" w:lineRule="auto"/>
        <w:rPr>
          <w:sz w:val="20"/>
          <w:szCs w:val="20"/>
          <w:color w:val="auto"/>
        </w:rPr>
      </w:pPr>
      <w:r>
        <w:rPr>
          <w:rFonts w:ascii="Arial" w:cs="Arial" w:eastAsia="Arial" w:hAnsi="Arial"/>
          <w:sz w:val="13"/>
          <w:szCs w:val="13"/>
          <w:color w:val="auto"/>
        </w:rPr>
        <w:t xml:space="preserve">to information, and opportunity to correct or prevent such statement or omission;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in no event shall a Holder’s liability pursuant to this </w:t>
      </w:r>
      <w:r>
        <w:rPr>
          <w:rFonts w:ascii="Arial" w:cs="Arial" w:eastAsia="Arial" w:hAnsi="Arial"/>
          <w:sz w:val="13"/>
          <w:szCs w:val="13"/>
          <w:u w:val="single" w:color="auto"/>
          <w:color w:val="auto"/>
        </w:rPr>
        <w:t>Section 2.8(d)</w:t>
      </w:r>
      <w:r>
        <w:rPr>
          <w:rFonts w:ascii="Arial" w:cs="Arial" w:eastAsia="Arial" w:hAnsi="Arial"/>
          <w:sz w:val="13"/>
          <w:szCs w:val="13"/>
          <w:color w:val="auto"/>
        </w:rPr>
        <w:t xml:space="preserve">, when combined with the amounts paid or payable by such Holder pursuant to </w:t>
      </w:r>
      <w:r>
        <w:rPr>
          <w:rFonts w:ascii="Arial" w:cs="Arial" w:eastAsia="Arial" w:hAnsi="Arial"/>
          <w:sz w:val="13"/>
          <w:szCs w:val="13"/>
          <w:u w:val="single" w:color="auto"/>
          <w:color w:val="auto"/>
        </w:rPr>
        <w:t>Section 2.8(b)</w:t>
      </w:r>
      <w:r>
        <w:rPr>
          <w:rFonts w:ascii="Arial" w:cs="Arial" w:eastAsia="Arial" w:hAnsi="Arial"/>
          <w:sz w:val="13"/>
          <w:szCs w:val="13"/>
          <w:color w:val="auto"/>
        </w:rPr>
        <w:t>, exceed the proceeds from the offering received by such Holder (net of any Selling Expenses paid by such Holder), except in the case of willful misconduct or fraud by such Holder.</w:t>
      </w:r>
    </w:p>
    <w:p>
      <w:pPr>
        <w:spacing w:after="0" w:line="133" w:lineRule="exact"/>
        <w:rPr>
          <w:sz w:val="20"/>
          <w:szCs w:val="20"/>
          <w:color w:val="auto"/>
        </w:rPr>
      </w:pPr>
    </w:p>
    <w:p>
      <w:pPr>
        <w:ind w:firstLine="1560"/>
        <w:spacing w:after="0" w:line="288" w:lineRule="auto"/>
        <w:tabs>
          <w:tab w:leader="none" w:pos="218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31" w:lineRule="exact"/>
        <w:rPr>
          <w:rFonts w:ascii="Arial" w:cs="Arial" w:eastAsia="Arial" w:hAnsi="Arial"/>
          <w:sz w:val="14"/>
          <w:szCs w:val="14"/>
          <w:color w:val="auto"/>
        </w:rPr>
      </w:pPr>
    </w:p>
    <w:p>
      <w:pPr>
        <w:jc w:val="both"/>
        <w:ind w:firstLine="1560"/>
        <w:spacing w:after="0" w:line="273" w:lineRule="auto"/>
        <w:tabs>
          <w:tab w:leader="none" w:pos="2165" w:val="left"/>
        </w:tabs>
        <w:numPr>
          <w:ilvl w:val="0"/>
          <w:numId w:val="213"/>
        </w:numPr>
        <w:rPr>
          <w:rFonts w:ascii="Arial" w:cs="Arial" w:eastAsia="Arial" w:hAnsi="Arial"/>
          <w:sz w:val="14"/>
          <w:szCs w:val="14"/>
          <w:color w:val="auto"/>
        </w:rPr>
      </w:pPr>
      <w:r>
        <w:rPr>
          <w:rFonts w:ascii="Arial" w:cs="Arial" w:eastAsia="Arial" w:hAnsi="Arial"/>
          <w:sz w:val="14"/>
          <w:szCs w:val="14"/>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shall survive the completion of any offering of Registrable Securities in a registration under this </w:t>
      </w:r>
      <w:r>
        <w:rPr>
          <w:rFonts w:ascii="Arial" w:cs="Arial" w:eastAsia="Arial" w:hAnsi="Arial"/>
          <w:sz w:val="14"/>
          <w:szCs w:val="14"/>
          <w:u w:val="single" w:color="auto"/>
          <w:color w:val="auto"/>
        </w:rPr>
        <w:t>Section 2</w:t>
      </w:r>
      <w:r>
        <w:rPr>
          <w:rFonts w:ascii="Arial" w:cs="Arial" w:eastAsia="Arial" w:hAnsi="Arial"/>
          <w:sz w:val="14"/>
          <w:szCs w:val="14"/>
          <w:color w:val="auto"/>
        </w:rPr>
        <w:t>, and otherwise shall survive the termination of this Agreement.</w:t>
      </w:r>
    </w:p>
    <w:p>
      <w:pPr>
        <w:spacing w:after="0" w:line="141"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Reports Under Exchange Act</w:t>
      </w:r>
      <w:r>
        <w:rPr>
          <w:rFonts w:ascii="Arial" w:cs="Arial" w:eastAsia="Arial" w:hAnsi="Arial"/>
          <w:sz w:val="14"/>
          <w:szCs w:val="14"/>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32" w:lineRule="exact"/>
        <w:rPr>
          <w:sz w:val="20"/>
          <w:szCs w:val="20"/>
          <w:color w:val="auto"/>
        </w:rPr>
      </w:pPr>
    </w:p>
    <w:p>
      <w:pPr>
        <w:ind w:firstLine="1560"/>
        <w:spacing w:after="0" w:line="288" w:lineRule="auto"/>
        <w:tabs>
          <w:tab w:leader="none" w:pos="218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31" w:lineRule="exact"/>
        <w:rPr>
          <w:rFonts w:ascii="Arial" w:cs="Arial" w:eastAsia="Arial" w:hAnsi="Arial"/>
          <w:sz w:val="14"/>
          <w:szCs w:val="14"/>
          <w:color w:val="auto"/>
        </w:rPr>
      </w:pPr>
    </w:p>
    <w:p>
      <w:pPr>
        <w:ind w:firstLine="1560"/>
        <w:spacing w:after="0" w:line="288" w:lineRule="auto"/>
        <w:tabs>
          <w:tab w:leader="none" w:pos="216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1" w:lineRule="exact"/>
        <w:rPr>
          <w:rFonts w:ascii="Arial" w:cs="Arial" w:eastAsia="Arial" w:hAnsi="Arial"/>
          <w:sz w:val="14"/>
          <w:szCs w:val="14"/>
          <w:color w:val="auto"/>
        </w:rPr>
      </w:pPr>
    </w:p>
    <w:p>
      <w:pPr>
        <w:jc w:val="both"/>
        <w:ind w:firstLine="1560"/>
        <w:spacing w:after="0" w:line="263" w:lineRule="auto"/>
        <w:tabs>
          <w:tab w:leader="none" w:pos="2191" w:val="left"/>
        </w:tabs>
        <w:numPr>
          <w:ilvl w:val="0"/>
          <w:numId w:val="214"/>
        </w:numPr>
        <w:rPr>
          <w:rFonts w:ascii="Arial" w:cs="Arial" w:eastAsia="Arial" w:hAnsi="Arial"/>
          <w:sz w:val="14"/>
          <w:szCs w:val="14"/>
          <w:color w:val="auto"/>
        </w:rPr>
      </w:pPr>
      <w:r>
        <w:rPr>
          <w:rFonts w:ascii="Arial" w:cs="Arial" w:eastAsia="Arial" w:hAnsi="Arial"/>
          <w:sz w:val="14"/>
          <w:szCs w:val="14"/>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6" w:name="page337"/>
    <w:bookmarkEnd w:id="336"/>
    <w:p>
      <w:pPr>
        <w:jc w:val="both"/>
        <w:ind w:firstLine="1036"/>
        <w:spacing w:after="0" w:line="265"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u w:val="single" w:color="auto"/>
          <w:color w:val="auto"/>
        </w:rPr>
        <w:t>Limitations on Subsequent Registration Rights</w:t>
      </w:r>
      <w:r>
        <w:rPr>
          <w:rFonts w:ascii="Arial" w:cs="Arial" w:eastAsia="Arial" w:hAnsi="Arial"/>
          <w:sz w:val="14"/>
          <w:szCs w:val="14"/>
          <w:color w:val="auto"/>
        </w:rPr>
        <w:t>. From and after the date of this Agreement, the Company shall not, without the prior written consent of the Holders of a majority of the Common Stock issued or issuable upon conversion of the Preferred Stock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initiate a demand for registration of any securities held by such holder or prospective holder.</w:t>
      </w:r>
    </w:p>
    <w:p>
      <w:pPr>
        <w:spacing w:after="0" w:line="147" w:lineRule="exact"/>
        <w:rPr>
          <w:sz w:val="20"/>
          <w:szCs w:val="20"/>
          <w:color w:val="auto"/>
        </w:rPr>
      </w:pPr>
    </w:p>
    <w:p>
      <w:pPr>
        <w:jc w:val="both"/>
        <w:ind w:firstLine="1036"/>
        <w:spacing w:after="0" w:line="284"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“Market Stand-off” Agreement</w:t>
      </w:r>
      <w:r>
        <w:rPr>
          <w:rFonts w:ascii="Arial" w:cs="Arial" w:eastAsia="Arial" w:hAnsi="Arial"/>
          <w:sz w:val="13"/>
          <w:szCs w:val="13"/>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w:t>
      </w:r>
    </w:p>
    <w:p>
      <w:pPr>
        <w:spacing w:after="0" w:line="1" w:lineRule="exact"/>
        <w:rPr>
          <w:sz w:val="20"/>
          <w:szCs w:val="20"/>
          <w:color w:val="auto"/>
        </w:rPr>
      </w:pPr>
    </w:p>
    <w:p>
      <w:pPr>
        <w:jc w:val="both"/>
        <w:ind w:firstLine="6"/>
        <w:spacing w:after="0" w:line="279" w:lineRule="auto"/>
        <w:tabs>
          <w:tab w:leader="none" w:pos="349" w:val="left"/>
        </w:tabs>
        <w:numPr>
          <w:ilvl w:val="0"/>
          <w:numId w:val="215"/>
        </w:numPr>
        <w:rPr>
          <w:rFonts w:ascii="Arial" w:cs="Arial" w:eastAsia="Arial" w:hAnsi="Arial"/>
          <w:sz w:val="13"/>
          <w:szCs w:val="13"/>
          <w:color w:val="auto"/>
        </w:rPr>
      </w:pPr>
      <w:r>
        <w:rPr>
          <w:rFonts w:ascii="Arial" w:cs="Arial" w:eastAsia="Arial" w:hAnsi="Arial"/>
          <w:sz w:val="13"/>
          <w:szCs w:val="13"/>
          <w:color w:val="auto"/>
        </w:rPr>
        <w:t xml:space="preserve">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prior to the effectiveness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shall not apply to (a) the sale of any shares to an underwriter pursuant to an underwriting agreement, or (b) the transfer of any shares to any trust for the direct or indirect benefit of the Holder or the immediate family of the Holder, provided that the trustee of the trust agrees to be bound in writing by the restrictions set forth herein, or (c) the transfer of any shares owned by a Holder in the Company to its Affiliates, provided that the Affiliate of the Holder agrees to be bound in writing by the restrictions set forth herein, or (d) shares subscribed for or purchased by a Holder in the open market or in such IPO, and provided further that any such transfer in the case of (b) or (c) above shall not involve a disposition for value, and shall be applicable to the Holders only if all officers and directors and all stockholders individually owning more than one percent (1%) of the Company’s outstanding Common Stock (after giving effect to conversion into Common Stock of all outstanding Preferred Stock) are subject to the same restrictions. The underwriters in connection with such registration are intended third party beneficiaries of this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or that are necessary to give further effect thereto. In the event that the Company or the managing underwriter waives or terminates any of the restrictions contained in this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or in a lock-up agreement with respect to the securities of any Holder, officer, director or greater than one-percent stockholder of the Company (in any such case, the “</w:t>
      </w:r>
      <w:r>
        <w:rPr>
          <w:rFonts w:ascii="Arial" w:cs="Arial" w:eastAsia="Arial" w:hAnsi="Arial"/>
          <w:sz w:val="13"/>
          <w:szCs w:val="13"/>
          <w:b w:val="1"/>
          <w:bCs w:val="1"/>
          <w:color w:val="auto"/>
        </w:rPr>
        <w:t>Released Securities</w:t>
      </w:r>
      <w:r>
        <w:rPr>
          <w:rFonts w:ascii="Arial" w:cs="Arial" w:eastAsia="Arial" w:hAnsi="Arial"/>
          <w:sz w:val="13"/>
          <w:szCs w:val="13"/>
          <w:color w:val="auto"/>
        </w:rPr>
        <w:t xml:space="preserve">”), the restrictions contained in this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337" w:name="page338"/>
    <w:bookmarkEnd w:id="337"/>
    <w:p>
      <w:pPr>
        <w:ind w:left="1040"/>
        <w:spacing w:after="0"/>
        <w:tabs>
          <w:tab w:leader="none" w:pos="1560" w:val="left"/>
        </w:tabs>
        <w:rPr>
          <w:sz w:val="20"/>
          <w:szCs w:val="20"/>
          <w:color w:val="auto"/>
        </w:rPr>
      </w:pPr>
      <w:r>
        <w:rPr>
          <w:rFonts w:ascii="Arial" w:cs="Arial" w:eastAsia="Arial" w:hAnsi="Arial"/>
          <w:sz w:val="14"/>
          <w:szCs w:val="14"/>
          <w:color w:val="auto"/>
        </w:rPr>
        <w:t>2.12</w:t>
      </w:r>
      <w:r>
        <w:rPr>
          <w:sz w:val="20"/>
          <w:szCs w:val="20"/>
          <w:color w:val="auto"/>
        </w:rPr>
        <w:tab/>
      </w:r>
      <w:r>
        <w:rPr>
          <w:rFonts w:ascii="Arial" w:cs="Arial" w:eastAsia="Arial" w:hAnsi="Arial"/>
          <w:sz w:val="13"/>
          <w:szCs w:val="13"/>
          <w:u w:val="single" w:color="auto"/>
          <w:color w:val="auto"/>
        </w:rPr>
        <w:t>Restrictions on Transfer</w:t>
      </w:r>
      <w:r>
        <w:rPr>
          <w:rFonts w:ascii="Arial" w:cs="Arial" w:eastAsia="Arial" w:hAnsi="Arial"/>
          <w:sz w:val="13"/>
          <w:szCs w:val="13"/>
          <w:color w:val="auto"/>
        </w:rPr>
        <w:t>.</w:t>
      </w:r>
    </w:p>
    <w:p>
      <w:pPr>
        <w:spacing w:after="0" w:line="184" w:lineRule="exact"/>
        <w:rPr>
          <w:sz w:val="20"/>
          <w:szCs w:val="20"/>
          <w:color w:val="auto"/>
        </w:rPr>
      </w:pPr>
    </w:p>
    <w:p>
      <w:pPr>
        <w:jc w:val="both"/>
        <w:ind w:firstLine="1560"/>
        <w:spacing w:after="0" w:line="287" w:lineRule="auto"/>
        <w:tabs>
          <w:tab w:leader="none" w:pos="218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Registrable Securities held by such Holder to agree to take and hold such securities subject to the provisions and upon the conditions specified in this Agreement. The Company may, in its sole discretion, require a transferring Holder to pay the Company’s reasonable out-of-pocket expenses in connection with a transfer, unless the transferee is an Affiliate of the transferring Holder. Notwithstanding the foregoing, the Company shall not require any transferee of shares pursuant to an effective registration statement or, following the IPO, SEC Rule 144, in each case, to be bound by the terms of this Agreement.</w:t>
      </w:r>
    </w:p>
    <w:p>
      <w:pPr>
        <w:spacing w:after="0" w:line="135" w:lineRule="exact"/>
        <w:rPr>
          <w:rFonts w:ascii="Arial" w:cs="Arial" w:eastAsia="Arial" w:hAnsi="Arial"/>
          <w:sz w:val="13"/>
          <w:szCs w:val="13"/>
          <w:color w:val="auto"/>
        </w:rPr>
      </w:pPr>
    </w:p>
    <w:p>
      <w:pPr>
        <w:jc w:val="both"/>
        <w:ind w:firstLine="1560"/>
        <w:spacing w:after="0" w:line="273" w:lineRule="auto"/>
        <w:tabs>
          <w:tab w:leader="none" w:pos="216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4"/>
          <w:szCs w:val="14"/>
          <w:u w:val="single" w:color="auto"/>
          <w:color w:val="auto"/>
        </w:rPr>
        <w:t>Section 2.12(c)</w:t>
      </w:r>
      <w:r>
        <w:rPr>
          <w:rFonts w:ascii="Arial" w:cs="Arial" w:eastAsia="Arial" w:hAnsi="Arial"/>
          <w:sz w:val="14"/>
          <w:szCs w:val="14"/>
          <w:color w:val="auto"/>
        </w:rPr>
        <w:t>) bear a legend substantially in the following form:</w:t>
      </w:r>
    </w:p>
    <w:p>
      <w:pPr>
        <w:spacing w:after="0" w:line="141" w:lineRule="exact"/>
        <w:rPr>
          <w:sz w:val="20"/>
          <w:szCs w:val="20"/>
          <w:color w:val="auto"/>
        </w:rPr>
      </w:pPr>
    </w:p>
    <w:p>
      <w:pPr>
        <w:jc w:val="both"/>
        <w:ind w:left="520"/>
        <w:spacing w:after="0" w:line="273" w:lineRule="auto"/>
        <w:rPr>
          <w:sz w:val="20"/>
          <w:szCs w:val="20"/>
          <w:color w:val="auto"/>
        </w:rPr>
      </w:pPr>
      <w:r>
        <w:rPr>
          <w:rFonts w:ascii="Arial" w:cs="Arial" w:eastAsia="Arial" w:hAnsi="Arial"/>
          <w:sz w:val="14"/>
          <w:szCs w:val="14"/>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41" w:lineRule="exact"/>
        <w:rPr>
          <w:sz w:val="20"/>
          <w:szCs w:val="20"/>
          <w:color w:val="auto"/>
        </w:rPr>
      </w:pPr>
    </w:p>
    <w:p>
      <w:pPr>
        <w:jc w:val="both"/>
        <w:ind w:left="520"/>
        <w:spacing w:after="0" w:line="288" w:lineRule="auto"/>
        <w:rPr>
          <w:sz w:val="20"/>
          <w:szCs w:val="20"/>
          <w:color w:val="auto"/>
        </w:rPr>
      </w:pPr>
      <w:r>
        <w:rPr>
          <w:rFonts w:ascii="Arial" w:cs="Arial" w:eastAsia="Arial" w:hAnsi="Arial"/>
          <w:sz w:val="14"/>
          <w:szCs w:val="14"/>
          <w:color w:val="auto"/>
        </w:rPr>
        <w:t>THE SECURITIES REPRESENTED HEREBY MAY BE TRANSFERRED ONLY IN ACCORDANCE WITH THE TERMS OF AN INVESTORS’ RIGHTS AGREEMENT BETWEEN THE COMPANY AND THE STOCKHOLDER, A COPY OF WHICH IS ON FILE WITH THE SECRETARY OF THE COMPANY.</w:t>
      </w:r>
    </w:p>
    <w:p>
      <w:pPr>
        <w:spacing w:after="0" w:line="132" w:lineRule="exact"/>
        <w:rPr>
          <w:sz w:val="20"/>
          <w:szCs w:val="20"/>
          <w:color w:val="auto"/>
        </w:rPr>
      </w:pPr>
    </w:p>
    <w:p>
      <w:pPr>
        <w:ind w:firstLine="259"/>
        <w:spacing w:after="0" w:line="288" w:lineRule="auto"/>
        <w:rPr>
          <w:sz w:val="20"/>
          <w:szCs w:val="20"/>
          <w:color w:val="auto"/>
        </w:rPr>
      </w:pPr>
      <w:r>
        <w:rPr>
          <w:rFonts w:ascii="Arial" w:cs="Arial" w:eastAsia="Arial" w:hAnsi="Arial"/>
          <w:sz w:val="14"/>
          <w:szCs w:val="14"/>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4"/>
          <w:szCs w:val="14"/>
          <w:u w:val="single" w:color="auto"/>
          <w:color w:val="auto"/>
        </w:rPr>
        <w:t>Section 2.12</w:t>
      </w:r>
      <w:r>
        <w:rPr>
          <w:rFonts w:ascii="Arial" w:cs="Arial" w:eastAsia="Arial" w:hAnsi="Arial"/>
          <w:sz w:val="14"/>
          <w:szCs w:val="14"/>
          <w:color w:val="auto"/>
        </w:rPr>
        <w:t>.</w:t>
      </w:r>
    </w:p>
    <w:p>
      <w:pPr>
        <w:spacing w:after="0" w:line="132" w:lineRule="exact"/>
        <w:rPr>
          <w:sz w:val="20"/>
          <w:szCs w:val="20"/>
          <w:color w:val="auto"/>
        </w:rPr>
      </w:pPr>
    </w:p>
    <w:p>
      <w:pPr>
        <w:jc w:val="both"/>
        <w:ind w:firstLine="524"/>
        <w:spacing w:after="0" w:line="265" w:lineRule="auto"/>
        <w:tabs>
          <w:tab w:leader="none" w:pos="1145" w:val="left"/>
        </w:tabs>
        <w:numPr>
          <w:ilvl w:val="0"/>
          <w:numId w:val="217"/>
        </w:numPr>
        <w:rPr>
          <w:rFonts w:ascii="Arial" w:cs="Arial" w:eastAsia="Arial" w:hAnsi="Arial"/>
          <w:sz w:val="14"/>
          <w:szCs w:val="14"/>
          <w:color w:val="auto"/>
        </w:rPr>
      </w:pPr>
      <w:r>
        <w:rPr>
          <w:rFonts w:ascii="Arial" w:cs="Arial" w:eastAsia="Arial" w:hAnsi="Arial"/>
          <w:sz w:val="14"/>
          <w:szCs w:val="14"/>
          <w:color w:val="auto"/>
        </w:rPr>
        <w:t xml:space="preserve">The holder of each certificate, instrument or book-entry representing Restricted Securities, by acceptance thereof, agrees to comply in all respects with the provisions of this </w:t>
      </w:r>
      <w:r>
        <w:rPr>
          <w:rFonts w:ascii="Arial" w:cs="Arial" w:eastAsia="Arial" w:hAnsi="Arial"/>
          <w:sz w:val="14"/>
          <w:szCs w:val="14"/>
          <w:u w:val="single" w:color="auto"/>
          <w:color w:val="auto"/>
        </w:rPr>
        <w:t>Section 2.12</w:t>
      </w:r>
      <w:r>
        <w:rPr>
          <w:rFonts w:ascii="Arial" w:cs="Arial" w:eastAsia="Arial" w:hAnsi="Arial"/>
          <w:sz w:val="14"/>
          <w:szCs w:val="14"/>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8" w:name="page339"/>
    <w:bookmarkEnd w:id="338"/>
    <w:p>
      <w:pPr>
        <w:jc w:val="both"/>
        <w:spacing w:after="0" w:line="282" w:lineRule="auto"/>
        <w:rPr>
          <w:sz w:val="20"/>
          <w:szCs w:val="20"/>
          <w:color w:val="auto"/>
        </w:rPr>
      </w:pPr>
      <w:r>
        <w:rPr>
          <w:rFonts w:ascii="Arial" w:cs="Arial" w:eastAsia="Arial" w:hAnsi="Arial"/>
          <w:sz w:val="13"/>
          <w:szCs w:val="13"/>
          <w:color w:val="auto"/>
        </w:rPr>
        <w:t xml:space="preserve">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other than in connection with a transfer in compliance with SEC Rule 144 following the IPO, each transferee agrees in writing to be subject to the terms of this </w:t>
      </w:r>
      <w:r>
        <w:rPr>
          <w:rFonts w:ascii="Arial" w:cs="Arial" w:eastAsia="Arial" w:hAnsi="Arial"/>
          <w:sz w:val="13"/>
          <w:szCs w:val="13"/>
          <w:u w:val="single" w:color="auto"/>
          <w:color w:val="auto"/>
        </w:rPr>
        <w:t>Section 2.12</w:t>
      </w:r>
      <w:r>
        <w:rPr>
          <w:rFonts w:ascii="Arial" w:cs="Arial" w:eastAsia="Arial" w:hAnsi="Arial"/>
          <w:sz w:val="13"/>
          <w:szCs w:val="13"/>
          <w:color w:val="auto"/>
        </w:rPr>
        <w:t xml:space="preserve">. Each certificate, instrument, or book entry representing the Restricted Securities transferred as above provided shall bear, except if such transfer is made pursuant to SEC Rule 144 or pursuant to an effective registration statement, the appropriate restrictive legend set forth in </w:t>
      </w:r>
      <w:r>
        <w:rPr>
          <w:rFonts w:ascii="Arial" w:cs="Arial" w:eastAsia="Arial" w:hAnsi="Arial"/>
          <w:sz w:val="13"/>
          <w:szCs w:val="13"/>
          <w:u w:val="single" w:color="auto"/>
          <w:color w:val="auto"/>
        </w:rPr>
        <w:t>Section 2.12(b)</w:t>
      </w:r>
      <w:r>
        <w:rPr>
          <w:rFonts w:ascii="Arial" w:cs="Arial" w:eastAsia="Arial" w:hAnsi="Arial"/>
          <w:sz w:val="13"/>
          <w:szCs w:val="13"/>
          <w:color w:val="auto"/>
        </w:rPr>
        <w:t>, except that such certificate instrument, or book entry shall not bear such restrictive legend if, in the opinion of counsel for such Holder and the Company, such legend is not required in order to establish compliance with any provisions of the Securities Act.</w:t>
      </w:r>
    </w:p>
    <w:p>
      <w:pPr>
        <w:spacing w:after="0" w:line="142"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2.13</w:t>
      </w:r>
      <w:r>
        <w:rPr>
          <w:sz w:val="20"/>
          <w:szCs w:val="20"/>
          <w:color w:val="auto"/>
        </w:rPr>
        <w:tab/>
      </w:r>
      <w:r>
        <w:rPr>
          <w:rFonts w:ascii="Arial" w:cs="Arial" w:eastAsia="Arial" w:hAnsi="Arial"/>
          <w:sz w:val="13"/>
          <w:szCs w:val="13"/>
          <w:u w:val="single" w:color="auto"/>
          <w:color w:val="auto"/>
        </w:rPr>
        <w:t>Termination of Registration Rights</w:t>
      </w:r>
      <w:r>
        <w:rPr>
          <w:rFonts w:ascii="Arial" w:cs="Arial" w:eastAsia="Arial" w:hAnsi="Arial"/>
          <w:sz w:val="13"/>
          <w:szCs w:val="13"/>
          <w:color w:val="auto"/>
        </w:rPr>
        <w:t>. The right of any Holder to request registration or inclusion of Registrable Securities in any registration pursuant to</w:t>
      </w:r>
      <w:r>
        <w:rPr>
          <w:rFonts w:ascii="Arial" w:cs="Arial" w:eastAsia="Arial" w:hAnsi="Arial"/>
          <w:sz w:val="13"/>
          <w:szCs w:val="13"/>
          <w:u w:val="single" w:color="auto"/>
          <w:color w:val="auto"/>
        </w:rPr>
        <w:t xml:space="preserve"> Sections 2.1 </w:t>
      </w:r>
      <w:r>
        <w:rPr>
          <w:rFonts w:ascii="Arial" w:cs="Arial" w:eastAsia="Arial" w:hAnsi="Arial"/>
          <w:sz w:val="13"/>
          <w:szCs w:val="13"/>
          <w:color w:val="auto"/>
        </w:rPr>
        <w:t>or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2.2</w:t>
      </w:r>
      <w:r>
        <w:rPr>
          <w:rFonts w:ascii="Arial" w:cs="Arial" w:eastAsia="Arial" w:hAnsi="Arial"/>
          <w:sz w:val="14"/>
          <w:szCs w:val="14"/>
          <w:color w:val="auto"/>
        </w:rPr>
        <w:t xml:space="preserve"> shall terminate upon the earliest to occur of:</w:t>
      </w:r>
    </w:p>
    <w:p>
      <w:pPr>
        <w:spacing w:after="0" w:line="175" w:lineRule="exact"/>
        <w:rPr>
          <w:sz w:val="20"/>
          <w:szCs w:val="20"/>
          <w:color w:val="auto"/>
        </w:rPr>
      </w:pPr>
    </w:p>
    <w:p>
      <w:pPr>
        <w:ind w:firstLine="1560"/>
        <w:spacing w:after="0" w:line="288" w:lineRule="auto"/>
        <w:tabs>
          <w:tab w:leader="none" w:pos="2180" w:val="left"/>
        </w:tabs>
        <w:numPr>
          <w:ilvl w:val="1"/>
          <w:numId w:val="218"/>
        </w:numPr>
        <w:rPr>
          <w:rFonts w:ascii="Arial" w:cs="Arial" w:eastAsia="Arial" w:hAnsi="Arial"/>
          <w:sz w:val="14"/>
          <w:szCs w:val="14"/>
          <w:color w:val="auto"/>
        </w:rPr>
      </w:pPr>
      <w:r>
        <w:rPr>
          <w:rFonts w:ascii="Arial" w:cs="Arial" w:eastAsia="Arial" w:hAnsi="Arial"/>
          <w:sz w:val="14"/>
          <w:szCs w:val="14"/>
          <w:color w:val="auto"/>
        </w:rPr>
        <w:t>the closing of a Deemed Liquidation Event, as such term is defined in the Certificate of Incorporation, and only after fulfillment of the obligations set forth under Article Fourth, Part B, Section 2.3.2 of the Certificate of Incorporation in connection with such Deemed Liquidation Event;</w:t>
      </w:r>
    </w:p>
    <w:p>
      <w:pPr>
        <w:spacing w:after="0" w:line="131" w:lineRule="exact"/>
        <w:rPr>
          <w:rFonts w:ascii="Arial" w:cs="Arial" w:eastAsia="Arial" w:hAnsi="Arial"/>
          <w:sz w:val="14"/>
          <w:szCs w:val="14"/>
          <w:color w:val="auto"/>
        </w:rPr>
      </w:pPr>
    </w:p>
    <w:p>
      <w:pPr>
        <w:ind w:firstLine="1560"/>
        <w:spacing w:after="0" w:line="288" w:lineRule="auto"/>
        <w:tabs>
          <w:tab w:leader="none" w:pos="2171" w:val="left"/>
        </w:tabs>
        <w:numPr>
          <w:ilvl w:val="1"/>
          <w:numId w:val="218"/>
        </w:numPr>
        <w:rPr>
          <w:rFonts w:ascii="Arial" w:cs="Arial" w:eastAsia="Arial" w:hAnsi="Arial"/>
          <w:sz w:val="14"/>
          <w:szCs w:val="14"/>
          <w:color w:val="auto"/>
        </w:rPr>
      </w:pPr>
      <w:r>
        <w:rPr>
          <w:rFonts w:ascii="Arial" w:cs="Arial" w:eastAsia="Arial" w:hAnsi="Arial"/>
          <w:sz w:val="14"/>
          <w:szCs w:val="14"/>
          <w:color w:val="auto"/>
        </w:rPr>
        <w:t>such time after consummation of the IPO as SEC Rule 144 or another similar exemption under the Securities Act is available for the sale of all of such Holder’s shares without limitation during a three-month period without registration; and</w:t>
      </w:r>
    </w:p>
    <w:p>
      <w:pPr>
        <w:spacing w:after="0" w:line="133" w:lineRule="exact"/>
        <w:rPr>
          <w:rFonts w:ascii="Arial" w:cs="Arial" w:eastAsia="Arial" w:hAnsi="Arial"/>
          <w:sz w:val="14"/>
          <w:szCs w:val="14"/>
          <w:color w:val="auto"/>
        </w:rPr>
      </w:pPr>
    </w:p>
    <w:p>
      <w:pPr>
        <w:ind w:left="2180" w:hanging="620"/>
        <w:spacing w:after="0"/>
        <w:tabs>
          <w:tab w:leader="none" w:pos="2180" w:val="left"/>
        </w:tabs>
        <w:numPr>
          <w:ilvl w:val="1"/>
          <w:numId w:val="218"/>
        </w:numPr>
        <w:rPr>
          <w:rFonts w:ascii="Arial" w:cs="Arial" w:eastAsia="Arial" w:hAnsi="Arial"/>
          <w:sz w:val="14"/>
          <w:szCs w:val="14"/>
          <w:color w:val="auto"/>
        </w:rPr>
      </w:pPr>
      <w:r>
        <w:rPr>
          <w:rFonts w:ascii="Arial" w:cs="Arial" w:eastAsia="Arial" w:hAnsi="Arial"/>
          <w:sz w:val="14"/>
          <w:szCs w:val="14"/>
          <w:color w:val="auto"/>
        </w:rPr>
        <w:t>the third (3</w:t>
      </w:r>
      <w:r>
        <w:rPr>
          <w:rFonts w:ascii="Arial" w:cs="Arial" w:eastAsia="Arial" w:hAnsi="Arial"/>
          <w:sz w:val="23"/>
          <w:szCs w:val="23"/>
          <w:color w:val="auto"/>
          <w:vertAlign w:val="superscript"/>
        </w:rPr>
        <w:t>rd</w:t>
      </w:r>
      <w:r>
        <w:rPr>
          <w:rFonts w:ascii="Arial" w:cs="Arial" w:eastAsia="Arial" w:hAnsi="Arial"/>
          <w:sz w:val="14"/>
          <w:szCs w:val="14"/>
          <w:color w:val="auto"/>
        </w:rPr>
        <w:t>) anniversary of the Qualified IPO (as defined in the Certificate of Incorporation).</w:t>
      </w:r>
    </w:p>
    <w:p>
      <w:pPr>
        <w:spacing w:after="0" w:line="111" w:lineRule="exact"/>
        <w:rPr>
          <w:rFonts w:ascii="Arial" w:cs="Arial" w:eastAsia="Arial" w:hAnsi="Arial"/>
          <w:sz w:val="14"/>
          <w:szCs w:val="14"/>
          <w:color w:val="auto"/>
        </w:rPr>
      </w:pPr>
    </w:p>
    <w:p>
      <w:pPr>
        <w:ind w:left="1160" w:hanging="636"/>
        <w:spacing w:after="0"/>
        <w:tabs>
          <w:tab w:leader="none" w:pos="1160"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Rights to Future Stock Issuances</w:t>
      </w:r>
      <w:r>
        <w:rPr>
          <w:rFonts w:ascii="Arial" w:cs="Arial" w:eastAsia="Arial" w:hAnsi="Arial"/>
          <w:sz w:val="14"/>
          <w:szCs w:val="14"/>
          <w:color w:val="auto"/>
        </w:rPr>
        <w:t>.</w:t>
      </w:r>
    </w:p>
    <w:p>
      <w:pPr>
        <w:spacing w:after="0" w:line="184" w:lineRule="exact"/>
        <w:rPr>
          <w:sz w:val="20"/>
          <w:szCs w:val="20"/>
          <w:color w:val="auto"/>
        </w:rPr>
      </w:pPr>
    </w:p>
    <w:p>
      <w:pPr>
        <w:jc w:val="both"/>
        <w:ind w:firstLine="1036"/>
        <w:spacing w:after="0" w:line="265"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Right of First Offer</w:t>
      </w:r>
      <w:r>
        <w:rPr>
          <w:rFonts w:ascii="Arial" w:cs="Arial" w:eastAsia="Arial" w:hAnsi="Arial"/>
          <w:sz w:val="14"/>
          <w:szCs w:val="14"/>
          <w:color w:val="auto"/>
        </w:rPr>
        <w:t xml:space="preserve">. Subject to the terms and conditions of this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Arial" w:cs="Arial" w:eastAsia="Arial" w:hAnsi="Arial"/>
          <w:sz w:val="14"/>
          <w:szCs w:val="14"/>
          <w:b w:val="1"/>
          <w:bCs w:val="1"/>
          <w:color w:val="auto"/>
        </w:rPr>
        <w:t>Investor Beneficial Owners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each such Affiliate or Investor Beneficial Owner agrees to enter into this Agreement and each of the Voting Agreement and Right of First Refusal and Co-Sale Agreement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339" w:name="page340"/>
    <w:bookmarkEnd w:id="339"/>
    <w:p>
      <w:pPr>
        <w:spacing w:after="0"/>
        <w:rPr>
          <w:sz w:val="20"/>
          <w:szCs w:val="20"/>
          <w:color w:val="auto"/>
        </w:rPr>
      </w:pPr>
      <w:r>
        <w:rPr>
          <w:rFonts w:ascii="Arial" w:cs="Arial" w:eastAsia="Arial" w:hAnsi="Arial"/>
          <w:sz w:val="14"/>
          <w:szCs w:val="14"/>
          <w:color w:val="auto"/>
        </w:rPr>
        <w:t>of even date herewith among the Company, the Investors and the other parties named therein, as an “Investor” under each such agreement.</w:t>
      </w:r>
    </w:p>
    <w:p>
      <w:pPr>
        <w:spacing w:after="0" w:line="180" w:lineRule="exact"/>
        <w:rPr>
          <w:sz w:val="20"/>
          <w:szCs w:val="20"/>
          <w:color w:val="auto"/>
        </w:rPr>
      </w:pPr>
    </w:p>
    <w:p>
      <w:pPr>
        <w:ind w:firstLine="1560"/>
        <w:spacing w:after="0" w:line="294" w:lineRule="auto"/>
        <w:tabs>
          <w:tab w:leader="none" w:pos="21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The Company shall give notice (the “</w:t>
      </w:r>
      <w:r>
        <w:rPr>
          <w:rFonts w:ascii="Arial" w:cs="Arial" w:eastAsia="Arial" w:hAnsi="Arial"/>
          <w:sz w:val="14"/>
          <w:szCs w:val="14"/>
          <w:b w:val="1"/>
          <w:bCs w:val="1"/>
          <w:color w:val="auto"/>
        </w:rPr>
        <w:t>Offer Notice</w:t>
      </w:r>
      <w:r>
        <w:rPr>
          <w:rFonts w:ascii="Arial" w:cs="Arial" w:eastAsia="Arial" w:hAnsi="Arial"/>
          <w:sz w:val="14"/>
          <w:szCs w:val="14"/>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27" w:lineRule="exact"/>
        <w:rPr>
          <w:rFonts w:ascii="Arial" w:cs="Arial" w:eastAsia="Arial" w:hAnsi="Arial"/>
          <w:sz w:val="14"/>
          <w:szCs w:val="14"/>
          <w:color w:val="auto"/>
        </w:rPr>
      </w:pPr>
    </w:p>
    <w:p>
      <w:pPr>
        <w:jc w:val="both"/>
        <w:ind w:firstLine="1560"/>
        <w:spacing w:after="0" w:line="281" w:lineRule="auto"/>
        <w:tabs>
          <w:tab w:leader="none" w:pos="2160" w:val="left"/>
        </w:tabs>
        <w:numPr>
          <w:ilvl w:val="0"/>
          <w:numId w:val="220"/>
        </w:numPr>
        <w:rPr>
          <w:rFonts w:ascii="Arial" w:cs="Arial" w:eastAsia="Arial" w:hAnsi="Arial"/>
          <w:sz w:val="13"/>
          <w:szCs w:val="13"/>
          <w:color w:val="auto"/>
        </w:rPr>
      </w:pPr>
      <w:r>
        <w:rPr>
          <w:rFonts w:ascii="Arial" w:cs="Arial" w:eastAsia="Arial" w:hAnsi="Arial"/>
          <w:sz w:val="13"/>
          <w:szCs w:val="13"/>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issued and held, or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3"/>
          <w:szCs w:val="13"/>
          <w:b w:val="1"/>
          <w:bCs w:val="1"/>
          <w:color w:val="auto"/>
        </w:rPr>
        <w:t>Fully</w:t>
      </w:r>
      <w:r>
        <w:rPr>
          <w:rFonts w:ascii="Arial" w:cs="Arial" w:eastAsia="Arial" w:hAnsi="Arial"/>
          <w:sz w:val="13"/>
          <w:szCs w:val="13"/>
          <w:color w:val="auto"/>
        </w:rPr>
        <w:t xml:space="preserve"> </w:t>
      </w:r>
      <w:r>
        <w:rPr>
          <w:rFonts w:ascii="Arial" w:cs="Arial" w:eastAsia="Arial" w:hAnsi="Arial"/>
          <w:sz w:val="13"/>
          <w:szCs w:val="13"/>
          <w:b w:val="1"/>
          <w:bCs w:val="1"/>
          <w:color w:val="auto"/>
        </w:rPr>
        <w:t>Exercising Investor</w:t>
      </w:r>
      <w:r>
        <w:rPr>
          <w:rFonts w:ascii="Arial" w:cs="Arial" w:eastAsia="Arial" w:hAnsi="Arial"/>
          <w:sz w:val="13"/>
          <w:szCs w:val="13"/>
          <w:color w:val="auto"/>
        </w:rPr>
        <w:t>”) of any other Major Investor’s failure to do likewise. During the ten (10) day period commencing after the Company has given such notice, each Fully Exercising Investor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3"/>
          <w:szCs w:val="13"/>
          <w:u w:val="single" w:color="auto"/>
          <w:color w:val="auto"/>
        </w:rPr>
        <w:t>Section 3.1(b)</w:t>
      </w:r>
      <w:r>
        <w:rPr>
          <w:rFonts w:ascii="Arial" w:cs="Arial" w:eastAsia="Arial" w:hAnsi="Arial"/>
          <w:sz w:val="13"/>
          <w:szCs w:val="13"/>
          <w:color w:val="auto"/>
        </w:rPr>
        <w:t xml:space="preserve"> shall occur within the later of one hundred and twenty (120) days of the date that the Offer Notice is given and the date of initial sale of New Securities pursuant to </w:t>
      </w:r>
      <w:r>
        <w:rPr>
          <w:rFonts w:ascii="Arial" w:cs="Arial" w:eastAsia="Arial" w:hAnsi="Arial"/>
          <w:sz w:val="13"/>
          <w:szCs w:val="13"/>
          <w:u w:val="single" w:color="auto"/>
          <w:color w:val="auto"/>
        </w:rPr>
        <w:t>Section 3.1(b)</w:t>
      </w:r>
      <w:r>
        <w:rPr>
          <w:rFonts w:ascii="Arial" w:cs="Arial" w:eastAsia="Arial" w:hAnsi="Arial"/>
          <w:sz w:val="13"/>
          <w:szCs w:val="13"/>
          <w:color w:val="auto"/>
        </w:rPr>
        <w:t>.</w:t>
      </w:r>
    </w:p>
    <w:p>
      <w:pPr>
        <w:spacing w:after="0" w:line="143" w:lineRule="exact"/>
        <w:rPr>
          <w:rFonts w:ascii="Arial" w:cs="Arial" w:eastAsia="Arial" w:hAnsi="Arial"/>
          <w:sz w:val="13"/>
          <w:szCs w:val="13"/>
          <w:color w:val="auto"/>
        </w:rPr>
      </w:pPr>
    </w:p>
    <w:p>
      <w:pPr>
        <w:jc w:val="both"/>
        <w:ind w:firstLine="1560"/>
        <w:spacing w:after="0" w:line="265" w:lineRule="auto"/>
        <w:tabs>
          <w:tab w:leader="none" w:pos="218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 xml:space="preserve">If all New Securities referred to in the Offer Notice are not elected to be purchased or acquired as provided in </w:t>
      </w:r>
      <w:r>
        <w:rPr>
          <w:rFonts w:ascii="Arial" w:cs="Arial" w:eastAsia="Arial" w:hAnsi="Arial"/>
          <w:sz w:val="14"/>
          <w:szCs w:val="14"/>
          <w:u w:val="single" w:color="auto"/>
          <w:color w:val="auto"/>
        </w:rPr>
        <w:t>Section 3.1(b)</w:t>
      </w:r>
      <w:r>
        <w:rPr>
          <w:rFonts w:ascii="Arial" w:cs="Arial" w:eastAsia="Arial" w:hAnsi="Arial"/>
          <w:sz w:val="14"/>
          <w:szCs w:val="14"/>
          <w:color w:val="auto"/>
        </w:rPr>
        <w:t xml:space="preserve">, the Company may, during the ninety (90) day period following the expiration of the period provided in </w:t>
      </w:r>
      <w:r>
        <w:rPr>
          <w:rFonts w:ascii="Arial" w:cs="Arial" w:eastAsia="Arial" w:hAnsi="Arial"/>
          <w:sz w:val="14"/>
          <w:szCs w:val="14"/>
          <w:u w:val="single" w:color="auto"/>
          <w:color w:val="auto"/>
        </w:rPr>
        <w:t>Section 3.1(b)</w:t>
      </w:r>
      <w:r>
        <w:rPr>
          <w:rFonts w:ascii="Arial" w:cs="Arial" w:eastAsia="Arial" w:hAnsi="Arial"/>
          <w:sz w:val="14"/>
          <w:szCs w:val="14"/>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4"/>
          <w:szCs w:val="14"/>
          <w:u w:val="single" w:color="auto"/>
          <w:color w:val="auto"/>
        </w:rPr>
        <w:t>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79375</wp:posOffset>
            </wp:positionV>
            <wp:extent cx="22860" cy="69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27"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 xml:space="preserve">The right of first offer in this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shall not be applicable to (i) Exempted Securities (as defined in the Certificate of Incorporation); (ii) shares of Common Stock issued in the IPO; and (iii) the issuance of shares of Preferred Stock pursuant to the Purchase Agreement.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340" w:name="page341"/>
    <w:bookmarkEnd w:id="340"/>
    <w:p>
      <w:pPr>
        <w:ind w:firstLine="1036"/>
        <w:spacing w:after="0" w:line="288"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Termination</w:t>
      </w:r>
      <w:r>
        <w:rPr>
          <w:rFonts w:ascii="Arial" w:cs="Arial" w:eastAsia="Arial" w:hAnsi="Arial"/>
          <w:sz w:val="14"/>
          <w:szCs w:val="14"/>
          <w:color w:val="auto"/>
        </w:rPr>
        <w:t>. The covenants set forth in Section 3.1 shall terminate and be of no further force or effect (i) immediately before the consummation of the IPO, or (ii) upon the closing of a Deemed Liquidation Event, as such term is defined in the Certificate of Incorporation, whichever event occurs first.</w:t>
      </w:r>
    </w:p>
    <w:p>
      <w:pPr>
        <w:spacing w:after="0" w:line="132" w:lineRule="exact"/>
        <w:rPr>
          <w:sz w:val="20"/>
          <w:szCs w:val="20"/>
          <w:color w:val="auto"/>
        </w:rPr>
      </w:pPr>
    </w:p>
    <w:p>
      <w:pPr>
        <w:ind w:left="1160" w:hanging="636"/>
        <w:spacing w:after="0"/>
        <w:tabs>
          <w:tab w:leader="none" w:pos="1160"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Additional Covenants</w:t>
      </w:r>
      <w:r>
        <w:rPr>
          <w:rFonts w:ascii="Arial" w:cs="Arial" w:eastAsia="Arial" w:hAnsi="Arial"/>
          <w:sz w:val="14"/>
          <w:szCs w:val="14"/>
          <w:color w:val="auto"/>
        </w:rPr>
        <w:t>.</w:t>
      </w:r>
    </w:p>
    <w:p>
      <w:pPr>
        <w:spacing w:after="0" w:line="184"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u w:val="single" w:color="auto"/>
          <w:color w:val="auto"/>
        </w:rPr>
        <w:t>Information Rights</w:t>
      </w:r>
      <w:r>
        <w:rPr>
          <w:rFonts w:ascii="Arial" w:cs="Arial" w:eastAsia="Arial" w:hAnsi="Arial"/>
          <w:sz w:val="13"/>
          <w:szCs w:val="13"/>
          <w:color w:val="auto"/>
        </w:rPr>
        <w:t>.</w:t>
      </w:r>
    </w:p>
    <w:p>
      <w:pPr>
        <w:spacing w:after="0" w:line="184" w:lineRule="exact"/>
        <w:rPr>
          <w:sz w:val="20"/>
          <w:szCs w:val="20"/>
          <w:color w:val="auto"/>
        </w:rPr>
      </w:pPr>
    </w:p>
    <w:p>
      <w:pPr>
        <w:jc w:val="both"/>
        <w:ind w:firstLine="1560"/>
        <w:spacing w:after="0" w:line="273" w:lineRule="auto"/>
        <w:tabs>
          <w:tab w:leader="none" w:pos="218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Delivery of Financial Statements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4.1(c)</w:t>
      </w:r>
      <w:r>
        <w:rPr>
          <w:rFonts w:ascii="Arial" w:cs="Arial" w:eastAsia="Arial" w:hAnsi="Arial"/>
          <w:sz w:val="14"/>
          <w:szCs w:val="14"/>
          <w:color w:val="auto"/>
        </w:rPr>
        <w:t xml:space="preserve"> of this Agreement, the Company shall deliver to each Major Investor,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Board has not reasonably determined that such Major Investor is a competitor of the Company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venture capital or other investment funds shall not be considered competitors of the Company):</w:t>
      </w:r>
    </w:p>
    <w:p>
      <w:pPr>
        <w:spacing w:after="0" w:line="141" w:lineRule="exact"/>
        <w:rPr>
          <w:rFonts w:ascii="Arial" w:cs="Arial" w:eastAsia="Arial" w:hAnsi="Arial"/>
          <w:sz w:val="14"/>
          <w:szCs w:val="14"/>
          <w:color w:val="auto"/>
        </w:rPr>
      </w:pPr>
    </w:p>
    <w:p>
      <w:pPr>
        <w:jc w:val="both"/>
        <w:ind w:firstLine="2078"/>
        <w:spacing w:after="0" w:line="273" w:lineRule="auto"/>
        <w:tabs>
          <w:tab w:leader="none" w:pos="2703" w:val="left"/>
        </w:tabs>
        <w:numPr>
          <w:ilvl w:val="1"/>
          <w:numId w:val="222"/>
        </w:numPr>
        <w:rPr>
          <w:rFonts w:ascii="Arial" w:cs="Arial" w:eastAsia="Arial" w:hAnsi="Arial"/>
          <w:sz w:val="14"/>
          <w:szCs w:val="14"/>
          <w:color w:val="auto"/>
        </w:rPr>
      </w:pPr>
      <w:r>
        <w:rPr>
          <w:rFonts w:ascii="Arial" w:cs="Arial" w:eastAsia="Arial" w:hAnsi="Arial"/>
          <w:sz w:val="14"/>
          <w:szCs w:val="14"/>
          <w:color w:val="auto"/>
        </w:rPr>
        <w:t>as soon as practicable, but in any event no later than sixty (60) days before the end of each fiscal year, a budget and business plan for the next fiscal year (collectively, the “</w:t>
      </w:r>
      <w:r>
        <w:rPr>
          <w:rFonts w:ascii="Arial" w:cs="Arial" w:eastAsia="Arial" w:hAnsi="Arial"/>
          <w:sz w:val="14"/>
          <w:szCs w:val="14"/>
          <w:b w:val="1"/>
          <w:bCs w:val="1"/>
          <w:color w:val="auto"/>
        </w:rPr>
        <w:t>Budget</w:t>
      </w:r>
      <w:r>
        <w:rPr>
          <w:rFonts w:ascii="Arial" w:cs="Arial" w:eastAsia="Arial" w:hAnsi="Arial"/>
          <w:sz w:val="14"/>
          <w:szCs w:val="14"/>
          <w:color w:val="auto"/>
        </w:rPr>
        <w:t>”), prepared on a monthly basis, including balance sheets, income statements, and statements of cash flow for such months and, promptly after prepared, any other budgets or revised budgets prepared by the Company;</w:t>
      </w:r>
    </w:p>
    <w:p>
      <w:pPr>
        <w:spacing w:after="0" w:line="141" w:lineRule="exact"/>
        <w:rPr>
          <w:rFonts w:ascii="Arial" w:cs="Arial" w:eastAsia="Arial" w:hAnsi="Arial"/>
          <w:sz w:val="14"/>
          <w:szCs w:val="14"/>
          <w:color w:val="auto"/>
        </w:rPr>
      </w:pPr>
    </w:p>
    <w:p>
      <w:pPr>
        <w:jc w:val="both"/>
        <w:ind w:firstLine="2078"/>
        <w:spacing w:after="0" w:line="294" w:lineRule="auto"/>
        <w:tabs>
          <w:tab w:leader="none" w:pos="2686" w:val="left"/>
        </w:tabs>
        <w:numPr>
          <w:ilvl w:val="1"/>
          <w:numId w:val="222"/>
        </w:numPr>
        <w:rPr>
          <w:rFonts w:ascii="Arial" w:cs="Arial" w:eastAsia="Arial" w:hAnsi="Arial"/>
          <w:sz w:val="13"/>
          <w:szCs w:val="13"/>
          <w:color w:val="auto"/>
        </w:rPr>
      </w:pPr>
      <w:r>
        <w:rPr>
          <w:rFonts w:ascii="Arial" w:cs="Arial" w:eastAsia="Arial" w:hAnsi="Arial"/>
          <w:sz w:val="13"/>
          <w:szCs w:val="13"/>
          <w:color w:val="auto"/>
        </w:rPr>
        <w:t xml:space="preserve">as soon as practicable, but in any event within one hundred twenty (120) days after the end of each fiscal year of the Company, (A) a balance sheet as of the end of such year, (B) statements of income and of cash flows for such year and (C) a statement of stockholders’ equity as of the end of such year, all such financial statements audited and certified by an independent public accountant selected by the Board, together with a written report comparing the foregoing to the Budget for such fiscal year;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Board (including both Series A Directors) may waive the audit requirement in any given fiscal year for the financial statements set forth in this </w:t>
      </w:r>
      <w:r>
        <w:rPr>
          <w:rFonts w:ascii="Arial" w:cs="Arial" w:eastAsia="Arial" w:hAnsi="Arial"/>
          <w:sz w:val="13"/>
          <w:szCs w:val="13"/>
          <w:u w:val="single" w:color="auto"/>
          <w:color w:val="auto"/>
        </w:rPr>
        <w:t>Section 4.1(a)</w:t>
      </w:r>
      <w:r>
        <w:rPr>
          <w:rFonts w:ascii="Arial" w:cs="Arial" w:eastAsia="Arial" w:hAnsi="Arial"/>
          <w:sz w:val="13"/>
          <w:szCs w:val="13"/>
          <w:color w:val="auto"/>
        </w:rPr>
        <w:t>;</w:t>
      </w:r>
    </w:p>
    <w:p>
      <w:pPr>
        <w:spacing w:after="0" w:line="130" w:lineRule="exact"/>
        <w:rPr>
          <w:rFonts w:ascii="Arial" w:cs="Arial" w:eastAsia="Arial" w:hAnsi="Arial"/>
          <w:sz w:val="13"/>
          <w:szCs w:val="13"/>
          <w:color w:val="auto"/>
        </w:rPr>
      </w:pPr>
    </w:p>
    <w:p>
      <w:pPr>
        <w:jc w:val="both"/>
        <w:ind w:firstLine="2078"/>
        <w:spacing w:after="0" w:line="267" w:lineRule="auto"/>
        <w:tabs>
          <w:tab w:leader="none" w:pos="2679" w:val="left"/>
        </w:tabs>
        <w:numPr>
          <w:ilvl w:val="1"/>
          <w:numId w:val="222"/>
        </w:numPr>
        <w:rPr>
          <w:rFonts w:ascii="Arial" w:cs="Arial" w:eastAsia="Arial" w:hAnsi="Arial"/>
          <w:sz w:val="14"/>
          <w:szCs w:val="14"/>
          <w:color w:val="auto"/>
        </w:rPr>
      </w:pPr>
      <w:r>
        <w:rPr>
          <w:rFonts w:ascii="Arial" w:cs="Arial" w:eastAsia="Arial" w:hAnsi="Arial"/>
          <w:sz w:val="14"/>
          <w:szCs w:val="14"/>
          <w:color w:val="auto"/>
        </w:rPr>
        <w:t>as soon as practicable, but in any event within forty-five (45)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 together with a written report comparing the foregoing to the Budget;</w:t>
      </w:r>
    </w:p>
    <w:p>
      <w:pPr>
        <w:spacing w:after="0" w:line="146" w:lineRule="exact"/>
        <w:rPr>
          <w:rFonts w:ascii="Arial" w:cs="Arial" w:eastAsia="Arial" w:hAnsi="Arial"/>
          <w:sz w:val="14"/>
          <w:szCs w:val="14"/>
          <w:color w:val="auto"/>
        </w:rPr>
      </w:pPr>
    </w:p>
    <w:p>
      <w:pPr>
        <w:jc w:val="both"/>
        <w:ind w:firstLine="2078"/>
        <w:spacing w:after="0" w:line="265" w:lineRule="auto"/>
        <w:tabs>
          <w:tab w:leader="none" w:pos="2671" w:val="left"/>
        </w:tabs>
        <w:numPr>
          <w:ilvl w:val="1"/>
          <w:numId w:val="222"/>
        </w:numPr>
        <w:rPr>
          <w:rFonts w:ascii="Arial" w:cs="Arial" w:eastAsia="Arial" w:hAnsi="Arial"/>
          <w:sz w:val="14"/>
          <w:szCs w:val="14"/>
          <w:color w:val="auto"/>
        </w:rPr>
      </w:pPr>
      <w:r>
        <w:rPr>
          <w:rFonts w:ascii="Arial" w:cs="Arial" w:eastAsia="Arial" w:hAnsi="Arial"/>
          <w:sz w:val="14"/>
          <w:szCs w:val="14"/>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41" w:name="page342"/>
    <w:bookmarkEnd w:id="341"/>
    <w:p>
      <w:pPr>
        <w:jc w:val="both"/>
        <w:ind w:firstLine="2078"/>
        <w:spacing w:after="0" w:line="303" w:lineRule="auto"/>
        <w:tabs>
          <w:tab w:leader="none" w:pos="2678" w:val="left"/>
        </w:tabs>
        <w:numPr>
          <w:ilvl w:val="1"/>
          <w:numId w:val="223"/>
        </w:numPr>
        <w:rPr>
          <w:rFonts w:ascii="Arial" w:cs="Arial" w:eastAsia="Arial" w:hAnsi="Arial"/>
          <w:sz w:val="13"/>
          <w:szCs w:val="13"/>
          <w:color w:val="auto"/>
        </w:rPr>
      </w:pPr>
      <w:r>
        <w:rPr>
          <w:rFonts w:ascii="Arial" w:cs="Arial" w:eastAsia="Arial" w:hAnsi="Arial"/>
          <w:sz w:val="13"/>
          <w:szCs w:val="13"/>
          <w:color w:val="auto"/>
        </w:rPr>
        <w:t>as soon as practicable, but in any event within thirty (30) days of the end of each month, an unaudited income statement and statement of cash flows for such month, and an unaudited balance sheet as of the end of such month, all prepared in accordance with GAAP (except that such financial statements may (A) be subject to normal year-end audit adjustments and (B) not contain all notes thereto that may be required in accordance with GAAP), together with a written report comparing the foregoing to the Budget for such month.</w:t>
      </w:r>
    </w:p>
    <w:p>
      <w:pPr>
        <w:spacing w:after="0" w:line="124" w:lineRule="exact"/>
        <w:rPr>
          <w:rFonts w:ascii="Arial" w:cs="Arial" w:eastAsia="Arial" w:hAnsi="Arial"/>
          <w:sz w:val="13"/>
          <w:szCs w:val="13"/>
          <w:color w:val="auto"/>
        </w:rPr>
      </w:pPr>
    </w:p>
    <w:p>
      <w:pPr>
        <w:ind w:firstLine="1560"/>
        <w:spacing w:after="0" w:line="329" w:lineRule="auto"/>
        <w:tabs>
          <w:tab w:leader="none" w:pos="2160" w:val="left"/>
        </w:tabs>
        <w:numPr>
          <w:ilvl w:val="0"/>
          <w:numId w:val="224"/>
        </w:numPr>
        <w:rPr>
          <w:rFonts w:ascii="Arial" w:cs="Arial" w:eastAsia="Arial" w:hAnsi="Arial"/>
          <w:sz w:val="13"/>
          <w:szCs w:val="13"/>
          <w:color w:val="auto"/>
        </w:rPr>
      </w:pPr>
      <w:r>
        <w:rPr>
          <w:rFonts w:ascii="Arial" w:cs="Arial" w:eastAsia="Arial" w:hAnsi="Arial"/>
          <w:sz w:val="13"/>
          <w:szCs w:val="13"/>
          <w:u w:val="single" w:color="auto"/>
          <w:color w:val="auto"/>
        </w:rPr>
        <w:t>Subsidiaries</w:t>
      </w:r>
      <w:r>
        <w:rPr>
          <w:rFonts w:ascii="Arial" w:cs="Arial" w:eastAsia="Arial" w:hAnsi="Arial"/>
          <w:sz w:val="13"/>
          <w:szCs w:val="13"/>
          <w:color w:val="auto"/>
        </w:rPr>
        <w:t>. 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08" w:lineRule="exact"/>
        <w:rPr>
          <w:rFonts w:ascii="Arial" w:cs="Arial" w:eastAsia="Arial" w:hAnsi="Arial"/>
          <w:sz w:val="13"/>
          <w:szCs w:val="13"/>
          <w:color w:val="auto"/>
        </w:rPr>
      </w:pPr>
    </w:p>
    <w:p>
      <w:pPr>
        <w:jc w:val="both"/>
        <w:ind w:firstLine="1560"/>
        <w:spacing w:after="0" w:line="267" w:lineRule="auto"/>
        <w:tabs>
          <w:tab w:leader="none" w:pos="2180" w:val="left"/>
        </w:tabs>
        <w:numPr>
          <w:ilvl w:val="0"/>
          <w:numId w:val="224"/>
        </w:numPr>
        <w:rPr>
          <w:rFonts w:ascii="Arial" w:cs="Arial" w:eastAsia="Arial" w:hAnsi="Arial"/>
          <w:sz w:val="14"/>
          <w:szCs w:val="14"/>
          <w:color w:val="auto"/>
        </w:rPr>
      </w:pPr>
      <w:r>
        <w:rPr>
          <w:rFonts w:ascii="Arial" w:cs="Arial" w:eastAsia="Arial" w:hAnsi="Arial"/>
          <w:sz w:val="14"/>
          <w:szCs w:val="14"/>
          <w:u w:val="single" w:color="auto"/>
          <w:color w:val="auto"/>
        </w:rPr>
        <w:t>Registration</w:t>
      </w:r>
      <w:r>
        <w:rPr>
          <w:rFonts w:ascii="Arial" w:cs="Arial" w:eastAsia="Arial" w:hAnsi="Arial"/>
          <w:sz w:val="14"/>
          <w:szCs w:val="14"/>
          <w:color w:val="auto"/>
        </w:rPr>
        <w:t xml:space="preserve">. Notwithstanding anything else in this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to the contrary, the Company may cease providing the information set forth in this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Company’s covenants under this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shall be reinstated at such time as the Company is no longer actively employing its commercially reasonable efforts to cause such registration statement to become effective.</w:t>
      </w:r>
    </w:p>
    <w:p>
      <w:pPr>
        <w:spacing w:after="0" w:line="147"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Successor Indemnification</w:t>
      </w:r>
      <w:r>
        <w:rPr>
          <w:rFonts w:ascii="Arial" w:cs="Arial" w:eastAsia="Arial" w:hAnsi="Arial"/>
          <w:sz w:val="14"/>
          <w:szCs w:val="14"/>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Certificate of Incorporation, or elsewhere, as the case may be.</w:t>
      </w:r>
    </w:p>
    <w:p>
      <w:pPr>
        <w:spacing w:after="0" w:line="147" w:lineRule="exact"/>
        <w:rPr>
          <w:sz w:val="20"/>
          <w:szCs w:val="20"/>
          <w:color w:val="auto"/>
        </w:rPr>
      </w:pPr>
    </w:p>
    <w:p>
      <w:pPr>
        <w:jc w:val="both"/>
        <w:ind w:firstLine="1036"/>
        <w:spacing w:after="0" w:line="263"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Inspection</w:t>
      </w:r>
      <w:r>
        <w:rPr>
          <w:rFonts w:ascii="Arial" w:cs="Arial" w:eastAsia="Arial" w:hAnsi="Arial"/>
          <w:sz w:val="14"/>
          <w:szCs w:val="14"/>
          <w:color w:val="auto"/>
        </w:rPr>
        <w:t>. The Company shall permit each Major Investor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Board has not reasonably determined that such Major Investor is a competitor of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venture capital or other investment funds shall not be considered competitors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Company shall not be obligated pursuant to this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50"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Observer Rights</w:t>
      </w:r>
      <w:r>
        <w:rPr>
          <w:rFonts w:ascii="Arial" w:cs="Arial" w:eastAsia="Arial" w:hAnsi="Arial"/>
          <w:sz w:val="14"/>
          <w:szCs w:val="14"/>
          <w:color w:val="auto"/>
        </w:rPr>
        <w:t>. (a) As long as Versant or its Affiliates owns any shares of Preferred Stock of the Company, the Company shall invite a representative of Versant to attend all meetings of its Board in a nonvoting observer capacity; (b) as long as FCDI or its Affiliates owns any shares of Preferred Stock of the Company, the Company shall invite a representative of FCDI to attend all meetings of its Board in a nonvoting observer capacity; (c) as long as Casdin or its Affiliates owns any shares of Preferred Stock of the Company, the Company shall invite a representative of Casdin to attend all meetings of its Board in a nonvoting observer capacity; and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342" w:name="page343"/>
    <w:bookmarkEnd w:id="342"/>
    <w:p>
      <w:pPr>
        <w:jc w:val="both"/>
        <w:ind w:firstLine="6"/>
        <w:spacing w:after="0" w:line="287" w:lineRule="auto"/>
        <w:tabs>
          <w:tab w:leader="none" w:pos="214" w:val="left"/>
        </w:tabs>
        <w:numPr>
          <w:ilvl w:val="0"/>
          <w:numId w:val="225"/>
        </w:numPr>
        <w:rPr>
          <w:rFonts w:ascii="Arial" w:cs="Arial" w:eastAsia="Arial" w:hAnsi="Arial"/>
          <w:sz w:val="13"/>
          <w:szCs w:val="13"/>
          <w:color w:val="auto"/>
        </w:rPr>
      </w:pPr>
      <w:r>
        <w:rPr>
          <w:rFonts w:ascii="Arial" w:cs="Arial" w:eastAsia="Arial" w:hAnsi="Arial"/>
          <w:sz w:val="13"/>
          <w:szCs w:val="13"/>
          <w:color w:val="auto"/>
        </w:rPr>
        <w:t>as long as Bayer or its Affiliates owns any shares of Preferred Stock of the Company, the Company shall invite a representative of Bayer to attend all meetings of its Board in a nonvoting observer capacity. The Company shall give any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 of the Company (provided that venture capital or other investment funds shall not be considered competitors of the Company).</w:t>
      </w:r>
    </w:p>
    <w:p>
      <w:pPr>
        <w:spacing w:after="0" w:line="136"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3"/>
          <w:szCs w:val="13"/>
          <w:u w:val="single" w:color="auto"/>
          <w:color w:val="auto"/>
        </w:rPr>
        <w:t>Termination of Information and Observer Rights</w:t>
      </w:r>
      <w:r>
        <w:rPr>
          <w:rFonts w:ascii="Arial" w:cs="Arial" w:eastAsia="Arial" w:hAnsi="Arial"/>
          <w:sz w:val="13"/>
          <w:szCs w:val="13"/>
          <w:color w:val="auto"/>
        </w:rPr>
        <w:t>. The covenants set forth in</w:t>
      </w:r>
      <w:r>
        <w:rPr>
          <w:rFonts w:ascii="Arial" w:cs="Arial" w:eastAsia="Arial" w:hAnsi="Arial"/>
          <w:sz w:val="13"/>
          <w:szCs w:val="13"/>
          <w:u w:val="single" w:color="auto"/>
          <w:color w:val="auto"/>
        </w:rPr>
        <w:t xml:space="preserve"> Section 4.1</w:t>
      </w:r>
      <w:r>
        <w:rPr>
          <w:rFonts w:ascii="Arial" w:cs="Arial" w:eastAsia="Arial" w:hAnsi="Arial"/>
          <w:sz w:val="13"/>
          <w:szCs w:val="13"/>
          <w:color w:val="auto"/>
        </w:rPr>
        <w:t>,</w:t>
      </w:r>
      <w:r>
        <w:rPr>
          <w:rFonts w:ascii="Arial" w:cs="Arial" w:eastAsia="Arial" w:hAnsi="Arial"/>
          <w:sz w:val="13"/>
          <w:szCs w:val="13"/>
          <w:u w:val="single" w:color="auto"/>
          <w:color w:val="auto"/>
        </w:rPr>
        <w:t xml:space="preserve"> Section 4.3 </w:t>
      </w:r>
      <w:r>
        <w:rPr>
          <w:rFonts w:ascii="Arial" w:cs="Arial" w:eastAsia="Arial" w:hAnsi="Arial"/>
          <w:sz w:val="13"/>
          <w:szCs w:val="13"/>
          <w:color w:val="auto"/>
        </w:rPr>
        <w:t>and</w:t>
      </w:r>
      <w:r>
        <w:rPr>
          <w:rFonts w:ascii="Arial" w:cs="Arial" w:eastAsia="Arial" w:hAnsi="Arial"/>
          <w:sz w:val="13"/>
          <w:szCs w:val="13"/>
          <w:u w:val="single" w:color="auto"/>
          <w:color w:val="auto"/>
        </w:rPr>
        <w:t xml:space="preserve"> Section 4.4 </w:t>
      </w:r>
      <w:r>
        <w:rPr>
          <w:rFonts w:ascii="Arial" w:cs="Arial" w:eastAsia="Arial" w:hAnsi="Arial"/>
          <w:sz w:val="13"/>
          <w:szCs w:val="13"/>
          <w:color w:val="auto"/>
        </w:rPr>
        <w:t>shall terminate and be of no further force or effect</w:t>
      </w:r>
    </w:p>
    <w:p>
      <w:pPr>
        <w:spacing w:after="0" w:line="21" w:lineRule="exact"/>
        <w:rPr>
          <w:sz w:val="20"/>
          <w:szCs w:val="20"/>
          <w:color w:val="auto"/>
        </w:rPr>
      </w:pPr>
    </w:p>
    <w:p>
      <w:pPr>
        <w:ind w:firstLine="6"/>
        <w:spacing w:after="0" w:line="274" w:lineRule="auto"/>
        <w:tabs>
          <w:tab w:leader="none" w:pos="175" w:val="left"/>
        </w:tabs>
        <w:numPr>
          <w:ilvl w:val="0"/>
          <w:numId w:val="226"/>
        </w:numPr>
        <w:rPr>
          <w:rFonts w:ascii="Arial" w:cs="Arial" w:eastAsia="Arial" w:hAnsi="Arial"/>
          <w:sz w:val="14"/>
          <w:szCs w:val="14"/>
          <w:color w:val="auto"/>
        </w:rPr>
      </w:pPr>
      <w:r>
        <w:rPr>
          <w:rFonts w:ascii="Arial" w:cs="Arial" w:eastAsia="Arial" w:hAnsi="Arial"/>
          <w:sz w:val="14"/>
          <w:szCs w:val="14"/>
          <w:color w:val="auto"/>
        </w:rPr>
        <w:t>immediately before the consummation of the IPO, or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41" w:lineRule="exact"/>
        <w:rPr>
          <w:sz w:val="20"/>
          <w:szCs w:val="20"/>
          <w:color w:val="auto"/>
        </w:rPr>
      </w:pPr>
    </w:p>
    <w:p>
      <w:pPr>
        <w:jc w:val="both"/>
        <w:ind w:firstLine="1036"/>
        <w:spacing w:after="0" w:line="282"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Confidentiality</w:t>
      </w:r>
      <w:r>
        <w:rPr>
          <w:rFonts w:ascii="Arial" w:cs="Arial" w:eastAsia="Arial" w:hAnsi="Arial"/>
          <w:sz w:val="13"/>
          <w:szCs w:val="13"/>
          <w:color w:val="auto"/>
        </w:rPr>
        <w:t xml:space="preserve">. Each Investor agrees that such Investor will keep confidential and will not disclose, divulge, or use for any purpose (other than to monitor its investment in the Company) any confidential information obtained from the Company by virtue of such Investor’s status as a stockholder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3"/>
          <w:szCs w:val="13"/>
          <w:u w:val="single" w:color="auto"/>
          <w:color w:val="auto"/>
        </w:rPr>
        <w:t>Section 4.6</w:t>
      </w:r>
      <w:r>
        <w:rPr>
          <w:rFonts w:ascii="Arial" w:cs="Arial" w:eastAsia="Arial" w:hAnsi="Arial"/>
          <w:sz w:val="13"/>
          <w:szCs w:val="13"/>
          <w:color w:val="auto"/>
        </w:rPr>
        <w:t xml:space="preserve"> by such Investor), (b) is or has been independently developed or conceived by such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shares of capital stock from such Investor, if such prospective purchaser agrees to be bound by the provisions of this </w:t>
      </w:r>
      <w:r>
        <w:rPr>
          <w:rFonts w:ascii="Arial" w:cs="Arial" w:eastAsia="Arial" w:hAnsi="Arial"/>
          <w:sz w:val="13"/>
          <w:szCs w:val="13"/>
          <w:u w:val="single" w:color="auto"/>
          <w:color w:val="auto"/>
        </w:rPr>
        <w:t>Section 4.6</w:t>
      </w:r>
      <w:r>
        <w:rPr>
          <w:rFonts w:ascii="Arial" w:cs="Arial" w:eastAsia="Arial" w:hAnsi="Arial"/>
          <w:sz w:val="13"/>
          <w:szCs w:val="13"/>
          <w:color w:val="auto"/>
        </w:rPr>
        <w:t xml:space="preserve">; (iii) to any existing or prospective Affiliate, partner, member, stockholder, or wholly owned subsidiary of such Investor in the ordinary course of business or fundraising purposes,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Investor promptly notifies the Company of such disclosure and takes reasonable steps to minimize the extent of any such required disclosure.</w:t>
      </w:r>
    </w:p>
    <w:p>
      <w:pPr>
        <w:spacing w:after="0" w:line="142" w:lineRule="exact"/>
        <w:rPr>
          <w:sz w:val="20"/>
          <w:szCs w:val="20"/>
          <w:color w:val="auto"/>
        </w:rPr>
      </w:pPr>
    </w:p>
    <w:p>
      <w:pPr>
        <w:jc w:val="both"/>
        <w:ind w:firstLine="1036"/>
        <w:spacing w:after="0" w:line="303"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shall use its commercially reasonable efforts to obtain, within sixty (60) days of the date hereof, from financially sound and reputable insurers Directors and Officers liability insurance in an amount of at least Two Million Dollars ($2,000,000) and on terms and conditions satisfactory to the Board, including at least two (2) Preferred Directors, and will use commercially reasonable efforts to cause such insurance policies to be maintained until such time as the Board determines that such insurance should be discontinued.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43" w:name="page344"/>
    <w:bookmarkEnd w:id="343"/>
    <w:p>
      <w:pPr>
        <w:jc w:val="both"/>
        <w:ind w:firstLine="1036"/>
        <w:spacing w:after="0" w:line="265"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Employee Agreements</w:t>
      </w:r>
      <w:r>
        <w:rPr>
          <w:rFonts w:ascii="Arial" w:cs="Arial" w:eastAsia="Arial" w:hAnsi="Arial"/>
          <w:sz w:val="14"/>
          <w:szCs w:val="14"/>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including at least two (2) Preferred Directors. In addition, the Company shall not amend, modify, terminate, waive, or otherwise alter, in whole or in part, any of the above-referenced agreements or any restricted stock agreement between the Company and any employee, without the consent of at least two (2) Preferred Directors.</w:t>
      </w:r>
    </w:p>
    <w:p>
      <w:pPr>
        <w:spacing w:after="0" w:line="147" w:lineRule="exact"/>
        <w:rPr>
          <w:sz w:val="20"/>
          <w:szCs w:val="20"/>
          <w:color w:val="auto"/>
        </w:rPr>
      </w:pPr>
    </w:p>
    <w:p>
      <w:pPr>
        <w:jc w:val="both"/>
        <w:ind w:firstLine="1036"/>
        <w:spacing w:after="0" w:line="262"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Employee Stock</w:t>
      </w:r>
      <w:r>
        <w:rPr>
          <w:rFonts w:ascii="Arial" w:cs="Arial" w:eastAsia="Arial" w:hAnsi="Arial"/>
          <w:sz w:val="14"/>
          <w:szCs w:val="14"/>
          <w:color w:val="auto"/>
        </w:rPr>
        <w:t xml:space="preserve">. Unless otherwise approved by the Board, including at least two (2)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without any vesting acceleration rights, and (ii) a market stand-off provision substantially similar to that in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of this Agreement. In addition, unless otherwise approved by the Board, including at least two (2) Preferred Directors, the Company shall retain a “right of first refusal” until the Company’s IPO on employee transfers and shall have the right to repurchase unvested shares at cost upon termination of employment or service of a holder of restricted stock.</w:t>
      </w:r>
    </w:p>
    <w:p>
      <w:pPr>
        <w:spacing w:after="0" w:line="151"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4.10</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84"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u w:val="single" w:color="auto"/>
          <w:color w:val="auto"/>
        </w:rPr>
        <w:t>Matters Requiring Preferred Director Approval</w:t>
      </w:r>
      <w:r>
        <w:rPr>
          <w:rFonts w:ascii="Arial" w:cs="Arial" w:eastAsia="Arial" w:hAnsi="Arial"/>
          <w:sz w:val="14"/>
          <w:szCs w:val="14"/>
          <w:color w:val="auto"/>
        </w:rPr>
        <w:t>. During such time or times as the holders of Preferred Stock are entitled to elect at least two (2) Preferred Directors and such seats are filled, the Company hereby covenants and agrees with each of the Investors that it shall not, without approval of the Board of Directors, which approval must include at least two (2) Preferred Directors:</w:t>
      </w:r>
    </w:p>
    <w:p>
      <w:pPr>
        <w:spacing w:after="0" w:line="141" w:lineRule="exact"/>
        <w:rPr>
          <w:sz w:val="20"/>
          <w:szCs w:val="20"/>
          <w:color w:val="auto"/>
        </w:rPr>
      </w:pPr>
    </w:p>
    <w:p>
      <w:pPr>
        <w:ind w:left="1660" w:hanging="618"/>
        <w:spacing w:after="0"/>
        <w:tabs>
          <w:tab w:leader="none" w:pos="166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 xml:space="preserve">amend, alter or repeal in any material respect the nature or purpose of the Company’s business as set forth in </w:t>
      </w:r>
      <w:r>
        <w:rPr>
          <w:rFonts w:ascii="Arial" w:cs="Arial" w:eastAsia="Arial" w:hAnsi="Arial"/>
          <w:sz w:val="14"/>
          <w:szCs w:val="14"/>
          <w:u w:val="single" w:color="auto"/>
          <w:color w:val="auto"/>
        </w:rPr>
        <w:t>Section 4.16</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1042"/>
        <w:spacing w:after="0" w:line="288" w:lineRule="auto"/>
        <w:tabs>
          <w:tab w:leader="none" w:pos="164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approve any Budget, or modify or amend any existing Budget if such modification or amendment, taken together with any other modifications or amendments for such Budget, would result in an increase to the previously-allocated aggregate budget amount for such period by an amount greater than 20% of such Budget;</w:t>
      </w:r>
    </w:p>
    <w:p>
      <w:pPr>
        <w:spacing w:after="0" w:line="131" w:lineRule="exact"/>
        <w:rPr>
          <w:rFonts w:ascii="Arial" w:cs="Arial" w:eastAsia="Arial" w:hAnsi="Arial"/>
          <w:sz w:val="14"/>
          <w:szCs w:val="14"/>
          <w:color w:val="auto"/>
        </w:rPr>
      </w:pPr>
    </w:p>
    <w:p>
      <w:pPr>
        <w:ind w:firstLine="1042"/>
        <w:spacing w:after="0" w:line="288" w:lineRule="auto"/>
        <w:tabs>
          <w:tab w:leader="none" w:pos="1673" w:val="left"/>
        </w:tabs>
        <w:numPr>
          <w:ilvl w:val="0"/>
          <w:numId w:val="227"/>
        </w:numPr>
        <w:rPr>
          <w:rFonts w:ascii="Arial" w:cs="Arial" w:eastAsia="Arial" w:hAnsi="Arial"/>
          <w:sz w:val="14"/>
          <w:szCs w:val="14"/>
          <w:color w:val="auto"/>
        </w:rPr>
      </w:pPr>
      <w:r>
        <w:rPr>
          <w:rFonts w:ascii="Arial" w:cs="Arial" w:eastAsia="Arial" w:hAnsi="Arial"/>
          <w:sz w:val="14"/>
          <w:szCs w:val="14"/>
          <w:color w:val="auto"/>
        </w:rPr>
        <w:t>make, or permit any subsidiary to make, any loan or advance to, or own any stock or other securities of, any subsidiary or other corporation, partnership, or other entity unless it is wholly owned by the Company;</w:t>
      </w:r>
    </w:p>
    <w:p>
      <w:pPr>
        <w:spacing w:after="0" w:line="131" w:lineRule="exact"/>
        <w:rPr>
          <w:rFonts w:ascii="Arial" w:cs="Arial" w:eastAsia="Arial" w:hAnsi="Arial"/>
          <w:sz w:val="14"/>
          <w:szCs w:val="14"/>
          <w:color w:val="auto"/>
        </w:rPr>
      </w:pPr>
    </w:p>
    <w:p>
      <w:pPr>
        <w:ind w:firstLine="1042"/>
        <w:spacing w:after="0" w:line="288" w:lineRule="auto"/>
        <w:tabs>
          <w:tab w:leader="none" w:pos="1642" w:val="left"/>
        </w:tabs>
        <w:numPr>
          <w:ilvl w:val="0"/>
          <w:numId w:val="227"/>
        </w:numPr>
        <w:rPr>
          <w:rFonts w:ascii="Arial" w:cs="Arial" w:eastAsia="Arial" w:hAnsi="Arial"/>
          <w:sz w:val="14"/>
          <w:szCs w:val="14"/>
          <w:color w:val="auto"/>
        </w:rPr>
      </w:pPr>
      <w:r>
        <w:rPr>
          <w:rFonts w:ascii="Arial" w:cs="Arial" w:eastAsia="Arial" w:hAnsi="Arial"/>
          <w:sz w:val="14"/>
          <w:szCs w:val="14"/>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344" w:name="page345"/>
    <w:bookmarkEnd w:id="344"/>
    <w:p>
      <w:pPr>
        <w:ind w:firstLine="1042"/>
        <w:spacing w:after="0" w:line="288" w:lineRule="auto"/>
        <w:tabs>
          <w:tab w:leader="none" w:pos="1673" w:val="left"/>
        </w:tabs>
        <w:numPr>
          <w:ilvl w:val="0"/>
          <w:numId w:val="228"/>
        </w:numPr>
        <w:rPr>
          <w:rFonts w:ascii="Arial" w:cs="Arial" w:eastAsia="Arial" w:hAnsi="Arial"/>
          <w:sz w:val="14"/>
          <w:szCs w:val="14"/>
          <w:color w:val="auto"/>
        </w:rPr>
      </w:pPr>
      <w:r>
        <w:rPr>
          <w:rFonts w:ascii="Arial" w:cs="Arial" w:eastAsia="Arial" w:hAnsi="Arial"/>
          <w:sz w:val="14"/>
          <w:szCs w:val="14"/>
          <w:color w:val="auto"/>
        </w:rPr>
        <w:t>guarantee, directly or indirectly, or permit any subsidiary to guarantee, directly or indirectly, any indebtedness except for trade accounts of the Company or any subsidiary arising in the ordinary course of business;</w:t>
      </w:r>
    </w:p>
    <w:p>
      <w:pPr>
        <w:spacing w:after="0" w:line="131" w:lineRule="exact"/>
        <w:rPr>
          <w:rFonts w:ascii="Arial" w:cs="Arial" w:eastAsia="Arial" w:hAnsi="Arial"/>
          <w:sz w:val="14"/>
          <w:szCs w:val="14"/>
          <w:color w:val="auto"/>
        </w:rPr>
      </w:pPr>
    </w:p>
    <w:p>
      <w:pPr>
        <w:ind w:left="1660" w:hanging="618"/>
        <w:spacing w:after="0"/>
        <w:tabs>
          <w:tab w:leader="none" w:pos="166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incur any aggregate indebtedness in excess of $1,000,000 that is not already included in the Budget, other than trade credit incurred in the ordinary course of business;</w:t>
      </w:r>
    </w:p>
    <w:p>
      <w:pPr>
        <w:spacing w:after="0" w:line="195" w:lineRule="exact"/>
        <w:rPr>
          <w:rFonts w:ascii="Arial" w:cs="Arial" w:eastAsia="Arial" w:hAnsi="Arial"/>
          <w:sz w:val="13"/>
          <w:szCs w:val="13"/>
          <w:color w:val="auto"/>
        </w:rPr>
      </w:pPr>
    </w:p>
    <w:p>
      <w:pPr>
        <w:ind w:firstLine="1042"/>
        <w:spacing w:after="0" w:line="288" w:lineRule="auto"/>
        <w:tabs>
          <w:tab w:leader="none" w:pos="1674" w:val="left"/>
        </w:tabs>
        <w:numPr>
          <w:ilvl w:val="0"/>
          <w:numId w:val="228"/>
        </w:numPr>
        <w:rPr>
          <w:rFonts w:ascii="Arial" w:cs="Arial" w:eastAsia="Arial" w:hAnsi="Arial"/>
          <w:sz w:val="14"/>
          <w:szCs w:val="14"/>
          <w:color w:val="auto"/>
        </w:rPr>
      </w:pPr>
      <w:r>
        <w:rPr>
          <w:rFonts w:ascii="Arial" w:cs="Arial" w:eastAsia="Arial" w:hAnsi="Arial"/>
          <w:sz w:val="14"/>
          <w:szCs w:val="14"/>
          <w:color w:val="auto"/>
        </w:rPr>
        <w:t>enter into any agreement or transaction with any executive officer, director or stockholder of the Company, or any of their respective Affiliates, except for compensation arrangements with employees in the ordinary course of business;</w:t>
      </w:r>
    </w:p>
    <w:p>
      <w:pPr>
        <w:spacing w:after="0" w:line="131" w:lineRule="exact"/>
        <w:rPr>
          <w:rFonts w:ascii="Arial" w:cs="Arial" w:eastAsia="Arial" w:hAnsi="Arial"/>
          <w:sz w:val="14"/>
          <w:szCs w:val="14"/>
          <w:color w:val="auto"/>
        </w:rPr>
      </w:pPr>
    </w:p>
    <w:p>
      <w:pPr>
        <w:ind w:left="1660" w:hanging="618"/>
        <w:spacing w:after="0"/>
        <w:tabs>
          <w:tab w:leader="none" w:pos="166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hire, terminate, or change the compensation of the executive officers, including approving any option grants or stock awards to the Chief Executive Officer or the</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Chief Financial Officer; or</w:t>
      </w:r>
    </w:p>
    <w:p>
      <w:pPr>
        <w:spacing w:after="0" w:line="174" w:lineRule="exact"/>
        <w:rPr>
          <w:rFonts w:ascii="Arial" w:cs="Arial" w:eastAsia="Arial" w:hAnsi="Arial"/>
          <w:sz w:val="13"/>
          <w:szCs w:val="13"/>
          <w:color w:val="auto"/>
        </w:rPr>
      </w:pPr>
    </w:p>
    <w:p>
      <w:pPr>
        <w:ind w:left="1680" w:hanging="638"/>
        <w:spacing w:after="0"/>
        <w:tabs>
          <w:tab w:leader="none" w:pos="168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enter any agreement or commitment to do any of the foregoing.</w:t>
      </w:r>
    </w:p>
    <w:p>
      <w:pPr>
        <w:spacing w:after="0" w:line="184"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 xml:space="preserve">4.12 </w:t>
      </w:r>
      <w:r>
        <w:rPr>
          <w:rFonts w:ascii="Arial" w:cs="Arial" w:eastAsia="Arial" w:hAnsi="Arial"/>
          <w:sz w:val="14"/>
          <w:szCs w:val="14"/>
          <w:u w:val="single" w:color="auto"/>
          <w:color w:val="auto"/>
        </w:rPr>
        <w:t>Board Matters</w:t>
      </w:r>
      <w:r>
        <w:rPr>
          <w:rFonts w:ascii="Arial" w:cs="Arial" w:eastAsia="Arial" w:hAnsi="Arial"/>
          <w:sz w:val="14"/>
          <w:szCs w:val="14"/>
          <w:color w:val="auto"/>
        </w:rPr>
        <w:t>. The Board shall meet at least quarterly in accordance with an agreed-upon schedule. The Company shall reimburse the Preferred Directors for all reasonable out-of-pocket travel expenses incurred (consistent with the Company’s travel policy) in connection with attending meetings of the Board.</w:t>
      </w:r>
    </w:p>
    <w:p>
      <w:pPr>
        <w:spacing w:after="0" w:line="132" w:lineRule="exact"/>
        <w:rPr>
          <w:sz w:val="20"/>
          <w:szCs w:val="20"/>
          <w:color w:val="auto"/>
        </w:rPr>
      </w:pPr>
    </w:p>
    <w:p>
      <w:pPr>
        <w:jc w:val="both"/>
        <w:ind w:firstLine="1036"/>
        <w:spacing w:after="0" w:line="281" w:lineRule="auto"/>
        <w:rPr>
          <w:sz w:val="20"/>
          <w:szCs w:val="20"/>
          <w:color w:val="auto"/>
        </w:rPr>
      </w:pPr>
      <w:r>
        <w:rPr>
          <w:rFonts w:ascii="Arial" w:cs="Arial" w:eastAsia="Arial" w:hAnsi="Arial"/>
          <w:sz w:val="13"/>
          <w:szCs w:val="13"/>
          <w:color w:val="auto"/>
        </w:rPr>
        <w:t xml:space="preserve">4.13 </w:t>
      </w:r>
      <w:r>
        <w:rPr>
          <w:rFonts w:ascii="Arial" w:cs="Arial" w:eastAsia="Arial" w:hAnsi="Arial"/>
          <w:sz w:val="13"/>
          <w:szCs w:val="13"/>
          <w:u w:val="single" w:color="auto"/>
          <w:color w:val="auto"/>
        </w:rPr>
        <w:t>Expenses of Counsel</w:t>
      </w:r>
      <w:r>
        <w:rPr>
          <w:rFonts w:ascii="Arial" w:cs="Arial" w:eastAsia="Arial" w:hAnsi="Arial"/>
          <w:sz w:val="13"/>
          <w:szCs w:val="13"/>
          <w:color w:val="auto"/>
        </w:rPr>
        <w:t>. In the event of a transaction which is a Sale of the Company (as defined in the Voting Agreement of even date herewith among the Investors and the Company), the reasonable fees and disbursements, not to exceed $50,000, of one counsel for the Major Investors (“</w:t>
      </w:r>
      <w:r>
        <w:rPr>
          <w:rFonts w:ascii="Arial" w:cs="Arial" w:eastAsia="Arial" w:hAnsi="Arial"/>
          <w:sz w:val="13"/>
          <w:szCs w:val="13"/>
          <w:b w:val="1"/>
          <w:bCs w:val="1"/>
          <w:color w:val="auto"/>
        </w:rPr>
        <w:t>Investor Counsel</w:t>
      </w:r>
      <w:r>
        <w:rPr>
          <w:rFonts w:ascii="Arial" w:cs="Arial" w:eastAsia="Arial" w:hAnsi="Arial"/>
          <w:sz w:val="13"/>
          <w:szCs w:val="13"/>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(1)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(1)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45" w:name="page346"/>
    <w:bookmarkEnd w:id="345"/>
    <w:p>
      <w:pPr>
        <w:jc w:val="both"/>
        <w:ind w:firstLine="1036"/>
        <w:spacing w:after="0" w:line="283" w:lineRule="auto"/>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Indemnification Matters</w:t>
      </w:r>
      <w:r>
        <w:rPr>
          <w:rFonts w:ascii="Arial" w:cs="Arial" w:eastAsia="Arial" w:hAnsi="Arial"/>
          <w:sz w:val="13"/>
          <w:szCs w:val="13"/>
          <w:color w:val="auto"/>
        </w:rPr>
        <w:t>. The Company hereby acknowledges that one (1) or more of the directors nominated to serve on the Board by the Investors (each a “</w:t>
      </w:r>
      <w:r>
        <w:rPr>
          <w:rFonts w:ascii="Arial" w:cs="Arial" w:eastAsia="Arial" w:hAnsi="Arial"/>
          <w:sz w:val="13"/>
          <w:szCs w:val="13"/>
          <w:b w:val="1"/>
          <w:bCs w:val="1"/>
          <w:color w:val="auto"/>
        </w:rPr>
        <w:t>Fund</w:t>
      </w:r>
      <w:r>
        <w:rPr>
          <w:rFonts w:ascii="Arial" w:cs="Arial" w:eastAsia="Arial" w:hAnsi="Arial"/>
          <w:sz w:val="13"/>
          <w:szCs w:val="13"/>
          <w:color w:val="auto"/>
        </w:rPr>
        <w:t xml:space="preserve"> </w:t>
      </w:r>
      <w:r>
        <w:rPr>
          <w:rFonts w:ascii="Arial" w:cs="Arial" w:eastAsia="Arial" w:hAnsi="Arial"/>
          <w:sz w:val="13"/>
          <w:szCs w:val="13"/>
          <w:b w:val="1"/>
          <w:bCs w:val="1"/>
          <w:color w:val="auto"/>
        </w:rPr>
        <w:t>Director</w:t>
      </w:r>
      <w:r>
        <w:rPr>
          <w:rFonts w:ascii="Arial" w:cs="Arial" w:eastAsia="Arial" w:hAnsi="Arial"/>
          <w:sz w:val="13"/>
          <w:szCs w:val="13"/>
          <w:color w:val="auto"/>
        </w:rPr>
        <w:t>”) may have certain rights to indemnification, advancement of expenses and/or insurance provided by one (1) or more of the Investors and certain of their affiliates (collectively,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Fund Indemnitors</w:t>
      </w:r>
      <w:r>
        <w:rPr>
          <w:rFonts w:ascii="Arial" w:cs="Arial" w:eastAsia="Arial" w:hAnsi="Arial"/>
          <w:sz w:val="13"/>
          <w:szCs w:val="13"/>
          <w:color w:val="auto"/>
        </w:rPr>
        <w:t>”). The Company hereby agrees (a) that it is the indemnitor of first resort (</w:t>
      </w:r>
      <w:r>
        <w:rPr>
          <w:rFonts w:ascii="Arial" w:cs="Arial" w:eastAsia="Arial" w:hAnsi="Arial"/>
          <w:sz w:val="13"/>
          <w:szCs w:val="13"/>
          <w:i w:val="1"/>
          <w:iCs w:val="1"/>
          <w:color w:val="auto"/>
        </w:rPr>
        <w:t>i.e.</w:t>
      </w:r>
      <w:r>
        <w:rPr>
          <w:rFonts w:ascii="Arial" w:cs="Arial" w:eastAsia="Arial" w:hAnsi="Arial"/>
          <w:sz w:val="13"/>
          <w:szCs w:val="13"/>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40" w:lineRule="exact"/>
        <w:rPr>
          <w:sz w:val="20"/>
          <w:szCs w:val="20"/>
          <w:color w:val="auto"/>
        </w:rPr>
      </w:pPr>
    </w:p>
    <w:p>
      <w:pPr>
        <w:jc w:val="both"/>
        <w:ind w:firstLine="1036"/>
        <w:spacing w:after="0" w:line="260" w:lineRule="auto"/>
        <w:rPr>
          <w:sz w:val="20"/>
          <w:szCs w:val="20"/>
          <w:color w:val="auto"/>
        </w:rPr>
      </w:pPr>
      <w:r>
        <w:rPr>
          <w:rFonts w:ascii="Arial" w:cs="Arial" w:eastAsia="Arial" w:hAnsi="Arial"/>
          <w:sz w:val="14"/>
          <w:szCs w:val="14"/>
          <w:color w:val="auto"/>
        </w:rPr>
        <w:t xml:space="preserve">4.15 </w:t>
      </w:r>
      <w:r>
        <w:rPr>
          <w:rFonts w:ascii="Arial" w:cs="Arial" w:eastAsia="Arial" w:hAnsi="Arial"/>
          <w:sz w:val="14"/>
          <w:szCs w:val="14"/>
          <w:u w:val="single" w:color="auto"/>
          <w:color w:val="auto"/>
        </w:rPr>
        <w:t>Right to Conduct Activities</w:t>
      </w:r>
      <w:r>
        <w:rPr>
          <w:rFonts w:ascii="Arial" w:cs="Arial" w:eastAsia="Arial" w:hAnsi="Arial"/>
          <w:sz w:val="14"/>
          <w:szCs w:val="14"/>
          <w:color w:val="auto"/>
        </w:rPr>
        <w:t>. The Company hereby agrees and acknowledges that each of Casdin, Bayer, Versant, FCDI, MW XO Health Innovations Fund, LP (“</w:t>
      </w:r>
      <w:r>
        <w:rPr>
          <w:rFonts w:ascii="Arial" w:cs="Arial" w:eastAsia="Arial" w:hAnsi="Arial"/>
          <w:sz w:val="14"/>
          <w:szCs w:val="14"/>
          <w:b w:val="1"/>
          <w:bCs w:val="1"/>
          <w:color w:val="auto"/>
        </w:rPr>
        <w:t>MW</w:t>
      </w:r>
      <w:r>
        <w:rPr>
          <w:rFonts w:ascii="Arial" w:cs="Arial" w:eastAsia="Arial" w:hAnsi="Arial"/>
          <w:sz w:val="14"/>
          <w:szCs w:val="14"/>
          <w:color w:val="auto"/>
        </w:rPr>
        <w:t>”), The Biotech Growth Trust PLC and OrbiMed Genesis Master Fund, L.P. (collectively, “</w:t>
      </w:r>
      <w:r>
        <w:rPr>
          <w:rFonts w:ascii="Arial" w:cs="Arial" w:eastAsia="Arial" w:hAnsi="Arial"/>
          <w:sz w:val="14"/>
          <w:szCs w:val="14"/>
          <w:b w:val="1"/>
          <w:bCs w:val="1"/>
          <w:color w:val="auto"/>
        </w:rPr>
        <w:t>OrbiMed</w:t>
      </w:r>
      <w:r>
        <w:rPr>
          <w:rFonts w:ascii="Arial" w:cs="Arial" w:eastAsia="Arial" w:hAnsi="Arial"/>
          <w:sz w:val="14"/>
          <w:szCs w:val="14"/>
          <w:color w:val="auto"/>
        </w:rPr>
        <w:t>”), TNY Holdings Limited (“</w:t>
      </w:r>
      <w:r>
        <w:rPr>
          <w:rFonts w:ascii="Arial" w:cs="Arial" w:eastAsia="Arial" w:hAnsi="Arial"/>
          <w:sz w:val="14"/>
          <w:szCs w:val="14"/>
          <w:b w:val="1"/>
          <w:bCs w:val="1"/>
          <w:color w:val="auto"/>
        </w:rPr>
        <w:t>H Investor</w:t>
      </w:r>
      <w:r>
        <w:rPr>
          <w:rFonts w:ascii="Arial" w:cs="Arial" w:eastAsia="Arial" w:hAnsi="Arial"/>
          <w:sz w:val="14"/>
          <w:szCs w:val="14"/>
          <w:color w:val="auto"/>
        </w:rPr>
        <w:t>”) RA Capital Management L.P. (“</w:t>
      </w:r>
      <w:r>
        <w:rPr>
          <w:rFonts w:ascii="Arial" w:cs="Arial" w:eastAsia="Arial" w:hAnsi="Arial"/>
          <w:sz w:val="14"/>
          <w:szCs w:val="14"/>
          <w:b w:val="1"/>
          <w:bCs w:val="1"/>
          <w:color w:val="auto"/>
        </w:rPr>
        <w:t>RA</w:t>
      </w:r>
      <w:r>
        <w:rPr>
          <w:rFonts w:ascii="Arial" w:cs="Arial" w:eastAsia="Arial" w:hAnsi="Arial"/>
          <w:sz w:val="14"/>
          <w:szCs w:val="14"/>
          <w:color w:val="auto"/>
        </w:rPr>
        <w:t xml:space="preserve"> </w:t>
      </w:r>
      <w:r>
        <w:rPr>
          <w:rFonts w:ascii="Arial" w:cs="Arial" w:eastAsia="Arial" w:hAnsi="Arial"/>
          <w:sz w:val="14"/>
          <w:szCs w:val="14"/>
          <w:b w:val="1"/>
          <w:bCs w:val="1"/>
          <w:color w:val="auto"/>
        </w:rPr>
        <w:t>Capital</w:t>
      </w:r>
      <w:r>
        <w:rPr>
          <w:rFonts w:ascii="Arial" w:cs="Arial" w:eastAsia="Arial" w:hAnsi="Arial"/>
          <w:sz w:val="14"/>
          <w:szCs w:val="14"/>
          <w:color w:val="auto"/>
        </w:rPr>
        <w:t>”), (together with each of their respective Affiliates) are professional investment funds, and as such invest in numerous portfolio companies, some of which may be deemed competitive</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 Company’s business (as currently conducted or as currently proposed to be conducted). The Company hereby agrees that, to the extent permitted under applicable law, none of Casdin, Bayer, Versant, FCDI, MW, OrbiMed, H Investor nor RA Capital shall be liable to the Company for any claim arising out of, or based upon, (i) the investment by Casdin or its Affiliates, Bayer or its Affiliates, Versant or its Affiliates, FCDI or its Affiliates, MW or its Affiliates, OrbiMed or its Affiliates, H Investor or its Affiliates or RA Capital or its Affiliates, as applicable, in any entity competitive with the Company, or (ii) actions taken by any partner, officer or other representative of Casdin or its Affiliates, Bayer or its Affiliates, Versant or its Affiliates, FCDI or its Affiliates, MW or its Affiliates, OrbiMed or its Affiliates, H Investor or its Affiliates or RA Capital or its Affiliates, as applicable,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153"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4"/>
          <w:szCs w:val="14"/>
          <w:color w:val="auto"/>
        </w:rPr>
        <w:t>4.16</w:t>
      </w:r>
      <w:r>
        <w:rPr>
          <w:sz w:val="20"/>
          <w:szCs w:val="20"/>
          <w:color w:val="auto"/>
        </w:rPr>
        <w:tab/>
      </w:r>
      <w:r>
        <w:rPr>
          <w:rFonts w:ascii="Arial" w:cs="Arial" w:eastAsia="Arial" w:hAnsi="Arial"/>
          <w:sz w:val="13"/>
          <w:szCs w:val="13"/>
          <w:u w:val="single" w:color="auto"/>
          <w:color w:val="auto"/>
        </w:rPr>
        <w:t>Business of the Company</w:t>
      </w:r>
      <w:r>
        <w:rPr>
          <w:rFonts w:ascii="Arial" w:cs="Arial" w:eastAsia="Arial" w:hAnsi="Arial"/>
          <w:sz w:val="13"/>
          <w:szCs w:val="13"/>
          <w:color w:val="auto"/>
        </w:rPr>
        <w:t>. The Investors and the Company agree that the business and purpose of the Company will be the development and commercialization of</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cancer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46" w:name="page347"/>
    <w:bookmarkEnd w:id="346"/>
    <w:p>
      <w:pPr>
        <w:spacing w:after="0"/>
        <w:rPr>
          <w:sz w:val="20"/>
          <w:szCs w:val="20"/>
          <w:color w:val="auto"/>
        </w:rPr>
      </w:pPr>
      <w:r>
        <w:rPr>
          <w:rFonts w:ascii="Arial" w:cs="Arial" w:eastAsia="Arial" w:hAnsi="Arial"/>
          <w:sz w:val="14"/>
          <w:szCs w:val="14"/>
          <w:color w:val="auto"/>
        </w:rPr>
        <w:t>immunotherapy products based on human iPSC manufactured by FCDI or its Affiliates (including TiPSC-derived T/NK cells).</w:t>
      </w:r>
    </w:p>
    <w:p>
      <w:pPr>
        <w:spacing w:after="0" w:line="184" w:lineRule="exact"/>
        <w:rPr>
          <w:sz w:val="20"/>
          <w:szCs w:val="20"/>
          <w:color w:val="auto"/>
        </w:rPr>
      </w:pPr>
    </w:p>
    <w:p>
      <w:pPr>
        <w:jc w:val="both"/>
        <w:ind w:firstLine="1036"/>
        <w:spacing w:after="0" w:line="262" w:lineRule="auto"/>
        <w:rPr>
          <w:sz w:val="20"/>
          <w:szCs w:val="20"/>
          <w:color w:val="auto"/>
        </w:rPr>
      </w:pPr>
      <w:r>
        <w:rPr>
          <w:rFonts w:ascii="Arial" w:cs="Arial" w:eastAsia="Arial" w:hAnsi="Arial"/>
          <w:sz w:val="14"/>
          <w:szCs w:val="14"/>
          <w:color w:val="auto"/>
        </w:rPr>
        <w:t xml:space="preserve">4.17 </w:t>
      </w:r>
      <w:r>
        <w:rPr>
          <w:rFonts w:ascii="Arial" w:cs="Arial" w:eastAsia="Arial" w:hAnsi="Arial"/>
          <w:sz w:val="14"/>
          <w:szCs w:val="14"/>
          <w:u w:val="single" w:color="auto"/>
          <w:color w:val="auto"/>
        </w:rPr>
        <w:t>Real Property Holding Corporation</w:t>
      </w:r>
      <w:r>
        <w:rPr>
          <w:rFonts w:ascii="Arial" w:cs="Arial" w:eastAsia="Arial" w:hAnsi="Arial"/>
          <w:sz w:val="14"/>
          <w:szCs w:val="14"/>
          <w:color w:val="auto"/>
        </w:rPr>
        <w:t>. Promptly following (and in any event within ten (10) days after receipt of) written request by a non-U.S.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 provided that no written statement shall be provided to an Investor who, within prior the 5-year period, holds five percent (5%) or less of any class of stock that is regularly traded on an established securities market.</w:t>
      </w:r>
    </w:p>
    <w:p>
      <w:pPr>
        <w:spacing w:after="0" w:line="151"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 xml:space="preserve">4.18 </w:t>
      </w:r>
      <w:r>
        <w:rPr>
          <w:rFonts w:ascii="Arial" w:cs="Arial" w:eastAsia="Arial" w:hAnsi="Arial"/>
          <w:sz w:val="14"/>
          <w:szCs w:val="14"/>
          <w:u w:val="single" w:color="auto"/>
          <w:color w:val="auto"/>
        </w:rPr>
        <w:t>No Use of Trademarks or Logos</w:t>
      </w:r>
      <w:r>
        <w:rPr>
          <w:rFonts w:ascii="Arial" w:cs="Arial" w:eastAsia="Arial" w:hAnsi="Arial"/>
          <w:sz w:val="14"/>
          <w:szCs w:val="14"/>
          <w:color w:val="auto"/>
        </w:rPr>
        <w:t>. Without the prior written consent of H Investor, neither the Company nor any of its Affiliates shall use, publish, reproduce, or refer to H Investor, its related parties, controlling persons, or any similar name, trademark or logo in any non-internal discussion, documents or materials, including without limitation for marketing, advertising or publicity purposes.</w:t>
      </w:r>
    </w:p>
    <w:p>
      <w:pPr>
        <w:spacing w:after="0" w:line="141"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 xml:space="preserve">4.19 </w:t>
      </w:r>
      <w:r>
        <w:rPr>
          <w:rFonts w:ascii="Arial" w:cs="Arial" w:eastAsia="Arial" w:hAnsi="Arial"/>
          <w:sz w:val="14"/>
          <w:szCs w:val="14"/>
          <w:u w:val="single" w:color="auto"/>
          <w:color w:val="auto"/>
        </w:rPr>
        <w:t>Termination of Covenants</w:t>
      </w:r>
      <w:r>
        <w:rPr>
          <w:rFonts w:ascii="Arial" w:cs="Arial" w:eastAsia="Arial" w:hAnsi="Arial"/>
          <w:sz w:val="14"/>
          <w:szCs w:val="14"/>
          <w:color w:val="auto"/>
        </w:rPr>
        <w:t xml:space="preserve">. The covenants set forth in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except for </w:t>
      </w:r>
      <w:r>
        <w:rPr>
          <w:rFonts w:ascii="Arial" w:cs="Arial" w:eastAsia="Arial" w:hAnsi="Arial"/>
          <w:sz w:val="14"/>
          <w:szCs w:val="14"/>
          <w:u w:val="single" w:color="auto"/>
          <w:color w:val="auto"/>
        </w:rPr>
        <w:t>Sections 4.2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4.14</w:t>
      </w:r>
      <w:r>
        <w:rPr>
          <w:rFonts w:ascii="Arial" w:cs="Arial" w:eastAsia="Arial" w:hAnsi="Arial"/>
          <w:sz w:val="14"/>
          <w:szCs w:val="14"/>
          <w:color w:val="auto"/>
        </w:rPr>
        <w:t xml:space="preserve">, or as set forth in </w:t>
      </w:r>
      <w:r>
        <w:rPr>
          <w:rFonts w:ascii="Arial" w:cs="Arial" w:eastAsia="Arial" w:hAnsi="Arial"/>
          <w:sz w:val="14"/>
          <w:szCs w:val="14"/>
          <w:u w:val="single" w:color="auto"/>
          <w:color w:val="auto"/>
        </w:rPr>
        <w:t>Section 4.5</w:t>
      </w:r>
      <w:r>
        <w:rPr>
          <w:rFonts w:ascii="Arial" w:cs="Arial" w:eastAsia="Arial" w:hAnsi="Arial"/>
          <w:sz w:val="14"/>
          <w:szCs w:val="14"/>
          <w:color w:val="auto"/>
        </w:rPr>
        <w:t>, shall terminate and be of no further force or effect (i) immediately before the consummation an IPO, (ii) when the Company first becomes subject to the periodic reporting requirements of Section 12(g) or 15(d) of the Exchange Act or (iii) upon the consummation of a Deemed Liquidation Event, but only after fulfillment of the obligations set forth under Article Fourth, Part B, Section 2.3.2 of the Certificate of Incorporation in connection with such Deemed Liquidation Event, whichever event occurs first.</w:t>
      </w:r>
    </w:p>
    <w:p>
      <w:pPr>
        <w:spacing w:after="0" w:line="147" w:lineRule="exact"/>
        <w:rPr>
          <w:sz w:val="20"/>
          <w:szCs w:val="20"/>
          <w:color w:val="auto"/>
        </w:rPr>
      </w:pPr>
    </w:p>
    <w:p>
      <w:pPr>
        <w:ind w:left="1160" w:hanging="636"/>
        <w:spacing w:after="0"/>
        <w:tabs>
          <w:tab w:leader="none" w:pos="1160" w:val="left"/>
        </w:tabs>
        <w:numPr>
          <w:ilvl w:val="0"/>
          <w:numId w:val="229"/>
        </w:numPr>
        <w:rPr>
          <w:rFonts w:ascii="Arial" w:cs="Arial" w:eastAsia="Arial" w:hAnsi="Arial"/>
          <w:sz w:val="14"/>
          <w:szCs w:val="14"/>
          <w:color w:val="auto"/>
        </w:rPr>
      </w:pPr>
      <w:r>
        <w:rPr>
          <w:rFonts w:ascii="Arial" w:cs="Arial" w:eastAsia="Arial" w:hAnsi="Arial"/>
          <w:sz w:val="14"/>
          <w:szCs w:val="14"/>
          <w:u w:val="single" w:color="auto"/>
          <w:color w:val="auto"/>
        </w:rPr>
        <w:t>Tag-Along Rights</w:t>
      </w:r>
      <w:r>
        <w:rPr>
          <w:rFonts w:ascii="Arial" w:cs="Arial" w:eastAsia="Arial" w:hAnsi="Arial"/>
          <w:sz w:val="14"/>
          <w:szCs w:val="14"/>
          <w:color w:val="auto"/>
        </w:rPr>
        <w:t>.</w:t>
      </w:r>
    </w:p>
    <w:p>
      <w:pPr>
        <w:spacing w:after="0" w:line="180" w:lineRule="exact"/>
        <w:rPr>
          <w:sz w:val="20"/>
          <w:szCs w:val="20"/>
          <w:color w:val="auto"/>
        </w:rPr>
      </w:pPr>
    </w:p>
    <w:p>
      <w:pPr>
        <w:jc w:val="both"/>
        <w:ind w:firstLine="1036"/>
        <w:spacing w:after="0" w:line="264" w:lineRule="auto"/>
        <w:rPr>
          <w:sz w:val="20"/>
          <w:szCs w:val="20"/>
          <w:color w:val="auto"/>
        </w:rPr>
      </w:pPr>
      <w:r>
        <w:rPr>
          <w:rFonts w:ascii="Arial" w:cs="Arial" w:eastAsia="Arial" w:hAnsi="Arial"/>
          <w:sz w:val="14"/>
          <w:szCs w:val="14"/>
          <w:color w:val="auto"/>
        </w:rPr>
        <w:t>5.1 In the event one or more Investors (referred to as the “</w:t>
      </w:r>
      <w:r>
        <w:rPr>
          <w:rFonts w:ascii="Arial" w:cs="Arial" w:eastAsia="Arial" w:hAnsi="Arial"/>
          <w:sz w:val="14"/>
          <w:szCs w:val="14"/>
          <w:b w:val="1"/>
          <w:bCs w:val="1"/>
          <w:color w:val="auto"/>
        </w:rPr>
        <w:t>Concerned Party</w:t>
      </w:r>
      <w:r>
        <w:rPr>
          <w:rFonts w:ascii="Arial" w:cs="Arial" w:eastAsia="Arial" w:hAnsi="Arial"/>
          <w:sz w:val="14"/>
          <w:szCs w:val="14"/>
          <w:color w:val="auto"/>
        </w:rPr>
        <w:t xml:space="preserve">” for purposes of this </w:t>
      </w:r>
      <w:r>
        <w:rPr>
          <w:rFonts w:ascii="Arial" w:cs="Arial" w:eastAsia="Arial" w:hAnsi="Arial"/>
          <w:sz w:val="14"/>
          <w:szCs w:val="14"/>
          <w:u w:val="single" w:color="auto"/>
          <w:color w:val="auto"/>
        </w:rPr>
        <w:t>Section 5</w:t>
      </w:r>
      <w:r>
        <w:rPr>
          <w:rFonts w:ascii="Arial" w:cs="Arial" w:eastAsia="Arial" w:hAnsi="Arial"/>
          <w:sz w:val="14"/>
          <w:szCs w:val="14"/>
          <w:color w:val="auto"/>
        </w:rPr>
        <w:t>) agrees to sell or transfer (a “</w:t>
      </w:r>
      <w:r>
        <w:rPr>
          <w:rFonts w:ascii="Arial" w:cs="Arial" w:eastAsia="Arial" w:hAnsi="Arial"/>
          <w:sz w:val="14"/>
          <w:szCs w:val="14"/>
          <w:b w:val="1"/>
          <w:bCs w:val="1"/>
          <w:color w:val="auto"/>
        </w:rPr>
        <w:t>Transfer</w:t>
      </w:r>
      <w:r>
        <w:rPr>
          <w:rFonts w:ascii="Arial" w:cs="Arial" w:eastAsia="Arial" w:hAnsi="Arial"/>
          <w:sz w:val="14"/>
          <w:szCs w:val="14"/>
          <w:color w:val="auto"/>
        </w:rPr>
        <w:t>”) any shares of Common Stock or Preferred Stock (collectively, “</w:t>
      </w:r>
      <w:r>
        <w:rPr>
          <w:rFonts w:ascii="Arial" w:cs="Arial" w:eastAsia="Arial" w:hAnsi="Arial"/>
          <w:sz w:val="14"/>
          <w:szCs w:val="14"/>
          <w:b w:val="1"/>
          <w:bCs w:val="1"/>
          <w:color w:val="auto"/>
        </w:rPr>
        <w:t>Securities</w:t>
      </w:r>
      <w:r>
        <w:rPr>
          <w:rFonts w:ascii="Arial" w:cs="Arial" w:eastAsia="Arial" w:hAnsi="Arial"/>
          <w:sz w:val="14"/>
          <w:szCs w:val="14"/>
          <w:color w:val="auto"/>
        </w:rPr>
        <w:t>”) to a third party (other than an Affiliate of such Investor) acting alone or in concert (referred to as the “</w:t>
      </w:r>
      <w:r>
        <w:rPr>
          <w:rFonts w:ascii="Arial" w:cs="Arial" w:eastAsia="Arial" w:hAnsi="Arial"/>
          <w:sz w:val="14"/>
          <w:szCs w:val="14"/>
          <w:b w:val="1"/>
          <w:bCs w:val="1"/>
          <w:color w:val="auto"/>
        </w:rPr>
        <w:t>Acquiror</w:t>
      </w:r>
      <w:r>
        <w:rPr>
          <w:rFonts w:ascii="Arial" w:cs="Arial" w:eastAsia="Arial" w:hAnsi="Arial"/>
          <w:sz w:val="14"/>
          <w:szCs w:val="14"/>
          <w:color w:val="auto"/>
        </w:rPr>
        <w:t xml:space="preserve">” in this </w:t>
      </w:r>
      <w:r>
        <w:rPr>
          <w:rFonts w:ascii="Arial" w:cs="Arial" w:eastAsia="Arial" w:hAnsi="Arial"/>
          <w:sz w:val="14"/>
          <w:szCs w:val="14"/>
          <w:u w:val="single" w:color="auto"/>
          <w:color w:val="auto"/>
        </w:rPr>
        <w:t>Section 5</w:t>
      </w:r>
      <w:r>
        <w:rPr>
          <w:rFonts w:ascii="Arial" w:cs="Arial" w:eastAsia="Arial" w:hAnsi="Arial"/>
          <w:sz w:val="14"/>
          <w:szCs w:val="14"/>
          <w:color w:val="auto"/>
        </w:rPr>
        <w:t>), in a single Transfer or a series of related Transfers, and as a result of such Transfer, the Acquiror would hold, immediately or on a due date, more than fifty percent (50%) of the outstanding Securities of the Company on an as-converted basis (“</w:t>
      </w:r>
      <w:r>
        <w:rPr>
          <w:rFonts w:ascii="Arial" w:cs="Arial" w:eastAsia="Arial" w:hAnsi="Arial"/>
          <w:sz w:val="14"/>
          <w:szCs w:val="14"/>
          <w:b w:val="1"/>
          <w:bCs w:val="1"/>
          <w:color w:val="auto"/>
        </w:rPr>
        <w:t>Control</w:t>
      </w:r>
      <w:r>
        <w:rPr>
          <w:rFonts w:ascii="Arial" w:cs="Arial" w:eastAsia="Arial" w:hAnsi="Arial"/>
          <w:sz w:val="14"/>
          <w:szCs w:val="14"/>
          <w:color w:val="auto"/>
        </w:rPr>
        <w:t xml:space="preserve">” for purposes of this </w:t>
      </w:r>
      <w:r>
        <w:rPr>
          <w:rFonts w:ascii="Arial" w:cs="Arial" w:eastAsia="Arial" w:hAnsi="Arial"/>
          <w:sz w:val="14"/>
          <w:szCs w:val="14"/>
          <w:u w:val="single" w:color="auto"/>
          <w:color w:val="auto"/>
        </w:rPr>
        <w:t>Section 5</w:t>
      </w:r>
      <w:r>
        <w:rPr>
          <w:rFonts w:ascii="Arial" w:cs="Arial" w:eastAsia="Arial" w:hAnsi="Arial"/>
          <w:sz w:val="14"/>
          <w:szCs w:val="14"/>
          <w:color w:val="auto"/>
        </w:rPr>
        <w:t>) then the other Investors (hereafter referred to as the “</w:t>
      </w:r>
      <w:r>
        <w:rPr>
          <w:rFonts w:ascii="Arial" w:cs="Arial" w:eastAsia="Arial" w:hAnsi="Arial"/>
          <w:sz w:val="14"/>
          <w:szCs w:val="14"/>
          <w:b w:val="1"/>
          <w:bCs w:val="1"/>
          <w:color w:val="auto"/>
        </w:rPr>
        <w:t>Non-Concerned Parties</w:t>
      </w:r>
      <w:r>
        <w:rPr>
          <w:rFonts w:ascii="Arial" w:cs="Arial" w:eastAsia="Arial" w:hAnsi="Arial"/>
          <w:sz w:val="14"/>
          <w:szCs w:val="14"/>
          <w:color w:val="auto"/>
        </w:rPr>
        <w:t>”) shall have a full tag-along right, pursuant to which each of the Non-Concerned Parties may transfer to the Acquiror all of its Securities on the same terms and conditions as offered by the Acquiror to the Concerned Party.</w:t>
      </w:r>
    </w:p>
    <w:p>
      <w:pPr>
        <w:spacing w:after="0" w:line="150"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5.2 Accordingly, prior to completing the Transfer of any or all of its Securities to an Acquiror and as a condition of entering into any binding commitment in respect of such Transfer, the Concerned Party shall secure the Acquiror’s irrevocable undertaking to purchase any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47" w:name="page348"/>
    <w:bookmarkEnd w:id="347"/>
    <w:p>
      <w:pPr>
        <w:spacing w:after="0"/>
        <w:rPr>
          <w:sz w:val="20"/>
          <w:szCs w:val="20"/>
          <w:color w:val="auto"/>
        </w:rPr>
      </w:pPr>
      <w:r>
        <w:rPr>
          <w:rFonts w:ascii="Arial" w:cs="Arial" w:eastAsia="Arial" w:hAnsi="Arial"/>
          <w:sz w:val="14"/>
          <w:szCs w:val="14"/>
          <w:color w:val="auto"/>
        </w:rPr>
        <w:t>such Securities of the Non-Concerned Parties that they may wish to sell, on the same terms and conditions as offered by the Acquiror to the Concerned Party.</w:t>
      </w:r>
    </w:p>
    <w:p>
      <w:pPr>
        <w:spacing w:after="0" w:line="184"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 xml:space="preserve">5.3 In the circumstances referred to in </w:t>
      </w:r>
      <w:r>
        <w:rPr>
          <w:rFonts w:ascii="Arial" w:cs="Arial" w:eastAsia="Arial" w:hAnsi="Arial"/>
          <w:sz w:val="14"/>
          <w:szCs w:val="14"/>
          <w:u w:val="single" w:color="auto"/>
          <w:color w:val="auto"/>
        </w:rPr>
        <w:t>Section 5.1</w:t>
      </w:r>
      <w:r>
        <w:rPr>
          <w:rFonts w:ascii="Arial" w:cs="Arial" w:eastAsia="Arial" w:hAnsi="Arial"/>
          <w:sz w:val="14"/>
          <w:szCs w:val="14"/>
          <w:color w:val="auto"/>
        </w:rPr>
        <w:t xml:space="preserve"> above, the Concerned Party shall provide written notice to the Company, which will then provide written notice to each of the Non-Concerned Parties (a “</w:t>
      </w:r>
      <w:r>
        <w:rPr>
          <w:rFonts w:ascii="Arial" w:cs="Arial" w:eastAsia="Arial" w:hAnsi="Arial"/>
          <w:sz w:val="14"/>
          <w:szCs w:val="14"/>
          <w:b w:val="1"/>
          <w:bCs w:val="1"/>
          <w:color w:val="auto"/>
        </w:rPr>
        <w:t>Proposed Transfer Notice</w:t>
      </w:r>
      <w:r>
        <w:rPr>
          <w:rFonts w:ascii="Arial" w:cs="Arial" w:eastAsia="Arial" w:hAnsi="Arial"/>
          <w:sz w:val="14"/>
          <w:szCs w:val="14"/>
          <w:color w:val="auto"/>
        </w:rPr>
        <w:t xml:space="preserve">”), of the proposed Transfer by the Concerned Party of Securities to the Acquiror, the terms and conditions of such proposed Transfer, and that the Non-Concerned Parties may exercise their full tag-along right provided for in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with respect to such proposed Transfer.</w:t>
      </w:r>
    </w:p>
    <w:p>
      <w:pPr>
        <w:spacing w:after="0" w:line="141"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5.4 Each Non-Concerned Party shall have a period of thirty (30) days from receipt of the Proposed Transfer Notice to exercise their full tag-along right in accordance with the following terms and conditions:</w:t>
      </w:r>
    </w:p>
    <w:p>
      <w:pPr>
        <w:spacing w:after="0" w:line="132" w:lineRule="exact"/>
        <w:rPr>
          <w:sz w:val="20"/>
          <w:szCs w:val="20"/>
          <w:color w:val="auto"/>
        </w:rPr>
      </w:pPr>
    </w:p>
    <w:p>
      <w:pPr>
        <w:ind w:firstLine="1560"/>
        <w:spacing w:after="0" w:line="288" w:lineRule="auto"/>
        <w:tabs>
          <w:tab w:leader="none" w:pos="2180" w:val="left"/>
        </w:tabs>
        <w:numPr>
          <w:ilvl w:val="2"/>
          <w:numId w:val="230"/>
        </w:numPr>
        <w:rPr>
          <w:rFonts w:ascii="Arial" w:cs="Arial" w:eastAsia="Arial" w:hAnsi="Arial"/>
          <w:sz w:val="14"/>
          <w:szCs w:val="14"/>
          <w:color w:val="auto"/>
        </w:rPr>
      </w:pPr>
      <w:r>
        <w:rPr>
          <w:rFonts w:ascii="Arial" w:cs="Arial" w:eastAsia="Arial" w:hAnsi="Arial"/>
          <w:sz w:val="14"/>
          <w:szCs w:val="14"/>
          <w:color w:val="auto"/>
        </w:rPr>
        <w:t>If a Non-Concerned Party wishes to exercise its full tag-along right, they shall notify the Concerned Party, prior to the expiration of the thirty (30)-day period referred to above, of the number of Securities that they own and wish to transfer (the “</w:t>
      </w:r>
      <w:r>
        <w:rPr>
          <w:rFonts w:ascii="Arial" w:cs="Arial" w:eastAsia="Arial" w:hAnsi="Arial"/>
          <w:sz w:val="14"/>
          <w:szCs w:val="14"/>
          <w:b w:val="1"/>
          <w:bCs w:val="1"/>
          <w:color w:val="auto"/>
        </w:rPr>
        <w:t>Offered Securities</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jc w:val="both"/>
        <w:ind w:firstLine="1560"/>
        <w:spacing w:after="0" w:line="267" w:lineRule="auto"/>
        <w:tabs>
          <w:tab w:leader="none" w:pos="2160" w:val="left"/>
        </w:tabs>
        <w:numPr>
          <w:ilvl w:val="2"/>
          <w:numId w:val="230"/>
        </w:numPr>
        <w:rPr>
          <w:rFonts w:ascii="Arial" w:cs="Arial" w:eastAsia="Arial" w:hAnsi="Arial"/>
          <w:sz w:val="14"/>
          <w:szCs w:val="14"/>
          <w:color w:val="auto"/>
        </w:rPr>
      </w:pPr>
      <w:r>
        <w:rPr>
          <w:rFonts w:ascii="Arial" w:cs="Arial" w:eastAsia="Arial" w:hAnsi="Arial"/>
          <w:sz w:val="14"/>
          <w:szCs w:val="14"/>
          <w:color w:val="auto"/>
        </w:rPr>
        <w:t>In the event of exercise by any Non-Concerned Party of its full tag-along right, the terms and conditions of the proposed Transfer of the Offered Securities, including the purchase price per Security payable by the Acquiror for the Offered Securities, will be the same as offered by the Acquiror to the Concerned Party; the purchase price per Security so determined shall be based upon the total purchase price payable by the Acquiror with respect to all Securities to be acquired by the Acquiror in such transactions, which shall then be allocated among the Investors selling Securities to the Acquiror on a pro rata basis.</w:t>
      </w:r>
    </w:p>
    <w:p>
      <w:pPr>
        <w:spacing w:after="0" w:line="146" w:lineRule="exact"/>
        <w:rPr>
          <w:rFonts w:ascii="Arial" w:cs="Arial" w:eastAsia="Arial" w:hAnsi="Arial"/>
          <w:sz w:val="14"/>
          <w:szCs w:val="14"/>
          <w:color w:val="auto"/>
        </w:rPr>
      </w:pPr>
    </w:p>
    <w:p>
      <w:pPr>
        <w:ind w:left="2180" w:hanging="620"/>
        <w:spacing w:after="0"/>
        <w:tabs>
          <w:tab w:leader="none" w:pos="2180" w:val="left"/>
        </w:tabs>
        <w:numPr>
          <w:ilvl w:val="2"/>
          <w:numId w:val="230"/>
        </w:numPr>
        <w:rPr>
          <w:rFonts w:ascii="Arial" w:cs="Arial" w:eastAsia="Arial" w:hAnsi="Arial"/>
          <w:sz w:val="13"/>
          <w:szCs w:val="13"/>
          <w:color w:val="auto"/>
        </w:rPr>
      </w:pPr>
      <w:r>
        <w:rPr>
          <w:rFonts w:ascii="Arial" w:cs="Arial" w:eastAsia="Arial" w:hAnsi="Arial"/>
          <w:sz w:val="13"/>
          <w:szCs w:val="13"/>
          <w:color w:val="auto"/>
        </w:rPr>
        <w:t>In the event of exercise by any of the Non-Concerned Parties of its full tag-along right, the Transfer of the Offered Securities shall take place within fifteen</w:t>
      </w:r>
    </w:p>
    <w:p>
      <w:pPr>
        <w:spacing w:after="0" w:line="32" w:lineRule="exact"/>
        <w:rPr>
          <w:rFonts w:ascii="Arial" w:cs="Arial" w:eastAsia="Arial" w:hAnsi="Arial"/>
          <w:sz w:val="13"/>
          <w:szCs w:val="13"/>
          <w:color w:val="auto"/>
        </w:rPr>
      </w:pPr>
    </w:p>
    <w:p>
      <w:pPr>
        <w:jc w:val="both"/>
        <w:ind w:firstLine="6"/>
        <w:spacing w:after="0" w:line="263" w:lineRule="auto"/>
        <w:tabs>
          <w:tab w:leader="none" w:pos="283" w:val="left"/>
        </w:tabs>
        <w:numPr>
          <w:ilvl w:val="0"/>
          <w:numId w:val="231"/>
        </w:numPr>
        <w:rPr>
          <w:rFonts w:ascii="Arial" w:cs="Arial" w:eastAsia="Arial" w:hAnsi="Arial"/>
          <w:sz w:val="14"/>
          <w:szCs w:val="14"/>
          <w:color w:val="auto"/>
        </w:rPr>
      </w:pPr>
      <w:r>
        <w:rPr>
          <w:rFonts w:ascii="Arial" w:cs="Arial" w:eastAsia="Arial" w:hAnsi="Arial"/>
          <w:sz w:val="14"/>
          <w:szCs w:val="14"/>
          <w:color w:val="auto"/>
        </w:rPr>
        <w:t xml:space="preserve">days of the latter of (i) the expiration of the thirty (30)-day period provided for exercise of the full tag-along right set forth in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and (ii) the date of receipt of all approvals and termination of all waiting periods, in each case, under applicable law in connection with such proposed Transfer. In order to ensure the purchase by the Acquiror of the Offered Securities and payment thereof within said period, the Concerned Party shall only transfer ownership of the Securities to the Acquiror and receive the price therefor if the Acquiror is simultaneously transferred ownership of, and pays the transfer price of, the Offered Securities.</w:t>
      </w:r>
    </w:p>
    <w:p>
      <w:pPr>
        <w:spacing w:after="0" w:line="147" w:lineRule="exact"/>
        <w:rPr>
          <w:rFonts w:ascii="Arial" w:cs="Arial" w:eastAsia="Arial" w:hAnsi="Arial"/>
          <w:sz w:val="14"/>
          <w:szCs w:val="14"/>
          <w:color w:val="auto"/>
        </w:rPr>
      </w:pPr>
    </w:p>
    <w:p>
      <w:pPr>
        <w:jc w:val="both"/>
        <w:ind w:firstLine="1560"/>
        <w:spacing w:after="0" w:line="267" w:lineRule="auto"/>
        <w:tabs>
          <w:tab w:leader="none" w:pos="2160" w:val="left"/>
        </w:tabs>
        <w:numPr>
          <w:ilvl w:val="2"/>
          <w:numId w:val="231"/>
        </w:numPr>
        <w:rPr>
          <w:rFonts w:ascii="Arial" w:cs="Arial" w:eastAsia="Arial" w:hAnsi="Arial"/>
          <w:sz w:val="14"/>
          <w:szCs w:val="14"/>
          <w:color w:val="auto"/>
        </w:rPr>
      </w:pPr>
      <w:r>
        <w:rPr>
          <w:rFonts w:ascii="Arial" w:cs="Arial" w:eastAsia="Arial" w:hAnsi="Arial"/>
          <w:sz w:val="14"/>
          <w:szCs w:val="14"/>
          <w:color w:val="auto"/>
        </w:rPr>
        <w:t xml:space="preserve">In the event that no Non-Concerned Party shall exercise its full tag-along right, the Concerned Party may proceed with the Transfer on the terms set forth in the Proposed Transfer Notice within thirty (30) days of the later of (i) the expiry of the full tag-along right exercise period and (ii) the date of receipt of any required governmental approvals for the consummation of the Transfer. Should the Concerned Party fail to complete such Transfer within such period, it shall be bound, prior to any Transfer of its Shares, to comply with the provisions of this </w:t>
      </w:r>
      <w:r>
        <w:rPr>
          <w:rFonts w:ascii="Arial" w:cs="Arial" w:eastAsia="Arial" w:hAnsi="Arial"/>
          <w:sz w:val="14"/>
          <w:szCs w:val="14"/>
          <w:u w:val="single" w:color="auto"/>
          <w:color w:val="auto"/>
        </w:rPr>
        <w:t>Section 5</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left="1160" w:hanging="636"/>
        <w:spacing w:after="0"/>
        <w:tabs>
          <w:tab w:leader="none" w:pos="1160" w:val="left"/>
        </w:tabs>
        <w:numPr>
          <w:ilvl w:val="1"/>
          <w:numId w:val="231"/>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84"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rights under this Agreement may be assigned (but only with all related obligations) by a Holder to a transferee of Registrable Securities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that (i)</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48" w:name="page349"/>
    <w:bookmarkEnd w:id="348"/>
    <w:p>
      <w:pPr>
        <w:jc w:val="both"/>
        <w:spacing w:after="0" w:line="260" w:lineRule="auto"/>
        <w:rPr>
          <w:sz w:val="20"/>
          <w:szCs w:val="20"/>
          <w:color w:val="auto"/>
        </w:rPr>
      </w:pPr>
      <w:r>
        <w:rPr>
          <w:rFonts w:ascii="Arial" w:cs="Arial" w:eastAsia="Arial" w:hAnsi="Arial"/>
          <w:sz w:val="14"/>
          <w:szCs w:val="14"/>
          <w:color w:val="auto"/>
        </w:rPr>
        <w:t xml:space="preserve">is an Affiliate of a Holder; (ii) is a Holder’s Immediate Family Member or trust for the benefit of an individual Holder or one (1) or more of such Holder’s Immediate Family Members; or (iii) after such transfer, holds at least 500,000 shares of Registrable Securities (subject to appropriate adjustment for stock splits, stock dividends, combinations, and other recapitalizations) or, if less, all of the Registrable Securities held by such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53"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and enforced in accordance with the laws of the state of Delaware, without regard to conflict of law principles that would result in the application of any law other than the law of the State of Delaware.</w:t>
      </w:r>
    </w:p>
    <w:p>
      <w:pPr>
        <w:spacing w:after="0" w:line="132"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r>
        <w:rPr>
          <w:rFonts w:ascii="Arial" w:cs="Arial" w:eastAsia="Arial" w:hAnsi="Arial"/>
          <w:sz w:val="14"/>
          <w:szCs w:val="14"/>
          <w:b w:val="1"/>
          <w:bCs w:val="1"/>
          <w:color w:val="auto"/>
        </w:rPr>
        <w:t>.</w:t>
      </w:r>
    </w:p>
    <w:p>
      <w:pPr>
        <w:spacing w:after="0" w:line="141"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and subtitles used in this Agreement are for convenience only and are not to be considered in construing or interpreting this Agreement.</w:t>
      </w:r>
    </w:p>
    <w:p>
      <w:pPr>
        <w:spacing w:after="0" w:line="184"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given or made pursuant to this Agreement shall be in writing and shall be deemed effectively given upon the earlier of</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actual receipt or: (a)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 or email address as set forth on the signature page or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or to such email address, facsimile number or address as subsequently modified by written notice given in accordance with this </w:t>
      </w:r>
      <w:r>
        <w:rPr>
          <w:rFonts w:ascii="Arial" w:cs="Arial" w:eastAsia="Arial" w:hAnsi="Arial"/>
          <w:sz w:val="14"/>
          <w:szCs w:val="14"/>
          <w:u w:val="single" w:color="auto"/>
          <w:color w:val="auto"/>
        </w:rPr>
        <w:t>Section 6.5</w:t>
      </w:r>
      <w:r>
        <w:rPr>
          <w:rFonts w:ascii="Arial" w:cs="Arial" w:eastAsia="Arial" w:hAnsi="Arial"/>
          <w:sz w:val="14"/>
          <w:szCs w:val="14"/>
          <w:color w:val="auto"/>
        </w:rPr>
        <w:t>. If notice is given to the Company, a copy (which</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49" w:name="page350"/>
    <w:bookmarkEnd w:id="349"/>
    <w:p>
      <w:pPr>
        <w:jc w:val="both"/>
        <w:spacing w:after="0" w:line="273" w:lineRule="auto"/>
        <w:rPr>
          <w:sz w:val="20"/>
          <w:szCs w:val="20"/>
          <w:color w:val="auto"/>
        </w:rPr>
      </w:pPr>
      <w:r>
        <w:rPr>
          <w:rFonts w:ascii="Arial" w:cs="Arial" w:eastAsia="Arial" w:hAnsi="Arial"/>
          <w:sz w:val="14"/>
          <w:szCs w:val="14"/>
          <w:color w:val="auto"/>
        </w:rPr>
        <w:t>copy shall not constitute notice) shall also be sent to Troutman Pepper Hamilton Sanders LLP, 3000 Two Logan Square, Eighteenth and Arch Streets, Philadelphia, PA 19103-2799, Attn: Rachael M. Bushey, rachael.bushey@troutman.com; and i</w:t>
      </w:r>
      <w:r>
        <w:rPr>
          <w:rFonts w:ascii="Arial" w:cs="Arial" w:eastAsia="Arial" w:hAnsi="Arial"/>
          <w:sz w:val="14"/>
          <w:szCs w:val="14"/>
          <w:color w:val="231F20"/>
        </w:rPr>
        <w:t>f notice is given to Versant or its Affiliates, a copy (which shall not constitute notice) shall also be sent to Versant Venture Capital VI, L.P., One</w:t>
      </w:r>
      <w:r>
        <w:rPr>
          <w:rFonts w:ascii="Arial" w:cs="Arial" w:eastAsia="Arial" w:hAnsi="Arial"/>
          <w:sz w:val="14"/>
          <w:szCs w:val="14"/>
          <w:color w:val="auto"/>
        </w:rPr>
        <w:t xml:space="preserve"> </w:t>
      </w:r>
      <w:r>
        <w:rPr>
          <w:rFonts w:ascii="Arial" w:cs="Arial" w:eastAsia="Arial" w:hAnsi="Arial"/>
          <w:sz w:val="14"/>
          <w:szCs w:val="14"/>
          <w:color w:val="231F20"/>
        </w:rPr>
        <w:t>Sansome Street, Suite 3630, San Francisco, CA 94104, Attention: Robin L. Praeger.</w:t>
      </w:r>
    </w:p>
    <w:p>
      <w:pPr>
        <w:spacing w:after="0" w:line="141" w:lineRule="exact"/>
        <w:rPr>
          <w:sz w:val="20"/>
          <w:szCs w:val="20"/>
          <w:color w:val="auto"/>
        </w:rPr>
      </w:pPr>
    </w:p>
    <w:p>
      <w:pPr>
        <w:jc w:val="both"/>
        <w:ind w:firstLine="1036"/>
        <w:spacing w:after="0" w:line="280"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Amendments and Waivers</w:t>
      </w:r>
      <w:r>
        <w:rPr>
          <w:rFonts w:ascii="Arial" w:cs="Arial" w:eastAsia="Arial" w:hAnsi="Arial"/>
          <w:sz w:val="13"/>
          <w:szCs w:val="13"/>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voting as a separate class and on an as-converted basis;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may in its sole discretion waive compliance with </w:t>
      </w:r>
      <w:r>
        <w:rPr>
          <w:rFonts w:ascii="Arial" w:cs="Arial" w:eastAsia="Arial" w:hAnsi="Arial"/>
          <w:sz w:val="13"/>
          <w:szCs w:val="13"/>
          <w:u w:val="single" w:color="auto"/>
          <w:color w:val="auto"/>
        </w:rPr>
        <w:t>Section 2.12(c)</w:t>
      </w:r>
      <w:r>
        <w:rPr>
          <w:rFonts w:ascii="Arial" w:cs="Arial" w:eastAsia="Arial" w:hAnsi="Arial"/>
          <w:sz w:val="13"/>
          <w:szCs w:val="13"/>
          <w:color w:val="auto"/>
        </w:rPr>
        <w:t xml:space="preserve"> (and the Company’s failure to object promptly in writing after notification of a proposed assignment allegedly in violation of </w:t>
      </w:r>
      <w:r>
        <w:rPr>
          <w:rFonts w:ascii="Arial" w:cs="Arial" w:eastAsia="Arial" w:hAnsi="Arial"/>
          <w:sz w:val="13"/>
          <w:szCs w:val="13"/>
          <w:u w:val="single" w:color="auto"/>
          <w:color w:val="auto"/>
        </w:rPr>
        <w:t>Section 2.12(c)</w:t>
      </w:r>
      <w:r>
        <w:rPr>
          <w:rFonts w:ascii="Arial" w:cs="Arial" w:eastAsia="Arial" w:hAnsi="Arial"/>
          <w:sz w:val="13"/>
          <w:szCs w:val="13"/>
          <w:color w:val="auto"/>
        </w:rPr>
        <w:t xml:space="preserve"> shall be deemed to be a waiver);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any provision hereof may be waived by any waiving party on such party’s own behalf, without the consent of any other party.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(ii) </w:t>
      </w:r>
      <w:r>
        <w:rPr>
          <w:rFonts w:ascii="Arial" w:cs="Arial" w:eastAsia="Arial" w:hAnsi="Arial"/>
          <w:sz w:val="13"/>
          <w:szCs w:val="13"/>
          <w:u w:val="single" w:color="auto"/>
          <w:color w:val="auto"/>
        </w:rPr>
        <w:t>Section 4.4(d)</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4.15,</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6.13</w:t>
      </w:r>
      <w:r>
        <w:rPr>
          <w:rFonts w:ascii="Arial" w:cs="Arial" w:eastAsia="Arial" w:hAnsi="Arial"/>
          <w:sz w:val="13"/>
          <w:szCs w:val="13"/>
          <w:color w:val="auto"/>
        </w:rPr>
        <w:t xml:space="preserve"> may not be amended without the written consent of Bayer, (iii) </w:t>
      </w:r>
      <w:r>
        <w:rPr>
          <w:rFonts w:ascii="Arial" w:cs="Arial" w:eastAsia="Arial" w:hAnsi="Arial"/>
          <w:sz w:val="13"/>
          <w:szCs w:val="13"/>
          <w:u w:val="single" w:color="auto"/>
          <w:color w:val="auto"/>
        </w:rPr>
        <w:t>Section 4.4(c)</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4.15,</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6.13</w:t>
      </w:r>
      <w:r>
        <w:rPr>
          <w:rFonts w:ascii="Arial" w:cs="Arial" w:eastAsia="Arial" w:hAnsi="Arial"/>
          <w:sz w:val="13"/>
          <w:szCs w:val="13"/>
          <w:color w:val="auto"/>
        </w:rPr>
        <w:t xml:space="preserve"> may not be amended without the written consent of Casdin, (iv) </w:t>
      </w:r>
      <w:r>
        <w:rPr>
          <w:rFonts w:ascii="Arial" w:cs="Arial" w:eastAsia="Arial" w:hAnsi="Arial"/>
          <w:sz w:val="13"/>
          <w:szCs w:val="13"/>
          <w:u w:val="single" w:color="auto"/>
          <w:color w:val="auto"/>
        </w:rPr>
        <w:t>Section 4.4(b)</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4.15,</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6.13</w:t>
      </w:r>
      <w:r>
        <w:rPr>
          <w:rFonts w:ascii="Arial" w:cs="Arial" w:eastAsia="Arial" w:hAnsi="Arial"/>
          <w:sz w:val="13"/>
          <w:szCs w:val="13"/>
          <w:color w:val="auto"/>
        </w:rPr>
        <w:t xml:space="preserve"> may not be amended without the written consent of FCDI, (v) </w:t>
      </w:r>
      <w:r>
        <w:rPr>
          <w:rFonts w:ascii="Arial" w:cs="Arial" w:eastAsia="Arial" w:hAnsi="Arial"/>
          <w:sz w:val="13"/>
          <w:szCs w:val="13"/>
          <w:u w:val="single" w:color="auto"/>
          <w:color w:val="auto"/>
        </w:rPr>
        <w:t>Section 4.4(a)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4.15,</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6.13</w:t>
      </w:r>
      <w:r>
        <w:rPr>
          <w:rFonts w:ascii="Arial" w:cs="Arial" w:eastAsia="Arial" w:hAnsi="Arial"/>
          <w:sz w:val="13"/>
          <w:szCs w:val="13"/>
          <w:color w:val="auto"/>
        </w:rPr>
        <w:t xml:space="preserve"> may not be amended without the written consent of Versant, and (vi) </w:t>
      </w:r>
      <w:r>
        <w:rPr>
          <w:rFonts w:ascii="Arial" w:cs="Arial" w:eastAsia="Arial" w:hAnsi="Arial"/>
          <w:sz w:val="13"/>
          <w:szCs w:val="13"/>
          <w:u w:val="single" w:color="auto"/>
          <w:color w:val="auto"/>
        </w:rPr>
        <w:t>Section 4.15</w:t>
      </w:r>
      <w:r>
        <w:rPr>
          <w:rFonts w:ascii="Arial" w:cs="Arial" w:eastAsia="Arial" w:hAnsi="Arial"/>
          <w:sz w:val="13"/>
          <w:szCs w:val="13"/>
          <w:color w:val="auto"/>
        </w:rPr>
        <w:t xml:space="preserve"> may not be amended without the written consent of each of MW, OrbiMed, H Investor and RA Capital, and (vii) this Agreement may not be amended to impose any additional restrictions on the rights of an Investor to transfer or dispose of, directly or indirectly, any securities issued by the Company without the written consent of Casdin, Bayer, FCDI and Versant.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3"/>
          <w:szCs w:val="13"/>
          <w:u w:val="single" w:color="auto"/>
          <w:color w:val="auto"/>
        </w:rPr>
        <w:t>Section 6.6</w:t>
      </w:r>
      <w:r>
        <w:rPr>
          <w:rFonts w:ascii="Arial" w:cs="Arial" w:eastAsia="Arial" w:hAnsi="Arial"/>
          <w:sz w:val="13"/>
          <w:szCs w:val="13"/>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44"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 xml:space="preserve">6.7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provision or provisions of this Agreement shall be held by a court of competent jurisdiction to be invalid, void, illegal or otherwise unenforceable for any reason whatsoever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spacing w:after="0" w:line="147" w:lineRule="exact"/>
        <w:rPr>
          <w:sz w:val="20"/>
          <w:szCs w:val="20"/>
          <w:color w:val="auto"/>
        </w:rPr>
      </w:pPr>
    </w:p>
    <w:p>
      <w:pPr>
        <w:ind w:left="1040"/>
        <w:spacing w:after="0"/>
        <w:tabs>
          <w:tab w:leader="none" w:pos="162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3"/>
          <w:szCs w:val="13"/>
          <w:u w:val="single" w:color="auto"/>
          <w:color w:val="auto"/>
        </w:rPr>
        <w:t>Aggregation of Stock</w:t>
      </w:r>
      <w:r>
        <w:rPr>
          <w:rFonts w:ascii="Arial" w:cs="Arial" w:eastAsia="Arial" w:hAnsi="Arial"/>
          <w:sz w:val="13"/>
          <w:szCs w:val="13"/>
          <w:color w:val="auto"/>
        </w:rPr>
        <w:t>. All shares of Registrable Securities held or acquired by Affiliates shall be aggregated together for the purpose of determining the availability of</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50" w:name="page351"/>
    <w:bookmarkEnd w:id="350"/>
    <w:p>
      <w:pPr>
        <w:jc w:val="both"/>
        <w:spacing w:after="0" w:line="288" w:lineRule="auto"/>
        <w:rPr>
          <w:sz w:val="20"/>
          <w:szCs w:val="20"/>
          <w:color w:val="auto"/>
        </w:rPr>
      </w:pPr>
      <w:r>
        <w:rPr>
          <w:rFonts w:ascii="Arial" w:cs="Arial" w:eastAsia="Arial" w:hAnsi="Arial"/>
          <w:sz w:val="14"/>
          <w:szCs w:val="14"/>
          <w:color w:val="auto"/>
        </w:rPr>
        <w:t>rights under this Agreement and such Affiliated persons may apportion such rights as among themselves in any manner they deem appropriate. Upon the effectiveness of this Agreement, the Prior Agreement shall be deemed amended and restated and superseded and replaced in its entirety by this Agreement, and shall be of no further force or effect.</w:t>
      </w:r>
    </w:p>
    <w:p>
      <w:pPr>
        <w:spacing w:after="0" w:line="132"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 xml:space="preserve">6.9 </w:t>
      </w: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32" w:lineRule="exact"/>
        <w:rPr>
          <w:sz w:val="20"/>
          <w:szCs w:val="20"/>
          <w:color w:val="auto"/>
        </w:rPr>
      </w:pPr>
    </w:p>
    <w:p>
      <w:pPr>
        <w:jc w:val="both"/>
        <w:ind w:firstLine="1036"/>
        <w:spacing w:after="0" w:line="261" w:lineRule="auto"/>
        <w:rPr>
          <w:sz w:val="20"/>
          <w:szCs w:val="20"/>
          <w:color w:val="auto"/>
        </w:rPr>
      </w:pPr>
      <w:r>
        <w:rPr>
          <w:rFonts w:ascii="Arial" w:cs="Arial" w:eastAsia="Arial" w:hAnsi="Arial"/>
          <w:sz w:val="14"/>
          <w:szCs w:val="14"/>
          <w:color w:val="auto"/>
        </w:rPr>
        <w:t xml:space="preserve">6.10 </w:t>
      </w:r>
      <w:r>
        <w:rPr>
          <w:rFonts w:ascii="Arial" w:cs="Arial" w:eastAsia="Arial" w:hAnsi="Arial"/>
          <w:sz w:val="14"/>
          <w:szCs w:val="14"/>
          <w:u w:val="single" w:color="auto"/>
          <w:color w:val="auto"/>
        </w:rPr>
        <w:t>Dispute Resolution</w:t>
      </w:r>
      <w:r>
        <w:rPr>
          <w:rFonts w:ascii="Arial" w:cs="Arial" w:eastAsia="Arial" w:hAnsi="Arial"/>
          <w:sz w:val="14"/>
          <w:szCs w:val="14"/>
          <w:color w:val="auto"/>
        </w:rPr>
        <w:t>. 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53"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Delays or Omissions</w:t>
      </w:r>
      <w:r>
        <w:rPr>
          <w:rFonts w:ascii="Arial" w:cs="Arial" w:eastAsia="Arial" w:hAnsi="Arial"/>
          <w:sz w:val="13"/>
          <w:szCs w:val="13"/>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31"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u w:val="single" w:color="auto"/>
          <w:color w:val="auto"/>
        </w:rPr>
        <w:t>Acknowledgment</w:t>
      </w:r>
      <w:r>
        <w:rPr>
          <w:rFonts w:ascii="Arial" w:cs="Arial" w:eastAsia="Arial" w:hAnsi="Arial"/>
          <w:sz w:val="14"/>
          <w:szCs w:val="14"/>
          <w:color w:val="auto"/>
        </w:rPr>
        <w:t>. The Company acknowledges that certain of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will preclude or restrict the Investors from investing or participating in any particular enterprise.</w:t>
      </w:r>
    </w:p>
    <w:p>
      <w:pPr>
        <w:spacing w:after="0" w:line="141" w:lineRule="exact"/>
        <w:rPr>
          <w:sz w:val="20"/>
          <w:szCs w:val="20"/>
          <w:color w:val="auto"/>
        </w:rPr>
      </w:pPr>
    </w:p>
    <w:p>
      <w:pPr>
        <w:jc w:val="both"/>
        <w:ind w:firstLine="1036"/>
        <w:spacing w:after="0" w:line="303"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Submission to Jurisdiction</w:t>
      </w:r>
      <w:r>
        <w:rPr>
          <w:rFonts w:ascii="Arial" w:cs="Arial" w:eastAsia="Arial" w:hAnsi="Arial"/>
          <w:sz w:val="13"/>
          <w:szCs w:val="13"/>
          <w:color w:val="auto"/>
        </w:rPr>
        <w:t>. Each of the parties irrevocably agrees that any legal action or proceeding arising out of or relating to this Agreement brought by any party or its successors or assigns against the other party shall be brought and determined in any New York state or federal court sitting in the Borough of Manhattan in The City of New York (or, if such court lacks subject matter jurisdiction, in any appropriate New York state or federal court), and each of the parties hereby irrevocably submits to the exclusive jurisdiction of the aforesaid courts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51" w:name="page352"/>
    <w:bookmarkEnd w:id="351"/>
    <w:p>
      <w:pPr>
        <w:jc w:val="both"/>
        <w:spacing w:after="0" w:line="279" w:lineRule="auto"/>
        <w:rPr>
          <w:sz w:val="20"/>
          <w:szCs w:val="20"/>
          <w:color w:val="auto"/>
        </w:rPr>
      </w:pPr>
      <w:r>
        <w:rPr>
          <w:rFonts w:ascii="Arial" w:cs="Arial" w:eastAsia="Arial" w:hAnsi="Arial"/>
          <w:sz w:val="13"/>
          <w:szCs w:val="13"/>
          <w:color w:val="auto"/>
        </w:rPr>
        <w:t>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w:t>
      </w:r>
    </w:p>
    <w:p>
      <w:pPr>
        <w:spacing w:after="0" w:line="1" w:lineRule="exact"/>
        <w:rPr>
          <w:sz w:val="20"/>
          <w:szCs w:val="20"/>
          <w:color w:val="auto"/>
        </w:rPr>
      </w:pPr>
    </w:p>
    <w:p>
      <w:pPr>
        <w:ind w:firstLine="6"/>
        <w:spacing w:after="0" w:line="274" w:lineRule="auto"/>
        <w:tabs>
          <w:tab w:leader="none" w:pos="201" w:val="left"/>
        </w:tabs>
        <w:numPr>
          <w:ilvl w:val="0"/>
          <w:numId w:val="232"/>
        </w:numPr>
        <w:rPr>
          <w:rFonts w:ascii="Arial" w:cs="Arial" w:eastAsia="Arial" w:hAnsi="Arial"/>
          <w:sz w:val="14"/>
          <w:szCs w:val="14"/>
          <w:color w:val="auto"/>
        </w:rPr>
      </w:pPr>
      <w:r>
        <w:rPr>
          <w:rFonts w:ascii="Arial" w:cs="Arial" w:eastAsia="Arial" w:hAnsi="Arial"/>
          <w:sz w:val="14"/>
          <w:szCs w:val="14"/>
          <w:color w:val="auto"/>
        </w:rPr>
        <w:t>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41"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Massachusetts Business Trust</w:t>
      </w:r>
      <w:r>
        <w:rPr>
          <w:rFonts w:ascii="Arial" w:cs="Arial" w:eastAsia="Arial" w:hAnsi="Arial"/>
          <w:sz w:val="13"/>
          <w:szCs w:val="13"/>
          <w:color w:val="auto"/>
        </w:rPr>
        <w:t>. A copy of the Agreement and Declaration of Trust of each Investor advised or sub-advised by Fidelity Management &amp; Research Company LLC (each, a “Fidelity Investor”) or any Affiliate thereof is on file with the Secretary of State of the Commonwealth of Massachusetts and notice is hereby given that this Agreement is executed on behalf of the trustees of such Fidelity Investor or any Affiliate thereof as trustees and not individually and that the obligations of this Agreement are not binding on any of the trustees, officers or stockholders of such Fidelity Investor or any Affiliate thereof individually but are binding only upon such Fidelity Investor or any Affiliate thereof and its assets and property.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Pages to Follow]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52" w:name="page353"/>
    <w:bookmarkEnd w:id="352"/>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COMPANY:</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231"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Osvaldo Flores, Ph.D.</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53" w:name="page354"/>
    <w:bookmarkEnd w:id="353"/>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AVIDITY MASTER FUND LP</w:t>
      </w:r>
    </w:p>
    <w:p>
      <w:pPr>
        <w:spacing w:after="0" w:line="231"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Michael Gregory</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Michael Gregory</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AVIDITY CAPITAL FUND II LP</w:t>
      </w:r>
    </w:p>
    <w:p>
      <w:pPr>
        <w:spacing w:after="0" w:line="231"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Michael Gregory</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Michael Gregory</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4" w:right="319" w:bottom="1440" w:gutter="0" w:footer="0" w:header="0"/>
        </w:sectPr>
      </w:pPr>
    </w:p>
    <w:bookmarkStart w:id="355" w:name="page356"/>
    <w:bookmarkEnd w:id="355"/>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VERSANT VENTURE CAPITAL VI, L.P.</w:t>
      </w:r>
    </w:p>
    <w:p>
      <w:pPr>
        <w:spacing w:after="0" w:line="37"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Pr>
          <w:p>
            <w:pPr>
              <w:spacing w:after="0"/>
              <w:rPr>
                <w:sz w:val="20"/>
                <w:szCs w:val="20"/>
                <w:color w:val="auto"/>
              </w:rPr>
            </w:pPr>
            <w:r>
              <w:rPr>
                <w:rFonts w:ascii="Arial" w:cs="Arial" w:eastAsia="Arial" w:hAnsi="Arial"/>
                <w:sz w:val="14"/>
                <w:szCs w:val="14"/>
                <w:color w:val="auto"/>
              </w:rPr>
              <w:t>Versant Ventures VI GP, L.P.</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Pr>
          <w:p>
            <w:pPr>
              <w:spacing w:after="0"/>
              <w:rPr>
                <w:sz w:val="20"/>
                <w:szCs w:val="20"/>
                <w:color w:val="auto"/>
              </w:rPr>
            </w:pPr>
            <w:r>
              <w:rPr>
                <w:rFonts w:ascii="Arial" w:cs="Arial" w:eastAsia="Arial" w:hAnsi="Arial"/>
                <w:sz w:val="14"/>
                <w:szCs w:val="14"/>
                <w:color w:val="auto"/>
              </w:rPr>
              <w:t>Versant Ventures VI GP-GP, LLC</w:t>
            </w:r>
          </w:p>
        </w:tc>
      </w:tr>
      <w:tr>
        <w:trPr>
          <w:trHeight w:val="194"/>
        </w:trPr>
        <w:tc>
          <w:tcPr>
            <w:tcW w:w="5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Its: General Partner</w:t>
            </w:r>
          </w:p>
        </w:tc>
      </w:tr>
      <w:tr>
        <w:trPr>
          <w:trHeight w:val="583"/>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Thomas Woiwode</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Thomas Woiwode</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Managing Director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4" w:right="319"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VERSANT VENTURE II, L.P.</w:t>
      </w:r>
    </w:p>
    <w:p>
      <w:pPr>
        <w:spacing w:after="0" w:line="37"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Pr>
          <w:p>
            <w:pPr>
              <w:spacing w:after="0"/>
              <w:rPr>
                <w:sz w:val="20"/>
                <w:szCs w:val="20"/>
                <w:color w:val="auto"/>
              </w:rPr>
            </w:pPr>
            <w:r>
              <w:rPr>
                <w:rFonts w:ascii="Arial" w:cs="Arial" w:eastAsia="Arial" w:hAnsi="Arial"/>
                <w:sz w:val="14"/>
                <w:szCs w:val="14"/>
                <w:color w:val="auto"/>
              </w:rPr>
              <w:t>Versant Ventures II GP, L.P.</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Pr>
          <w:p>
            <w:pPr>
              <w:spacing w:after="0"/>
              <w:rPr>
                <w:sz w:val="20"/>
                <w:szCs w:val="20"/>
                <w:color w:val="auto"/>
              </w:rPr>
            </w:pPr>
            <w:r>
              <w:rPr>
                <w:rFonts w:ascii="Arial" w:cs="Arial" w:eastAsia="Arial" w:hAnsi="Arial"/>
                <w:sz w:val="14"/>
                <w:szCs w:val="14"/>
                <w:color w:val="auto"/>
              </w:rPr>
              <w:t>Versant Ventures II GP-GP, LLC</w:t>
            </w:r>
          </w:p>
        </w:tc>
      </w:tr>
      <w:tr>
        <w:trPr>
          <w:trHeight w:val="194"/>
        </w:trPr>
        <w:tc>
          <w:tcPr>
            <w:tcW w:w="58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Its: General Partner</w:t>
            </w:r>
          </w:p>
        </w:tc>
      </w:tr>
      <w:tr>
        <w:trPr>
          <w:trHeight w:val="583"/>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Thomas Woiwode</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Thomas Woiwode</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Managing Director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4" w:right="319" w:bottom="1440" w:gutter="0" w:footer="0" w:header="0"/>
        </w:sectPr>
      </w:pPr>
    </w:p>
    <w:bookmarkStart w:id="357" w:name="page358"/>
    <w:bookmarkEnd w:id="357"/>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180"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INVESTORS:</w:t>
      </w:r>
    </w:p>
    <w:p>
      <w:pPr>
        <w:spacing w:after="0" w:line="18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RA CAPITAL HEALTHCARE FUND, L.P.</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By: RA Capital Healthcare Fund GP, LLC</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Its: General Partner</w:t>
      </w:r>
    </w:p>
    <w:p>
      <w:pPr>
        <w:spacing w:after="0" w:line="175" w:lineRule="exact"/>
        <w:rPr>
          <w:sz w:val="20"/>
          <w:szCs w:val="20"/>
          <w:color w:val="auto"/>
        </w:rPr>
      </w:pPr>
    </w:p>
    <w:tbl>
      <w:tblPr>
        <w:tblLayout w:type="fixed"/>
        <w:tblInd w:w="50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Rajeev Shah</w:t>
            </w:r>
          </w:p>
        </w:tc>
      </w:tr>
      <w:tr>
        <w:trPr>
          <w:trHeight w:val="154"/>
        </w:trPr>
        <w:tc>
          <w:tcPr>
            <w:tcW w:w="560" w:type="dxa"/>
            <w:vAlign w:val="bottom"/>
          </w:tcPr>
          <w:p>
            <w:pPr>
              <w:spacing w:after="0" w:line="154" w:lineRule="exact"/>
              <w:rPr>
                <w:sz w:val="20"/>
                <w:szCs w:val="20"/>
                <w:color w:val="auto"/>
              </w:rPr>
            </w:pPr>
            <w:r>
              <w:rPr>
                <w:rFonts w:ascii="Arial" w:cs="Arial" w:eastAsia="Arial" w:hAnsi="Arial"/>
                <w:sz w:val="14"/>
                <w:szCs w:val="14"/>
                <w:color w:val="auto"/>
              </w:rPr>
              <w:t>Name:</w:t>
            </w:r>
          </w:p>
        </w:tc>
        <w:tc>
          <w:tcPr>
            <w:tcW w:w="5140" w:type="dxa"/>
            <w:vAlign w:val="bottom"/>
          </w:tcPr>
          <w:p>
            <w:pPr>
              <w:spacing w:after="0" w:line="154" w:lineRule="exact"/>
              <w:rPr>
                <w:sz w:val="20"/>
                <w:szCs w:val="20"/>
                <w:color w:val="auto"/>
              </w:rPr>
            </w:pPr>
            <w:r>
              <w:rPr>
                <w:rFonts w:ascii="Arial" w:cs="Arial" w:eastAsia="Arial" w:hAnsi="Arial"/>
                <w:sz w:val="14"/>
                <w:szCs w:val="14"/>
                <w:color w:val="auto"/>
              </w:rPr>
              <w:t>Rajeev Shah</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5140" w:type="dxa"/>
            <w:vAlign w:val="bottom"/>
          </w:tcPr>
          <w:p>
            <w:pPr>
              <w:spacing w:after="0"/>
              <w:rPr>
                <w:sz w:val="20"/>
                <w:szCs w:val="20"/>
                <w:color w:val="auto"/>
              </w:rPr>
            </w:pPr>
            <w:r>
              <w:rPr>
                <w:rFonts w:ascii="Arial" w:cs="Arial" w:eastAsia="Arial" w:hAnsi="Arial"/>
                <w:sz w:val="14"/>
                <w:szCs w:val="14"/>
                <w:color w:val="auto"/>
              </w:rPr>
              <w:t>Manager</w:t>
            </w:r>
          </w:p>
        </w:tc>
      </w:tr>
    </w:tbl>
    <w:p>
      <w:pPr>
        <w:spacing w:after="0" w:line="163"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Address: RA Capital Management, L.P.</w:t>
      </w:r>
    </w:p>
    <w:p>
      <w:pPr>
        <w:ind w:left="5620"/>
        <w:spacing w:after="0" w:line="207" w:lineRule="auto"/>
        <w:rPr>
          <w:sz w:val="20"/>
          <w:szCs w:val="20"/>
          <w:color w:val="auto"/>
        </w:rPr>
      </w:pPr>
      <w:r>
        <w:rPr>
          <w:rFonts w:ascii="Arial" w:cs="Arial" w:eastAsia="Arial" w:hAnsi="Arial"/>
          <w:sz w:val="14"/>
          <w:szCs w:val="14"/>
          <w:color w:val="auto"/>
        </w:rPr>
        <w:t>200 Berkeley Street, 18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Boston, MA 02116</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Attn: General Counsel</w:t>
      </w:r>
    </w:p>
    <w:p>
      <w:pPr>
        <w:spacing w:after="0" w:line="175"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58" w:name="page359"/>
    <w:bookmarkEnd w:id="358"/>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184"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INVESTORS:</w:t>
      </w:r>
    </w:p>
    <w:p>
      <w:pPr>
        <w:spacing w:after="0" w:line="180"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RA CAPITAL NEXUS FUND II, L.P.</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By: RA Capital Nexus Fund II GP, LLC</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Its: General Partner</w:t>
      </w:r>
    </w:p>
    <w:p>
      <w:pPr>
        <w:spacing w:after="0" w:line="175" w:lineRule="exact"/>
        <w:rPr>
          <w:sz w:val="20"/>
          <w:szCs w:val="20"/>
          <w:color w:val="auto"/>
        </w:rPr>
      </w:pPr>
    </w:p>
    <w:tbl>
      <w:tblPr>
        <w:tblLayout w:type="fixed"/>
        <w:tblInd w:w="50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Rajeev Shah</w:t>
            </w:r>
          </w:p>
        </w:tc>
      </w:tr>
      <w:tr>
        <w:trPr>
          <w:trHeight w:val="154"/>
        </w:trPr>
        <w:tc>
          <w:tcPr>
            <w:tcW w:w="560" w:type="dxa"/>
            <w:vAlign w:val="bottom"/>
          </w:tcPr>
          <w:p>
            <w:pPr>
              <w:spacing w:after="0" w:line="154" w:lineRule="exact"/>
              <w:rPr>
                <w:sz w:val="20"/>
                <w:szCs w:val="20"/>
                <w:color w:val="auto"/>
              </w:rPr>
            </w:pPr>
            <w:r>
              <w:rPr>
                <w:rFonts w:ascii="Arial" w:cs="Arial" w:eastAsia="Arial" w:hAnsi="Arial"/>
                <w:sz w:val="14"/>
                <w:szCs w:val="14"/>
                <w:color w:val="auto"/>
              </w:rPr>
              <w:t>Name:</w:t>
            </w:r>
          </w:p>
        </w:tc>
        <w:tc>
          <w:tcPr>
            <w:tcW w:w="5140" w:type="dxa"/>
            <w:vAlign w:val="bottom"/>
          </w:tcPr>
          <w:p>
            <w:pPr>
              <w:spacing w:after="0" w:line="154" w:lineRule="exact"/>
              <w:rPr>
                <w:sz w:val="20"/>
                <w:szCs w:val="20"/>
                <w:color w:val="auto"/>
              </w:rPr>
            </w:pPr>
            <w:r>
              <w:rPr>
                <w:rFonts w:ascii="Arial" w:cs="Arial" w:eastAsia="Arial" w:hAnsi="Arial"/>
                <w:sz w:val="14"/>
                <w:szCs w:val="14"/>
                <w:color w:val="auto"/>
              </w:rPr>
              <w:t>Rajeev Shah</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5140" w:type="dxa"/>
            <w:vAlign w:val="bottom"/>
          </w:tcPr>
          <w:p>
            <w:pPr>
              <w:spacing w:after="0"/>
              <w:rPr>
                <w:sz w:val="20"/>
                <w:szCs w:val="20"/>
                <w:color w:val="auto"/>
              </w:rPr>
            </w:pPr>
            <w:r>
              <w:rPr>
                <w:rFonts w:ascii="Arial" w:cs="Arial" w:eastAsia="Arial" w:hAnsi="Arial"/>
                <w:sz w:val="14"/>
                <w:szCs w:val="14"/>
                <w:color w:val="auto"/>
              </w:rPr>
              <w:t>Manager</w:t>
            </w:r>
          </w:p>
        </w:tc>
      </w:tr>
    </w:tbl>
    <w:p>
      <w:pPr>
        <w:spacing w:after="0" w:line="163"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Address: RA Capital Management, L.P.</w:t>
      </w:r>
    </w:p>
    <w:p>
      <w:pPr>
        <w:jc w:val="right"/>
        <w:ind w:right="3340"/>
        <w:spacing w:after="0" w:line="207" w:lineRule="auto"/>
        <w:rPr>
          <w:sz w:val="20"/>
          <w:szCs w:val="20"/>
          <w:color w:val="auto"/>
        </w:rPr>
      </w:pPr>
      <w:r>
        <w:rPr>
          <w:rFonts w:ascii="Arial" w:cs="Arial" w:eastAsia="Arial" w:hAnsi="Arial"/>
          <w:sz w:val="14"/>
          <w:szCs w:val="14"/>
          <w:color w:val="auto"/>
        </w:rPr>
        <w:t>200 Berkeley Street, 18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Boston, MA 02116</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Attn: General Counsel</w:t>
      </w:r>
    </w:p>
    <w:p>
      <w:pPr>
        <w:spacing w:after="0" w:line="175"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59" w:name="page360"/>
    <w:bookmarkEnd w:id="359"/>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jc w:val="right"/>
        <w:ind w:right="2860"/>
        <w:spacing w:after="0"/>
        <w:rPr>
          <w:sz w:val="20"/>
          <w:szCs w:val="20"/>
          <w:color w:val="auto"/>
        </w:rPr>
      </w:pPr>
      <w:r>
        <w:rPr>
          <w:rFonts w:ascii="Arial" w:cs="Arial" w:eastAsia="Arial" w:hAnsi="Arial"/>
          <w:sz w:val="14"/>
          <w:szCs w:val="14"/>
          <w:b w:val="1"/>
          <w:bCs w:val="1"/>
          <w:color w:val="auto"/>
        </w:rPr>
        <w:t>ORBIMED GENESIS MASTER FUND, L.P.</w:t>
      </w:r>
    </w:p>
    <w:p>
      <w:pPr>
        <w:spacing w:after="0" w:line="23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 OrbiMed Genesis GP LLC,</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its General Partner</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 OrbiMed Advisors LLC,</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its Managing Member</w:t>
      </w:r>
    </w:p>
    <w:p>
      <w:pPr>
        <w:spacing w:after="0" w:line="227"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Geoffrey Hsu</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Geoffrey Hsu</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Member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60" w:name="page361"/>
    <w:bookmarkEnd w:id="360"/>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THE BIOTECH GROWTH TRUST PLC</w:t>
      </w:r>
    </w:p>
    <w:p>
      <w:pPr>
        <w:spacing w:after="0" w:line="210" w:lineRule="exact"/>
        <w:rPr>
          <w:sz w:val="20"/>
          <w:szCs w:val="20"/>
          <w:color w:val="auto"/>
        </w:rPr>
      </w:pPr>
    </w:p>
    <w:tbl>
      <w:tblPr>
        <w:tblLayout w:type="fixed"/>
        <w:tblInd w:w="5120" w:type="dxa"/>
        <w:tblCellMar>
          <w:top w:w="0" w:type="dxa"/>
          <w:left w:w="0" w:type="dxa"/>
          <w:bottom w:w="0" w:type="dxa"/>
          <w:right w:w="0" w:type="dxa"/>
        </w:tblCellMar>
      </w:tblPr>
      <w:tr>
        <w:trPr>
          <w:trHeight w:val="173"/>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Pr>
          <w:p>
            <w:pPr>
              <w:spacing w:after="0"/>
              <w:rPr>
                <w:sz w:val="20"/>
                <w:szCs w:val="20"/>
                <w:color w:val="auto"/>
              </w:rPr>
            </w:pPr>
            <w:r>
              <w:rPr>
                <w:rFonts w:ascii="Arial" w:cs="Arial" w:eastAsia="Arial" w:hAnsi="Arial"/>
                <w:sz w:val="14"/>
                <w:szCs w:val="14"/>
                <w:color w:val="auto"/>
              </w:rPr>
              <w:t>OrbiMed Capital LLC, solely in its</w:t>
            </w:r>
          </w:p>
        </w:tc>
      </w:tr>
      <w:tr>
        <w:trPr>
          <w:trHeight w:val="182"/>
        </w:trPr>
        <w:tc>
          <w:tcPr>
            <w:tcW w:w="58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Capacity as Portfolio Manager</w:t>
            </w:r>
          </w:p>
        </w:tc>
      </w:tr>
      <w:tr>
        <w:trPr>
          <w:trHeight w:val="388"/>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Geoffrey Hsu</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Geoffrey Hsu</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Member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4" w:right="319" w:bottom="1440" w:gutter="0" w:footer="0" w:header="0"/>
        </w:sectPr>
      </w:pPr>
    </w:p>
    <w:bookmarkStart w:id="361" w:name="page362"/>
    <w:bookmarkEnd w:id="361"/>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jc w:val="right"/>
        <w:ind w:right="2500"/>
        <w:spacing w:after="0"/>
        <w:rPr>
          <w:sz w:val="20"/>
          <w:szCs w:val="20"/>
          <w:color w:val="auto"/>
        </w:rPr>
      </w:pPr>
      <w:r>
        <w:rPr>
          <w:rFonts w:ascii="Arial" w:cs="Arial" w:eastAsia="Arial" w:hAnsi="Arial"/>
          <w:sz w:val="14"/>
          <w:szCs w:val="14"/>
          <w:b w:val="1"/>
          <w:bCs w:val="1"/>
          <w:color w:val="auto"/>
        </w:rPr>
        <w:t>OCTAGON INVESTMENTS MASTER FUND LP</w:t>
      </w:r>
    </w:p>
    <w:p>
      <w:pPr>
        <w:spacing w:after="0" w:line="23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 Octagon Capital Advisors LP,</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its Investment Manager</w:t>
      </w:r>
    </w:p>
    <w:p>
      <w:pPr>
        <w:spacing w:after="0" w:line="227"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Ting Jia</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Ting Jia</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Managing Member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62" w:name="page363"/>
    <w:bookmarkEnd w:id="362"/>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INVESTORS:</w:t>
      </w:r>
    </w:p>
    <w:p>
      <w:pPr>
        <w:spacing w:after="0" w:line="223" w:lineRule="exact"/>
        <w:rPr>
          <w:sz w:val="20"/>
          <w:szCs w:val="20"/>
          <w:color w:val="auto"/>
        </w:rPr>
      </w:pPr>
    </w:p>
    <w:p>
      <w:pPr>
        <w:jc w:val="right"/>
        <w:ind w:right="2360"/>
        <w:spacing w:after="0"/>
        <w:rPr>
          <w:sz w:val="20"/>
          <w:szCs w:val="20"/>
          <w:color w:val="auto"/>
        </w:rPr>
      </w:pPr>
      <w:r>
        <w:rPr>
          <w:rFonts w:ascii="Arial" w:cs="Arial" w:eastAsia="Arial" w:hAnsi="Arial"/>
          <w:sz w:val="14"/>
          <w:szCs w:val="14"/>
          <w:b w:val="1"/>
          <w:bCs w:val="1"/>
          <w:color w:val="auto"/>
        </w:rPr>
        <w:t>OCTAGON PRIVATE OPPORTUNITIES FUND LP</w:t>
      </w:r>
    </w:p>
    <w:p>
      <w:pPr>
        <w:spacing w:after="0" w:line="23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 Octagon Capital Advisors LP,</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its Investment Manager</w:t>
      </w:r>
    </w:p>
    <w:p>
      <w:pPr>
        <w:spacing w:after="0" w:line="227"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Ting Jia</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Ting Jia</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Managing Member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63" w:name="page364"/>
    <w:bookmarkEnd w:id="363"/>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MW XO HEALTH INNOVATIONS FUND LP</w:t>
      </w:r>
    </w:p>
    <w:p>
      <w:pPr>
        <w:spacing w:after="0" w:line="231"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5220" w:type="dxa"/>
            <w:vAlign w:val="bottom"/>
            <w:gridSpan w:val="2"/>
          </w:tcPr>
          <w:p>
            <w:pPr>
              <w:ind w:left="40"/>
              <w:spacing w:after="0"/>
              <w:rPr>
                <w:sz w:val="20"/>
                <w:szCs w:val="20"/>
                <w:color w:val="auto"/>
              </w:rPr>
            </w:pPr>
            <w:r>
              <w:rPr>
                <w:rFonts w:ascii="Arial" w:cs="Arial" w:eastAsia="Arial" w:hAnsi="Arial"/>
                <w:sz w:val="14"/>
                <w:szCs w:val="14"/>
                <w:color w:val="auto"/>
              </w:rPr>
              <w:t>Marshall Wace North America, LP</w:t>
            </w:r>
          </w:p>
        </w:tc>
      </w:tr>
      <w:tr>
        <w:trPr>
          <w:trHeight w:val="194"/>
        </w:trPr>
        <w:tc>
          <w:tcPr>
            <w:tcW w:w="420" w:type="dxa"/>
            <w:vAlign w:val="bottom"/>
          </w:tcPr>
          <w:p>
            <w:pPr>
              <w:spacing w:after="0"/>
              <w:rPr>
                <w:sz w:val="20"/>
                <w:szCs w:val="20"/>
                <w:color w:val="auto"/>
              </w:rPr>
            </w:pPr>
            <w:r>
              <w:rPr>
                <w:rFonts w:ascii="Arial" w:cs="Arial" w:eastAsia="Arial" w:hAnsi="Arial"/>
                <w:sz w:val="14"/>
                <w:szCs w:val="14"/>
                <w:color w:val="auto"/>
              </w:rPr>
              <w:t>Its:</w:t>
            </w:r>
          </w:p>
        </w:tc>
        <w:tc>
          <w:tcPr>
            <w:tcW w:w="5220" w:type="dxa"/>
            <w:vAlign w:val="bottom"/>
            <w:gridSpan w:val="2"/>
          </w:tcPr>
          <w:p>
            <w:pPr>
              <w:ind w:left="40"/>
              <w:spacing w:after="0"/>
              <w:rPr>
                <w:sz w:val="20"/>
                <w:szCs w:val="20"/>
                <w:color w:val="auto"/>
              </w:rPr>
            </w:pPr>
            <w:r>
              <w:rPr>
                <w:rFonts w:ascii="Arial" w:cs="Arial" w:eastAsia="Arial" w:hAnsi="Arial"/>
                <w:sz w:val="14"/>
                <w:szCs w:val="14"/>
                <w:color w:val="auto"/>
              </w:rPr>
              <w:t>Investment Manager</w:t>
            </w:r>
          </w:p>
        </w:tc>
      </w:tr>
      <w:tr>
        <w:trPr>
          <w:trHeight w:val="388"/>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5220" w:type="dxa"/>
            <w:vAlign w:val="bottom"/>
            <w:gridSpan w:val="2"/>
          </w:tcPr>
          <w:p>
            <w:pPr>
              <w:ind w:left="40"/>
              <w:spacing w:after="0"/>
              <w:rPr>
                <w:sz w:val="20"/>
                <w:szCs w:val="20"/>
                <w:color w:val="auto"/>
              </w:rPr>
            </w:pPr>
            <w:r>
              <w:rPr>
                <w:rFonts w:ascii="Arial" w:cs="Arial" w:eastAsia="Arial" w:hAnsi="Arial"/>
                <w:sz w:val="14"/>
                <w:szCs w:val="14"/>
                <w:color w:val="auto"/>
              </w:rPr>
              <w:t>Marshall Wace LLC</w:t>
            </w:r>
          </w:p>
        </w:tc>
      </w:tr>
      <w:tr>
        <w:trPr>
          <w:trHeight w:val="194"/>
        </w:trPr>
        <w:tc>
          <w:tcPr>
            <w:tcW w:w="420" w:type="dxa"/>
            <w:vAlign w:val="bottom"/>
          </w:tcPr>
          <w:p>
            <w:pPr>
              <w:spacing w:after="0"/>
              <w:rPr>
                <w:sz w:val="20"/>
                <w:szCs w:val="20"/>
                <w:color w:val="auto"/>
              </w:rPr>
            </w:pPr>
            <w:r>
              <w:rPr>
                <w:rFonts w:ascii="Arial" w:cs="Arial" w:eastAsia="Arial" w:hAnsi="Arial"/>
                <w:sz w:val="14"/>
                <w:szCs w:val="14"/>
                <w:color w:val="auto"/>
              </w:rPr>
              <w:t>Its:</w:t>
            </w:r>
          </w:p>
        </w:tc>
        <w:tc>
          <w:tcPr>
            <w:tcW w:w="5220" w:type="dxa"/>
            <w:vAlign w:val="bottom"/>
            <w:gridSpan w:val="2"/>
          </w:tcPr>
          <w:p>
            <w:pPr>
              <w:ind w:left="40"/>
              <w:spacing w:after="0"/>
              <w:rPr>
                <w:sz w:val="20"/>
                <w:szCs w:val="20"/>
                <w:color w:val="auto"/>
              </w:rPr>
            </w:pPr>
            <w:r>
              <w:rPr>
                <w:rFonts w:ascii="Arial" w:cs="Arial" w:eastAsia="Arial" w:hAnsi="Arial"/>
                <w:sz w:val="14"/>
                <w:szCs w:val="14"/>
                <w:color w:val="auto"/>
              </w:rPr>
              <w:t>General Partner of the Investment Manager</w:t>
            </w:r>
          </w:p>
        </w:tc>
      </w:tr>
      <w:tr>
        <w:trPr>
          <w:trHeight w:val="388"/>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16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Michael Sargent</w:t>
            </w:r>
          </w:p>
        </w:tc>
      </w:tr>
      <w:tr>
        <w:trPr>
          <w:trHeight w:val="174"/>
        </w:trPr>
        <w:tc>
          <w:tcPr>
            <w:tcW w:w="420" w:type="dxa"/>
            <w:vAlign w:val="bottom"/>
          </w:tcPr>
          <w:p>
            <w:pPr>
              <w:spacing w:after="0"/>
              <w:rPr>
                <w:sz w:val="20"/>
                <w:szCs w:val="20"/>
                <w:color w:val="auto"/>
              </w:rPr>
            </w:pPr>
            <w:r>
              <w:rPr>
                <w:rFonts w:ascii="Arial" w:cs="Arial" w:eastAsia="Arial" w:hAnsi="Arial"/>
                <w:sz w:val="14"/>
                <w:szCs w:val="14"/>
                <w:color w:val="auto"/>
                <w:w w:val="96"/>
              </w:rPr>
              <w:t>Name:</w:t>
            </w:r>
          </w:p>
        </w:tc>
        <w:tc>
          <w:tcPr>
            <w:tcW w:w="16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Michael Sargent</w:t>
            </w:r>
          </w:p>
        </w:tc>
      </w:tr>
      <w:tr>
        <w:trPr>
          <w:trHeight w:val="194"/>
        </w:trPr>
        <w:tc>
          <w:tcPr>
            <w:tcW w:w="420" w:type="dxa"/>
            <w:vAlign w:val="bottom"/>
          </w:tcPr>
          <w:p>
            <w:pPr>
              <w:spacing w:after="0"/>
              <w:rPr>
                <w:sz w:val="20"/>
                <w:szCs w:val="20"/>
                <w:color w:val="auto"/>
              </w:rPr>
            </w:pPr>
            <w:r>
              <w:rPr>
                <w:rFonts w:ascii="Arial" w:cs="Arial" w:eastAsia="Arial" w:hAnsi="Arial"/>
                <w:sz w:val="14"/>
                <w:szCs w:val="14"/>
                <w:color w:val="auto"/>
              </w:rPr>
              <w:t>Title:</w:t>
            </w:r>
          </w:p>
        </w:tc>
        <w:tc>
          <w:tcPr>
            <w:tcW w:w="16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Authorized Signatory</w:t>
            </w:r>
          </w:p>
        </w:tc>
      </w:tr>
      <w:tr>
        <w:trPr>
          <w:trHeight w:val="388"/>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16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Courtney Lewis</w:t>
            </w:r>
          </w:p>
        </w:tc>
      </w:tr>
      <w:tr>
        <w:trPr>
          <w:trHeight w:val="174"/>
        </w:trPr>
        <w:tc>
          <w:tcPr>
            <w:tcW w:w="420" w:type="dxa"/>
            <w:vAlign w:val="bottom"/>
          </w:tcPr>
          <w:p>
            <w:pPr>
              <w:spacing w:after="0"/>
              <w:rPr>
                <w:sz w:val="20"/>
                <w:szCs w:val="20"/>
                <w:color w:val="auto"/>
              </w:rPr>
            </w:pPr>
            <w:r>
              <w:rPr>
                <w:rFonts w:ascii="Arial" w:cs="Arial" w:eastAsia="Arial" w:hAnsi="Arial"/>
                <w:sz w:val="14"/>
                <w:szCs w:val="14"/>
                <w:color w:val="auto"/>
                <w:w w:val="96"/>
              </w:rPr>
              <w:t>Name:</w:t>
            </w:r>
          </w:p>
        </w:tc>
        <w:tc>
          <w:tcPr>
            <w:tcW w:w="16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Courtney Lewis</w:t>
            </w:r>
          </w:p>
        </w:tc>
      </w:tr>
      <w:tr>
        <w:trPr>
          <w:trHeight w:val="194"/>
        </w:trPr>
        <w:tc>
          <w:tcPr>
            <w:tcW w:w="420" w:type="dxa"/>
            <w:vAlign w:val="bottom"/>
          </w:tcPr>
          <w:p>
            <w:pPr>
              <w:spacing w:after="0"/>
              <w:rPr>
                <w:sz w:val="20"/>
                <w:szCs w:val="20"/>
                <w:color w:val="auto"/>
              </w:rPr>
            </w:pPr>
            <w:r>
              <w:rPr>
                <w:rFonts w:ascii="Arial" w:cs="Arial" w:eastAsia="Arial" w:hAnsi="Arial"/>
                <w:sz w:val="14"/>
                <w:szCs w:val="14"/>
                <w:color w:val="auto"/>
              </w:rPr>
              <w:t>Title:</w:t>
            </w:r>
          </w:p>
        </w:tc>
        <w:tc>
          <w:tcPr>
            <w:tcW w:w="16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Authorized Signatory</w:t>
            </w:r>
          </w:p>
        </w:tc>
      </w:tr>
    </w:tbl>
    <w:p>
      <w:pPr>
        <w:spacing w:after="0" w:line="16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Address: DMS Corporate Services Ltd</w:t>
      </w:r>
    </w:p>
    <w:p>
      <w:pPr>
        <w:ind w:left="5700"/>
        <w:spacing w:after="0" w:line="207" w:lineRule="auto"/>
        <w:rPr>
          <w:sz w:val="20"/>
          <w:szCs w:val="20"/>
          <w:color w:val="auto"/>
        </w:rPr>
      </w:pPr>
      <w:r>
        <w:rPr>
          <w:rFonts w:ascii="Arial" w:cs="Arial" w:eastAsia="Arial" w:hAnsi="Arial"/>
          <w:sz w:val="14"/>
          <w:szCs w:val="14"/>
          <w:color w:val="auto"/>
        </w:rPr>
        <w:t>PO Box 1344, Suite 5B20, 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One Nexus Way, Camana Bay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Grand Cayman KY1-1108,</w:t>
      </w:r>
    </w:p>
    <w:p>
      <w:pPr>
        <w:spacing w:after="0" w:line="1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Cayman Islands</w:t>
      </w:r>
    </w:p>
    <w:p>
      <w:pPr>
        <w:spacing w:after="0" w:line="196" w:lineRule="exact"/>
        <w:rPr>
          <w:sz w:val="20"/>
          <w:szCs w:val="20"/>
          <w:color w:val="auto"/>
        </w:rPr>
      </w:pPr>
    </w:p>
    <w:p>
      <w:pPr>
        <w:jc w:val="right"/>
        <w:ind w:right="2760"/>
        <w:spacing w:after="0"/>
        <w:rPr>
          <w:sz w:val="20"/>
          <w:szCs w:val="20"/>
          <w:color w:val="auto"/>
        </w:rPr>
      </w:pPr>
      <w:r>
        <w:rPr>
          <w:rFonts w:ascii="Arial" w:cs="Arial" w:eastAsia="Arial" w:hAnsi="Arial"/>
          <w:sz w:val="14"/>
          <w:szCs w:val="14"/>
          <w:color w:val="auto"/>
        </w:rPr>
        <w:t>With a copy (which shall not constitute notice) to:</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Crowell &amp; Moring LLP</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Attn: Lex Eley</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1001 Pennsylvania Ave. NW</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Washington, DC 20004</w:t>
      </w:r>
    </w:p>
    <w:p>
      <w:pPr>
        <w:spacing w:after="0" w:line="184"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64" w:name="page365"/>
    <w:bookmarkEnd w:id="364"/>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LOGOS OPPORTUNITIES FUND II, L.P.</w:t>
      </w:r>
    </w:p>
    <w:p>
      <w:pPr>
        <w:spacing w:after="0" w:line="37"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 Logos Opportunities GP, LLC</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Its General Partner</w:t>
      </w:r>
    </w:p>
    <w:p>
      <w:pPr>
        <w:spacing w:after="0" w:line="227"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Graham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13970</wp:posOffset>
            </wp:positionV>
            <wp:extent cx="322008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3"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Name:</w:t>
        <w:tab/>
        <w:t>Graham Walmsley</w:t>
      </w:r>
    </w:p>
    <w:p>
      <w:pPr>
        <w:spacing w:after="0" w:line="33"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Managing Member</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Address: 1 Letterman Drive</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Building D, Suite D3-700</w:t>
      </w:r>
    </w:p>
    <w:p>
      <w:pPr>
        <w:spacing w:after="0" w:line="1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San Francisco, CA 94129</w:t>
      </w:r>
    </w:p>
    <w:p>
      <w:pPr>
        <w:spacing w:after="0" w:line="369"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Arsani William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13970</wp:posOffset>
            </wp:positionV>
            <wp:extent cx="322008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3"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Name:</w:t>
        <w:tab/>
        <w:t>Arsani William</w:t>
      </w:r>
    </w:p>
    <w:p>
      <w:pPr>
        <w:spacing w:after="0" w:line="33"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Managing Partner</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Address: 1 Letterman Drive</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Building D, Suite D3-700</w:t>
      </w:r>
    </w:p>
    <w:p>
      <w:pPr>
        <w:spacing w:after="0" w:line="1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San Francisco, CA 94129</w:t>
      </w:r>
    </w:p>
    <w:p>
      <w:pPr>
        <w:spacing w:after="0" w:line="175"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639"/>
          </w:cols>
          <w:pgMar w:left="820" w:top="755" w:right="1440" w:bottom="1440" w:gutter="0" w:footer="0" w:header="0"/>
        </w:sectPr>
      </w:pPr>
    </w:p>
    <w:bookmarkStart w:id="365" w:name="page366"/>
    <w:bookmarkEnd w:id="365"/>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FIDELITY SELECT PORTFOLIOS:</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BIOTECHNOLOGY PORTFOLIO</w:t>
      </w:r>
    </w:p>
    <w:p>
      <w:pPr>
        <w:spacing w:after="0" w:line="231"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 Maher</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Chris Maher</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Authorized Signatory</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66" w:name="page367"/>
    <w:bookmarkEnd w:id="366"/>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INVESTORS:</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FIDELITY ADVISOR SERIES VII: FIDELITY</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ADVISOR BIOTECHNOLOGY FUND</w:t>
      </w:r>
    </w:p>
    <w:p>
      <w:pPr>
        <w:spacing w:after="0" w:line="231"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 Maher</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Chris Maher</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Authorized Signatory</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367" w:name="page368"/>
    <w:bookmarkEnd w:id="367"/>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INVESTORS:</w:t>
      </w:r>
    </w:p>
    <w:p>
      <w:pPr>
        <w:spacing w:after="0" w:line="202"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FIDELITY MT. VERNON STREET TRUST:</w:t>
      </w:r>
    </w:p>
    <w:p>
      <w:pPr>
        <w:spacing w:after="0" w:line="25" w:lineRule="exact"/>
        <w:rPr>
          <w:sz w:val="20"/>
          <w:szCs w:val="20"/>
          <w:color w:val="auto"/>
        </w:rPr>
      </w:pPr>
    </w:p>
    <w:p>
      <w:pPr>
        <w:jc w:val="right"/>
        <w:ind w:right="2780"/>
        <w:spacing w:after="0"/>
        <w:rPr>
          <w:sz w:val="20"/>
          <w:szCs w:val="20"/>
          <w:color w:val="auto"/>
        </w:rPr>
      </w:pPr>
      <w:r>
        <w:rPr>
          <w:rFonts w:ascii="Arial" w:cs="Arial" w:eastAsia="Arial" w:hAnsi="Arial"/>
          <w:sz w:val="14"/>
          <w:szCs w:val="14"/>
          <w:b w:val="1"/>
          <w:bCs w:val="1"/>
          <w:color w:val="auto"/>
        </w:rPr>
        <w:t>FIDELITY GROWTH COMPANY K6 FUND</w:t>
      </w:r>
    </w:p>
    <w:p>
      <w:pPr>
        <w:spacing w:after="0" w:line="218"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 Maher</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Chris Maher</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Authorized Signatory</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68" w:name="page369"/>
    <w:bookmarkEnd w:id="368"/>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23"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QH OIL INVESTMENTS LLC</w:t>
      </w:r>
    </w:p>
    <w:p>
      <w:pPr>
        <w:spacing w:after="0" w:line="231"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Mohammed Al-Jalahma</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Mohammed Al-Jalahma</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Director and Chairman</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69" w:name="page370"/>
    <w:bookmarkEnd w:id="369"/>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23"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FEDERATED HERMES KAUFMANN FUND</w:t>
      </w:r>
    </w:p>
    <w:p>
      <w:pPr>
        <w:spacing w:after="0" w:line="210" w:lineRule="exact"/>
        <w:rPr>
          <w:sz w:val="20"/>
          <w:szCs w:val="20"/>
          <w:color w:val="auto"/>
        </w:rPr>
      </w:pPr>
    </w:p>
    <w:p>
      <w:pPr>
        <w:ind w:left="5120" w:right="160"/>
        <w:spacing w:after="0" w:line="288" w:lineRule="auto"/>
        <w:rPr>
          <w:sz w:val="20"/>
          <w:szCs w:val="20"/>
          <w:color w:val="auto"/>
        </w:rPr>
      </w:pPr>
      <w:r>
        <w:rPr>
          <w:rFonts w:ascii="Arial" w:cs="Arial" w:eastAsia="Arial" w:hAnsi="Arial"/>
          <w:sz w:val="14"/>
          <w:szCs w:val="14"/>
          <w:color w:val="auto"/>
        </w:rPr>
        <w:t>By: Federated Global Investment Management Corp., as attorney-in-fact for Federated Hermes Kaufmann Fund, a portfolio of Federated Hermes Equity Funds</w:t>
      </w:r>
    </w:p>
    <w:p>
      <w:pPr>
        <w:spacing w:after="0" w:line="175"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Stephen Van Meter</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Stephen Van Meter</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Vice President and Chief Compliance Officer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70" w:name="page371"/>
    <w:bookmarkEnd w:id="370"/>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INVESTORS:</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FEDERATED HERMES KAUFMANN SMALL CAP FUND</w:t>
      </w:r>
    </w:p>
    <w:p>
      <w:pPr>
        <w:spacing w:after="0" w:line="210" w:lineRule="exact"/>
        <w:rPr>
          <w:sz w:val="20"/>
          <w:szCs w:val="20"/>
          <w:color w:val="auto"/>
        </w:rPr>
      </w:pPr>
    </w:p>
    <w:p>
      <w:pPr>
        <w:ind w:left="5120" w:right="160"/>
        <w:spacing w:after="0" w:line="288" w:lineRule="auto"/>
        <w:rPr>
          <w:sz w:val="20"/>
          <w:szCs w:val="20"/>
          <w:color w:val="auto"/>
        </w:rPr>
      </w:pPr>
      <w:r>
        <w:rPr>
          <w:rFonts w:ascii="Arial" w:cs="Arial" w:eastAsia="Arial" w:hAnsi="Arial"/>
          <w:sz w:val="14"/>
          <w:szCs w:val="14"/>
          <w:color w:val="auto"/>
        </w:rPr>
        <w:t>By: Federated Global Investment Management Corp., as attorney-in-fact for Federated Hermes Kaufmann Small Cap Fund, a portfolio of Federated Hermes Equity Funds</w:t>
      </w:r>
    </w:p>
    <w:p>
      <w:pPr>
        <w:spacing w:after="0" w:line="175"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Stephen Van Meter</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Stephen Van Meter</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Vice President and Chief Compliance Officer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71" w:name="page372"/>
    <w:bookmarkEnd w:id="371"/>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INVESTORS:</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FEDERATED HERMES KAUFMANN FUND II</w:t>
      </w:r>
    </w:p>
    <w:p>
      <w:pPr>
        <w:spacing w:after="0" w:line="210" w:lineRule="exact"/>
        <w:rPr>
          <w:sz w:val="20"/>
          <w:szCs w:val="20"/>
          <w:color w:val="auto"/>
        </w:rPr>
      </w:pPr>
    </w:p>
    <w:p>
      <w:pPr>
        <w:ind w:left="5120" w:right="160"/>
        <w:spacing w:after="0" w:line="288" w:lineRule="auto"/>
        <w:rPr>
          <w:sz w:val="20"/>
          <w:szCs w:val="20"/>
          <w:color w:val="auto"/>
        </w:rPr>
      </w:pPr>
      <w:r>
        <w:rPr>
          <w:rFonts w:ascii="Arial" w:cs="Arial" w:eastAsia="Arial" w:hAnsi="Arial"/>
          <w:sz w:val="14"/>
          <w:szCs w:val="14"/>
          <w:color w:val="auto"/>
        </w:rPr>
        <w:t>By: Federated Global Investment Management Corp., as attorney-in-fact for Federated Hermes Kaufmann Fund II, a portfolio of Federated Hermes Insurance Series</w:t>
      </w:r>
    </w:p>
    <w:p>
      <w:pPr>
        <w:spacing w:after="0" w:line="175"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Stephen Van Meter</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Stephen Van Meter</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Vice President and Chief Compliance Officer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72" w:name="page373"/>
    <w:bookmarkEnd w:id="372"/>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CASDIN PARTNERS MASTER FUND, L.P.</w:t>
      </w:r>
    </w:p>
    <w:p>
      <w:pPr>
        <w:spacing w:after="0" w:line="231" w:lineRule="exact"/>
        <w:rPr>
          <w:sz w:val="20"/>
          <w:szCs w:val="20"/>
          <w:color w:val="auto"/>
        </w:rPr>
      </w:pPr>
    </w:p>
    <w:p>
      <w:pPr>
        <w:jc w:val="right"/>
        <w:ind w:right="2780"/>
        <w:spacing w:after="0"/>
        <w:rPr>
          <w:sz w:val="20"/>
          <w:szCs w:val="20"/>
          <w:color w:val="auto"/>
        </w:rPr>
      </w:pPr>
      <w:r>
        <w:rPr>
          <w:rFonts w:ascii="Arial" w:cs="Arial" w:eastAsia="Arial" w:hAnsi="Arial"/>
          <w:sz w:val="14"/>
          <w:szCs w:val="14"/>
          <w:color w:val="auto"/>
        </w:rPr>
        <w:t>By: Casdin Partners GP, LLC, its General Partner</w:t>
      </w:r>
    </w:p>
    <w:p>
      <w:pPr>
        <w:spacing w:after="0" w:line="200" w:lineRule="exact"/>
        <w:rPr>
          <w:sz w:val="20"/>
          <w:szCs w:val="20"/>
          <w:color w:val="auto"/>
        </w:rPr>
      </w:pPr>
    </w:p>
    <w:p>
      <w:pPr>
        <w:spacing w:after="0" w:line="222"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Kevin O’Brien</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Kevin O’Brien</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General Counsel</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550" w:right="319"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23"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jc w:val="right"/>
        <w:ind w:right="2360"/>
        <w:spacing w:after="0"/>
        <w:rPr>
          <w:sz w:val="20"/>
          <w:szCs w:val="20"/>
          <w:color w:val="auto"/>
        </w:rPr>
      </w:pPr>
      <w:r>
        <w:rPr>
          <w:rFonts w:ascii="Arial" w:cs="Arial" w:eastAsia="Arial" w:hAnsi="Arial"/>
          <w:sz w:val="14"/>
          <w:szCs w:val="14"/>
          <w:b w:val="1"/>
          <w:bCs w:val="1"/>
          <w:color w:val="auto"/>
        </w:rPr>
        <w:t>CASDIN PRIVATE GROWTH EQUITY FUND, L.P.</w:t>
      </w:r>
    </w:p>
    <w:p>
      <w:pPr>
        <w:spacing w:after="0" w:line="23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 Casdin Private Growth Equity Fund GP, LLC,</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its General Partner</w:t>
      </w:r>
    </w:p>
    <w:p>
      <w:pPr>
        <w:spacing w:after="0" w:line="227"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Kevin O’Brien</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Kevin O’Brien</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General Counsel</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74" w:name="page375"/>
    <w:bookmarkEnd w:id="374"/>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BAYER HEALTHCARE LLC</w:t>
      </w:r>
    </w:p>
    <w:p>
      <w:pPr>
        <w:spacing w:after="0" w:line="200" w:lineRule="exact"/>
        <w:rPr>
          <w:sz w:val="20"/>
          <w:szCs w:val="20"/>
          <w:color w:val="auto"/>
        </w:rPr>
      </w:pPr>
    </w:p>
    <w:p>
      <w:pPr>
        <w:spacing w:after="0" w:line="226"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Kelly Gast</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Kelly Gast</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President</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77" w:right="319" w:bottom="1440" w:gutter="0" w:footer="0" w:header="0"/>
        </w:sectPr>
      </w:pPr>
    </w:p>
    <w:bookmarkStart w:id="375" w:name="page376"/>
    <w:bookmarkEnd w:id="375"/>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02"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TNY HOLDINGS LIMITED</w:t>
      </w:r>
    </w:p>
    <w:p>
      <w:pPr>
        <w:spacing w:after="0" w:line="23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By:</w:t>
      </w:r>
    </w:p>
    <w:p>
      <w:pPr>
        <w:spacing w:after="0" w:line="33"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Its:</w:t>
      </w:r>
    </w:p>
    <w:p>
      <w:pPr>
        <w:spacing w:after="0" w:line="200" w:lineRule="exact"/>
        <w:rPr>
          <w:sz w:val="20"/>
          <w:szCs w:val="20"/>
          <w:color w:val="auto"/>
        </w:rPr>
      </w:pPr>
    </w:p>
    <w:p>
      <w:pPr>
        <w:spacing w:after="0" w:line="222"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13970</wp:posOffset>
            </wp:positionV>
            <wp:extent cx="3220085"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3"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Name:</w:t>
        <w:tab/>
        <w:t>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13970</wp:posOffset>
            </wp:positionV>
            <wp:extent cx="3220085"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3" w:lineRule="exact"/>
        <w:rPr>
          <w:sz w:val="20"/>
          <w:szCs w:val="20"/>
          <w:color w:val="auto"/>
        </w:rPr>
      </w:pPr>
    </w:p>
    <w:p>
      <w:pPr>
        <w:ind w:left="5120"/>
        <w:spacing w:after="0"/>
        <w:tabs>
          <w:tab w:leader="none" w:pos="568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13970</wp:posOffset>
            </wp:positionV>
            <wp:extent cx="3220085"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spacing w:after="0" w:line="175"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Address: 89 Nexus Way, Camana Bay</w:t>
      </w:r>
    </w:p>
    <w:p>
      <w:pPr>
        <w:spacing w:after="0" w:line="2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P.O. Box 31106</w:t>
      </w:r>
    </w:p>
    <w:p>
      <w:pPr>
        <w:spacing w:after="0" w:line="1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Grand Cayman KY1-1205</w:t>
      </w:r>
    </w:p>
    <w:p>
      <w:pPr>
        <w:spacing w:after="0" w:line="1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Cayman Islands</w:t>
      </w:r>
    </w:p>
    <w:p>
      <w:pPr>
        <w:spacing w:after="0" w:line="12"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 xml:space="preserve">Emails: </w:t>
      </w:r>
      <w:r>
        <w:rPr>
          <w:rFonts w:ascii="Arial" w:cs="Arial" w:eastAsia="Arial" w:hAnsi="Arial"/>
          <w:sz w:val="12"/>
          <w:szCs w:val="12"/>
          <w:u w:val="single" w:color="auto"/>
          <w:color w:val="auto"/>
        </w:rPr>
        <w:t>zczhang@hillhousecap.com</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 myi@hillhousecap.com</w:t>
      </w:r>
    </w:p>
    <w:p>
      <w:pPr>
        <w:spacing w:after="0" w:line="196"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With a copy (which shall not constitute notice</w:t>
      </w:r>
    </w:p>
    <w:p>
      <w:pPr>
        <w:spacing w:after="0" w:line="45"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to):</w:t>
      </w:r>
    </w:p>
    <w:p>
      <w:pPr>
        <w:spacing w:after="0" w:line="18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C Suite 2202, 22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w:t>
      </w:r>
    </w:p>
    <w:p>
      <w:pPr>
        <w:ind w:left="5520"/>
        <w:spacing w:after="0"/>
        <w:rPr>
          <w:sz w:val="20"/>
          <w:szCs w:val="20"/>
          <w:color w:val="auto"/>
        </w:rPr>
      </w:pPr>
      <w:r>
        <w:rPr>
          <w:rFonts w:ascii="Arial" w:cs="Arial" w:eastAsia="Arial" w:hAnsi="Arial"/>
          <w:sz w:val="14"/>
          <w:szCs w:val="14"/>
          <w:color w:val="auto"/>
        </w:rPr>
        <w:t>Two International Finance Centre</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8 Finance Street</w:t>
      </w:r>
    </w:p>
    <w:p>
      <w:pPr>
        <w:spacing w:after="0" w:line="3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Central, Hong Kong</w:t>
      </w:r>
    </w:p>
    <w:p>
      <w:pPr>
        <w:spacing w:after="0" w:line="3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Attention: Adam Hornung</w:t>
      </w:r>
    </w:p>
    <w:p>
      <w:pPr>
        <w:spacing w:after="0" w:line="3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legal@hillhousecapital.com</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With a copy (which shall not constitute notice</w:t>
      </w:r>
    </w:p>
    <w:p>
      <w:pPr>
        <w:spacing w:after="0" w:line="45"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to):</w:t>
      </w: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Goodwin Proctor (Hong Kong) LLP</w:t>
      </w:r>
    </w:p>
    <w:p>
      <w:pPr>
        <w:ind w:left="5520"/>
        <w:spacing w:after="0" w:line="227" w:lineRule="auto"/>
        <w:rPr>
          <w:sz w:val="20"/>
          <w:szCs w:val="20"/>
          <w:color w:val="auto"/>
        </w:rPr>
      </w:pPr>
      <w:r>
        <w:rPr>
          <w:rFonts w:ascii="Arial" w:cs="Arial" w:eastAsia="Arial" w:hAnsi="Arial"/>
          <w:sz w:val="14"/>
          <w:szCs w:val="14"/>
          <w:color w:val="auto"/>
        </w:rPr>
        <w:t>38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 Edinburgh Tower</w:t>
      </w:r>
    </w:p>
    <w:p>
      <w:pPr>
        <w:ind w:left="5520"/>
        <w:spacing w:after="0"/>
        <w:rPr>
          <w:sz w:val="20"/>
          <w:szCs w:val="20"/>
          <w:color w:val="auto"/>
        </w:rPr>
      </w:pPr>
      <w:r>
        <w:rPr>
          <w:rFonts w:ascii="Arial" w:cs="Arial" w:eastAsia="Arial" w:hAnsi="Arial"/>
          <w:sz w:val="14"/>
          <w:szCs w:val="14"/>
          <w:color w:val="auto"/>
        </w:rPr>
        <w:t>The Landmark</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15 Queen’s Road Central, Hong Kong</w:t>
      </w:r>
    </w:p>
    <w:p>
      <w:pPr>
        <w:spacing w:after="0" w:line="4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Attention: Yash Rana /Abhishek</w:t>
      </w:r>
    </w:p>
    <w:p>
      <w:pPr>
        <w:spacing w:after="0" w:line="33"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Krishnan</w:t>
      </w:r>
    </w:p>
    <w:p>
      <w:pPr>
        <w:spacing w:after="0" w:line="2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yrana@goodwinlaw.com</w:t>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4"/>
          <w:szCs w:val="14"/>
          <w:u w:val="single" w:color="auto"/>
          <w:color w:val="auto"/>
        </w:rPr>
        <w:t>akrishnan@goodwinlaw.com</w:t>
      </w:r>
    </w:p>
    <w:p>
      <w:pPr>
        <w:spacing w:after="0" w:line="175"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639"/>
          </w:cols>
          <w:pgMar w:left="820" w:top="377" w:right="1440" w:bottom="1440" w:gutter="0" w:footer="0" w:header="0"/>
        </w:sectPr>
      </w:pPr>
    </w:p>
    <w:bookmarkStart w:id="376" w:name="page377"/>
    <w:bookmarkEnd w:id="376"/>
    <w:p>
      <w:pPr>
        <w:spacing w:after="0"/>
        <w:rPr>
          <w:sz w:val="20"/>
          <w:szCs w:val="20"/>
          <w:color w:val="auto"/>
        </w:rPr>
      </w:pPr>
      <w:r>
        <w:rPr>
          <w:rFonts w:ascii="Arial" w:cs="Arial" w:eastAsia="Arial" w:hAnsi="Arial"/>
          <w:sz w:val="14"/>
          <w:szCs w:val="14"/>
          <w:color w:val="auto"/>
        </w:rPr>
        <w:t>IN WITNESS WHEREOF, the parties have executed this Investors’ Rights Agreement as of the date first written above.</w:t>
      </w:r>
    </w:p>
    <w:p>
      <w:pPr>
        <w:spacing w:after="0" w:line="223"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INVESTORS:</w:t>
      </w:r>
    </w:p>
    <w:p>
      <w:pPr>
        <w:spacing w:after="0" w:line="22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FUJIFILM CELLULAR DYNAMICS INC.</w:t>
      </w:r>
    </w:p>
    <w:p>
      <w:pPr>
        <w:spacing w:after="0" w:line="200" w:lineRule="exact"/>
        <w:rPr>
          <w:sz w:val="20"/>
          <w:szCs w:val="20"/>
          <w:color w:val="auto"/>
        </w:rPr>
      </w:pPr>
    </w:p>
    <w:p>
      <w:pPr>
        <w:spacing w:after="0" w:line="226"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Takeshi Yamamoto</w:t>
            </w:r>
          </w:p>
        </w:tc>
      </w:tr>
      <w:tr>
        <w:trPr>
          <w:trHeight w:val="174"/>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Pr>
          <w:p>
            <w:pPr>
              <w:spacing w:after="0"/>
              <w:rPr>
                <w:sz w:val="20"/>
                <w:szCs w:val="20"/>
                <w:color w:val="auto"/>
              </w:rPr>
            </w:pPr>
            <w:r>
              <w:rPr>
                <w:rFonts w:ascii="Arial" w:cs="Arial" w:eastAsia="Arial" w:hAnsi="Arial"/>
                <w:sz w:val="14"/>
                <w:szCs w:val="14"/>
                <w:color w:val="auto"/>
              </w:rPr>
              <w:t>Takeshi Yamamoto</w:t>
            </w:r>
          </w:p>
        </w:tc>
      </w:tr>
      <w:tr>
        <w:trPr>
          <w:trHeight w:val="194"/>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Pr>
          <w:p>
            <w:pPr>
              <w:spacing w:after="0"/>
              <w:rPr>
                <w:sz w:val="20"/>
                <w:szCs w:val="20"/>
                <w:color w:val="auto"/>
              </w:rPr>
            </w:pPr>
            <w:r>
              <w:rPr>
                <w:rFonts w:ascii="Arial" w:cs="Arial" w:eastAsia="Arial" w:hAnsi="Arial"/>
                <w:sz w:val="14"/>
                <w:szCs w:val="14"/>
                <w:color w:val="auto"/>
              </w:rPr>
              <w:t>President and Chief Executive Officer</w:t>
            </w:r>
          </w:p>
        </w:tc>
      </w:tr>
    </w:tbl>
    <w:p>
      <w:pPr>
        <w:spacing w:after="0" w:line="163"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I</w:t>
      </w:r>
      <w:r>
        <w:rPr>
          <w:rFonts w:ascii="Arial" w:cs="Arial" w:eastAsia="Arial" w:hAnsi="Arial"/>
          <w:sz w:val="9"/>
          <w:szCs w:val="9"/>
          <w:color w:val="auto"/>
        </w:rPr>
        <w:t>NVESTORS</w:t>
      </w:r>
      <w:r>
        <w:rPr>
          <w:rFonts w:ascii="Arial" w:cs="Arial" w:eastAsia="Arial" w:hAnsi="Arial"/>
          <w:sz w:val="14"/>
          <w:szCs w:val="14"/>
          <w:color w:val="auto"/>
        </w:rPr>
        <w:t>’ R</w:t>
      </w:r>
      <w:r>
        <w:rPr>
          <w:rFonts w:ascii="Arial" w:cs="Arial" w:eastAsia="Arial" w:hAnsi="Arial"/>
          <w:sz w:val="9"/>
          <w:szCs w:val="9"/>
          <w:color w:val="auto"/>
        </w:rPr>
        <w:t>IGHTS</w:t>
      </w:r>
      <w:r>
        <w:rPr>
          <w:rFonts w:ascii="Arial" w:cs="Arial" w:eastAsia="Arial" w:hAnsi="Arial"/>
          <w:sz w:val="14"/>
          <w:szCs w:val="14"/>
          <w:color w:val="auto"/>
        </w:rPr>
        <w:t xml:space="preserve"> A</w:t>
      </w:r>
      <w:r>
        <w:rPr>
          <w:rFonts w:ascii="Arial" w:cs="Arial" w:eastAsia="Arial" w:hAnsi="Arial"/>
          <w:sz w:val="9"/>
          <w:szCs w:val="9"/>
          <w:color w:val="auto"/>
        </w:rPr>
        <w:t>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550" w:right="319" w:bottom="1440" w:gutter="0" w:footer="0" w:header="0"/>
        </w:sectPr>
      </w:pPr>
    </w:p>
    <w:bookmarkStart w:id="377" w:name="page378"/>
    <w:bookmarkEnd w:id="377"/>
    <w:p>
      <w:pPr>
        <w:jc w:val="right"/>
        <w:ind w:right="4059"/>
        <w:spacing w:after="0"/>
        <w:rPr>
          <w:sz w:val="20"/>
          <w:szCs w:val="20"/>
          <w:color w:val="auto"/>
        </w:rPr>
      </w:pPr>
      <w:r>
        <w:rPr>
          <w:rFonts w:ascii="Arial" w:cs="Arial" w:eastAsia="Arial" w:hAnsi="Arial"/>
          <w:sz w:val="14"/>
          <w:szCs w:val="14"/>
          <w:b w:val="1"/>
          <w:bCs w:val="1"/>
          <w:u w:val="single" w:color="auto"/>
          <w:color w:val="auto"/>
        </w:rPr>
        <w:t>SCHEDULE A</w:t>
      </w:r>
    </w:p>
    <w:p>
      <w:pPr>
        <w:spacing w:after="0" w:line="25"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INVESTORS</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4"/>
          <w:szCs w:val="14"/>
          <w:b w:val="1"/>
          <w:bCs w:val="1"/>
          <w:u w:val="single" w:color="auto"/>
          <w:color w:val="auto"/>
        </w:rPr>
        <w:t>Name and Address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Versant Vantage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-100965</wp:posOffset>
            </wp:positionV>
            <wp:extent cx="4295775" cy="38982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295775" cy="389826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One Sansome Street Suite 3630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 94104</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Attention: Robin L. </w:t>
      </w:r>
      <w:r>
        <w:rPr>
          <w:rFonts w:ascii="Arial" w:cs="Arial" w:eastAsia="Arial" w:hAnsi="Arial"/>
          <w:sz w:val="14"/>
          <w:szCs w:val="14"/>
          <w:color w:val="231F20"/>
        </w:rPr>
        <w:t>Praeger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Versant Venture Capital VI,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One Sansome Street Suite 3630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 94104</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Attention: Robin L. </w:t>
      </w:r>
      <w:r>
        <w:rPr>
          <w:rFonts w:ascii="Arial" w:cs="Arial" w:eastAsia="Arial" w:hAnsi="Arial"/>
          <w:sz w:val="14"/>
          <w:szCs w:val="14"/>
          <w:color w:val="231F20"/>
        </w:rPr>
        <w:t>Praeger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Bayer HealthCare LLC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100 Bayer Boulevard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Whippany, NJ 07981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Attention: Juergen Eckhardt; Pamela Sisson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Email: Juergen Eckhardt@bayer.com;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pamela.sisson@bayer.com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FUJIFILM Cellular Dynamics Inc.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525 Science Drive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 53711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Casdin Partners Master Fund, L.P.</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c/o Casdin Capital, LLC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1350 Avenue of the Americas, 26th Floor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10019</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Casdin Private Growth Equity Fund,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Casdin Capital, LLC</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1350 Avenue of the Americas, 26th Floor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10019</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Fidelity Select Portfolios: Biotechnology Portfolio</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Mag &amp; Co.</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c/o Brown Brothers Harriman &amp; Co.</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Attn: Corporate Actions /Vault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140 Broadway</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10005</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BBH.Fidelity.CA.Notifications@BBH.com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Fidelity Advisor Series VII: Fidelity Advisor Biotechnology Fund</w:t>
      </w: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76200</wp:posOffset>
            </wp:positionV>
            <wp:extent cx="7159625"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59"/>
          </w:cols>
          <w:pgMar w:left="400" w:top="373" w:right="1440" w:bottom="1440" w:gutter="0" w:footer="0" w:header="0"/>
        </w:sectPr>
      </w:pPr>
    </w:p>
    <w:bookmarkStart w:id="378" w:name="page379"/>
    <w:bookmarkEnd w:id="37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194310</wp:posOffset>
            </wp:positionH>
            <wp:positionV relativeFrom="page">
              <wp:posOffset>356235</wp:posOffset>
            </wp:positionV>
            <wp:extent cx="4295775" cy="4220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295775" cy="4220845"/>
                    </a:xfrm>
                    <a:prstGeom prst="rect">
                      <a:avLst/>
                    </a:prstGeom>
                    <a:noFill/>
                  </pic:spPr>
                </pic:pic>
              </a:graphicData>
            </a:graphic>
          </wp:anchor>
        </w:drawing>
        <w:t>c/o State Street Bank &amp; Trust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PO Box 5756</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 02206</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Attn: Bangle &amp; Co fbo Fidelity Advisor Series VII: Fidelity Advisor Biotechnology Fund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Email: SSBCORPACTIONS@StateStreet.com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Fax number: 617-988-9110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Fidelity Mt. Vernon Street Trust: Fidelity Growth Company K6 Fund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BNY Mellon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PO Box 392002</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Pittsburgh PA 15230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fidelitycorporateevents@bnymellon.com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Federated Hermes Kaufmann Fund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4000 Ericsson Drive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Warrendale, PA 15086-7561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Attn: Christine Zorovich</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Federated Hermes Kaufmann Small Cap Fund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4000 Ericsson Drive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Warrendale, PA 15086-7561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Attn: Christine Zorovich</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Federated Hermes Kaufmann Fund II</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4000 Ericsson Drive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Warrendale, PA 15086-7561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Attn: Christine Zorovich</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MW XO Health Innovations Fund,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DMS Corporate Services Ltd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PO Box 1344, Suite 5B20, 2nd Floor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One Nexus Way, Camana Bay</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Grand Cayman KY1-1108, Cayman Islands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(which shall not constitute notice) to:</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Crowell &amp; Moring LLP</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Attn: Lex Eley</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1001 Pennsylvania Ave. NW</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Washington, DC 20004</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Logos Opportunities Fund II, L..</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Attn: Virginia Yee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c/o Logos Capital</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1 Letterman Dr, Ste. D3-700</w:t>
      </w:r>
    </w:p>
    <w:p>
      <w:pPr>
        <w:spacing w:after="0" w:line="272" w:lineRule="exact"/>
        <w:rPr>
          <w:sz w:val="20"/>
          <w:szCs w:val="20"/>
          <w:color w:val="auto"/>
        </w:rPr>
      </w:pPr>
    </w:p>
    <w:p>
      <w:pPr>
        <w:jc w:val="right"/>
        <w:ind w:right="4119"/>
        <w:spacing w:after="0"/>
        <w:rPr>
          <w:sz w:val="20"/>
          <w:szCs w:val="20"/>
          <w:color w:val="auto"/>
        </w:rPr>
      </w:pPr>
      <w:r>
        <w:rPr>
          <w:rFonts w:ascii="Arial" w:cs="Arial" w:eastAsia="Arial" w:hAnsi="Arial"/>
          <w:sz w:val="14"/>
          <w:szCs w:val="14"/>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69215</wp:posOffset>
            </wp:positionV>
            <wp:extent cx="7159625"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59"/>
          </w:cols>
          <w:pgMar w:left="400" w:top="561" w:right="1440"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194310</wp:posOffset>
            </wp:positionH>
            <wp:positionV relativeFrom="page">
              <wp:posOffset>466090</wp:posOffset>
            </wp:positionV>
            <wp:extent cx="4295775" cy="47275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295775" cy="4727575"/>
                    </a:xfrm>
                    <a:prstGeom prst="rect">
                      <a:avLst/>
                    </a:prstGeom>
                    <a:noFill/>
                  </pic:spPr>
                </pic:pic>
              </a:graphicData>
            </a:graphic>
          </wp:anchor>
        </w:drawing>
        <w:t>San Francisco, CA 94129</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virginia@logoscapital.com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 Capital Healthcare Fund,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RA Capital Management, L.P.</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200 Berkeley Street</w:t>
      </w:r>
    </w:p>
    <w:p>
      <w:pPr>
        <w:spacing w:after="0" w:line="198" w:lineRule="auto"/>
        <w:rPr>
          <w:sz w:val="20"/>
          <w:szCs w:val="20"/>
          <w:color w:val="auto"/>
        </w:rPr>
      </w:pPr>
      <w:r>
        <w:rPr>
          <w:rFonts w:ascii="Arial" w:cs="Arial" w:eastAsia="Arial" w:hAnsi="Arial"/>
          <w:sz w:val="14"/>
          <w:szCs w:val="14"/>
          <w:color w:val="auto"/>
        </w:rPr>
        <w:t>18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Attn: 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 Capital NEXUS Fund II,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RA Capital Management, L.P.</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200 Berkeley Street</w:t>
      </w:r>
    </w:p>
    <w:p>
      <w:pPr>
        <w:spacing w:after="0" w:line="198" w:lineRule="auto"/>
        <w:rPr>
          <w:sz w:val="20"/>
          <w:szCs w:val="20"/>
          <w:color w:val="auto"/>
        </w:rPr>
      </w:pPr>
      <w:r>
        <w:rPr>
          <w:rFonts w:ascii="Arial" w:cs="Arial" w:eastAsia="Arial" w:hAnsi="Arial"/>
          <w:sz w:val="14"/>
          <w:szCs w:val="14"/>
          <w:color w:val="auto"/>
        </w:rPr>
        <w:t>18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Attn: 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TNY Holdings Limited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89 Nexus Way, Camana Bay</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P.O. Box 31106</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Grand Cayman KY1-1205</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Cayman Islands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Emails: </w:t>
      </w:r>
      <w:r>
        <w:rPr>
          <w:rFonts w:ascii="Arial" w:cs="Arial" w:eastAsia="Arial" w:hAnsi="Arial"/>
          <w:sz w:val="14"/>
          <w:szCs w:val="14"/>
          <w:u w:val="single" w:color="auto"/>
          <w:color w:val="auto"/>
        </w:rPr>
        <w:t>zczhang@hillhousecap.com</w:t>
      </w:r>
      <w:r>
        <w:rPr>
          <w:rFonts w:ascii="Arial" w:cs="Arial" w:eastAsia="Arial" w:hAnsi="Arial"/>
          <w:sz w:val="14"/>
          <w:szCs w:val="14"/>
          <w:color w:val="auto"/>
        </w:rPr>
        <w:t xml:space="preserve"> / </w:t>
      </w:r>
      <w:r>
        <w:rPr>
          <w:rFonts w:ascii="Arial" w:cs="Arial" w:eastAsia="Arial" w:hAnsi="Arial"/>
          <w:sz w:val="14"/>
          <w:szCs w:val="14"/>
          <w:u w:val="single" w:color="auto"/>
          <w:color w:val="auto"/>
        </w:rPr>
        <w:t>myi@hillhousecap.com</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 (which shall not constitute notice to):</w:t>
      </w:r>
    </w:p>
    <w:p>
      <w:pPr>
        <w:ind w:left="520"/>
        <w:spacing w:after="0" w:line="207" w:lineRule="auto"/>
        <w:rPr>
          <w:sz w:val="20"/>
          <w:szCs w:val="20"/>
          <w:color w:val="auto"/>
        </w:rPr>
      </w:pPr>
      <w:r>
        <w:rPr>
          <w:rFonts w:ascii="Arial" w:cs="Arial" w:eastAsia="Arial" w:hAnsi="Arial"/>
          <w:sz w:val="14"/>
          <w:szCs w:val="14"/>
          <w:color w:val="auto"/>
        </w:rPr>
        <w:t>Suite 2202, 22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Two International Finance Centre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8 Finance Street</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Central, Hong Kong</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Attention: Adam Hornung</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legal@hillhousecapital.com</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 (which shall not constitute notice to):</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Goodwin Proctor (Hong Kong) LLP</w:t>
      </w:r>
    </w:p>
    <w:p>
      <w:pPr>
        <w:ind w:left="520"/>
        <w:spacing w:after="0" w:line="198" w:lineRule="auto"/>
        <w:rPr>
          <w:sz w:val="20"/>
          <w:szCs w:val="20"/>
          <w:color w:val="auto"/>
        </w:rPr>
      </w:pPr>
      <w:r>
        <w:rPr>
          <w:rFonts w:ascii="Arial" w:cs="Arial" w:eastAsia="Arial" w:hAnsi="Arial"/>
          <w:sz w:val="14"/>
          <w:szCs w:val="14"/>
          <w:color w:val="auto"/>
        </w:rPr>
        <w:t>38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 Edinburgh Tower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Landmark</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15 Queen’s Road Central, Hong Kong</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Attention: Yash Rana / Abhishek Krishnan</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yrana@goodwinlaw.com</w:t>
      </w:r>
      <w:r>
        <w:rPr>
          <w:rFonts w:ascii="Arial" w:cs="Arial" w:eastAsia="Arial" w:hAnsi="Arial"/>
          <w:sz w:val="14"/>
          <w:szCs w:val="14"/>
          <w:color w:val="auto"/>
        </w:rPr>
        <w:t xml:space="preserve"> / </w:t>
      </w:r>
      <w:r>
        <w:rPr>
          <w:rFonts w:ascii="Arial" w:cs="Arial" w:eastAsia="Arial" w:hAnsi="Arial"/>
          <w:sz w:val="14"/>
          <w:szCs w:val="14"/>
          <w:u w:val="single" w:color="auto"/>
          <w:color w:val="auto"/>
        </w:rPr>
        <w:t>akrishnan@goodwinlaw.com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Biotech Growth Trust PLC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Attention: 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601 Lexington Avenue, 54th Floor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10022</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Phone: (212) 739-6400</w:t>
      </w:r>
    </w:p>
    <w:p>
      <w:pPr>
        <w:spacing w:after="0" w:line="200" w:lineRule="exact"/>
        <w:rPr>
          <w:sz w:val="20"/>
          <w:szCs w:val="20"/>
          <w:color w:val="auto"/>
        </w:rPr>
      </w:pPr>
    </w:p>
    <w:p>
      <w:pPr>
        <w:spacing w:after="0" w:line="245" w:lineRule="exact"/>
        <w:rPr>
          <w:sz w:val="20"/>
          <w:szCs w:val="20"/>
          <w:color w:val="auto"/>
        </w:rPr>
      </w:pPr>
    </w:p>
    <w:p>
      <w:pPr>
        <w:jc w:val="right"/>
        <w:ind w:right="4119"/>
        <w:spacing w:after="0"/>
        <w:rPr>
          <w:sz w:val="20"/>
          <w:szCs w:val="20"/>
          <w:color w:val="auto"/>
        </w:rPr>
      </w:pPr>
      <w:r>
        <w:rPr>
          <w:rFonts w:ascii="Arial" w:cs="Arial" w:eastAsia="Arial" w:hAnsi="Arial"/>
          <w:sz w:val="14"/>
          <w:szCs w:val="14"/>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69215</wp:posOffset>
            </wp:positionV>
            <wp:extent cx="7159625"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59"/>
          </w:cols>
          <w:pgMar w:left="400" w:top="733" w:right="1440" w:bottom="1440" w:gutter="0" w:footer="0" w:header="0"/>
        </w:sectPr>
      </w:pPr>
    </w:p>
    <w:bookmarkStart w:id="380" w:name="page381"/>
    <w:bookmarkEnd w:id="38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194310</wp:posOffset>
            </wp:positionH>
            <wp:positionV relativeFrom="page">
              <wp:posOffset>356235</wp:posOffset>
            </wp:positionV>
            <wp:extent cx="4295775" cy="32340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295775" cy="3234055"/>
                    </a:xfrm>
                    <a:prstGeom prst="rect">
                      <a:avLst/>
                    </a:prstGeom>
                    <a:noFill/>
                  </pic:spPr>
                </pic:pic>
              </a:graphicData>
            </a:graphic>
          </wp:anchor>
        </w:drawing>
        <w:t>Email: Legal@OrbiMed.com</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OrbiMed Genesis Master Fund,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Attention: 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601 Lexington Avenue, 54th Floor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10022</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Phone: (212) 739-6400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Email: Legal@OrbiMed.com</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Avidity Master Fund LP</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2828 N. Harwood St.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Suite 1220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Dallas, TX 75201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Avidity Capital Fund II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2828 N. Harwood St.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Suite 1220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Dallas, TX 75201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Octagon Investments Master Fund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Octagon Capital Advisors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654 Madison Ave, 16th Floor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10065</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Octagon Private Opportunities Fund LP</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 Octagon Capital Advisors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654 Madison Ave, 16th Floor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New York, NY 10065</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QH Oil Investments LLC</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Ooredoo Tower (Building 14),</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Al Dafna Street (Street 801),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Al Dafna (Zone 61),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Doha, Qatar</w:t>
      </w:r>
    </w:p>
    <w:p>
      <w:pPr>
        <w:spacing w:after="0" w:line="272" w:lineRule="exact"/>
        <w:rPr>
          <w:sz w:val="20"/>
          <w:szCs w:val="20"/>
          <w:color w:val="auto"/>
        </w:rPr>
      </w:pPr>
    </w:p>
    <w:p>
      <w:pPr>
        <w:jc w:val="right"/>
        <w:ind w:right="4119"/>
        <w:spacing w:after="0"/>
        <w:rPr>
          <w:sz w:val="20"/>
          <w:szCs w:val="20"/>
          <w:color w:val="auto"/>
        </w:rPr>
      </w:pPr>
      <w:r>
        <w:rPr>
          <w:rFonts w:ascii="Arial" w:cs="Arial" w:eastAsia="Arial" w:hAnsi="Arial"/>
          <w:sz w:val="14"/>
          <w:szCs w:val="14"/>
          <w:color w:val="auto"/>
        </w:rPr>
        <w:t>Schedule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69215</wp:posOffset>
            </wp:positionV>
            <wp:extent cx="7159625"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59"/>
          </w:cols>
          <w:pgMar w:left="400" w:top="561" w:right="1440" w:bottom="1440" w:gutter="0" w:footer="0" w:header="0"/>
        </w:sectPr>
      </w:pPr>
    </w:p>
    <w:bookmarkStart w:id="381" w:name="page382"/>
    <w:bookmarkEnd w:id="381"/>
    <w:p>
      <w:pPr>
        <w:ind w:left="10620"/>
        <w:spacing w:after="0"/>
        <w:rPr>
          <w:sz w:val="20"/>
          <w:szCs w:val="20"/>
          <w:color w:val="auto"/>
        </w:rPr>
      </w:pPr>
      <w:r>
        <w:rPr>
          <w:rFonts w:ascii="Arial" w:cs="Arial" w:eastAsia="Arial" w:hAnsi="Arial"/>
          <w:sz w:val="13"/>
          <w:szCs w:val="13"/>
          <w:b w:val="1"/>
          <w:bCs w:val="1"/>
          <w:color w:val="auto"/>
        </w:rPr>
        <w:t>Exhibit 4.3</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WARRANT, AND THE SECURITIES ISSUABLE UPON THE EXERCISE OF THIS WARRANT, HAVE NOT BEEN REGISTERED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ANY STATE SECURITIES LAWS. THEY MAY NOT BE SOLD, OFFERED FOR SALE, PLEDGED, OR HYPOTHECATED IN THE ABSENCE OF AN EFFECTIVE REGISTRATION STATEMENT RELATED THERETO OR AN OPINION OF COUNSEL (WHICH MAY BE COMPANY COUNSEL) REASONABLY SATISFACTORY TO THE COMPANY THAT SUCH REGISTRATION IS NOT REQUIRED UNDER THE SECURITIES ACT, OR ANY APPLICABLE STATE SECURITIES 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WARRANT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To Purchase Units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CENTURY THERAPEUTICS,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Dated as of September 14, 2020 (the “</w:t>
      </w:r>
      <w:r>
        <w:rPr>
          <w:rFonts w:ascii="Arial" w:cs="Arial" w:eastAsia="Arial" w:hAnsi="Arial"/>
          <w:sz w:val="14"/>
          <w:szCs w:val="14"/>
          <w:u w:val="single" w:color="auto"/>
          <w:color w:val="auto"/>
        </w:rPr>
        <w:t>Effective Date</w:t>
      </w:r>
      <w:r>
        <w:rPr>
          <w:rFonts w:ascii="Arial" w:cs="Arial" w:eastAsia="Arial" w:hAnsi="Arial"/>
          <w:sz w:val="14"/>
          <w:szCs w:val="14"/>
          <w:color w:val="auto"/>
        </w:rPr>
        <w:t>”)</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WHEREAS, CENTURY THERAPEUTICS, LLC, a Delaware limited liability company, has entered into a Loan and Security Agreement of even date herewith (as amended, restated, supplemented or otherwise modified from time to time, the “</w:t>
      </w:r>
      <w:r>
        <w:rPr>
          <w:rFonts w:ascii="Arial" w:cs="Arial" w:eastAsia="Arial" w:hAnsi="Arial"/>
          <w:sz w:val="14"/>
          <w:szCs w:val="14"/>
          <w:u w:val="single" w:color="auto"/>
          <w:color w:val="auto"/>
        </w:rPr>
        <w:t>Loan Agreement</w:t>
      </w:r>
      <w:r>
        <w:rPr>
          <w:rFonts w:ascii="Arial" w:cs="Arial" w:eastAsia="Arial" w:hAnsi="Arial"/>
          <w:sz w:val="14"/>
          <w:szCs w:val="14"/>
          <w:color w:val="auto"/>
        </w:rPr>
        <w:t>”) with Hercules Capital, Inc., a Maryland corporation, in its capacity as administrative and collateral agent, (the “</w:t>
      </w:r>
      <w:r>
        <w:rPr>
          <w:rFonts w:ascii="Arial" w:cs="Arial" w:eastAsia="Arial" w:hAnsi="Arial"/>
          <w:sz w:val="14"/>
          <w:szCs w:val="14"/>
          <w:u w:val="single" w:color="auto"/>
          <w:color w:val="auto"/>
        </w:rPr>
        <w:t>Agent</w:t>
      </w:r>
      <w:r>
        <w:rPr>
          <w:rFonts w:ascii="Arial" w:cs="Arial" w:eastAsia="Arial" w:hAnsi="Arial"/>
          <w:sz w:val="14"/>
          <w:szCs w:val="14"/>
          <w:color w:val="auto"/>
        </w:rPr>
        <w:t>”) and the other lender parties thereto; and</w:t>
      </w:r>
    </w:p>
    <w:p>
      <w:pPr>
        <w:spacing w:after="0" w:line="14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WHEREAS, the Company (as defined below) grants to Hercules Technology Management Co II, Inc., a Delaware corporation (the “</w:t>
      </w:r>
      <w:r>
        <w:rPr>
          <w:rFonts w:ascii="Arial" w:cs="Arial" w:eastAsia="Arial" w:hAnsi="Arial"/>
          <w:sz w:val="14"/>
          <w:szCs w:val="14"/>
          <w:u w:val="single" w:color="auto"/>
          <w:color w:val="auto"/>
        </w:rPr>
        <w:t>Warrantholder</w:t>
      </w:r>
      <w:r>
        <w:rPr>
          <w:rFonts w:ascii="Arial" w:cs="Arial" w:eastAsia="Arial" w:hAnsi="Arial"/>
          <w:sz w:val="14"/>
          <w:szCs w:val="14"/>
          <w:color w:val="auto"/>
        </w:rPr>
        <w:t>”) in consideration for, among other things, the financial accommodations provided for in the Loan Agreement, the right to purchase Units (as defined below) pursuant to this Warrant Agreement (as amended, restated, supplemented or otherwise modified from time to time, this “</w:t>
      </w:r>
      <w:r>
        <w:rPr>
          <w:rFonts w:ascii="Arial" w:cs="Arial" w:eastAsia="Arial" w:hAnsi="Arial"/>
          <w:sz w:val="14"/>
          <w:szCs w:val="14"/>
          <w:u w:val="single" w:color="auto"/>
          <w:color w:val="auto"/>
        </w:rPr>
        <w:t>Agreement</w:t>
      </w:r>
      <w:r>
        <w:rPr>
          <w:rFonts w:ascii="Arial" w:cs="Arial" w:eastAsia="Arial" w:hAnsi="Arial"/>
          <w:sz w:val="14"/>
          <w:szCs w:val="14"/>
          <w:color w:val="auto"/>
        </w:rPr>
        <w:t>”);</w:t>
      </w:r>
    </w:p>
    <w:p>
      <w:pPr>
        <w:spacing w:after="0" w:line="14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NOW, THEREFORE, in consideration of the Agent and the lenders party thereto executing and delivering the Loan Agreement and providing the financial accommodations contemplated therein, and in consideration of the mutual covenants and agreements contained herein, the Company and the Warrantholder agree as follows:</w:t>
      </w:r>
    </w:p>
    <w:p>
      <w:pPr>
        <w:spacing w:after="0" w:line="128" w:lineRule="exact"/>
        <w:rPr>
          <w:sz w:val="20"/>
          <w:szCs w:val="20"/>
          <w:color w:val="auto"/>
        </w:rPr>
      </w:pPr>
    </w:p>
    <w:p>
      <w:pPr>
        <w:ind w:left="520"/>
        <w:spacing w:after="0"/>
        <w:tabs>
          <w:tab w:leader="none" w:pos="1440" w:val="left"/>
        </w:tabs>
        <w:rPr>
          <w:sz w:val="20"/>
          <w:szCs w:val="20"/>
          <w:color w:val="auto"/>
        </w:rPr>
      </w:pPr>
      <w:r>
        <w:rPr>
          <w:rFonts w:ascii="Arial" w:cs="Arial" w:eastAsia="Arial" w:hAnsi="Arial"/>
          <w:sz w:val="14"/>
          <w:szCs w:val="14"/>
          <w:b w:val="1"/>
          <w:bCs w:val="1"/>
          <w:color w:val="auto"/>
        </w:rPr>
        <w:t>SECTION 1.</w:t>
        <w:tab/>
        <w:t>GRANT OF THE RIGHT TO PURCHASE UNITS.</w:t>
      </w:r>
    </w:p>
    <w:p>
      <w:pPr>
        <w:spacing w:after="0" w:line="188"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For value received, the Company hereby grants to the Warrantholder, and the Warrantholder is entitled, upon the terms and subject to the conditions hereinafter set forth, to subscribe for and purchase, from the Company, an aggregate number of Units equal to the quotient derived by dividing (a) the Warrant Coverage (as defined below) by (b) the Exercise Price (as defined below). The Exercise Price of such Units is subject to adjustment as provided in Section 8. As of the Effective Date, the Warrantholder is entitled to subscribe for and purchase the number of Units set forth on Schedule A. Schedule A shall be automatically updated as of each Advance Date (as defined in the Loan Agreement) by Warrantholder and such update shall be deemed to be correct absent manifest error.</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used herein, the following terms shall have the following meanings: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2" w:name="page383"/>
    <w:bookmarkEnd w:id="382"/>
    <w:p>
      <w:pPr>
        <w:ind w:left="1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Saturday, Sunday and any other day on which banking institutions in the State of California are closed for business.</w:t>
      </w:r>
    </w:p>
    <w:p>
      <w:pPr>
        <w:spacing w:after="0" w:line="184" w:lineRule="exact"/>
        <w:rPr>
          <w:sz w:val="20"/>
          <w:szCs w:val="20"/>
          <w:color w:val="auto"/>
        </w:rPr>
      </w:pPr>
    </w:p>
    <w:p>
      <w:pPr>
        <w:jc w:val="both"/>
        <w:ind w:left="520"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means CENTURY THERAPEUTICS, LLC, a Delaware limited liability company, and any successor or surviving entity that assumes the obligations of the Company under this Agreement pursuant to Section 8(a).</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Exercise Price</w:t>
      </w:r>
      <w:r>
        <w:rPr>
          <w:rFonts w:ascii="Arial" w:cs="Arial" w:eastAsia="Arial" w:hAnsi="Arial"/>
          <w:sz w:val="14"/>
          <w:szCs w:val="14"/>
          <w:color w:val="auto"/>
        </w:rPr>
        <w:t>” means $5.55 per Unit, subject to adjustment pursuant to Section 8.</w:t>
      </w:r>
    </w:p>
    <w:p>
      <w:pPr>
        <w:spacing w:after="0" w:line="184" w:lineRule="exact"/>
        <w:rPr>
          <w:sz w:val="20"/>
          <w:szCs w:val="20"/>
          <w:color w:val="auto"/>
        </w:rPr>
      </w:pPr>
    </w:p>
    <w:p>
      <w:pPr>
        <w:jc w:val="both"/>
        <w:ind w:left="520" w:firstLine="518"/>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Public Offering</w:t>
      </w:r>
      <w:r>
        <w:rPr>
          <w:rFonts w:ascii="Arial" w:cs="Arial" w:eastAsia="Arial" w:hAnsi="Arial"/>
          <w:sz w:val="14"/>
          <w:szCs w:val="14"/>
          <w:color w:val="auto"/>
        </w:rPr>
        <w:t>” means the initial underwritten public offering of the common equity of the Company (or any corporation resulting from one or more reorganization transactions effected prior to such offering) pursuant to a registration statement under the Securities Act, which registration statement has been declared effective by the Securities and Exchange Commission (the “SEC”).</w:t>
      </w:r>
    </w:p>
    <w:p>
      <w:pPr>
        <w:spacing w:after="0" w:line="14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 Event</w:t>
      </w:r>
      <w:r>
        <w:rPr>
          <w:rFonts w:ascii="Arial" w:cs="Arial" w:eastAsia="Arial" w:hAnsi="Arial"/>
          <w:sz w:val="14"/>
          <w:szCs w:val="14"/>
          <w:color w:val="auto"/>
        </w:rPr>
        <w:t>” means any of the following:</w:t>
      </w:r>
    </w:p>
    <w:p>
      <w:pPr>
        <w:spacing w:after="0" w:line="184" w:lineRule="exact"/>
        <w:rPr>
          <w:sz w:val="20"/>
          <w:szCs w:val="20"/>
          <w:color w:val="auto"/>
        </w:rPr>
      </w:pPr>
    </w:p>
    <w:p>
      <w:pPr>
        <w:ind w:left="1520" w:hanging="478"/>
        <w:spacing w:after="0"/>
        <w:tabs>
          <w:tab w:leader="none" w:pos="152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a sale, lease, exclusive license or other transfer of all or substantially all assets of the Company to a non-Affiliated third-party; or</w:t>
      </w:r>
    </w:p>
    <w:p>
      <w:pPr>
        <w:spacing w:after="0" w:line="184" w:lineRule="exact"/>
        <w:rPr>
          <w:rFonts w:ascii="Arial" w:cs="Arial" w:eastAsia="Arial" w:hAnsi="Arial"/>
          <w:sz w:val="14"/>
          <w:szCs w:val="14"/>
          <w:color w:val="auto"/>
        </w:rPr>
      </w:pPr>
    </w:p>
    <w:p>
      <w:pPr>
        <w:jc w:val="both"/>
        <w:ind w:firstLine="1042"/>
        <w:spacing w:after="0" w:line="263" w:lineRule="auto"/>
        <w:tabs>
          <w:tab w:leader="none" w:pos="152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any merger or consolidation involving the Company in which the Company is not the surviving entity, or in which the Company’s outstanding equity interests are otherwise converted into or exchanged for equity interests, other securities or property of another entity other than any such merger or consolidation in which the equity securities of the Company immediately prior to such merger or consolidation, continue to represent a majority of the voting power of the surviving entity (or, if the surviving entity is a wholly owned subsidiary, its parent) immediately after such merger or consolidation (provided that, all Units issuable upon exercise of warrants outstanding immediately prior to such consolidation or merger shall be deemed to be outstanding immediately prior to such merger or consolidation and, if applicable, converted or exchanged in such merger or consolidation on the same terms as the actual outstanding equity interests are converted or exchanged).</w:t>
      </w:r>
    </w:p>
    <w:p>
      <w:pPr>
        <w:spacing w:after="0" w:line="150" w:lineRule="exact"/>
        <w:rPr>
          <w:sz w:val="20"/>
          <w:szCs w:val="20"/>
          <w:color w:val="auto"/>
        </w:rPr>
      </w:pPr>
    </w:p>
    <w:p>
      <w:pPr>
        <w:ind w:left="520"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Operating Agreement</w:t>
      </w:r>
      <w:r>
        <w:rPr>
          <w:rFonts w:ascii="Arial" w:cs="Arial" w:eastAsia="Arial" w:hAnsi="Arial"/>
          <w:sz w:val="14"/>
          <w:szCs w:val="14"/>
          <w:color w:val="auto"/>
        </w:rPr>
        <w:t>” means that certain Amended and Restated Limited Liability Company Agreement of the Company, dated as of June 21, 2019, as amended, restated, supplemented or otherwise modified from time to time.</w:t>
      </w:r>
    </w:p>
    <w:p>
      <w:pPr>
        <w:spacing w:after="0" w:line="132" w:lineRule="exact"/>
        <w:rPr>
          <w:sz w:val="20"/>
          <w:szCs w:val="20"/>
          <w:color w:val="auto"/>
        </w:rPr>
      </w:pPr>
    </w:p>
    <w:p>
      <w:pPr>
        <w:ind w:left="520"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means the Company’s Certificate of Formation, Operating Agreement or other constitutional document, as amended, restated, supplemented or otherwise modified from time to time.</w:t>
      </w:r>
    </w:p>
    <w:p>
      <w:pPr>
        <w:spacing w:after="0" w:line="132" w:lineRule="exact"/>
        <w:rPr>
          <w:sz w:val="20"/>
          <w:szCs w:val="20"/>
          <w:color w:val="auto"/>
        </w:rPr>
      </w:pPr>
    </w:p>
    <w:p>
      <w:pPr>
        <w:ind w:left="520"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w:t>
      </w:r>
      <w:r>
        <w:rPr>
          <w:rFonts w:ascii="Arial" w:cs="Arial" w:eastAsia="Arial" w:hAnsi="Arial"/>
          <w:sz w:val="14"/>
          <w:szCs w:val="14"/>
          <w:color w:val="auto"/>
        </w:rPr>
        <w:t>” means, with respect to any exercise of this Agreement, an amount equal to the Exercise Price, as of the relevant time multiplied by the number of Units requested to be exercised under this Agreement pursuant to such exercise.</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amended.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83" w:name="page384"/>
    <w:bookmarkEnd w:id="383"/>
    <w:p>
      <w:pPr>
        <w:ind w:left="520"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Units</w:t>
      </w:r>
      <w:r>
        <w:rPr>
          <w:rFonts w:ascii="Arial" w:cs="Arial" w:eastAsia="Arial" w:hAnsi="Arial"/>
          <w:sz w:val="14"/>
          <w:szCs w:val="14"/>
          <w:color w:val="auto"/>
        </w:rPr>
        <w:t xml:space="preserve">” means the Units of the Company, and, to the extent provided in </w:t>
      </w:r>
      <w:r>
        <w:rPr>
          <w:rFonts w:ascii="Arial" w:cs="Arial" w:eastAsia="Arial" w:hAnsi="Arial"/>
          <w:sz w:val="14"/>
          <w:szCs w:val="14"/>
          <w:u w:val="single" w:color="auto"/>
          <w:color w:val="auto"/>
        </w:rPr>
        <w:t>Sections 8(a) and 8(b)</w:t>
      </w:r>
      <w:r>
        <w:rPr>
          <w:rFonts w:ascii="Arial" w:cs="Arial" w:eastAsia="Arial" w:hAnsi="Arial"/>
          <w:sz w:val="14"/>
          <w:szCs w:val="14"/>
          <w:color w:val="auto"/>
        </w:rPr>
        <w:t>, any other equity interests into or for which such Units may be converted or exchanged.</w:t>
      </w:r>
    </w:p>
    <w:p>
      <w:pPr>
        <w:spacing w:after="0" w:line="132" w:lineRule="exact"/>
        <w:rPr>
          <w:sz w:val="20"/>
          <w:szCs w:val="20"/>
          <w:color w:val="auto"/>
        </w:rPr>
      </w:pPr>
    </w:p>
    <w:p>
      <w:pPr>
        <w:ind w:left="520"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Warrant Coverage</w:t>
      </w:r>
      <w:r>
        <w:rPr>
          <w:rFonts w:ascii="Arial" w:cs="Arial" w:eastAsia="Arial" w:hAnsi="Arial"/>
          <w:sz w:val="14"/>
          <w:szCs w:val="14"/>
          <w:color w:val="auto"/>
        </w:rPr>
        <w:t>” means an amount equal to 2.25% of the aggregate original principal amount of the Term Loan Advances (as defined in the Loan Agreement) actually made to the Company pursuant to Section 2.2 of the Loan Agreement.</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4"/>
          <w:szCs w:val="14"/>
          <w:u w:val="single" w:color="auto"/>
          <w:color w:val="auto"/>
        </w:rPr>
        <w:t>“Warrantholder”</w:t>
      </w:r>
      <w:r>
        <w:rPr>
          <w:rFonts w:ascii="Arial" w:cs="Arial" w:eastAsia="Arial" w:hAnsi="Arial"/>
          <w:sz w:val="14"/>
          <w:szCs w:val="14"/>
          <w:color w:val="auto"/>
        </w:rPr>
        <w:t xml:space="preserve"> has the meaning set forth in the preamble of this Agreement.</w:t>
      </w:r>
    </w:p>
    <w:p>
      <w:pPr>
        <w:spacing w:after="0" w:line="180" w:lineRule="exact"/>
        <w:rPr>
          <w:sz w:val="20"/>
          <w:szCs w:val="20"/>
          <w:color w:val="auto"/>
        </w:rPr>
      </w:pPr>
    </w:p>
    <w:p>
      <w:pPr>
        <w:ind w:left="680"/>
        <w:spacing w:after="0"/>
        <w:tabs>
          <w:tab w:leader="none" w:pos="1920" w:val="left"/>
        </w:tabs>
        <w:rPr>
          <w:sz w:val="20"/>
          <w:szCs w:val="20"/>
          <w:color w:val="auto"/>
        </w:rPr>
      </w:pPr>
      <w:r>
        <w:rPr>
          <w:rFonts w:ascii="Arial" w:cs="Arial" w:eastAsia="Arial" w:hAnsi="Arial"/>
          <w:sz w:val="14"/>
          <w:szCs w:val="14"/>
          <w:b w:val="1"/>
          <w:bCs w:val="1"/>
          <w:color w:val="auto"/>
        </w:rPr>
        <w:t>SECTION 2.</w:t>
      </w:r>
      <w:r>
        <w:rPr>
          <w:sz w:val="20"/>
          <w:szCs w:val="20"/>
          <w:color w:val="auto"/>
        </w:rPr>
        <w:tab/>
      </w:r>
      <w:r>
        <w:rPr>
          <w:rFonts w:ascii="Arial" w:cs="Arial" w:eastAsia="Arial" w:hAnsi="Arial"/>
          <w:sz w:val="14"/>
          <w:szCs w:val="14"/>
          <w:b w:val="1"/>
          <w:bCs w:val="1"/>
          <w:color w:val="auto"/>
        </w:rPr>
        <w:t>TERM OF THE AGREEMENT.</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Except as otherwise provided for herein, the term of this Agreement and the right to purchase Units as granted herein shall commence on the Effective Date and shall be exercisable for a period ending on the tenth (10th) anniversary of the Effective Date.</w:t>
      </w:r>
    </w:p>
    <w:p>
      <w:pPr>
        <w:spacing w:after="0" w:line="128" w:lineRule="exact"/>
        <w:rPr>
          <w:sz w:val="20"/>
          <w:szCs w:val="20"/>
          <w:color w:val="auto"/>
        </w:rPr>
      </w:pPr>
    </w:p>
    <w:p>
      <w:pPr>
        <w:ind w:left="680"/>
        <w:spacing w:after="0"/>
        <w:tabs>
          <w:tab w:leader="none" w:pos="1920" w:val="left"/>
        </w:tabs>
        <w:rPr>
          <w:sz w:val="20"/>
          <w:szCs w:val="20"/>
          <w:color w:val="auto"/>
        </w:rPr>
      </w:pPr>
      <w:r>
        <w:rPr>
          <w:rFonts w:ascii="Arial" w:cs="Arial" w:eastAsia="Arial" w:hAnsi="Arial"/>
          <w:sz w:val="14"/>
          <w:szCs w:val="14"/>
          <w:b w:val="1"/>
          <w:bCs w:val="1"/>
          <w:color w:val="auto"/>
        </w:rPr>
        <w:t>SECTION 3.</w:t>
      </w:r>
      <w:r>
        <w:rPr>
          <w:sz w:val="20"/>
          <w:szCs w:val="20"/>
          <w:color w:val="auto"/>
        </w:rPr>
        <w:tab/>
      </w:r>
      <w:r>
        <w:rPr>
          <w:rFonts w:ascii="Arial" w:cs="Arial" w:eastAsia="Arial" w:hAnsi="Arial"/>
          <w:sz w:val="14"/>
          <w:szCs w:val="14"/>
          <w:b w:val="1"/>
          <w:bCs w:val="1"/>
          <w:color w:val="auto"/>
        </w:rPr>
        <w:t>EXERCISE OF THE PURCHASE RIGHTS.</w:t>
      </w:r>
    </w:p>
    <w:p>
      <w:pPr>
        <w:spacing w:after="0" w:line="188" w:lineRule="exact"/>
        <w:rPr>
          <w:sz w:val="20"/>
          <w:szCs w:val="20"/>
          <w:color w:val="auto"/>
        </w:rPr>
      </w:pPr>
    </w:p>
    <w:p>
      <w:pPr>
        <w:jc w:val="both"/>
        <w:ind w:firstLine="1042"/>
        <w:spacing w:after="0" w:line="262" w:lineRule="auto"/>
        <w:tabs>
          <w:tab w:leader="none" w:pos="1530" w:val="left"/>
        </w:tabs>
        <w:numPr>
          <w:ilvl w:val="0"/>
          <w:numId w:val="234"/>
        </w:numPr>
        <w:rPr>
          <w:rFonts w:ascii="Arial" w:cs="Arial" w:eastAsia="Arial" w:hAnsi="Arial"/>
          <w:sz w:val="14"/>
          <w:szCs w:val="14"/>
          <w:color w:val="auto"/>
        </w:rPr>
      </w:pPr>
      <w:r>
        <w:rPr>
          <w:rFonts w:ascii="Arial" w:cs="Arial" w:eastAsia="Arial" w:hAnsi="Arial"/>
          <w:sz w:val="14"/>
          <w:szCs w:val="14"/>
          <w:u w:val="single" w:color="auto"/>
          <w:color w:val="auto"/>
        </w:rPr>
        <w:t>Exercise</w:t>
      </w:r>
      <w:r>
        <w:rPr>
          <w:rFonts w:ascii="Arial" w:cs="Arial" w:eastAsia="Arial" w:hAnsi="Arial"/>
          <w:sz w:val="14"/>
          <w:szCs w:val="14"/>
          <w:color w:val="auto"/>
        </w:rPr>
        <w:t xml:space="preserve">. The purchase rights set forth in this Agreement are exercisable by the Warrantholder, in whole or in part, at any time, or from time to time, prior to the expiration of the term set forth in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by tendering to the Company at its principal office a notice of exercise in the form attached hereto as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Notice of Exercise</w:t>
      </w:r>
      <w:r>
        <w:rPr>
          <w:rFonts w:ascii="Arial" w:cs="Arial" w:eastAsia="Arial" w:hAnsi="Arial"/>
          <w:sz w:val="14"/>
          <w:szCs w:val="14"/>
          <w:color w:val="auto"/>
        </w:rPr>
        <w:t>”), duly completed and executed. Promptly upon receipt of the Notice of Exercise and the payment of the Purchase Price in accordance with the terms set forth below, and in no event later than three (3) Business Days thereafter, the Company shall issue to the Warrantholder a certificate for the number of Units purchased and shall execute the acknowledgment of exercise in the form attached hereto as Exhibit II (the “</w:t>
      </w:r>
      <w:r>
        <w:rPr>
          <w:rFonts w:ascii="Arial" w:cs="Arial" w:eastAsia="Arial" w:hAnsi="Arial"/>
          <w:sz w:val="14"/>
          <w:szCs w:val="14"/>
          <w:u w:val="single" w:color="auto"/>
          <w:color w:val="auto"/>
        </w:rPr>
        <w:t>Acknowledgment of Exercise</w:t>
      </w:r>
      <w:r>
        <w:rPr>
          <w:rFonts w:ascii="Arial" w:cs="Arial" w:eastAsia="Arial" w:hAnsi="Arial"/>
          <w:sz w:val="14"/>
          <w:szCs w:val="14"/>
          <w:color w:val="auto"/>
        </w:rPr>
        <w:t>”) indicating the number of Units which remain subject to future purchases, if any. If the applicable Units are not then certificated by the Company, the Company will deliver to the Warrantholder such evidence of the issuance of such Units to Warrantholder as required or permitted under the Operating Agreement or, if there be none, such evidence as the Warrantholder may reasonably request.</w:t>
      </w:r>
    </w:p>
    <w:p>
      <w:pPr>
        <w:spacing w:after="0" w:line="150" w:lineRule="exact"/>
        <w:rPr>
          <w:rFonts w:ascii="Arial" w:cs="Arial" w:eastAsia="Arial" w:hAnsi="Arial"/>
          <w:sz w:val="14"/>
          <w:szCs w:val="14"/>
          <w:color w:val="auto"/>
        </w:rPr>
      </w:pPr>
    </w:p>
    <w:p>
      <w:pPr>
        <w:jc w:val="both"/>
        <w:ind w:firstLine="1042"/>
        <w:spacing w:after="0" w:line="273" w:lineRule="auto"/>
        <w:tabs>
          <w:tab w:leader="none" w:pos="152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The Purchase Price may be paid at the Warrantholder’s election either (i) by cash or check, or (ii) by surrender of all or a portion of the Warrant for Units to be exercised under this Agreement and, if applicable, an amended Agreement representing the remaining number of units purchasable hereunder, as determined below (“Net Issuance”). If the Warrantholder elects Net Issuance, the Company will issue Units in accordance with the following formula:</w:t>
      </w:r>
    </w:p>
    <w:p>
      <w:pPr>
        <w:spacing w:after="0" w:line="141" w:lineRule="exact"/>
        <w:rPr>
          <w:sz w:val="20"/>
          <w:szCs w:val="20"/>
          <w:color w:val="auto"/>
        </w:rPr>
      </w:pPr>
    </w:p>
    <w:p>
      <w:pPr>
        <w:ind w:left="1560"/>
        <w:spacing w:after="0"/>
        <w:rPr>
          <w:sz w:val="20"/>
          <w:szCs w:val="20"/>
          <w:color w:val="auto"/>
        </w:rPr>
      </w:pPr>
      <w:r>
        <w:rPr>
          <w:rFonts w:ascii="Arial" w:cs="Arial" w:eastAsia="Arial" w:hAnsi="Arial"/>
          <w:sz w:val="14"/>
          <w:szCs w:val="14"/>
          <w:i w:val="1"/>
          <w:iCs w:val="1"/>
          <w:color w:val="auto"/>
        </w:rPr>
        <w:t>X = Y(A-B)</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4"/>
          <w:szCs w:val="14"/>
          <w:i w:val="1"/>
          <w:iCs w:val="1"/>
          <w:color w:val="auto"/>
        </w:rPr>
        <w:t>A</w:t>
      </w:r>
    </w:p>
    <w:p>
      <w:pPr>
        <w:spacing w:after="0" w:line="175" w:lineRule="exact"/>
        <w:rPr>
          <w:sz w:val="20"/>
          <w:szCs w:val="20"/>
          <w:color w:val="auto"/>
        </w:rPr>
      </w:pPr>
    </w:p>
    <w:p>
      <w:pPr>
        <w:spacing w:after="0"/>
        <w:tabs>
          <w:tab w:leader="none" w:pos="1020" w:val="left"/>
          <w:tab w:leader="none" w:pos="1540" w:val="left"/>
        </w:tabs>
        <w:rPr>
          <w:sz w:val="20"/>
          <w:szCs w:val="20"/>
          <w:color w:val="auto"/>
        </w:rPr>
      </w:pPr>
      <w:r>
        <w:rPr>
          <w:rFonts w:ascii="Arial" w:cs="Arial" w:eastAsia="Arial" w:hAnsi="Arial"/>
          <w:sz w:val="14"/>
          <w:szCs w:val="14"/>
          <w:color w:val="auto"/>
        </w:rPr>
        <w:t>Where:</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2"/>
          <w:szCs w:val="12"/>
          <w:color w:val="auto"/>
        </w:rPr>
        <w:t>the number of Units to be issued to the Warrantholder.</w:t>
      </w:r>
    </w:p>
    <w:p>
      <w:pPr>
        <w:spacing w:after="0" w:line="378"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Y =</w:t>
      </w:r>
      <w:r>
        <w:rPr>
          <w:sz w:val="20"/>
          <w:szCs w:val="20"/>
          <w:color w:val="auto"/>
        </w:rPr>
        <w:tab/>
      </w:r>
      <w:r>
        <w:rPr>
          <w:rFonts w:ascii="Arial" w:cs="Arial" w:eastAsia="Arial" w:hAnsi="Arial"/>
          <w:sz w:val="12"/>
          <w:szCs w:val="12"/>
          <w:color w:val="auto"/>
        </w:rPr>
        <w:t>the number of Units requested to be exercised under this Agreement.</w:t>
      </w:r>
    </w:p>
    <w:p>
      <w:pPr>
        <w:spacing w:after="0" w:line="378" w:lineRule="exact"/>
        <w:rPr>
          <w:sz w:val="20"/>
          <w:szCs w:val="20"/>
          <w:color w:val="auto"/>
        </w:rPr>
      </w:pPr>
    </w:p>
    <w:p>
      <w:pPr>
        <w:ind w:left="1040"/>
        <w:spacing w:after="0"/>
        <w:tabs>
          <w:tab w:leader="none" w:pos="1540" w:val="left"/>
        </w:tabs>
        <w:rPr>
          <w:sz w:val="20"/>
          <w:szCs w:val="20"/>
          <w:color w:val="auto"/>
        </w:rPr>
      </w:pPr>
      <w:r>
        <w:rPr>
          <w:rFonts w:ascii="Arial" w:cs="Arial" w:eastAsia="Arial" w:hAnsi="Arial"/>
          <w:sz w:val="14"/>
          <w:szCs w:val="14"/>
          <w:color w:val="auto"/>
        </w:rPr>
        <w:t>A =</w:t>
      </w:r>
      <w:r>
        <w:rPr>
          <w:sz w:val="20"/>
          <w:szCs w:val="20"/>
          <w:color w:val="auto"/>
        </w:rPr>
        <w:tab/>
      </w:r>
      <w:r>
        <w:rPr>
          <w:rFonts w:ascii="Arial" w:cs="Arial" w:eastAsia="Arial" w:hAnsi="Arial"/>
          <w:sz w:val="13"/>
          <w:szCs w:val="13"/>
          <w:color w:val="auto"/>
        </w:rPr>
        <w:t>the current fair market value of one (1) Unit at the time of issuance of such Units.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84" w:name="page385"/>
    <w:bookmarkEnd w:id="384"/>
    <w:p>
      <w:pPr>
        <w:ind w:left="1040"/>
        <w:spacing w:after="0"/>
        <w:tabs>
          <w:tab w:leader="none" w:pos="1540" w:val="left"/>
        </w:tabs>
        <w:rPr>
          <w:sz w:val="20"/>
          <w:szCs w:val="20"/>
          <w:color w:val="auto"/>
        </w:rPr>
      </w:pPr>
      <w:r>
        <w:rPr>
          <w:rFonts w:ascii="Arial" w:cs="Arial" w:eastAsia="Arial" w:hAnsi="Arial"/>
          <w:sz w:val="14"/>
          <w:szCs w:val="14"/>
          <w:color w:val="auto"/>
        </w:rPr>
        <w:t>B =</w:t>
      </w:r>
      <w:r>
        <w:rPr>
          <w:sz w:val="20"/>
          <w:szCs w:val="20"/>
          <w:color w:val="auto"/>
        </w:rPr>
        <w:tab/>
      </w:r>
      <w:r>
        <w:rPr>
          <w:rFonts w:ascii="Arial" w:cs="Arial" w:eastAsia="Arial" w:hAnsi="Arial"/>
          <w:sz w:val="12"/>
          <w:szCs w:val="12"/>
          <w:color w:val="auto"/>
        </w:rPr>
        <w:t>the Exercise Price.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the above calculation, current fair market value of Units shall mean with respect to each Unit:</w:t>
      </w:r>
    </w:p>
    <w:p>
      <w:pPr>
        <w:spacing w:after="0" w:line="184" w:lineRule="exact"/>
        <w:rPr>
          <w:sz w:val="20"/>
          <w:szCs w:val="20"/>
          <w:color w:val="auto"/>
        </w:rPr>
      </w:pPr>
    </w:p>
    <w:p>
      <w:pPr>
        <w:jc w:val="both"/>
        <w:ind w:left="1040" w:firstLine="520"/>
        <w:spacing w:after="0" w:line="273" w:lineRule="auto"/>
        <w:tabs>
          <w:tab w:leader="none" w:pos="2068"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if the exercise is in connection with an Initial Public Offering, and if the Company’s registration statement relating to such Initial Public Offering has been declared effective by the SEC, then the fair market value per unit shall be the product of (1) initial “Price to Public” of the equity interests specified in the final prospectus with respect to the offering (the “</w:t>
      </w:r>
      <w:r>
        <w:rPr>
          <w:rFonts w:ascii="Arial" w:cs="Arial" w:eastAsia="Arial" w:hAnsi="Arial"/>
          <w:sz w:val="14"/>
          <w:szCs w:val="14"/>
          <w:u w:val="single" w:color="auto"/>
          <w:color w:val="auto"/>
        </w:rPr>
        <w:t>Capital Stock</w:t>
      </w:r>
      <w:r>
        <w:rPr>
          <w:rFonts w:ascii="Arial" w:cs="Arial" w:eastAsia="Arial" w:hAnsi="Arial"/>
          <w:sz w:val="14"/>
          <w:szCs w:val="14"/>
          <w:color w:val="auto"/>
        </w:rPr>
        <w:t>”) and (2) the applicable conversion or exchange ratio of the Units for such Capital Stock, if any;</w:t>
      </w:r>
    </w:p>
    <w:p>
      <w:pPr>
        <w:spacing w:after="0" w:line="141" w:lineRule="exact"/>
        <w:rPr>
          <w:rFonts w:ascii="Arial" w:cs="Arial" w:eastAsia="Arial" w:hAnsi="Arial"/>
          <w:sz w:val="14"/>
          <w:szCs w:val="14"/>
          <w:color w:val="auto"/>
        </w:rPr>
      </w:pPr>
    </w:p>
    <w:p>
      <w:pPr>
        <w:ind w:left="2080" w:hanging="520"/>
        <w:spacing w:after="0"/>
        <w:tabs>
          <w:tab w:leader="none" w:pos="208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if the exercise is after, and not in connection with an Initial Public Offering, and:</w:t>
      </w:r>
    </w:p>
    <w:p>
      <w:pPr>
        <w:spacing w:after="0" w:line="184" w:lineRule="exact"/>
        <w:rPr>
          <w:rFonts w:ascii="Arial" w:cs="Arial" w:eastAsia="Arial" w:hAnsi="Arial"/>
          <w:sz w:val="14"/>
          <w:szCs w:val="14"/>
          <w:color w:val="auto"/>
        </w:rPr>
      </w:pPr>
    </w:p>
    <w:p>
      <w:pPr>
        <w:jc w:val="both"/>
        <w:ind w:left="1560" w:firstLine="518"/>
        <w:spacing w:after="0" w:line="273" w:lineRule="auto"/>
        <w:tabs>
          <w:tab w:leader="none" w:pos="2687" w:val="left"/>
        </w:tabs>
        <w:numPr>
          <w:ilvl w:val="1"/>
          <w:numId w:val="235"/>
        </w:numPr>
        <w:rPr>
          <w:rFonts w:ascii="Arial" w:cs="Arial" w:eastAsia="Arial" w:hAnsi="Arial"/>
          <w:sz w:val="14"/>
          <w:szCs w:val="14"/>
          <w:color w:val="auto"/>
        </w:rPr>
      </w:pPr>
      <w:r>
        <w:rPr>
          <w:rFonts w:ascii="Arial" w:cs="Arial" w:eastAsia="Arial" w:hAnsi="Arial"/>
          <w:sz w:val="14"/>
          <w:szCs w:val="14"/>
          <w:color w:val="auto"/>
        </w:rPr>
        <w:t>if the Capital Stock is traded on a securities exchange, the fair market value shall be the product of (x) the average last sale price of a share of Capital Stock reported for the five (5) trading days ending three (3) days before the day the current fair market value of the securities is being determined and (y) the applicable conversion or exchange ratio of Units for such Capital Stock, if any; or</w:t>
      </w:r>
    </w:p>
    <w:p>
      <w:pPr>
        <w:spacing w:after="0" w:line="141" w:lineRule="exact"/>
        <w:rPr>
          <w:rFonts w:ascii="Arial" w:cs="Arial" w:eastAsia="Arial" w:hAnsi="Arial"/>
          <w:sz w:val="14"/>
          <w:szCs w:val="14"/>
          <w:color w:val="auto"/>
        </w:rPr>
      </w:pPr>
    </w:p>
    <w:p>
      <w:pPr>
        <w:jc w:val="both"/>
        <w:ind w:left="1560" w:firstLine="518"/>
        <w:spacing w:after="0" w:line="303" w:lineRule="auto"/>
        <w:tabs>
          <w:tab w:leader="none" w:pos="2679" w:val="left"/>
        </w:tabs>
        <w:numPr>
          <w:ilvl w:val="1"/>
          <w:numId w:val="235"/>
        </w:numPr>
        <w:rPr>
          <w:rFonts w:ascii="Arial" w:cs="Arial" w:eastAsia="Arial" w:hAnsi="Arial"/>
          <w:sz w:val="13"/>
          <w:szCs w:val="13"/>
          <w:color w:val="auto"/>
        </w:rPr>
      </w:pPr>
      <w:r>
        <w:rPr>
          <w:rFonts w:ascii="Arial" w:cs="Arial" w:eastAsia="Arial" w:hAnsi="Arial"/>
          <w:sz w:val="13"/>
          <w:szCs w:val="13"/>
          <w:color w:val="auto"/>
        </w:rPr>
        <w:t>if the Capital Stock is traded or quoted over-the-counter, the fair market value shall be the product of (x) the average of the closing bid and asked price quoted on the NASDAQ National Market (or similar system) for such Capital Stock for the five (5) trading days ending three (3) days before the day the current fair market value of the securities is being determined and (y) the applicable conversion or exchange ratio of Units for such Capital Stock, if any;</w:t>
      </w:r>
    </w:p>
    <w:p>
      <w:pPr>
        <w:spacing w:after="0" w:line="124" w:lineRule="exact"/>
        <w:rPr>
          <w:rFonts w:ascii="Arial" w:cs="Arial" w:eastAsia="Arial" w:hAnsi="Arial"/>
          <w:sz w:val="13"/>
          <w:szCs w:val="13"/>
          <w:color w:val="auto"/>
        </w:rPr>
      </w:pPr>
    </w:p>
    <w:p>
      <w:pPr>
        <w:jc w:val="both"/>
        <w:ind w:left="1040" w:firstLine="520"/>
        <w:spacing w:after="0" w:line="265" w:lineRule="auto"/>
        <w:tabs>
          <w:tab w:leader="none" w:pos="209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if at any time the Units (or Capital Stock, if applicable) are not listed on any securities exchange or quoted in the NASDAQ National Market (or similar system) or the over-the-counter market, the current fair market value of each Unit shall be the highest price per unit which the Company could obtain from a willing buyer (not a current employee or manager) for a Unit sold by the Company, from authorized but unissued Units, as determined in good faith by its Board of Managers, unless the Company shall become subject to a Merger Event, in which case the fair market value of a Unit shall be deemed to be the per unit value received by each holder of a Unit pursuant to such Merger Event.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Upon partial exercise by either cash or Net Issuance, the Company shall promptly issue an amended Agreement representing the remaining number of Units purchasable hereunder.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Except for the number of Units, all other terms and conditions of such amended Agreement shall be identical to those set forth herein, including, but not limited to the Effective Date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385" w:name="page386"/>
    <w:bookmarkEnd w:id="385"/>
    <w:p>
      <w:pPr>
        <w:jc w:val="both"/>
        <w:ind w:firstLine="1042"/>
        <w:spacing w:after="0" w:line="265" w:lineRule="auto"/>
        <w:tabs>
          <w:tab w:leader="none" w:pos="1512" w:val="left"/>
        </w:tabs>
        <w:numPr>
          <w:ilvl w:val="0"/>
          <w:numId w:val="236"/>
        </w:numPr>
        <w:rPr>
          <w:rFonts w:ascii="Arial" w:cs="Arial" w:eastAsia="Arial" w:hAnsi="Arial"/>
          <w:sz w:val="14"/>
          <w:szCs w:val="14"/>
          <w:color w:val="auto"/>
        </w:rPr>
      </w:pPr>
      <w:r>
        <w:rPr>
          <w:rFonts w:ascii="Arial" w:cs="Arial" w:eastAsia="Arial" w:hAnsi="Arial"/>
          <w:sz w:val="14"/>
          <w:szCs w:val="14"/>
          <w:u w:val="single" w:color="auto"/>
          <w:color w:val="auto"/>
        </w:rPr>
        <w:t>Exercise Prior to Expiration</w:t>
      </w:r>
      <w:r>
        <w:rPr>
          <w:rFonts w:ascii="Arial" w:cs="Arial" w:eastAsia="Arial" w:hAnsi="Arial"/>
          <w:sz w:val="14"/>
          <w:szCs w:val="14"/>
          <w:color w:val="auto"/>
        </w:rPr>
        <w:t xml:space="preserve">. To the extent this Agreement is not previously exercised as to all Units subject hereto, and if the fair market value of one Unit is greater than the Exercise Price then in effect, this Agreement shall be deemed automatically exercised pursuant to </w:t>
      </w:r>
      <w:r>
        <w:rPr>
          <w:rFonts w:ascii="Arial" w:cs="Arial" w:eastAsia="Arial" w:hAnsi="Arial"/>
          <w:sz w:val="14"/>
          <w:szCs w:val="14"/>
          <w:u w:val="single" w:color="auto"/>
          <w:color w:val="auto"/>
        </w:rPr>
        <w:t>Section 3(a)</w:t>
      </w:r>
      <w:r>
        <w:rPr>
          <w:rFonts w:ascii="Arial" w:cs="Arial" w:eastAsia="Arial" w:hAnsi="Arial"/>
          <w:sz w:val="14"/>
          <w:szCs w:val="14"/>
          <w:color w:val="auto"/>
        </w:rPr>
        <w:t xml:space="preserve"> (even if not surrendered) immediately before its expiration. For purposes of such automatic exercise, the fair market value of one Unit upon such expiration shall be determined pursuant to </w:t>
      </w:r>
      <w:r>
        <w:rPr>
          <w:rFonts w:ascii="Arial" w:cs="Arial" w:eastAsia="Arial" w:hAnsi="Arial"/>
          <w:sz w:val="14"/>
          <w:szCs w:val="14"/>
          <w:u w:val="single" w:color="auto"/>
          <w:color w:val="auto"/>
        </w:rPr>
        <w:t>Section 3(a)</w:t>
      </w:r>
      <w:r>
        <w:rPr>
          <w:rFonts w:ascii="Arial" w:cs="Arial" w:eastAsia="Arial" w:hAnsi="Arial"/>
          <w:sz w:val="14"/>
          <w:szCs w:val="14"/>
          <w:color w:val="auto"/>
        </w:rPr>
        <w:t xml:space="preserve">. To the extent this Agreement or any portion thereof is deemed automatically exercised pursuant to this </w:t>
      </w:r>
      <w:r>
        <w:rPr>
          <w:rFonts w:ascii="Arial" w:cs="Arial" w:eastAsia="Arial" w:hAnsi="Arial"/>
          <w:sz w:val="14"/>
          <w:szCs w:val="14"/>
          <w:u w:val="single" w:color="auto"/>
          <w:color w:val="auto"/>
        </w:rPr>
        <w:t>Section 3(c)</w:t>
      </w:r>
      <w:r>
        <w:rPr>
          <w:rFonts w:ascii="Arial" w:cs="Arial" w:eastAsia="Arial" w:hAnsi="Arial"/>
          <w:sz w:val="14"/>
          <w:szCs w:val="14"/>
          <w:color w:val="auto"/>
        </w:rPr>
        <w:t>. the Company agrees to promptly notify the Warrantholder of the number of Units, if any, the Warrantholder is to receive by reason of such automatic exercise.</w:t>
      </w:r>
    </w:p>
    <w:p>
      <w:pPr>
        <w:spacing w:after="0" w:line="143"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4"/>
          <w:szCs w:val="14"/>
          <w:b w:val="1"/>
          <w:bCs w:val="1"/>
          <w:color w:val="auto"/>
        </w:rPr>
        <w:t>SECTION 4.</w:t>
        <w:tab/>
        <w:t>RESERVATION OF UNITS.</w:t>
      </w:r>
    </w:p>
    <w:p>
      <w:pPr>
        <w:spacing w:after="0" w:line="18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During the term of this Agreement, the Company will at all times have authorized and reserved a sufficient number of its Units to provide for the exercise of the rights to purchase Units as provided for herein.</w:t>
      </w:r>
    </w:p>
    <w:p>
      <w:pPr>
        <w:spacing w:after="0" w:line="128"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4"/>
          <w:szCs w:val="14"/>
          <w:b w:val="1"/>
          <w:bCs w:val="1"/>
          <w:color w:val="auto"/>
        </w:rPr>
        <w:t>SECTION 5.</w:t>
        <w:tab/>
        <w:t>NO FRACTIONAL UNIT.</w:t>
      </w:r>
    </w:p>
    <w:p>
      <w:pPr>
        <w:spacing w:after="0" w:line="18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No fractional unit shall be issued upon the exercise of this Agreement, but in lieu of such fractional units the Company shall make a cash payment therefor upon the basis of the then fair market value of one Unit.</w:t>
      </w:r>
    </w:p>
    <w:p>
      <w:pPr>
        <w:spacing w:after="0" w:line="128"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4"/>
          <w:szCs w:val="14"/>
          <w:b w:val="1"/>
          <w:bCs w:val="1"/>
          <w:color w:val="auto"/>
        </w:rPr>
        <w:t>SECTION 6.</w:t>
        <w:tab/>
        <w:t>NO RIGHTS AS MEMBER.</w:t>
      </w:r>
    </w:p>
    <w:p>
      <w:pPr>
        <w:spacing w:after="0" w:line="188"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 xml:space="preserve">This Agreement does not entitle the Warrantholder to any voting rights or other rights as a member of the Company prior to the exercise of this Agreement. Upon exercise of this Agreement, the Company agrees that the Warrantholder shall be admitted as a Member (as defined in the Operating Agreement) under the Operating Agreement with respect to the Units issued upon such exercise automatically and without any further action by any person, and the Warrantholder and such Units shall, subject to the provisions of </w:t>
      </w:r>
      <w:r>
        <w:rPr>
          <w:rFonts w:ascii="Arial" w:cs="Arial" w:eastAsia="Arial" w:hAnsi="Arial"/>
          <w:sz w:val="14"/>
          <w:szCs w:val="14"/>
          <w:u w:val="single" w:color="auto"/>
          <w:color w:val="auto"/>
        </w:rPr>
        <w:t>Section 12</w:t>
      </w:r>
      <w:r>
        <w:rPr>
          <w:rFonts w:ascii="Arial" w:cs="Arial" w:eastAsia="Arial" w:hAnsi="Arial"/>
          <w:sz w:val="14"/>
          <w:szCs w:val="14"/>
          <w:color w:val="auto"/>
        </w:rPr>
        <w:t xml:space="preserve"> below, thereupon be subject to and bound by the Operating Agreement. The Warrantholder shall, promptly upon the exercise hereof, execute and deliver a counterpart signature page, joinder agreement, instrument of accession or similar instrument to the Operating Agreement, in substantially the form attached hereto as </w:t>
      </w:r>
      <w:r>
        <w:rPr>
          <w:rFonts w:ascii="Arial" w:cs="Arial" w:eastAsia="Arial" w:hAnsi="Arial"/>
          <w:sz w:val="14"/>
          <w:szCs w:val="14"/>
          <w:u w:val="single" w:color="auto"/>
          <w:color w:val="auto"/>
        </w:rPr>
        <w:t>Exhibit IV</w:t>
      </w:r>
      <w:r>
        <w:rPr>
          <w:rFonts w:ascii="Arial" w:cs="Arial" w:eastAsia="Arial" w:hAnsi="Arial"/>
          <w:sz w:val="14"/>
          <w:szCs w:val="14"/>
          <w:color w:val="auto"/>
        </w:rPr>
        <w:t>.</w:t>
      </w:r>
    </w:p>
    <w:p>
      <w:pPr>
        <w:spacing w:after="0" w:line="143" w:lineRule="exact"/>
        <w:rPr>
          <w:sz w:val="20"/>
          <w:szCs w:val="20"/>
          <w:color w:val="auto"/>
        </w:rPr>
      </w:pPr>
    </w:p>
    <w:p>
      <w:pPr>
        <w:ind w:left="520"/>
        <w:spacing w:after="0"/>
        <w:tabs>
          <w:tab w:leader="none" w:pos="1420" w:val="left"/>
        </w:tabs>
        <w:rPr>
          <w:sz w:val="20"/>
          <w:szCs w:val="20"/>
          <w:color w:val="auto"/>
        </w:rPr>
      </w:pPr>
      <w:r>
        <w:rPr>
          <w:rFonts w:ascii="Arial" w:cs="Arial" w:eastAsia="Arial" w:hAnsi="Arial"/>
          <w:sz w:val="14"/>
          <w:szCs w:val="14"/>
          <w:b w:val="1"/>
          <w:bCs w:val="1"/>
          <w:color w:val="auto"/>
        </w:rPr>
        <w:t>SECTION 7.</w:t>
        <w:tab/>
        <w:t>WARRANTHOLDER REGISTRY.</w:t>
      </w:r>
    </w:p>
    <w:p>
      <w:pPr>
        <w:spacing w:after="0" w:line="188" w:lineRule="exact"/>
        <w:rPr>
          <w:sz w:val="20"/>
          <w:szCs w:val="20"/>
          <w:color w:val="auto"/>
        </w:rPr>
      </w:pPr>
    </w:p>
    <w:p>
      <w:pPr>
        <w:jc w:val="both"/>
        <w:ind w:firstLine="518"/>
        <w:spacing w:after="0" w:line="329" w:lineRule="auto"/>
        <w:rPr>
          <w:sz w:val="20"/>
          <w:szCs w:val="20"/>
          <w:color w:val="auto"/>
        </w:rPr>
      </w:pPr>
      <w:r>
        <w:rPr>
          <w:rFonts w:ascii="Arial" w:cs="Arial" w:eastAsia="Arial" w:hAnsi="Arial"/>
          <w:sz w:val="13"/>
          <w:szCs w:val="13"/>
          <w:color w:val="auto"/>
        </w:rPr>
        <w:t>The Company shall maintain a registry showing the name and address of the registered holder of this Agreement. The Warrantholder’s initial address, for purposes of such registry, is set forth below the Warrantholder’s signature on this Agreement. The Warrantholder may change such address by giving written notice of such changed address to the Company.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SECTION 8.  ADJUSTMENT RIGHTS.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Exercise Price and the number of Units purchasable hereunder are subject to adjustment, as follows:</w:t>
      </w:r>
    </w:p>
    <w:p>
      <w:pPr>
        <w:spacing w:after="0" w:line="184" w:lineRule="exact"/>
        <w:rPr>
          <w:sz w:val="20"/>
          <w:szCs w:val="20"/>
          <w:color w:val="auto"/>
        </w:rPr>
      </w:pPr>
    </w:p>
    <w:p>
      <w:pPr>
        <w:ind w:left="5600" w:right="120" w:hanging="4558"/>
        <w:spacing w:after="0" w:line="546" w:lineRule="auto"/>
        <w:tabs>
          <w:tab w:leader="none" w:pos="1510"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Merger Event.</w:t>
      </w:r>
      <w:r>
        <w:rPr>
          <w:rFonts w:ascii="Arial" w:cs="Arial" w:eastAsia="Arial" w:hAnsi="Arial"/>
          <w:sz w:val="14"/>
          <w:szCs w:val="14"/>
          <w:color w:val="auto"/>
        </w:rPr>
        <w:t xml:space="preserve"> If at any time there shall be a Merger Event, then, as a part of such Merger Event, lawful provision shall be made so that the Warrantholder shall receive,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159625"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86" w:name="page387"/>
    <w:bookmarkEnd w:id="386"/>
    <w:p>
      <w:pPr>
        <w:jc w:val="both"/>
        <w:spacing w:after="0" w:line="273" w:lineRule="auto"/>
        <w:rPr>
          <w:sz w:val="20"/>
          <w:szCs w:val="20"/>
          <w:color w:val="auto"/>
        </w:rPr>
      </w:pPr>
      <w:r>
        <w:rPr>
          <w:rFonts w:ascii="Arial" w:cs="Arial" w:eastAsia="Arial" w:hAnsi="Arial"/>
          <w:sz w:val="14"/>
          <w:szCs w:val="14"/>
          <w:color w:val="auto"/>
        </w:rPr>
        <w:t>concurrently with the closing of such Merger Event, the number of Units or other securities or property, if any, (collectively, “</w:t>
      </w:r>
      <w:r>
        <w:rPr>
          <w:rFonts w:ascii="Arial" w:cs="Arial" w:eastAsia="Arial" w:hAnsi="Arial"/>
          <w:sz w:val="14"/>
          <w:szCs w:val="14"/>
          <w:u w:val="single" w:color="auto"/>
          <w:color w:val="auto"/>
        </w:rPr>
        <w:t>Reference Property</w:t>
      </w:r>
      <w:r>
        <w:rPr>
          <w:rFonts w:ascii="Arial" w:cs="Arial" w:eastAsia="Arial" w:hAnsi="Arial"/>
          <w:sz w:val="14"/>
          <w:szCs w:val="14"/>
          <w:color w:val="auto"/>
        </w:rPr>
        <w:t>”) that the Warrantholder would have received in connection with such Merger Event if the Warrantholder had exercised this Agreement immediately prior to the Merger Event pursuant to the Net Issuance provisions of this Warrant Agreement without actually exercising such right.</w:t>
      </w:r>
    </w:p>
    <w:p>
      <w:pPr>
        <w:spacing w:after="0" w:line="141" w:lineRule="exact"/>
        <w:rPr>
          <w:sz w:val="20"/>
          <w:szCs w:val="20"/>
          <w:color w:val="auto"/>
        </w:rPr>
      </w:pPr>
    </w:p>
    <w:p>
      <w:pPr>
        <w:jc w:val="both"/>
        <w:ind w:firstLine="1042"/>
        <w:spacing w:after="0" w:line="265" w:lineRule="auto"/>
        <w:tabs>
          <w:tab w:leader="none" w:pos="1520"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Reclassification of Units</w:t>
      </w:r>
      <w:r>
        <w:rPr>
          <w:rFonts w:ascii="Arial" w:cs="Arial" w:eastAsia="Arial" w:hAnsi="Arial"/>
          <w:sz w:val="14"/>
          <w:szCs w:val="14"/>
          <w:color w:val="auto"/>
        </w:rPr>
        <w:t xml:space="preserve">. Except for any Merger Event subject to </w:t>
      </w:r>
      <w:r>
        <w:rPr>
          <w:rFonts w:ascii="Arial" w:cs="Arial" w:eastAsia="Arial" w:hAnsi="Arial"/>
          <w:sz w:val="14"/>
          <w:szCs w:val="14"/>
          <w:u w:val="single" w:color="auto"/>
          <w:color w:val="auto"/>
        </w:rPr>
        <w:t>Sections 8(a)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8(f)</w:t>
      </w:r>
      <w:r>
        <w:rPr>
          <w:rFonts w:ascii="Arial" w:cs="Arial" w:eastAsia="Arial" w:hAnsi="Arial"/>
          <w:sz w:val="14"/>
          <w:szCs w:val="14"/>
          <w:color w:val="auto"/>
        </w:rPr>
        <w:t xml:space="preserve">,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w:t>
      </w:r>
      <w:r>
        <w:rPr>
          <w:rFonts w:ascii="Arial" w:cs="Arial" w:eastAsia="Arial" w:hAnsi="Arial"/>
          <w:sz w:val="14"/>
          <w:szCs w:val="14"/>
          <w:u w:val="single" w:color="auto"/>
          <w:color w:val="auto"/>
        </w:rPr>
        <w:t>Section 8(b)</w:t>
      </w:r>
      <w:r>
        <w:rPr>
          <w:rFonts w:ascii="Arial" w:cs="Arial" w:eastAsia="Arial" w:hAnsi="Arial"/>
          <w:sz w:val="14"/>
          <w:szCs w:val="14"/>
          <w:color w:val="auto"/>
        </w:rPr>
        <w:t xml:space="preserve"> shall similarly apply to any successive combination, reclassification, exchange, subdivision or other change.</w:t>
      </w:r>
    </w:p>
    <w:p>
      <w:pPr>
        <w:spacing w:after="0" w:line="147" w:lineRule="exact"/>
        <w:rPr>
          <w:rFonts w:ascii="Arial" w:cs="Arial" w:eastAsia="Arial" w:hAnsi="Arial"/>
          <w:sz w:val="14"/>
          <w:szCs w:val="14"/>
          <w:color w:val="auto"/>
        </w:rPr>
      </w:pPr>
    </w:p>
    <w:p>
      <w:pPr>
        <w:jc w:val="both"/>
        <w:ind w:firstLine="1042"/>
        <w:spacing w:after="0" w:line="273" w:lineRule="auto"/>
        <w:tabs>
          <w:tab w:leader="none" w:pos="1512"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Subdivision or Combination of Units</w:t>
      </w:r>
      <w:r>
        <w:rPr>
          <w:rFonts w:ascii="Arial" w:cs="Arial" w:eastAsia="Arial" w:hAnsi="Arial"/>
          <w:sz w:val="14"/>
          <w:szCs w:val="14"/>
          <w:color w:val="auto"/>
        </w:rPr>
        <w:t>. If the Company at any time shall combine or subdivide its Units, (i) in the case of a subdivision, the Exercise Price shall be proportionately decreased and the number of Units issuable hereunder shall be proportionately increased, or (ii) in the case of a combination, the Exercise Price shall be proportionately increased and the number of Units issuable hereunder shall be proportionately decreased.</w:t>
      </w:r>
    </w:p>
    <w:p>
      <w:pPr>
        <w:spacing w:after="0" w:line="141" w:lineRule="exact"/>
        <w:rPr>
          <w:rFonts w:ascii="Arial" w:cs="Arial" w:eastAsia="Arial" w:hAnsi="Arial"/>
          <w:sz w:val="14"/>
          <w:szCs w:val="14"/>
          <w:color w:val="auto"/>
        </w:rPr>
      </w:pPr>
    </w:p>
    <w:p>
      <w:pPr>
        <w:ind w:left="1540" w:hanging="498"/>
        <w:spacing w:after="0"/>
        <w:tabs>
          <w:tab w:leader="none" w:pos="1540"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If the Company at any time while this Agreement is outstanding and unexpired shall:</w:t>
      </w:r>
    </w:p>
    <w:p>
      <w:pPr>
        <w:spacing w:after="0" w:line="184" w:lineRule="exact"/>
        <w:rPr>
          <w:rFonts w:ascii="Arial" w:cs="Arial" w:eastAsia="Arial" w:hAnsi="Arial"/>
          <w:sz w:val="14"/>
          <w:szCs w:val="14"/>
          <w:color w:val="auto"/>
        </w:rPr>
      </w:pPr>
    </w:p>
    <w:p>
      <w:pPr>
        <w:jc w:val="both"/>
        <w:ind w:firstLine="1560"/>
        <w:spacing w:after="0" w:line="267" w:lineRule="auto"/>
        <w:tabs>
          <w:tab w:leader="none" w:pos="2186" w:val="left"/>
        </w:tabs>
        <w:numPr>
          <w:ilvl w:val="1"/>
          <w:numId w:val="238"/>
        </w:numPr>
        <w:rPr>
          <w:rFonts w:ascii="Arial" w:cs="Arial" w:eastAsia="Arial" w:hAnsi="Arial"/>
          <w:sz w:val="14"/>
          <w:szCs w:val="14"/>
          <w:color w:val="auto"/>
        </w:rPr>
      </w:pPr>
      <w:r>
        <w:rPr>
          <w:rFonts w:ascii="Arial" w:cs="Arial" w:eastAsia="Arial" w:hAnsi="Arial"/>
          <w:sz w:val="14"/>
          <w:szCs w:val="14"/>
          <w:color w:val="auto"/>
        </w:rPr>
        <w:t>pay a dividend or distribution with respect to the Units payable in Units, then the Exercise Price shall be adjusted, from and after the date of determination of holders entitled to receive such dividend or distribution, to that price determined by multiplying the Exercise Price in effect immediately prior to such date of determination by a fraction (A) the numerator of which shall be the total number of Units outstanding immediately prior to such dividend or distribution, and (B) the denominator of which shall be the total number of Units outstanding immediately after such dividend or distribution; or</w:t>
      </w:r>
    </w:p>
    <w:p>
      <w:pPr>
        <w:spacing w:after="0" w:line="146" w:lineRule="exact"/>
        <w:rPr>
          <w:rFonts w:ascii="Arial" w:cs="Arial" w:eastAsia="Arial" w:hAnsi="Arial"/>
          <w:sz w:val="14"/>
          <w:szCs w:val="14"/>
          <w:color w:val="auto"/>
        </w:rPr>
      </w:pPr>
    </w:p>
    <w:p>
      <w:pPr>
        <w:jc w:val="both"/>
        <w:ind w:firstLine="1560"/>
        <w:spacing w:after="0" w:line="265" w:lineRule="auto"/>
        <w:tabs>
          <w:tab w:leader="none" w:pos="2168" w:val="left"/>
        </w:tabs>
        <w:numPr>
          <w:ilvl w:val="1"/>
          <w:numId w:val="238"/>
        </w:numPr>
        <w:rPr>
          <w:rFonts w:ascii="Arial" w:cs="Arial" w:eastAsia="Arial" w:hAnsi="Arial"/>
          <w:sz w:val="14"/>
          <w:szCs w:val="14"/>
          <w:color w:val="auto"/>
        </w:rPr>
      </w:pPr>
      <w:r>
        <w:rPr>
          <w:rFonts w:ascii="Arial" w:cs="Arial" w:eastAsia="Arial" w:hAnsi="Arial"/>
          <w:sz w:val="14"/>
          <w:szCs w:val="14"/>
          <w:color w:val="auto"/>
        </w:rPr>
        <w:t xml:space="preserve">make any other distribution with respect to Units, except for a distribution of cash upon the outstanding units of a class of equity interests made solely for the purpose of permitting the holders thereof to satisfy their respective federal and state tax obligations in respect of the taxable income of the Company, or any distribution specifically provided for in any other clause of this </w:t>
      </w:r>
      <w:r>
        <w:rPr>
          <w:rFonts w:ascii="Arial" w:cs="Arial" w:eastAsia="Arial" w:hAnsi="Arial"/>
          <w:sz w:val="14"/>
          <w:szCs w:val="14"/>
          <w:u w:val="single" w:color="auto"/>
          <w:color w:val="auto"/>
        </w:rPr>
        <w:t>Section 8</w:t>
      </w:r>
      <w:r>
        <w:rPr>
          <w:rFonts w:ascii="Arial" w:cs="Arial" w:eastAsia="Arial" w:hAnsi="Arial"/>
          <w:sz w:val="14"/>
          <w:szCs w:val="14"/>
          <w:color w:val="auto"/>
        </w:rPr>
        <w:t>. then, in each such case, provision shall be made by the Company such that the Warrantholder shall receive upon exercise or conversion of this Agreement a proportionate share of any such distribution as though it were the holder of the Units as of the record date fixed for the determination of the members of the Company entitled to receive such distribution.</w:t>
      </w:r>
    </w:p>
    <w:p>
      <w:pPr>
        <w:spacing w:after="0" w:line="60" w:lineRule="exact"/>
        <w:rPr>
          <w:rFonts w:ascii="Arial" w:cs="Arial" w:eastAsia="Arial" w:hAnsi="Arial"/>
          <w:sz w:val="14"/>
          <w:szCs w:val="14"/>
          <w:color w:val="auto"/>
        </w:rPr>
      </w:pPr>
    </w:p>
    <w:p>
      <w:pPr>
        <w:ind w:left="1520" w:hanging="478"/>
        <w:spacing w:after="0"/>
        <w:tabs>
          <w:tab w:leader="none" w:pos="1520"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87" w:name="page388"/>
    <w:bookmarkEnd w:id="387"/>
    <w:p>
      <w:pPr>
        <w:jc w:val="both"/>
        <w:ind w:firstLine="1042"/>
        <w:spacing w:after="0" w:line="261" w:lineRule="auto"/>
        <w:tabs>
          <w:tab w:leader="none" w:pos="1524" w:val="left"/>
        </w:tabs>
        <w:numPr>
          <w:ilvl w:val="0"/>
          <w:numId w:val="239"/>
        </w:numPr>
        <w:rPr>
          <w:rFonts w:ascii="Arial" w:cs="Arial" w:eastAsia="Arial" w:hAnsi="Arial"/>
          <w:sz w:val="14"/>
          <w:szCs w:val="14"/>
          <w:color w:val="auto"/>
        </w:rPr>
      </w:pPr>
      <w:r>
        <w:rPr>
          <w:rFonts w:ascii="Arial" w:cs="Arial" w:eastAsia="Arial" w:hAnsi="Arial"/>
          <w:sz w:val="14"/>
          <w:szCs w:val="14"/>
          <w:u w:val="single" w:color="auto"/>
          <w:color w:val="auto"/>
        </w:rPr>
        <w:t>Notice of Adjustments</w:t>
      </w:r>
      <w:r>
        <w:rPr>
          <w:rFonts w:ascii="Arial" w:cs="Arial" w:eastAsia="Arial" w:hAnsi="Arial"/>
          <w:sz w:val="14"/>
          <w:szCs w:val="14"/>
          <w:color w:val="auto"/>
        </w:rPr>
        <w:t>. If: (i) the Company shall declare any dividend or distribution upon its Units, whether in Units, cash, property or other securities; (ii) there shall be any Merger Event; (iii) there shall be an Initial Public Offering; (iv) the Company shall sell, lease, license or otherwise transfer all or substantially all of its assets; or (v) there shall be any reorganization, voluntary dissolution, liquidation or winding up of the Company; then, in connection with each such event, the Company shall send to the Warrantholder: (A) at least thirty (30) days’ prior written notice of the date on which the books of the Company shall close or a record shall be taken for such dividend, distribution, subscription rights (specifying the date on which the holders of Units shall be entitled thereto) or for determining rights to vote in respect of such Merger Event, reorganization, dissolution, liquidation or winding up; (B) in the case of any such Merger Event, sale, lease, license or other transfer of all or substantially all assets, reorganization, dissolution, liquidation or winding up, at least thirty (30) days’ prior written notice of the date when the same shall take place (and specifying the date on which the holders of Units shall be entitled to exchange their Units for securities or other property deliverable upon such Merger Event, reorganization, dissolution, liquidation or winding up); and (C) in the case of an Initial Public Offering, the Company shall give the Warrantholder at least thirty (30) days’ written notice prior to the effective date thereof.</w:t>
      </w:r>
    </w:p>
    <w:p>
      <w:pPr>
        <w:spacing w:after="0" w:line="6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Each such written notice shall set forth, in reasonable detail, (i) the event requiring the notice, and (ii) if any adjustment is required to be made, (A) the amount of such adjustment, (B) the method by which such adjustment was calculated, (C) the adjusted Exercise Price (if the Exercise Price has been adjusted), and (D) the number of Units subject to purchase hereunder after giving effect to such adjustment, and shall be given in accordance with </w:t>
      </w:r>
      <w:r>
        <w:rPr>
          <w:rFonts w:ascii="Arial" w:cs="Arial" w:eastAsia="Arial" w:hAnsi="Arial"/>
          <w:sz w:val="14"/>
          <w:szCs w:val="14"/>
          <w:u w:val="single" w:color="auto"/>
          <w:color w:val="auto"/>
        </w:rPr>
        <w:t>Section 13(g)</w:t>
      </w:r>
      <w:r>
        <w:rPr>
          <w:rFonts w:ascii="Arial" w:cs="Arial" w:eastAsia="Arial" w:hAnsi="Arial"/>
          <w:sz w:val="14"/>
          <w:szCs w:val="14"/>
          <w:color w:val="auto"/>
        </w:rPr>
        <w:t xml:space="preserve"> below.</w:t>
      </w:r>
    </w:p>
    <w:p>
      <w:pPr>
        <w:spacing w:after="0" w:line="55" w:lineRule="exact"/>
        <w:rPr>
          <w:sz w:val="20"/>
          <w:szCs w:val="20"/>
          <w:color w:val="auto"/>
        </w:rPr>
      </w:pPr>
    </w:p>
    <w:p>
      <w:pPr>
        <w:jc w:val="both"/>
        <w:ind w:firstLine="1042"/>
        <w:spacing w:after="0" w:line="303" w:lineRule="auto"/>
        <w:tabs>
          <w:tab w:leader="none" w:pos="1671" w:val="left"/>
        </w:tabs>
        <w:numPr>
          <w:ilvl w:val="0"/>
          <w:numId w:val="240"/>
        </w:numPr>
        <w:rPr>
          <w:rFonts w:ascii="Arial" w:cs="Arial" w:eastAsia="Arial" w:hAnsi="Arial"/>
          <w:sz w:val="13"/>
          <w:szCs w:val="13"/>
          <w:color w:val="auto"/>
        </w:rPr>
      </w:pPr>
      <w:r>
        <w:rPr>
          <w:rFonts w:ascii="Arial" w:cs="Arial" w:eastAsia="Arial" w:hAnsi="Arial"/>
          <w:sz w:val="13"/>
          <w:szCs w:val="13"/>
          <w:u w:val="single" w:color="auto"/>
          <w:color w:val="auto"/>
        </w:rPr>
        <w:t>Timely Notice</w:t>
      </w:r>
      <w:r>
        <w:rPr>
          <w:rFonts w:ascii="Arial" w:cs="Arial" w:eastAsia="Arial" w:hAnsi="Arial"/>
          <w:sz w:val="13"/>
          <w:szCs w:val="13"/>
          <w:color w:val="auto"/>
        </w:rPr>
        <w:t xml:space="preserve">. Failure to timely provide such notice required by </w:t>
      </w:r>
      <w:r>
        <w:rPr>
          <w:rFonts w:ascii="Arial" w:cs="Arial" w:eastAsia="Arial" w:hAnsi="Arial"/>
          <w:sz w:val="13"/>
          <w:szCs w:val="13"/>
          <w:u w:val="single" w:color="auto"/>
          <w:color w:val="auto"/>
        </w:rPr>
        <w:t>Section 8(f)</w:t>
      </w:r>
      <w:r>
        <w:rPr>
          <w:rFonts w:ascii="Arial" w:cs="Arial" w:eastAsia="Arial" w:hAnsi="Arial"/>
          <w:sz w:val="13"/>
          <w:szCs w:val="13"/>
          <w:color w:val="auto"/>
        </w:rPr>
        <w:t xml:space="preserve"> above shall entitle the Warrantholder to retain the benefit of the applicable notice period notwithstanding anything to the contrary contained in any insufficient notice received by the Warrantholder. For purposes of this </w:t>
      </w:r>
      <w:r>
        <w:rPr>
          <w:rFonts w:ascii="Arial" w:cs="Arial" w:eastAsia="Arial" w:hAnsi="Arial"/>
          <w:sz w:val="13"/>
          <w:szCs w:val="13"/>
          <w:u w:val="single" w:color="auto"/>
          <w:color w:val="auto"/>
        </w:rPr>
        <w:t>Section 8(g).</w:t>
      </w:r>
      <w:r>
        <w:rPr>
          <w:rFonts w:ascii="Arial" w:cs="Arial" w:eastAsia="Arial" w:hAnsi="Arial"/>
          <w:sz w:val="13"/>
          <w:szCs w:val="13"/>
          <w:color w:val="auto"/>
        </w:rPr>
        <w:t xml:space="preserve"> and notwithstanding anything to the contrary in </w:t>
      </w:r>
      <w:r>
        <w:rPr>
          <w:rFonts w:ascii="Arial" w:cs="Arial" w:eastAsia="Arial" w:hAnsi="Arial"/>
          <w:sz w:val="13"/>
          <w:szCs w:val="13"/>
          <w:u w:val="single" w:color="auto"/>
          <w:color w:val="auto"/>
        </w:rPr>
        <w:t>Section 13(g),</w:t>
      </w:r>
      <w:r>
        <w:rPr>
          <w:rFonts w:ascii="Arial" w:cs="Arial" w:eastAsia="Arial" w:hAnsi="Arial"/>
          <w:sz w:val="13"/>
          <w:szCs w:val="13"/>
          <w:color w:val="auto"/>
        </w:rPr>
        <w:t xml:space="preserve"> the notice period shall begin on the date the Warrantholder actually receives a written notice containing all the information required to be provided in such </w:t>
      </w:r>
      <w:r>
        <w:rPr>
          <w:rFonts w:ascii="Arial" w:cs="Arial" w:eastAsia="Arial" w:hAnsi="Arial"/>
          <w:sz w:val="13"/>
          <w:szCs w:val="13"/>
          <w:u w:val="single" w:color="auto"/>
          <w:color w:val="auto"/>
        </w:rPr>
        <w:t>Section 13(g)</w:t>
      </w:r>
      <w:r>
        <w:rPr>
          <w:rFonts w:ascii="Arial" w:cs="Arial" w:eastAsia="Arial" w:hAnsi="Arial"/>
          <w:sz w:val="13"/>
          <w:szCs w:val="13"/>
          <w:color w:val="auto"/>
        </w:rPr>
        <w:t>.</w:t>
      </w:r>
    </w:p>
    <w:p>
      <w:pPr>
        <w:spacing w:after="0" w:line="34" w:lineRule="exact"/>
        <w:rPr>
          <w:sz w:val="20"/>
          <w:szCs w:val="20"/>
          <w:color w:val="auto"/>
        </w:rPr>
      </w:pPr>
    </w:p>
    <w:p>
      <w:pPr>
        <w:ind w:left="520"/>
        <w:spacing w:after="0"/>
        <w:tabs>
          <w:tab w:leader="none" w:pos="1460" w:val="left"/>
        </w:tabs>
        <w:rPr>
          <w:sz w:val="20"/>
          <w:szCs w:val="20"/>
          <w:color w:val="auto"/>
        </w:rPr>
      </w:pPr>
      <w:r>
        <w:rPr>
          <w:rFonts w:ascii="Arial" w:cs="Arial" w:eastAsia="Arial" w:hAnsi="Arial"/>
          <w:sz w:val="14"/>
          <w:szCs w:val="14"/>
          <w:b w:val="1"/>
          <w:bCs w:val="1"/>
          <w:color w:val="auto"/>
        </w:rPr>
        <w:t>SECTION 9.</w:t>
        <w:tab/>
        <w:t>REPRESENTATIONS, WARRANTIES AND COVENANTS OF THE COMPANY.</w:t>
      </w:r>
    </w:p>
    <w:p>
      <w:pPr>
        <w:spacing w:after="0" w:line="188" w:lineRule="exact"/>
        <w:rPr>
          <w:sz w:val="20"/>
          <w:szCs w:val="20"/>
          <w:color w:val="auto"/>
        </w:rPr>
      </w:pPr>
    </w:p>
    <w:p>
      <w:pPr>
        <w:jc w:val="both"/>
        <w:ind w:firstLine="1042"/>
        <w:spacing w:after="0" w:line="262" w:lineRule="auto"/>
        <w:tabs>
          <w:tab w:leader="none" w:pos="1674" w:val="left"/>
        </w:tabs>
        <w:numPr>
          <w:ilvl w:val="0"/>
          <w:numId w:val="241"/>
        </w:numPr>
        <w:rPr>
          <w:rFonts w:ascii="Arial" w:cs="Arial" w:eastAsia="Arial" w:hAnsi="Arial"/>
          <w:sz w:val="14"/>
          <w:szCs w:val="14"/>
          <w:color w:val="auto"/>
        </w:rPr>
      </w:pPr>
      <w:r>
        <w:rPr>
          <w:rFonts w:ascii="Arial" w:cs="Arial" w:eastAsia="Arial" w:hAnsi="Arial"/>
          <w:sz w:val="14"/>
          <w:szCs w:val="14"/>
          <w:u w:val="single" w:color="auto"/>
          <w:color w:val="auto"/>
        </w:rPr>
        <w:t>Reservation of Units</w:t>
      </w:r>
      <w:r>
        <w:rPr>
          <w:rFonts w:ascii="Arial" w:cs="Arial" w:eastAsia="Arial" w:hAnsi="Arial"/>
          <w:sz w:val="14"/>
          <w:szCs w:val="14"/>
          <w:color w:val="auto"/>
        </w:rPr>
        <w:t xml:space="preserve">. As of the Effective Date, the maximum number of Units that may become issuable upon exercise of the Warrantholder’s rights under this Agreement have been duly and validly reserved and, when issued in accordance with the provisions of this Agreement, will be validly issued, and will be free of any taxes, liens, charges or encumbrances of any nature whatsoever;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Units issuable pursuant to this Agreement may be subject to restrictions on transfer under state and/or federal securities laws. The Company has made available to the Warrantholder true, correct and complete copies of its Organizational Documents. The issuance of certificates for Units upon exercise of this Agreement shall be made without charge to the Warrantholder for any issuance tax in respect thereof, or other cost incurred by the Company in connection with such exercise and the related issuance of Units; provided, that the Company shall not be required to pay any tax which may be payable in respect of any transfer and the issuance and delivery of any certificate in a name other than that of the Warrantholder.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874" w:right="319" w:bottom="1440" w:gutter="0" w:footer="0" w:header="0"/>
        </w:sectPr>
      </w:pPr>
    </w:p>
    <w:bookmarkStart w:id="388" w:name="page389"/>
    <w:bookmarkEnd w:id="388"/>
    <w:p>
      <w:pPr>
        <w:jc w:val="both"/>
        <w:ind w:firstLine="1042"/>
        <w:spacing w:after="0" w:line="263" w:lineRule="auto"/>
        <w:tabs>
          <w:tab w:leader="none" w:pos="1520"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Due Authority</w:t>
      </w:r>
      <w:r>
        <w:rPr>
          <w:rFonts w:ascii="Arial" w:cs="Arial" w:eastAsia="Arial" w:hAnsi="Arial"/>
          <w:sz w:val="14"/>
          <w:szCs w:val="14"/>
          <w:color w:val="auto"/>
        </w:rPr>
        <w:t>. The execution and delivery by the Company of this Agreement and the performance of all obligations of the Company hereunder, including the issuance to the Warrantholder of the right to acquire the Units, have been duly authorized by all necessary action on the part of the Company. This Agreement: (i) does not violate the Organizational Documents; (ii) does not contravene any law or governmental rule, regulation or order applicable to the Company; (iii) does not give rise to any right of participation or similar right, except for any such right, which has been waived in writing, a copy of such waiver having been provided to the Warrantholder as of the date of exercise; and (iv)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w:t>
      </w:r>
    </w:p>
    <w:p>
      <w:pPr>
        <w:spacing w:after="0" w:line="63" w:lineRule="exact"/>
        <w:rPr>
          <w:rFonts w:ascii="Arial" w:cs="Arial" w:eastAsia="Arial" w:hAnsi="Arial"/>
          <w:sz w:val="14"/>
          <w:szCs w:val="14"/>
          <w:color w:val="auto"/>
        </w:rPr>
      </w:pPr>
    </w:p>
    <w:p>
      <w:pPr>
        <w:jc w:val="both"/>
        <w:ind w:firstLine="1042"/>
        <w:spacing w:after="0" w:line="273" w:lineRule="auto"/>
        <w:tabs>
          <w:tab w:leader="none" w:pos="1512"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Consents and Approvals</w:t>
      </w:r>
      <w:r>
        <w:rPr>
          <w:rFonts w:ascii="Arial" w:cs="Arial" w:eastAsia="Arial" w:hAnsi="Arial"/>
          <w:sz w:val="14"/>
          <w:szCs w:val="14"/>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Securities Act and any filing required by applicable state securities law, which filings will be effective by the time required thereby.</w:t>
      </w:r>
    </w:p>
    <w:p>
      <w:pPr>
        <w:spacing w:after="0" w:line="141" w:lineRule="exact"/>
        <w:rPr>
          <w:rFonts w:ascii="Arial" w:cs="Arial" w:eastAsia="Arial" w:hAnsi="Arial"/>
          <w:sz w:val="14"/>
          <w:szCs w:val="14"/>
          <w:color w:val="auto"/>
        </w:rPr>
      </w:pPr>
    </w:p>
    <w:p>
      <w:pPr>
        <w:ind w:firstLine="1042"/>
        <w:spacing w:after="0" w:line="288" w:lineRule="auto"/>
        <w:tabs>
          <w:tab w:leader="none" w:pos="1520"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Issued Securities</w:t>
      </w:r>
      <w:r>
        <w:rPr>
          <w:rFonts w:ascii="Arial" w:cs="Arial" w:eastAsia="Arial" w:hAnsi="Arial"/>
          <w:sz w:val="14"/>
          <w:szCs w:val="14"/>
          <w:color w:val="auto"/>
        </w:rPr>
        <w:t>. All issued and outstanding units or other equity interests of the Company have been duly authorized and validly issued. All outstanding units and any other equity interests were issued in full compliance with all federal and state securities laws. In addition, as of the date immediately preceding the Effective Date:</w:t>
      </w:r>
    </w:p>
    <w:p>
      <w:pPr>
        <w:spacing w:after="0" w:line="131" w:lineRule="exact"/>
        <w:rPr>
          <w:rFonts w:ascii="Arial" w:cs="Arial" w:eastAsia="Arial" w:hAnsi="Arial"/>
          <w:sz w:val="14"/>
          <w:szCs w:val="14"/>
          <w:color w:val="auto"/>
        </w:rPr>
      </w:pPr>
    </w:p>
    <w:p>
      <w:pPr>
        <w:ind w:right="160" w:firstLine="1560"/>
        <w:spacing w:after="0" w:line="288" w:lineRule="auto"/>
        <w:tabs>
          <w:tab w:leader="none" w:pos="2186" w:val="left"/>
        </w:tabs>
        <w:numPr>
          <w:ilvl w:val="1"/>
          <w:numId w:val="242"/>
        </w:numPr>
        <w:rPr>
          <w:rFonts w:ascii="Arial" w:cs="Arial" w:eastAsia="Arial" w:hAnsi="Arial"/>
          <w:sz w:val="14"/>
          <w:szCs w:val="14"/>
          <w:color w:val="auto"/>
        </w:rPr>
      </w:pPr>
      <w:r>
        <w:rPr>
          <w:rFonts w:ascii="Arial" w:cs="Arial" w:eastAsia="Arial" w:hAnsi="Arial"/>
          <w:sz w:val="14"/>
          <w:szCs w:val="14"/>
          <w:color w:val="auto"/>
        </w:rPr>
        <w:t>The authorized capital of the Company consists of 108,968,247 Units of which 93,370,681 Units are issued and outstanding and 121,620 Unit Equivalents, none of which are issued and outstanding.</w:t>
      </w:r>
    </w:p>
    <w:p>
      <w:pPr>
        <w:spacing w:after="0" w:line="131" w:lineRule="exact"/>
        <w:rPr>
          <w:rFonts w:ascii="Arial" w:cs="Arial" w:eastAsia="Arial" w:hAnsi="Arial"/>
          <w:sz w:val="14"/>
          <w:szCs w:val="14"/>
          <w:color w:val="auto"/>
        </w:rPr>
      </w:pPr>
    </w:p>
    <w:p>
      <w:pPr>
        <w:ind w:right="20" w:firstLine="1560"/>
        <w:spacing w:after="0" w:line="329" w:lineRule="auto"/>
        <w:tabs>
          <w:tab w:leader="none" w:pos="2168" w:val="left"/>
        </w:tabs>
        <w:numPr>
          <w:ilvl w:val="1"/>
          <w:numId w:val="242"/>
        </w:numPr>
        <w:rPr>
          <w:rFonts w:ascii="Arial" w:cs="Arial" w:eastAsia="Arial" w:hAnsi="Arial"/>
          <w:sz w:val="13"/>
          <w:szCs w:val="13"/>
          <w:color w:val="auto"/>
        </w:rPr>
      </w:pPr>
      <w:r>
        <w:rPr>
          <w:rFonts w:ascii="Arial" w:cs="Arial" w:eastAsia="Arial" w:hAnsi="Arial"/>
          <w:sz w:val="13"/>
          <w:szCs w:val="13"/>
          <w:color w:val="auto"/>
        </w:rPr>
        <w:t xml:space="preserve">There are no options, warrants, conversion privileges or other rights presently outstanding to purchase or otherwise acquire any authorized but unissued Units of the Company except as set forth on the capitalization table attached hereto as </w:t>
      </w:r>
      <w:r>
        <w:rPr>
          <w:rFonts w:ascii="Arial" w:cs="Arial" w:eastAsia="Arial" w:hAnsi="Arial"/>
          <w:sz w:val="13"/>
          <w:szCs w:val="13"/>
          <w:u w:val="single" w:color="auto"/>
          <w:color w:val="auto"/>
        </w:rPr>
        <w:t>Appendix I</w:t>
      </w:r>
      <w:r>
        <w:rPr>
          <w:rFonts w:ascii="Arial" w:cs="Arial" w:eastAsia="Arial" w:hAnsi="Arial"/>
          <w:sz w:val="13"/>
          <w:szCs w:val="13"/>
          <w:color w:val="auto"/>
        </w:rPr>
        <w:t>. The Company has no outstanding loans to any employee, officer or director of the Company.</w:t>
      </w:r>
    </w:p>
    <w:p>
      <w:pPr>
        <w:spacing w:after="0" w:line="108" w:lineRule="exact"/>
        <w:rPr>
          <w:rFonts w:ascii="Arial" w:cs="Arial" w:eastAsia="Arial" w:hAnsi="Arial"/>
          <w:sz w:val="13"/>
          <w:szCs w:val="13"/>
          <w:color w:val="auto"/>
        </w:rPr>
      </w:pPr>
    </w:p>
    <w:p>
      <w:pPr>
        <w:ind w:left="2160" w:hanging="600"/>
        <w:spacing w:after="0"/>
        <w:tabs>
          <w:tab w:leader="none" w:pos="2160" w:val="left"/>
        </w:tabs>
        <w:numPr>
          <w:ilvl w:val="1"/>
          <w:numId w:val="242"/>
        </w:numPr>
        <w:rPr>
          <w:rFonts w:ascii="Arial" w:cs="Arial" w:eastAsia="Arial" w:hAnsi="Arial"/>
          <w:sz w:val="13"/>
          <w:szCs w:val="13"/>
          <w:color w:val="auto"/>
        </w:rPr>
      </w:pPr>
      <w:r>
        <w:rPr>
          <w:rFonts w:ascii="Arial" w:cs="Arial" w:eastAsia="Arial" w:hAnsi="Arial"/>
          <w:sz w:val="13"/>
          <w:szCs w:val="13"/>
          <w:color w:val="auto"/>
        </w:rPr>
        <w:t>No holder of Units of the Company has preemptive rights with respect to the issuance of this Agreement or the purchase of Units hereunder which have not</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been waived.</w:t>
      </w:r>
    </w:p>
    <w:p>
      <w:pPr>
        <w:spacing w:after="0" w:line="174" w:lineRule="exact"/>
        <w:rPr>
          <w:rFonts w:ascii="Arial" w:cs="Arial" w:eastAsia="Arial" w:hAnsi="Arial"/>
          <w:sz w:val="13"/>
          <w:szCs w:val="13"/>
          <w:color w:val="auto"/>
        </w:rPr>
      </w:pPr>
    </w:p>
    <w:p>
      <w:pPr>
        <w:jc w:val="both"/>
        <w:ind w:firstLine="1042"/>
        <w:spacing w:after="0" w:line="265" w:lineRule="auto"/>
        <w:tabs>
          <w:tab w:leader="none" w:pos="1663" w:val="left"/>
        </w:tabs>
        <w:numPr>
          <w:ilvl w:val="0"/>
          <w:numId w:val="242"/>
        </w:numPr>
        <w:rPr>
          <w:rFonts w:ascii="Arial" w:cs="Arial" w:eastAsia="Arial" w:hAnsi="Arial"/>
          <w:sz w:val="14"/>
          <w:szCs w:val="14"/>
          <w:color w:val="auto"/>
        </w:rPr>
      </w:pPr>
      <w:r>
        <w:rPr>
          <w:rFonts w:ascii="Arial" w:cs="Arial" w:eastAsia="Arial" w:hAnsi="Arial"/>
          <w:sz w:val="14"/>
          <w:szCs w:val="14"/>
          <w:u w:val="single" w:color="auto"/>
          <w:color w:val="auto"/>
        </w:rPr>
        <w:t>Registration Rights</w:t>
      </w:r>
      <w:r>
        <w:rPr>
          <w:rFonts w:ascii="Arial" w:cs="Arial" w:eastAsia="Arial" w:hAnsi="Arial"/>
          <w:sz w:val="14"/>
          <w:szCs w:val="14"/>
          <w:color w:val="auto"/>
        </w:rPr>
        <w:t>. The Company agrees that any common equity issued and issuable upon conversion of the Units shall have the “Piggyback,” and S-3 registration rights pursuant to and as set forth in the Registration Rights Agreement attached as Exhibit B to the Operating Agreement (the “</w:t>
      </w:r>
      <w:r>
        <w:rPr>
          <w:rFonts w:ascii="Arial" w:cs="Arial" w:eastAsia="Arial" w:hAnsi="Arial"/>
          <w:sz w:val="14"/>
          <w:szCs w:val="14"/>
          <w:u w:val="single" w:color="auto"/>
          <w:color w:val="auto"/>
        </w:rPr>
        <w:t>Registration Rights Agreement</w:t>
      </w:r>
      <w:r>
        <w:rPr>
          <w:rFonts w:ascii="Arial" w:cs="Arial" w:eastAsia="Arial" w:hAnsi="Arial"/>
          <w:sz w:val="14"/>
          <w:szCs w:val="14"/>
          <w:color w:val="auto"/>
        </w:rPr>
        <w:t xml:space="preserve">”) to be entered into by and among the Company and the Members promptly following the Company IPO (as defined in the Operating Agreement) on a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basis with the parties thereto. The form of Registration Rights Agreement may not be amended, modified or waived in a manner adverse to the Warrantholder without the prior written consent of the Warrantholder unless such amendment, modification or waiver affects the rights associated with the Units issued and issuable upon exercise hereof in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389" w:name="page390"/>
    <w:bookmarkEnd w:id="389"/>
    <w:p>
      <w:pPr>
        <w:spacing w:after="0"/>
        <w:rPr>
          <w:sz w:val="20"/>
          <w:szCs w:val="20"/>
          <w:color w:val="auto"/>
        </w:rPr>
      </w:pPr>
      <w:r>
        <w:rPr>
          <w:rFonts w:ascii="Arial" w:cs="Arial" w:eastAsia="Arial" w:hAnsi="Arial"/>
          <w:sz w:val="14"/>
          <w:szCs w:val="14"/>
          <w:color w:val="auto"/>
        </w:rPr>
        <w:t>same manner as such amendment, modification, or waiver affects the rights associated with all outstanding Units whose holders are parties thereto.</w:t>
      </w:r>
    </w:p>
    <w:p>
      <w:pPr>
        <w:spacing w:after="0" w:line="98" w:lineRule="exact"/>
        <w:rPr>
          <w:sz w:val="20"/>
          <w:szCs w:val="20"/>
          <w:color w:val="auto"/>
        </w:rPr>
      </w:pPr>
    </w:p>
    <w:p>
      <w:pPr>
        <w:ind w:firstLine="1042"/>
        <w:spacing w:after="0" w:line="288" w:lineRule="auto"/>
        <w:tabs>
          <w:tab w:leader="none" w:pos="1524"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Other Commitments to Register Securities</w:t>
      </w:r>
      <w:r>
        <w:rPr>
          <w:rFonts w:ascii="Arial" w:cs="Arial" w:eastAsia="Arial" w:hAnsi="Arial"/>
          <w:sz w:val="14"/>
          <w:szCs w:val="14"/>
          <w:color w:val="auto"/>
        </w:rPr>
        <w:t>. Except as set forth in this Agreement, the Company is not, pursuant to the terms of any other agreement currently in existence, under any obligation to register under the Securities Act any of its presently outstanding equity interests or any of its securities which may hereafter be issued.</w:t>
      </w:r>
    </w:p>
    <w:p>
      <w:pPr>
        <w:spacing w:after="0" w:line="45" w:lineRule="exact"/>
        <w:rPr>
          <w:rFonts w:ascii="Arial" w:cs="Arial" w:eastAsia="Arial" w:hAnsi="Arial"/>
          <w:sz w:val="14"/>
          <w:szCs w:val="14"/>
          <w:color w:val="auto"/>
        </w:rPr>
      </w:pPr>
    </w:p>
    <w:p>
      <w:pPr>
        <w:jc w:val="both"/>
        <w:ind w:firstLine="1042"/>
        <w:spacing w:after="0" w:line="273" w:lineRule="auto"/>
        <w:tabs>
          <w:tab w:leader="none" w:pos="1520"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Exempt Transaction</w:t>
      </w:r>
      <w:r>
        <w:rPr>
          <w:rFonts w:ascii="Arial" w:cs="Arial" w:eastAsia="Arial" w:hAnsi="Arial"/>
          <w:sz w:val="14"/>
          <w:szCs w:val="14"/>
          <w:color w:val="auto"/>
        </w:rPr>
        <w:t xml:space="preserve">. Subject to the accuracy of the Warrantholder’s representations in </w:t>
      </w:r>
      <w:r>
        <w:rPr>
          <w:rFonts w:ascii="Arial" w:cs="Arial" w:eastAsia="Arial" w:hAnsi="Arial"/>
          <w:sz w:val="14"/>
          <w:szCs w:val="14"/>
          <w:u w:val="single" w:color="auto"/>
          <w:color w:val="auto"/>
        </w:rPr>
        <w:t>Section 10,</w:t>
      </w:r>
      <w:r>
        <w:rPr>
          <w:rFonts w:ascii="Arial" w:cs="Arial" w:eastAsia="Arial" w:hAnsi="Arial"/>
          <w:sz w:val="14"/>
          <w:szCs w:val="14"/>
          <w:color w:val="auto"/>
        </w:rPr>
        <w:t xml:space="preserve"> the issuance of the Units upon exercise of this Agreement will constitute a transaction exempt from (i) the registration requirements of Section 5 of the Securities Act, in reliance upon Section 4(a)(2) thereof, and (ii) the qualification requirements of the applicable state securities laws.</w:t>
      </w:r>
    </w:p>
    <w:p>
      <w:pPr>
        <w:spacing w:after="0" w:line="54" w:lineRule="exact"/>
        <w:rPr>
          <w:rFonts w:ascii="Arial" w:cs="Arial" w:eastAsia="Arial" w:hAnsi="Arial"/>
          <w:sz w:val="14"/>
          <w:szCs w:val="14"/>
          <w:color w:val="auto"/>
        </w:rPr>
      </w:pPr>
    </w:p>
    <w:p>
      <w:pPr>
        <w:jc w:val="both"/>
        <w:ind w:firstLine="1042"/>
        <w:spacing w:after="0" w:line="273" w:lineRule="auto"/>
        <w:tabs>
          <w:tab w:leader="none" w:pos="1520"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Compliance with Rule 144</w:t>
      </w:r>
      <w:r>
        <w:rPr>
          <w:rFonts w:ascii="Arial" w:cs="Arial" w:eastAsia="Arial" w:hAnsi="Arial"/>
          <w:sz w:val="14"/>
          <w:szCs w:val="14"/>
          <w:color w:val="auto"/>
        </w:rPr>
        <w:t>. If the Warrantholder proposes to sell Units issuable upon the exercise of this Agreement in compliance with Rule 144 promulgated by the SEC, then, upon the Warrantholder’s written request to the Company, the Company shall furnish to the Warrantholder, within ten days after receipt of such request, a written statement confirming the Company’s compliance with the filing requirements of the SEC as set forth in such Rule, as such Rule may be amended from time to time.</w:t>
      </w:r>
    </w:p>
    <w:p>
      <w:pPr>
        <w:spacing w:after="0" w:line="54" w:lineRule="exact"/>
        <w:rPr>
          <w:rFonts w:ascii="Arial" w:cs="Arial" w:eastAsia="Arial" w:hAnsi="Arial"/>
          <w:sz w:val="14"/>
          <w:szCs w:val="14"/>
          <w:color w:val="auto"/>
        </w:rPr>
      </w:pPr>
    </w:p>
    <w:p>
      <w:pPr>
        <w:ind w:firstLine="1042"/>
        <w:spacing w:after="0" w:line="288" w:lineRule="auto"/>
        <w:tabs>
          <w:tab w:leader="none" w:pos="1517" w:val="left"/>
        </w:tabs>
        <w:numPr>
          <w:ilvl w:val="0"/>
          <w:numId w:val="243"/>
        </w:numPr>
        <w:rPr>
          <w:rFonts w:ascii="Arial" w:cs="Arial" w:eastAsia="Arial" w:hAnsi="Arial"/>
          <w:sz w:val="14"/>
          <w:szCs w:val="14"/>
          <w:color w:val="auto"/>
        </w:rPr>
      </w:pPr>
      <w:r>
        <w:rPr>
          <w:rFonts w:ascii="Arial" w:cs="Arial" w:eastAsia="Arial" w:hAnsi="Arial"/>
          <w:sz w:val="14"/>
          <w:szCs w:val="14"/>
          <w:u w:val="single" w:color="auto"/>
          <w:color w:val="auto"/>
        </w:rPr>
        <w:t>Information Rights</w:t>
      </w:r>
      <w:r>
        <w:rPr>
          <w:rFonts w:ascii="Arial" w:cs="Arial" w:eastAsia="Arial" w:hAnsi="Arial"/>
          <w:sz w:val="14"/>
          <w:szCs w:val="14"/>
          <w:color w:val="auto"/>
        </w:rPr>
        <w:t xml:space="preserve">. During the term of this Agreement, the Warrantholder shall be entitled to the information rights contained in </w:t>
      </w:r>
      <w:r>
        <w:rPr>
          <w:rFonts w:ascii="Arial" w:cs="Arial" w:eastAsia="Arial" w:hAnsi="Arial"/>
          <w:sz w:val="14"/>
          <w:szCs w:val="14"/>
          <w:u w:val="single" w:color="auto"/>
          <w:color w:val="auto"/>
        </w:rPr>
        <w:t>Section 7.1(b), (c), and (i)</w:t>
      </w:r>
      <w:r>
        <w:rPr>
          <w:rFonts w:ascii="Arial" w:cs="Arial" w:eastAsia="Arial" w:hAnsi="Arial"/>
          <w:sz w:val="14"/>
          <w:szCs w:val="14"/>
          <w:color w:val="auto"/>
        </w:rPr>
        <w:t xml:space="preserve"> of the Loan Agreement, and </w:t>
      </w:r>
      <w:r>
        <w:rPr>
          <w:rFonts w:ascii="Arial" w:cs="Arial" w:eastAsia="Arial" w:hAnsi="Arial"/>
          <w:sz w:val="14"/>
          <w:szCs w:val="14"/>
          <w:u w:val="single" w:color="auto"/>
          <w:color w:val="auto"/>
        </w:rPr>
        <w:t>Section 7.1(b), (c), and (i)</w:t>
      </w:r>
      <w:r>
        <w:rPr>
          <w:rFonts w:ascii="Arial" w:cs="Arial" w:eastAsia="Arial" w:hAnsi="Arial"/>
          <w:sz w:val="14"/>
          <w:szCs w:val="14"/>
          <w:color w:val="auto"/>
        </w:rPr>
        <w:t xml:space="preserve"> of the Loan Agreement is hereby incorporated into this Agreement by this reference as though fully set forth herein.</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SECTION 10. REPRESENTATIONS AND COVENANTS OF THE WARRANTHOLDER.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Agreement has been entered into by the Company in reliance upon the following representations and covenants of the Warrantholder:</w:t>
      </w:r>
    </w:p>
    <w:p>
      <w:pPr>
        <w:spacing w:after="0" w:line="184" w:lineRule="exact"/>
        <w:rPr>
          <w:sz w:val="20"/>
          <w:szCs w:val="20"/>
          <w:color w:val="auto"/>
        </w:rPr>
      </w:pPr>
    </w:p>
    <w:p>
      <w:pPr>
        <w:jc w:val="both"/>
        <w:ind w:firstLine="1042"/>
        <w:spacing w:after="0" w:line="273" w:lineRule="auto"/>
        <w:tabs>
          <w:tab w:leader="none" w:pos="1512"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Investment Purpose</w:t>
      </w:r>
      <w:r>
        <w:rPr>
          <w:rFonts w:ascii="Arial" w:cs="Arial" w:eastAsia="Arial" w:hAnsi="Arial"/>
          <w:sz w:val="14"/>
          <w:szCs w:val="14"/>
          <w:color w:val="auto"/>
        </w:rPr>
        <w:t>. The right to acquire Units is being acquired for investment and not with a view to the sale or distribution of any part thereof, and the Warrantholder has no present intention of selling or engaging in any public distribution of such rights or the Units except pursuant to an effective registration statement or an exemption from the registration requirements of the Securities Act.</w:t>
      </w:r>
    </w:p>
    <w:p>
      <w:pPr>
        <w:spacing w:after="0" w:line="97" w:lineRule="exact"/>
        <w:rPr>
          <w:rFonts w:ascii="Arial" w:cs="Arial" w:eastAsia="Arial" w:hAnsi="Arial"/>
          <w:sz w:val="14"/>
          <w:szCs w:val="14"/>
          <w:color w:val="auto"/>
        </w:rPr>
      </w:pPr>
    </w:p>
    <w:p>
      <w:pPr>
        <w:jc w:val="both"/>
        <w:ind w:firstLine="1042"/>
        <w:spacing w:after="0" w:line="273" w:lineRule="auto"/>
        <w:tabs>
          <w:tab w:leader="none" w:pos="1520"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Private Issue</w:t>
      </w:r>
      <w:r>
        <w:rPr>
          <w:rFonts w:ascii="Arial" w:cs="Arial" w:eastAsia="Arial" w:hAnsi="Arial"/>
          <w:sz w:val="14"/>
          <w:szCs w:val="14"/>
          <w:color w:val="auto"/>
        </w:rPr>
        <w:t xml:space="preserve">. The Warrantholder understands (i) that the Units issuable upon exercise of this Agreement is not registered under the Securities Act or qualified under applicable state securities laws on the ground that the issuance contemplated by this Agreement will be exempt from the registration and qualifications requirements thereof, and (ii) that the Company’s reliance on such exemption is predicated on the representations set forth in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10.</w:t>
      </w:r>
    </w:p>
    <w:p>
      <w:pPr>
        <w:spacing w:after="0" w:line="141" w:lineRule="exact"/>
        <w:rPr>
          <w:rFonts w:ascii="Arial" w:cs="Arial" w:eastAsia="Arial" w:hAnsi="Arial"/>
          <w:sz w:val="14"/>
          <w:szCs w:val="14"/>
          <w:color w:val="auto"/>
        </w:rPr>
      </w:pPr>
    </w:p>
    <w:p>
      <w:pPr>
        <w:ind w:firstLine="1042"/>
        <w:spacing w:after="0" w:line="288" w:lineRule="auto"/>
        <w:tabs>
          <w:tab w:leader="none" w:pos="1512"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Financial Risk</w:t>
      </w:r>
      <w:r>
        <w:rPr>
          <w:rFonts w:ascii="Arial" w:cs="Arial" w:eastAsia="Arial" w:hAnsi="Arial"/>
          <w:sz w:val="14"/>
          <w:szCs w:val="14"/>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90" w:name="page391"/>
    <w:bookmarkEnd w:id="390"/>
    <w:p>
      <w:pPr>
        <w:jc w:val="both"/>
        <w:ind w:firstLine="1042"/>
        <w:spacing w:after="0" w:line="290" w:lineRule="auto"/>
        <w:tabs>
          <w:tab w:leader="none" w:pos="1520" w:val="left"/>
        </w:tabs>
        <w:numPr>
          <w:ilvl w:val="0"/>
          <w:numId w:val="245"/>
        </w:numPr>
        <w:rPr>
          <w:rFonts w:ascii="Arial" w:cs="Arial" w:eastAsia="Arial" w:hAnsi="Arial"/>
          <w:sz w:val="13"/>
          <w:szCs w:val="13"/>
          <w:color w:val="auto"/>
        </w:rPr>
      </w:pPr>
      <w:r>
        <w:rPr>
          <w:rFonts w:ascii="Arial" w:cs="Arial" w:eastAsia="Arial" w:hAnsi="Arial"/>
          <w:sz w:val="13"/>
          <w:szCs w:val="13"/>
          <w:u w:val="single" w:color="auto"/>
          <w:color w:val="auto"/>
        </w:rPr>
        <w:t>Risk of No Registration</w:t>
      </w:r>
      <w:r>
        <w:rPr>
          <w:rFonts w:ascii="Arial" w:cs="Arial" w:eastAsia="Arial" w:hAnsi="Arial"/>
          <w:sz w:val="13"/>
          <w:szCs w:val="13"/>
          <w:color w:val="auto"/>
        </w:rPr>
        <w:t>. The Warrantholder understands that if the Company does not register with the SEC pursuant to Section 12 of the Securities Exchange Act of 1934, as amended (the “Exchange Act”), or file reports pursuant to Section 15(d) of the Exchange Act, or if a registration statement covering the securities under the Securities Act is not in effect when it desires to sell (i) the rights to purchase Units pursuant to this Agreement or (ii) the Units issued or issuable upon exercise of the right to purchase, it may be required to hold such securities for an indefinite period. The Warrantholder also understands that any sale of (A) its rights hereunder to purchase Units or (B) Units issued or issuable hereunder which might be made by it in reliance upon Rule 144 under the Securities Act may be made only in accordance with the terms and conditions of that Rule.</w:t>
      </w:r>
    </w:p>
    <w:p>
      <w:pPr>
        <w:spacing w:after="0" w:line="132" w:lineRule="exact"/>
        <w:rPr>
          <w:rFonts w:ascii="Arial" w:cs="Arial" w:eastAsia="Arial" w:hAnsi="Arial"/>
          <w:sz w:val="13"/>
          <w:szCs w:val="13"/>
          <w:color w:val="auto"/>
        </w:rPr>
      </w:pPr>
    </w:p>
    <w:p>
      <w:pPr>
        <w:ind w:left="1520" w:hanging="478"/>
        <w:spacing w:after="0"/>
        <w:tabs>
          <w:tab w:leader="none" w:pos="1520" w:val="left"/>
        </w:tabs>
        <w:numPr>
          <w:ilvl w:val="0"/>
          <w:numId w:val="245"/>
        </w:numPr>
        <w:rPr>
          <w:rFonts w:ascii="Arial" w:cs="Arial" w:eastAsia="Arial" w:hAnsi="Arial"/>
          <w:sz w:val="13"/>
          <w:szCs w:val="13"/>
          <w:color w:val="auto"/>
        </w:rPr>
      </w:pPr>
      <w:r>
        <w:rPr>
          <w:rFonts w:ascii="Arial" w:cs="Arial" w:eastAsia="Arial" w:hAnsi="Arial"/>
          <w:sz w:val="13"/>
          <w:szCs w:val="13"/>
          <w:u w:val="single" w:color="auto"/>
          <w:color w:val="auto"/>
        </w:rPr>
        <w:t>Accredited Investor</w:t>
      </w:r>
      <w:r>
        <w:rPr>
          <w:rFonts w:ascii="Arial" w:cs="Arial" w:eastAsia="Arial" w:hAnsi="Arial"/>
          <w:sz w:val="13"/>
          <w:szCs w:val="13"/>
          <w:color w:val="auto"/>
        </w:rPr>
        <w:t>. The Warrantholder is an “accredited investor” within the meaning of the Securities and Exchange Rule 501 of Regulation D, as presently in effect.</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SECTION 11.  TRANSFERS.</w:t>
      </w:r>
    </w:p>
    <w:p>
      <w:pPr>
        <w:spacing w:after="0" w:line="188" w:lineRule="exact"/>
        <w:rPr>
          <w:sz w:val="20"/>
          <w:szCs w:val="20"/>
          <w:color w:val="auto"/>
        </w:rPr>
      </w:pPr>
    </w:p>
    <w:p>
      <w:pPr>
        <w:jc w:val="both"/>
        <w:ind w:firstLine="1036"/>
        <w:spacing w:after="0" w:line="284" w:lineRule="auto"/>
        <w:rPr>
          <w:sz w:val="20"/>
          <w:szCs w:val="20"/>
          <w:color w:val="auto"/>
        </w:rPr>
      </w:pPr>
      <w:r>
        <w:rPr>
          <w:rFonts w:ascii="Arial" w:cs="Arial" w:eastAsia="Arial" w:hAnsi="Arial"/>
          <w:sz w:val="13"/>
          <w:szCs w:val="13"/>
          <w:color w:val="auto"/>
        </w:rPr>
        <w:t>Subject to compliance with applicable federal and state securities laws, this Agreement and all rights hereunder are transferable, in whole or in part, to an Affiliate of the Warrantholder or otherwise in accordance with Section 10.01(a) of the Operating Agreement,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“Transfer Notice”), at its principal offices and the payment to the Company of all transfer taxes and other governmental charges imposed on such transfer. Until the Company receives such Transfer Notice, the Company may treat the registered owner hereof as the owner for all purposes. The Warrantholder may not transfer this Warrant to a competitor of the Company, as reasonably determined by the Board of Managers.</w:t>
      </w:r>
    </w:p>
    <w:p>
      <w:pPr>
        <w:spacing w:after="0" w:line="135" w:lineRule="exact"/>
        <w:rPr>
          <w:sz w:val="20"/>
          <w:szCs w:val="20"/>
          <w:color w:val="auto"/>
        </w:rPr>
      </w:pPr>
    </w:p>
    <w:p>
      <w:pPr>
        <w:ind w:left="520"/>
        <w:spacing w:after="0"/>
        <w:tabs>
          <w:tab w:leader="none" w:pos="1480" w:val="left"/>
        </w:tabs>
        <w:rPr>
          <w:sz w:val="20"/>
          <w:szCs w:val="20"/>
          <w:color w:val="auto"/>
        </w:rPr>
      </w:pPr>
      <w:r>
        <w:rPr>
          <w:rFonts w:ascii="Arial" w:cs="Arial" w:eastAsia="Arial" w:hAnsi="Arial"/>
          <w:sz w:val="14"/>
          <w:szCs w:val="14"/>
          <w:b w:val="1"/>
          <w:bCs w:val="1"/>
          <w:color w:val="auto"/>
        </w:rPr>
        <w:t>SECTION 12.</w:t>
        <w:tab/>
        <w:t>TAX TREATMENT OF WARRANT.</w:t>
      </w:r>
    </w:p>
    <w:p>
      <w:pPr>
        <w:spacing w:after="0" w:line="188" w:lineRule="exact"/>
        <w:rPr>
          <w:sz w:val="20"/>
          <w:szCs w:val="20"/>
          <w:color w:val="auto"/>
        </w:rPr>
      </w:pPr>
    </w:p>
    <w:p>
      <w:pPr>
        <w:jc w:val="both"/>
        <w:ind w:firstLine="1042"/>
        <w:spacing w:after="0" w:line="315" w:lineRule="auto"/>
        <w:tabs>
          <w:tab w:leader="none" w:pos="1512" w:val="left"/>
        </w:tabs>
        <w:numPr>
          <w:ilvl w:val="0"/>
          <w:numId w:val="246"/>
        </w:numPr>
        <w:rPr>
          <w:rFonts w:ascii="Arial" w:cs="Arial" w:eastAsia="Arial" w:hAnsi="Arial"/>
          <w:sz w:val="12"/>
          <w:szCs w:val="12"/>
          <w:color w:val="auto"/>
        </w:rPr>
      </w:pPr>
      <w:r>
        <w:rPr>
          <w:rFonts w:ascii="Arial" w:cs="Arial" w:eastAsia="Arial" w:hAnsi="Arial"/>
          <w:sz w:val="12"/>
          <w:szCs w:val="12"/>
          <w:u w:val="single" w:color="auto"/>
          <w:color w:val="auto"/>
        </w:rPr>
        <w:t>Application of Noncompensatory Option Treasury Regulations</w:t>
      </w:r>
      <w:r>
        <w:rPr>
          <w:rFonts w:ascii="Arial" w:cs="Arial" w:eastAsia="Arial" w:hAnsi="Arial"/>
          <w:sz w:val="12"/>
          <w:szCs w:val="12"/>
          <w:color w:val="auto"/>
        </w:rPr>
        <w:t>. The parties hereto acknowledge and agree that at the time of the execution of this Agreement, the Company and the Warrantholder intend that the Agreement be treated as a “noncompensatory option” within the meaning of Treasury Regulations Section 1.721-2(f). Therefore, unless and until this Agreement is exercised in accordance with its terms, the Company is taxed as a corporation under the Internal Revenue Code of 1986, as amended, or any successor statute the (“Code”) (and only as to all periods commencing thereon or thereafter), or there is superseding authority under which the Company’s tax counsel determines in writing (and a copy thereof provided to the Warrantholder) such treatment is not appropriate, or a Final Determination (as defined below) to the contrary has been made, for federal and applicable state and local income tax purposes, the parties hereto agree to (i) treat the issuance of the Agreement as an open transaction and not as the issuance of a partnership or membership interest in the Company, (ii) treat each Warrantholder,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391" w:name="page392"/>
    <w:bookmarkEnd w:id="391"/>
    <w:p>
      <w:pPr>
        <w:spacing w:after="0"/>
        <w:rPr>
          <w:sz w:val="20"/>
          <w:szCs w:val="20"/>
          <w:color w:val="auto"/>
        </w:rPr>
      </w:pPr>
      <w:r>
        <w:rPr>
          <w:rFonts w:ascii="Arial" w:cs="Arial" w:eastAsia="Arial" w:hAnsi="Arial"/>
          <w:sz w:val="13"/>
          <w:szCs w:val="13"/>
          <w:color w:val="auto"/>
        </w:rPr>
        <w:t>with respect to ownership of the Agreement, as the holder of a warrant or option exercisable for limited liability company units or interests and not as a partner or a Member of the Company, and</w:t>
      </w:r>
    </w:p>
    <w:p>
      <w:pPr>
        <w:spacing w:after="0" w:line="33" w:lineRule="exact"/>
        <w:rPr>
          <w:sz w:val="20"/>
          <w:szCs w:val="20"/>
          <w:color w:val="auto"/>
        </w:rPr>
      </w:pPr>
    </w:p>
    <w:p>
      <w:pPr>
        <w:jc w:val="both"/>
        <w:ind w:firstLine="6"/>
        <w:spacing w:after="0" w:line="281" w:lineRule="auto"/>
        <w:tabs>
          <w:tab w:leader="none" w:pos="256" w:val="left"/>
        </w:tabs>
        <w:numPr>
          <w:ilvl w:val="0"/>
          <w:numId w:val="247"/>
        </w:numPr>
        <w:rPr>
          <w:rFonts w:ascii="Arial" w:cs="Arial" w:eastAsia="Arial" w:hAnsi="Arial"/>
          <w:sz w:val="13"/>
          <w:szCs w:val="13"/>
          <w:color w:val="auto"/>
        </w:rPr>
      </w:pPr>
      <w:r>
        <w:rPr>
          <w:rFonts w:ascii="Arial" w:cs="Arial" w:eastAsia="Arial" w:hAnsi="Arial"/>
          <w:sz w:val="13"/>
          <w:szCs w:val="13"/>
          <w:color w:val="auto"/>
        </w:rPr>
        <w:t>consistent with the regulations promulgated by the Treasury Department (“</w:t>
      </w:r>
      <w:r>
        <w:rPr>
          <w:rFonts w:ascii="Arial" w:cs="Arial" w:eastAsia="Arial" w:hAnsi="Arial"/>
          <w:sz w:val="13"/>
          <w:szCs w:val="13"/>
          <w:u w:val="single" w:color="auto"/>
          <w:color w:val="auto"/>
        </w:rPr>
        <w:t>Treasury Regulations</w:t>
      </w:r>
      <w:r>
        <w:rPr>
          <w:rFonts w:ascii="Arial" w:cs="Arial" w:eastAsia="Arial" w:hAnsi="Arial"/>
          <w:sz w:val="13"/>
          <w:szCs w:val="13"/>
          <w:color w:val="auto"/>
        </w:rPr>
        <w:t xml:space="preserve">”) under the Code regarding noncompensatory partnership options, not allocate any profits or losses or other items of income, gain, deduction, loss or credit to a Warrantholder of this Agreement with respect to this Agreement or the limited liability company interests issuable on exercise hereof prior to the exercise of this Agreement. The parties shall file all tax returns and information reports in a manner consistent with the foregoing, except to the extent otherwise required by the adoption of any superseding authority under which the Company’s tax counsel determines in writing (and a copy thereof provided to the Warrantholder) such treatment is not appropriate or a Final Determination. To the extent the Company, after consultation with its tax counsel, determines that it is required to make any disclosure regarding the treatment of this Agreement described above under Code Section 6662 or otherwise on its tax returns or other tax filings, the Company shall promptly notify the Warrantholder and, prior to filing, give the Warrantholder and its agents and representatives an opportunity to review and comment on any such disclosure. For purposes of this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w:t>
      </w:r>
      <w:r>
        <w:rPr>
          <w:rFonts w:ascii="Arial" w:cs="Arial" w:eastAsia="Arial" w:hAnsi="Arial"/>
          <w:sz w:val="13"/>
          <w:szCs w:val="13"/>
          <w:u w:val="single" w:color="auto"/>
          <w:color w:val="auto"/>
        </w:rPr>
        <w:t>Final Determination</w:t>
      </w:r>
      <w:r>
        <w:rPr>
          <w:rFonts w:ascii="Arial" w:cs="Arial" w:eastAsia="Arial" w:hAnsi="Arial"/>
          <w:sz w:val="13"/>
          <w:szCs w:val="13"/>
          <w:color w:val="auto"/>
        </w:rPr>
        <w:t>” means, with respect to any issue, (x) a decision, judgment, decree or other order by any court of competent jurisdiction, which decision, judgment, decree or other order has become final and not subject to further appeal, (y) a closing agreement entered into under Code Section 7121 or any other binding settlement agreement entered into in connection with or in contemplation of an administrative or judicial proceeding, or (z) the completion of the highest level of administrative proceedings if a judicial contest is not or is no longer available.</w:t>
      </w:r>
    </w:p>
    <w:p>
      <w:pPr>
        <w:spacing w:after="0" w:line="139" w:lineRule="exact"/>
        <w:rPr>
          <w:rFonts w:ascii="Arial" w:cs="Arial" w:eastAsia="Arial" w:hAnsi="Arial"/>
          <w:sz w:val="13"/>
          <w:szCs w:val="13"/>
          <w:color w:val="auto"/>
        </w:rPr>
      </w:pPr>
    </w:p>
    <w:p>
      <w:pPr>
        <w:jc w:val="both"/>
        <w:ind w:firstLine="1042"/>
        <w:spacing w:after="0" w:line="284" w:lineRule="auto"/>
        <w:tabs>
          <w:tab w:leader="none" w:pos="1520" w:val="left"/>
        </w:tabs>
        <w:numPr>
          <w:ilvl w:val="1"/>
          <w:numId w:val="247"/>
        </w:numPr>
        <w:rPr>
          <w:rFonts w:ascii="Arial" w:cs="Arial" w:eastAsia="Arial" w:hAnsi="Arial"/>
          <w:sz w:val="13"/>
          <w:szCs w:val="13"/>
          <w:color w:val="auto"/>
        </w:rPr>
      </w:pPr>
      <w:r>
        <w:rPr>
          <w:rFonts w:ascii="Arial" w:cs="Arial" w:eastAsia="Arial" w:hAnsi="Arial"/>
          <w:sz w:val="13"/>
          <w:szCs w:val="13"/>
          <w:u w:val="single" w:color="auto"/>
          <w:color w:val="auto"/>
        </w:rPr>
        <w:t>Exercise of Warrant</w:t>
      </w:r>
      <w:r>
        <w:rPr>
          <w:rFonts w:ascii="Arial" w:cs="Arial" w:eastAsia="Arial" w:hAnsi="Arial"/>
          <w:sz w:val="13"/>
          <w:szCs w:val="13"/>
          <w:color w:val="auto"/>
        </w:rPr>
        <w:t>. Upon exercise of this Agreement, the parties agree, with respect to all periods prior to the date (if any) on which the Company began to be taxed as a corporation, to treat the exercise of this Agreement consistently with applicable Treasury Regulations, including, without limitation, to the extent allowed thereunder (i) establishing an initial Capital Account (as defined in the Operating Agreement) for the Warrantholder equal to the consideration paid or deemed paid to the Company for the issuance of this Agreement plus the fair market value of any property contributed to the Company upon exercise of this Agreement, if any, (ii) revaluing all Company assets and property immediately following exercise of this Agreement and allocating built-in gain or loss in the Company’s assets and property to the Warrantholder and then to the historic Members as contemplated under the Treasury Regulations and, to the extent such allocation is insufficient to adjust the Warrantholder’s Capital Account in accordance with its right to share in capital, shifting capital between the Warrantholder and the historic Members as contemplated under the Treasury Regulations, and (iii) making associated tax allocations required by the Treasury Regulations, including any necessary corrective allocations and Code Section 704(c) allocations, including, as applicable, remedial allocations under Section 1.704-3(d) of the Treasury Regulations.</w:t>
      </w:r>
    </w:p>
    <w:p>
      <w:pPr>
        <w:spacing w:after="0" w:line="138" w:lineRule="exact"/>
        <w:rPr>
          <w:rFonts w:ascii="Arial" w:cs="Arial" w:eastAsia="Arial" w:hAnsi="Arial"/>
          <w:sz w:val="13"/>
          <w:szCs w:val="13"/>
          <w:color w:val="auto"/>
        </w:rPr>
      </w:pPr>
    </w:p>
    <w:p>
      <w:pPr>
        <w:jc w:val="both"/>
        <w:ind w:firstLine="1042"/>
        <w:spacing w:after="0" w:line="267" w:lineRule="auto"/>
        <w:tabs>
          <w:tab w:leader="none" w:pos="1512" w:val="left"/>
        </w:tabs>
        <w:numPr>
          <w:ilvl w:val="1"/>
          <w:numId w:val="247"/>
        </w:numPr>
        <w:rPr>
          <w:rFonts w:ascii="Arial" w:cs="Arial" w:eastAsia="Arial" w:hAnsi="Arial"/>
          <w:sz w:val="14"/>
          <w:szCs w:val="14"/>
          <w:color w:val="auto"/>
        </w:rPr>
      </w:pPr>
      <w:r>
        <w:rPr>
          <w:rFonts w:ascii="Arial" w:cs="Arial" w:eastAsia="Arial" w:hAnsi="Arial"/>
          <w:sz w:val="14"/>
          <w:szCs w:val="14"/>
          <w:u w:val="single" w:color="auto"/>
          <w:color w:val="auto"/>
        </w:rPr>
        <w:t>Effect on Tax Distributions</w:t>
      </w:r>
      <w:r>
        <w:rPr>
          <w:rFonts w:ascii="Arial" w:cs="Arial" w:eastAsia="Arial" w:hAnsi="Arial"/>
          <w:sz w:val="14"/>
          <w:szCs w:val="14"/>
          <w:color w:val="auto"/>
        </w:rPr>
        <w:t xml:space="preserve">. For purposes of determining the amount of any tax distribution made under the Operating Agreement to an exercising Warrantholder who becomes a Member, any Code Section 704(c) allocations or “corrective allocations” made as contemplated in </w:t>
      </w:r>
      <w:r>
        <w:rPr>
          <w:rFonts w:ascii="Arial" w:cs="Arial" w:eastAsia="Arial" w:hAnsi="Arial"/>
          <w:sz w:val="14"/>
          <w:szCs w:val="14"/>
          <w:u w:val="single" w:color="auto"/>
          <w:color w:val="auto"/>
        </w:rPr>
        <w:t>Section 12(b)</w:t>
      </w:r>
      <w:r>
        <w:rPr>
          <w:rFonts w:ascii="Arial" w:cs="Arial" w:eastAsia="Arial" w:hAnsi="Arial"/>
          <w:sz w:val="14"/>
          <w:szCs w:val="14"/>
          <w:color w:val="auto"/>
        </w:rPr>
        <w:t xml:space="preserve"> to such Member shall be treated as taxable income allocated to such Member by the Company, a tax distribution shall be made with respect to such allocations, and any and all tax distributions to an exercising Warrantholder (whether made pursuant to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12(c)</w:t>
      </w:r>
      <w:r>
        <w:rPr>
          <w:rFonts w:ascii="Arial" w:cs="Arial" w:eastAsia="Arial" w:hAnsi="Arial"/>
          <w:sz w:val="14"/>
          <w:szCs w:val="14"/>
          <w:color w:val="auto"/>
        </w:rPr>
        <w:t xml:space="preserve"> or the Operating Agreement) shall be computed in accordance with the Operating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92" w:name="page393"/>
    <w:bookmarkEnd w:id="392"/>
    <w:p>
      <w:pPr>
        <w:jc w:val="both"/>
        <w:spacing w:after="0" w:line="281" w:lineRule="auto"/>
        <w:rPr>
          <w:sz w:val="20"/>
          <w:szCs w:val="20"/>
          <w:color w:val="auto"/>
        </w:rPr>
      </w:pPr>
      <w:r>
        <w:rPr>
          <w:rFonts w:ascii="Arial" w:cs="Arial" w:eastAsia="Arial" w:hAnsi="Arial"/>
          <w:sz w:val="13"/>
          <w:szCs w:val="13"/>
          <w:color w:val="auto"/>
        </w:rPr>
        <w:t xml:space="preserve">Agreement. If, pursuant to a Final Determination or otherwise, the Warrantholder is allocated taxable income with respect to this Agreement in respect of any period prior to exercise hereof and such Warrantholder has not otherwise received a tax distribution under the Operating Agreement with respect to such amounts, and/or if the Warrantholder is, with respect to any period prior to exercise hereof, treated by federal or state tax authorities as a Member and the Units issuable upon exercise hereof treated as outstanding pursuant to Treasury Regulation 1.761-3 and/or any corresponding applicable state tax regulation, then promptly upon making such required allocation of taxable income to the Warrantholder or receipt of the Warrantholder’s written notice of such Final Determination, as applicable, the Company shall indemnify the Warrantholder from and against, and shall either make a payment to all appropriate taxing authorities (if required) in satisfaction of, or shall make a distribution of cash to the Warrantholder to cover, such Warrantholder’s aggregate federal and state tax liabilities in respect of such amount of taxable income or treatment (which shall include, without limitation, (x) all interest, penalties and fines thereon, (y) and all penalties, fines and interest thereon, if any, in respect of the Warrantholder’s liability for failure to file tax returns in all applicable jurisdictions with respect to such periods for which such taxing authorities treat the Warrantholder as the owner of the Units, and (z) all amounts necessary for the Warrantholder to satisfy its aggregate federal and state tax liabilities in respect of such Company payments or distributions to the Warrantholder), and such payment or distribution shall be made prior to making any other subsequent distributions under the Operating Agreement. For the avoidance of doubt, any tax distributions to, or indemnification payments on behalf of, a Warrantholder made pursuant to this Section 12(c) or, as applicable, in accordance with Section 7.03 of the Operating Agreement applied in conjunction with this Section 12(c), will be treated for purposes of the Operating Agreement as advances on distributions pursuant to Section 7.02(a)(i) and Section 13.03(c)(iii) of the Operating Agreement and will reduce, dollar-for-dollar, the amount otherwise Distributable to such Member pursuant to Section 7.02(a)(i) and Section 13.03(c)(iii) of the Operating Agreement. Notwithstanding the foregoing, this </w:t>
      </w:r>
      <w:r>
        <w:rPr>
          <w:rFonts w:ascii="Arial" w:cs="Arial" w:eastAsia="Arial" w:hAnsi="Arial"/>
          <w:sz w:val="13"/>
          <w:szCs w:val="13"/>
          <w:u w:val="single" w:color="auto"/>
          <w:color w:val="auto"/>
        </w:rPr>
        <w:t>Section 12(c)</w:t>
      </w:r>
      <w:r>
        <w:rPr>
          <w:rFonts w:ascii="Arial" w:cs="Arial" w:eastAsia="Arial" w:hAnsi="Arial"/>
          <w:sz w:val="13"/>
          <w:szCs w:val="13"/>
          <w:color w:val="auto"/>
        </w:rPr>
        <w:t xml:space="preserve"> shall not apply with respect to income to the Warrantholder from its sale or other disposition of this Agreement or of any securities issued on exercise hereof.</w:t>
      </w:r>
    </w:p>
    <w:p>
      <w:pPr>
        <w:spacing w:after="0" w:line="139" w:lineRule="exact"/>
        <w:rPr>
          <w:sz w:val="20"/>
          <w:szCs w:val="20"/>
          <w:color w:val="auto"/>
        </w:rPr>
      </w:pPr>
    </w:p>
    <w:p>
      <w:pPr>
        <w:jc w:val="both"/>
        <w:ind w:firstLine="1042"/>
        <w:spacing w:after="0" w:line="273" w:lineRule="auto"/>
        <w:tabs>
          <w:tab w:leader="none" w:pos="1520"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Conversion Liability</w:t>
      </w:r>
      <w:r>
        <w:rPr>
          <w:rFonts w:ascii="Arial" w:cs="Arial" w:eastAsia="Arial" w:hAnsi="Arial"/>
          <w:sz w:val="14"/>
          <w:szCs w:val="14"/>
          <w:color w:val="auto"/>
        </w:rPr>
        <w:t xml:space="preserve">. Notwithstanding anything to the contrary in this </w:t>
      </w:r>
      <w:r>
        <w:rPr>
          <w:rFonts w:ascii="Arial" w:cs="Arial" w:eastAsia="Arial" w:hAnsi="Arial"/>
          <w:sz w:val="14"/>
          <w:szCs w:val="14"/>
          <w:u w:val="single" w:color="auto"/>
          <w:color w:val="auto"/>
        </w:rPr>
        <w:t>Section 12,</w:t>
      </w:r>
      <w:r>
        <w:rPr>
          <w:rFonts w:ascii="Arial" w:cs="Arial" w:eastAsia="Arial" w:hAnsi="Arial"/>
          <w:sz w:val="14"/>
          <w:szCs w:val="14"/>
          <w:color w:val="auto"/>
        </w:rPr>
        <w:t xml:space="preserve"> the Company’s obligations under </w:t>
      </w:r>
      <w:r>
        <w:rPr>
          <w:rFonts w:ascii="Arial" w:cs="Arial" w:eastAsia="Arial" w:hAnsi="Arial"/>
          <w:sz w:val="14"/>
          <w:szCs w:val="14"/>
          <w:u w:val="single" w:color="auto"/>
          <w:color w:val="auto"/>
        </w:rPr>
        <w:t>Section 12(c)</w:t>
      </w:r>
      <w:r>
        <w:rPr>
          <w:rFonts w:ascii="Arial" w:cs="Arial" w:eastAsia="Arial" w:hAnsi="Arial"/>
          <w:sz w:val="14"/>
          <w:szCs w:val="14"/>
          <w:color w:val="auto"/>
        </w:rPr>
        <w:t xml:space="preserve"> above shall not apply to any tax liability or obligation of the Warrantholder under the Code or Treasury Regulations (or applicable state tax laws or regulations) arising upon and by reason of any Company (or any such successor entity’s) reorganization, conversion, tax election or the like following which the Company (or any successor entity) is taxed as a corporation under the Code.</w:t>
      </w:r>
    </w:p>
    <w:p>
      <w:pPr>
        <w:spacing w:after="0" w:line="141" w:lineRule="exact"/>
        <w:rPr>
          <w:rFonts w:ascii="Arial" w:cs="Arial" w:eastAsia="Arial" w:hAnsi="Arial"/>
          <w:sz w:val="14"/>
          <w:szCs w:val="14"/>
          <w:color w:val="auto"/>
        </w:rPr>
      </w:pPr>
    </w:p>
    <w:p>
      <w:pPr>
        <w:ind w:firstLine="1042"/>
        <w:spacing w:after="0" w:line="288" w:lineRule="auto"/>
        <w:tabs>
          <w:tab w:leader="none" w:pos="1512"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The provisions of this </w:t>
      </w:r>
      <w:r>
        <w:rPr>
          <w:rFonts w:ascii="Arial" w:cs="Arial" w:eastAsia="Arial" w:hAnsi="Arial"/>
          <w:sz w:val="14"/>
          <w:szCs w:val="14"/>
          <w:u w:val="single" w:color="auto"/>
          <w:color w:val="auto"/>
        </w:rPr>
        <w:t>Section 12</w:t>
      </w:r>
      <w:r>
        <w:rPr>
          <w:rFonts w:ascii="Arial" w:cs="Arial" w:eastAsia="Arial" w:hAnsi="Arial"/>
          <w:sz w:val="14"/>
          <w:szCs w:val="14"/>
          <w:color w:val="auto"/>
        </w:rPr>
        <w:t xml:space="preserve"> shall survive (i) the exercise of this Agreement and the sale or other disposition by the Warrantholder of the Units, and (ii) the expiration or earlier termination of this Agreement.</w:t>
      </w:r>
    </w:p>
    <w:p>
      <w:pPr>
        <w:spacing w:after="0" w:line="128" w:lineRule="exact"/>
        <w:rPr>
          <w:sz w:val="20"/>
          <w:szCs w:val="20"/>
          <w:color w:val="auto"/>
        </w:rPr>
      </w:pPr>
    </w:p>
    <w:p>
      <w:pPr>
        <w:ind w:left="520"/>
        <w:spacing w:after="0"/>
        <w:tabs>
          <w:tab w:leader="none" w:pos="1480" w:val="left"/>
        </w:tabs>
        <w:rPr>
          <w:sz w:val="20"/>
          <w:szCs w:val="20"/>
          <w:color w:val="auto"/>
        </w:rPr>
      </w:pPr>
      <w:r>
        <w:rPr>
          <w:rFonts w:ascii="Arial" w:cs="Arial" w:eastAsia="Arial" w:hAnsi="Arial"/>
          <w:sz w:val="14"/>
          <w:szCs w:val="14"/>
          <w:b w:val="1"/>
          <w:bCs w:val="1"/>
          <w:color w:val="auto"/>
        </w:rPr>
        <w:t>SECTION 13.</w:t>
        <w:tab/>
        <w:t>MISCELLANEOUS.</w:t>
      </w:r>
    </w:p>
    <w:p>
      <w:pPr>
        <w:spacing w:after="0" w:line="188" w:lineRule="exact"/>
        <w:rPr>
          <w:sz w:val="20"/>
          <w:szCs w:val="20"/>
          <w:color w:val="auto"/>
        </w:rPr>
      </w:pPr>
    </w:p>
    <w:p>
      <w:pPr>
        <w:ind w:firstLine="1042"/>
        <w:spacing w:after="0" w:line="288" w:lineRule="auto"/>
        <w:tabs>
          <w:tab w:leader="none" w:pos="1541" w:val="left"/>
        </w:tabs>
        <w:numPr>
          <w:ilvl w:val="0"/>
          <w:numId w:val="249"/>
        </w:numPr>
        <w:rPr>
          <w:rFonts w:ascii="Arial" w:cs="Arial" w:eastAsia="Arial" w:hAnsi="Arial"/>
          <w:sz w:val="14"/>
          <w:szCs w:val="14"/>
          <w:color w:val="auto"/>
        </w:rPr>
      </w:pPr>
      <w:r>
        <w:rPr>
          <w:rFonts w:ascii="Arial" w:cs="Arial" w:eastAsia="Arial" w:hAnsi="Arial"/>
          <w:sz w:val="14"/>
          <w:szCs w:val="14"/>
          <w:u w:val="single" w:color="auto"/>
          <w:color w:val="auto"/>
        </w:rPr>
        <w:t>Effective Date</w:t>
      </w:r>
      <w:r>
        <w:rPr>
          <w:rFonts w:ascii="Arial" w:cs="Arial" w:eastAsia="Arial" w:hAnsi="Arial"/>
          <w:sz w:val="14"/>
          <w:szCs w:val="14"/>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93" w:name="page394"/>
    <w:bookmarkEnd w:id="393"/>
    <w:p>
      <w:pPr>
        <w:jc w:val="both"/>
        <w:ind w:firstLine="1042"/>
        <w:spacing w:after="0" w:line="294" w:lineRule="auto"/>
        <w:tabs>
          <w:tab w:leader="none" w:pos="1527" w:val="left"/>
        </w:tabs>
        <w:numPr>
          <w:ilvl w:val="0"/>
          <w:numId w:val="250"/>
        </w:numPr>
        <w:rPr>
          <w:rFonts w:ascii="Arial" w:cs="Arial" w:eastAsia="Arial" w:hAnsi="Arial"/>
          <w:sz w:val="13"/>
          <w:szCs w:val="13"/>
          <w:color w:val="auto"/>
        </w:rPr>
      </w:pPr>
      <w:r>
        <w:rPr>
          <w:rFonts w:ascii="Arial" w:cs="Arial" w:eastAsia="Arial" w:hAnsi="Arial"/>
          <w:sz w:val="13"/>
          <w:szCs w:val="13"/>
          <w:u w:val="single" w:color="auto"/>
          <w:color w:val="auto"/>
        </w:rPr>
        <w:t>Remedies</w:t>
      </w:r>
      <w:r>
        <w:rPr>
          <w:rFonts w:ascii="Arial" w:cs="Arial" w:eastAsia="Arial" w:hAnsi="Arial"/>
          <w:sz w:val="13"/>
          <w:szCs w:val="13"/>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 The Company expressly agrees that it shall not oppose an application by the Warrantholder or any other person entitled to the benefit of this Agreement requiring specific performance of any or all provisions hereof or enjoining the Company from continuing to commit any such breach of this Agreement.</w:t>
      </w:r>
    </w:p>
    <w:p>
      <w:pPr>
        <w:spacing w:after="0" w:line="130" w:lineRule="exact"/>
        <w:rPr>
          <w:rFonts w:ascii="Arial" w:cs="Arial" w:eastAsia="Arial" w:hAnsi="Arial"/>
          <w:sz w:val="13"/>
          <w:szCs w:val="13"/>
          <w:color w:val="auto"/>
        </w:rPr>
      </w:pPr>
    </w:p>
    <w:p>
      <w:pPr>
        <w:jc w:val="both"/>
        <w:ind w:firstLine="1042"/>
        <w:spacing w:after="0" w:line="273" w:lineRule="auto"/>
        <w:tabs>
          <w:tab w:leader="none" w:pos="1512"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No Impairment of Rights</w:t>
      </w:r>
      <w:r>
        <w:rPr>
          <w:rFonts w:ascii="Arial" w:cs="Arial" w:eastAsia="Arial" w:hAnsi="Arial"/>
          <w:sz w:val="14"/>
          <w:szCs w:val="14"/>
          <w:color w:val="auto"/>
        </w:rPr>
        <w:t>. The Company will not, by amendment of its Organizational Documents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141" w:lineRule="exact"/>
        <w:rPr>
          <w:rFonts w:ascii="Arial" w:cs="Arial" w:eastAsia="Arial" w:hAnsi="Arial"/>
          <w:sz w:val="14"/>
          <w:szCs w:val="14"/>
          <w:color w:val="auto"/>
        </w:rPr>
      </w:pPr>
    </w:p>
    <w:p>
      <w:pPr>
        <w:jc w:val="both"/>
        <w:ind w:firstLine="1042"/>
        <w:spacing w:after="0" w:line="290" w:lineRule="auto"/>
        <w:tabs>
          <w:tab w:leader="none" w:pos="1520" w:val="left"/>
        </w:tabs>
        <w:numPr>
          <w:ilvl w:val="0"/>
          <w:numId w:val="250"/>
        </w:numPr>
        <w:rPr>
          <w:rFonts w:ascii="Arial" w:cs="Arial" w:eastAsia="Arial" w:hAnsi="Arial"/>
          <w:sz w:val="13"/>
          <w:szCs w:val="13"/>
          <w:color w:val="auto"/>
        </w:rPr>
      </w:pPr>
      <w:r>
        <w:rPr>
          <w:rFonts w:ascii="Arial" w:cs="Arial" w:eastAsia="Arial" w:hAnsi="Arial"/>
          <w:sz w:val="13"/>
          <w:szCs w:val="13"/>
          <w:u w:val="single" w:color="auto"/>
          <w:color w:val="auto"/>
        </w:rPr>
        <w:t>Additional Documents</w:t>
      </w:r>
      <w:r>
        <w:rPr>
          <w:rFonts w:ascii="Arial" w:cs="Arial" w:eastAsia="Arial" w:hAnsi="Arial"/>
          <w:sz w:val="13"/>
          <w:szCs w:val="13"/>
          <w:color w:val="auto"/>
        </w:rPr>
        <w:t>. The Company, upon execution of this Agreement, shall provide the Warrantholder with certified resolutions of the Company’s Board of Managers evidencing approval of the form and content of this Agreement and the authorization and reservation of Units that may become issuable upon exercise of this Warrant. The Company shall also supply documentation reasonably necessary to evaluate whether to exercise this Agreement, including without limitation, (i) any merger/purchase/asset sale agreement and related documents and estimated payout allocations to each of the respective Members, warrant and option holders in connection with a Merger Event, (ii) the most recent capitalization tables, 409A valuations (if any), and board determination of unit value (including any waterfall or per unit allocations provided to the unitholders), and (iii) most recent Organizational Documents.</w:t>
      </w:r>
    </w:p>
    <w:p>
      <w:pPr>
        <w:spacing w:after="0" w:line="46" w:lineRule="exact"/>
        <w:rPr>
          <w:rFonts w:ascii="Arial" w:cs="Arial" w:eastAsia="Arial" w:hAnsi="Arial"/>
          <w:sz w:val="13"/>
          <w:szCs w:val="13"/>
          <w:color w:val="auto"/>
        </w:rPr>
      </w:pPr>
    </w:p>
    <w:p>
      <w:pPr>
        <w:jc w:val="both"/>
        <w:ind w:firstLine="1042"/>
        <w:spacing w:after="0" w:line="265" w:lineRule="auto"/>
        <w:tabs>
          <w:tab w:leader="none" w:pos="1519"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Attorney’s Fees</w:t>
      </w:r>
      <w:r>
        <w:rPr>
          <w:rFonts w:ascii="Arial" w:cs="Arial" w:eastAsia="Arial" w:hAnsi="Arial"/>
          <w:sz w:val="14"/>
          <w:szCs w:val="14"/>
          <w:color w:val="auto"/>
        </w:rPr>
        <w:t>. In any litigation, arbitration or court proceeding between the Company and the Warrantholder relating hereto, the prevailing party shall be entitled to attorneys’ fees and expenses and all costs of proceedings incurred in enforcing this Agreement. For the purposes of this Section 13(e),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60" w:lineRule="exact"/>
        <w:rPr>
          <w:rFonts w:ascii="Arial" w:cs="Arial" w:eastAsia="Arial" w:hAnsi="Arial"/>
          <w:sz w:val="14"/>
          <w:szCs w:val="14"/>
          <w:color w:val="auto"/>
        </w:rPr>
      </w:pPr>
    </w:p>
    <w:p>
      <w:pPr>
        <w:jc w:val="both"/>
        <w:ind w:firstLine="1042"/>
        <w:spacing w:after="0" w:line="273" w:lineRule="auto"/>
        <w:tabs>
          <w:tab w:leader="none" w:pos="1524"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41" w:lineRule="exact"/>
        <w:rPr>
          <w:rFonts w:ascii="Arial" w:cs="Arial" w:eastAsia="Arial" w:hAnsi="Arial"/>
          <w:sz w:val="14"/>
          <w:szCs w:val="14"/>
          <w:color w:val="auto"/>
        </w:rPr>
      </w:pPr>
    </w:p>
    <w:p>
      <w:pPr>
        <w:jc w:val="both"/>
        <w:ind w:firstLine="1042"/>
        <w:spacing w:after="0" w:line="273" w:lineRule="auto"/>
        <w:tabs>
          <w:tab w:leader="none" w:pos="1520" w:val="left"/>
        </w:tabs>
        <w:numPr>
          <w:ilvl w:val="0"/>
          <w:numId w:val="250"/>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the day of transmission by facsimile or hand delivery if transmission or delivery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94" w:name="page395"/>
    <w:bookmarkEnd w:id="394"/>
    <w:p>
      <w:pPr>
        <w:jc w:val="both"/>
        <w:spacing w:after="0" w:line="273" w:lineRule="auto"/>
        <w:rPr>
          <w:sz w:val="20"/>
          <w:szCs w:val="20"/>
          <w:color w:val="auto"/>
        </w:rPr>
      </w:pPr>
      <w:r>
        <w:rPr>
          <w:rFonts w:ascii="Arial" w:cs="Arial" w:eastAsia="Arial" w:hAnsi="Arial"/>
          <w:sz w:val="14"/>
          <w:szCs w:val="14"/>
          <w:color w:val="auto"/>
        </w:rPr>
        <w:t>occurs on a business day at or before 5:00 pm in the time zone of the recipient, or, if transmission or delivery occurs on a non-business day or after such time, the first business day thereafter, or the first business day after deposit with an overnight express service or overnight mail delivery service; or (ii) the third (3rd) calendar day after deposit in the United States mails, with proper first class postage prepaid, and shall be addressed to the party to be notified as follows: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the Warrantholder:</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HERCULES TECHNOLOGY MANAGEMENT CO II, INC. Legal Department</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Chief Legal Officer and R. Bryan Jadot</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400 Hamilton Avenue, Suite 310</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Palo Alto, CA 94301</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Facsimile: 650-473-9194</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 650-289-3060</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4"/>
          <w:szCs w:val="14"/>
          <w:u w:val="single" w:color="auto"/>
          <w:color w:val="auto"/>
        </w:rPr>
        <w:t>With a copy to (which shall not constitute notice):</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Barnes &amp; Thornburg LLP</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Troy Zander</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655 W. Broadway, Suite 900</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San Diego, C A 92101</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 (650) 260-4767</w:t>
      </w:r>
    </w:p>
    <w:p>
      <w:pPr>
        <w:spacing w:after="0" w:line="175" w:lineRule="exact"/>
        <w:rPr>
          <w:sz w:val="20"/>
          <w:szCs w:val="20"/>
          <w:color w:val="auto"/>
        </w:rPr>
      </w:pPr>
    </w:p>
    <w:p>
      <w:pPr>
        <w:ind w:left="860" w:hanging="336"/>
        <w:spacing w:after="0"/>
        <w:tabs>
          <w:tab w:leader="none" w:pos="86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If to the Company:</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CENTURY THERAPEUTICS, LLC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Douglas Carr</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3675 Market Street</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Philadelphia, PA 19104</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Facsimile:</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With a copy to (which shall not constitute notice):</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Troutman Pepper Hamilton Sanders LLP</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Attention: Rachael Bushey and Kathryn Nordick</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Eighteenth and Arch Streets</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Philadelphia, PA 19103-2799</w:t>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Telephone: (215)981-4379</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or to such other address as each party may designate for itself by like notice.</w:t>
      </w:r>
    </w:p>
    <w:p>
      <w:pPr>
        <w:spacing w:after="0" w:line="184" w:lineRule="exact"/>
        <w:rPr>
          <w:sz w:val="20"/>
          <w:szCs w:val="20"/>
          <w:color w:val="auto"/>
        </w:rPr>
      </w:pPr>
    </w:p>
    <w:p>
      <w:pPr>
        <w:ind w:firstLine="1042"/>
        <w:spacing w:after="0" w:line="329" w:lineRule="auto"/>
        <w:tabs>
          <w:tab w:leader="none" w:pos="1520" w:val="left"/>
        </w:tabs>
        <w:numPr>
          <w:ilvl w:val="0"/>
          <w:numId w:val="252"/>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Amendments.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95" w:name="page396"/>
    <w:bookmarkEnd w:id="395"/>
    <w:p>
      <w:pPr>
        <w:spacing w:after="0"/>
        <w:rPr>
          <w:sz w:val="20"/>
          <w:szCs w:val="20"/>
          <w:color w:val="auto"/>
        </w:rPr>
      </w:pPr>
      <w:r>
        <w:rPr>
          <w:rFonts w:ascii="Arial" w:cs="Arial" w:eastAsia="Arial" w:hAnsi="Arial"/>
          <w:sz w:val="13"/>
          <w:szCs w:val="13"/>
          <w:color w:val="auto"/>
        </w:rPr>
        <w:t>including the Warrantholder’s proposal letter dated June 23, 2020. None of the terms of this Agreement may be amended except by an instrument executed by each of the parties hereto.</w:t>
      </w:r>
    </w:p>
    <w:p>
      <w:pPr>
        <w:spacing w:after="0" w:line="196" w:lineRule="exact"/>
        <w:rPr>
          <w:sz w:val="20"/>
          <w:szCs w:val="20"/>
          <w:color w:val="auto"/>
        </w:rPr>
      </w:pPr>
    </w:p>
    <w:p>
      <w:pPr>
        <w:ind w:left="1520" w:hanging="478"/>
        <w:spacing w:after="0"/>
        <w:tabs>
          <w:tab w:leader="none" w:pos="1520"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The various headings in this Agreement are inserted for convenience only and shall not affect the meaning or interpretation of this Agreement or any</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provisions hereof.</w:t>
      </w:r>
    </w:p>
    <w:p>
      <w:pPr>
        <w:spacing w:after="0" w:line="174" w:lineRule="exact"/>
        <w:rPr>
          <w:rFonts w:ascii="Arial" w:cs="Arial" w:eastAsia="Arial" w:hAnsi="Arial"/>
          <w:sz w:val="13"/>
          <w:szCs w:val="13"/>
          <w:color w:val="auto"/>
        </w:rPr>
      </w:pPr>
    </w:p>
    <w:p>
      <w:pPr>
        <w:jc w:val="both"/>
        <w:ind w:firstLine="1042"/>
        <w:spacing w:after="0" w:line="273" w:lineRule="auto"/>
        <w:tabs>
          <w:tab w:leader="none" w:pos="1517"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No Strict Construction</w:t>
      </w:r>
      <w:r>
        <w:rPr>
          <w:rFonts w:ascii="Arial" w:cs="Arial" w:eastAsia="Arial" w:hAnsi="Arial"/>
          <w:sz w:val="14"/>
          <w:szCs w:val="14"/>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41" w:lineRule="exact"/>
        <w:rPr>
          <w:rFonts w:ascii="Arial" w:cs="Arial" w:eastAsia="Arial" w:hAnsi="Arial"/>
          <w:sz w:val="14"/>
          <w:szCs w:val="14"/>
          <w:color w:val="auto"/>
        </w:rPr>
      </w:pPr>
    </w:p>
    <w:p>
      <w:pPr>
        <w:jc w:val="both"/>
        <w:ind w:firstLine="1042"/>
        <w:spacing w:after="0" w:line="273" w:lineRule="auto"/>
        <w:tabs>
          <w:tab w:leader="none" w:pos="152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w:t>
      </w:r>
    </w:p>
    <w:p>
      <w:pPr>
        <w:spacing w:after="0" w:line="141" w:lineRule="exact"/>
        <w:rPr>
          <w:rFonts w:ascii="Arial" w:cs="Arial" w:eastAsia="Arial" w:hAnsi="Arial"/>
          <w:sz w:val="14"/>
          <w:szCs w:val="14"/>
          <w:color w:val="auto"/>
        </w:rPr>
      </w:pPr>
    </w:p>
    <w:p>
      <w:pPr>
        <w:ind w:firstLine="1042"/>
        <w:spacing w:after="0" w:line="288" w:lineRule="auto"/>
        <w:tabs>
          <w:tab w:leader="none" w:pos="1517"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131" w:lineRule="exact"/>
        <w:rPr>
          <w:rFonts w:ascii="Arial" w:cs="Arial" w:eastAsia="Arial" w:hAnsi="Arial"/>
          <w:sz w:val="14"/>
          <w:szCs w:val="14"/>
          <w:color w:val="auto"/>
        </w:rPr>
      </w:pPr>
    </w:p>
    <w:p>
      <w:pPr>
        <w:jc w:val="both"/>
        <w:ind w:firstLine="1042"/>
        <w:spacing w:after="0" w:line="303" w:lineRule="auto"/>
        <w:tabs>
          <w:tab w:leader="none" w:pos="1531"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has been negotiated and delivered to the Warrantholder in the State of California, and shall have been accepted by the Warrantholder in the State of California. Delivery of Units to the Warrantholder by the Company under this Agreement is due in the State of California. This Agreement shall be governed by, and construed and enforced in accordance with, the laws of the State of Delaware, excluding conflict of laws principles that would cause the application of laws of any other jurisdiction.</w:t>
      </w:r>
    </w:p>
    <w:p>
      <w:pPr>
        <w:spacing w:after="0" w:line="124" w:lineRule="exact"/>
        <w:rPr>
          <w:rFonts w:ascii="Arial" w:cs="Arial" w:eastAsia="Arial" w:hAnsi="Arial"/>
          <w:sz w:val="13"/>
          <w:szCs w:val="13"/>
          <w:color w:val="auto"/>
        </w:rPr>
      </w:pPr>
    </w:p>
    <w:p>
      <w:pPr>
        <w:jc w:val="both"/>
        <w:ind w:firstLine="1042"/>
        <w:spacing w:after="0" w:line="262" w:lineRule="auto"/>
        <w:tabs>
          <w:tab w:leader="none" w:pos="1520"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Consent to Jurisdiction and Venue</w:t>
      </w:r>
      <w:r>
        <w:rPr>
          <w:rFonts w:ascii="Arial" w:cs="Arial" w:eastAsia="Arial" w:hAnsi="Arial"/>
          <w:sz w:val="14"/>
          <w:szCs w:val="14"/>
          <w:color w:val="auto"/>
        </w:rPr>
        <w:t xml:space="preserve">.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w:t>
      </w:r>
      <w:r>
        <w:rPr>
          <w:rFonts w:ascii="Arial" w:cs="Arial" w:eastAsia="Arial" w:hAnsi="Arial"/>
          <w:sz w:val="14"/>
          <w:szCs w:val="14"/>
          <w:u w:val="single" w:color="auto"/>
          <w:color w:val="auto"/>
        </w:rPr>
        <w:t>Section 13(g),</w:t>
      </w:r>
      <w:r>
        <w:rPr>
          <w:rFonts w:ascii="Arial" w:cs="Arial" w:eastAsia="Arial" w:hAnsi="Arial"/>
          <w:sz w:val="14"/>
          <w:szCs w:val="14"/>
          <w:color w:val="auto"/>
        </w:rPr>
        <w:t xml:space="preserve"> and shall be deemed effective and received as set forth in </w:t>
      </w:r>
      <w:r>
        <w:rPr>
          <w:rFonts w:ascii="Arial" w:cs="Arial" w:eastAsia="Arial" w:hAnsi="Arial"/>
          <w:sz w:val="14"/>
          <w:szCs w:val="14"/>
          <w:u w:val="single" w:color="auto"/>
          <w:color w:val="auto"/>
        </w:rPr>
        <w:t>Section 13(g)</w:t>
      </w:r>
      <w:r>
        <w:rPr>
          <w:rFonts w:ascii="Arial" w:cs="Arial" w:eastAsia="Arial" w:hAnsi="Arial"/>
          <w:sz w:val="14"/>
          <w:szCs w:val="14"/>
          <w:color w:val="auto"/>
        </w:rPr>
        <w:t>. Nothing herein shall affect the right to serve process in any other manner permitted by law or shall limit the right of either party to bring proceedings in the courts of any other jurisdiction.</w:t>
      </w:r>
    </w:p>
    <w:p>
      <w:pPr>
        <w:spacing w:after="0" w:line="150" w:lineRule="exact"/>
        <w:rPr>
          <w:rFonts w:ascii="Arial" w:cs="Arial" w:eastAsia="Arial" w:hAnsi="Arial"/>
          <w:sz w:val="14"/>
          <w:szCs w:val="14"/>
          <w:color w:val="auto"/>
        </w:rPr>
      </w:pPr>
    </w:p>
    <w:p>
      <w:pPr>
        <w:ind w:left="1520" w:hanging="478"/>
        <w:spacing w:after="0"/>
        <w:tabs>
          <w:tab w:leader="none" w:pos="1520"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Mutual Waiver of Jury Trial</w:t>
      </w:r>
      <w:r>
        <w:rPr>
          <w:rFonts w:ascii="Arial" w:cs="Arial" w:eastAsia="Arial" w:hAnsi="Arial"/>
          <w:sz w:val="13"/>
          <w:szCs w:val="13"/>
          <w:color w:val="auto"/>
        </w:rPr>
        <w:t>. Because disputes arising in connection with complex financial transactions are most quickly and economically resolved by an experienced</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96" w:name="page397"/>
    <w:bookmarkEnd w:id="396"/>
    <w:p>
      <w:pPr>
        <w:jc w:val="both"/>
        <w:spacing w:after="0" w:line="263" w:lineRule="auto"/>
        <w:rPr>
          <w:sz w:val="20"/>
          <w:szCs w:val="20"/>
          <w:color w:val="auto"/>
        </w:rPr>
      </w:pPr>
      <w:r>
        <w:rPr>
          <w:rFonts w:ascii="Arial" w:cs="Arial" w:eastAsia="Arial" w:hAnsi="Arial"/>
          <w:sz w:val="14"/>
          <w:szCs w:val="14"/>
          <w:color w:val="auto"/>
        </w:rPr>
        <w:t>expert person and the parties wish applicable state and federal laws to apply (rather than arbitration rules), the parties desire that their disputes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This waiver extends to all such Claims, including Claims that involve persons other than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150" w:lineRule="exact"/>
        <w:rPr>
          <w:sz w:val="20"/>
          <w:szCs w:val="20"/>
          <w:color w:val="auto"/>
        </w:rPr>
      </w:pPr>
    </w:p>
    <w:p>
      <w:pPr>
        <w:jc w:val="both"/>
        <w:ind w:firstLine="1042"/>
        <w:spacing w:after="0" w:line="303" w:lineRule="auto"/>
        <w:tabs>
          <w:tab w:leader="none" w:pos="1520" w:val="left"/>
        </w:tabs>
        <w:numPr>
          <w:ilvl w:val="0"/>
          <w:numId w:val="254"/>
        </w:numPr>
        <w:rPr>
          <w:rFonts w:ascii="Arial" w:cs="Arial" w:eastAsia="Arial" w:hAnsi="Arial"/>
          <w:sz w:val="13"/>
          <w:szCs w:val="13"/>
          <w:color w:val="auto"/>
        </w:rPr>
      </w:pPr>
      <w:r>
        <w:rPr>
          <w:rFonts w:ascii="Arial" w:cs="Arial" w:eastAsia="Arial" w:hAnsi="Arial"/>
          <w:sz w:val="13"/>
          <w:szCs w:val="13"/>
          <w:u w:val="single" w:color="auto"/>
          <w:color w:val="auto"/>
        </w:rPr>
        <w:t>Judicial Reference</w:t>
      </w:r>
      <w:r>
        <w:rPr>
          <w:rFonts w:ascii="Arial" w:cs="Arial" w:eastAsia="Arial" w:hAnsi="Arial"/>
          <w:sz w:val="13"/>
          <w:szCs w:val="13"/>
          <w:color w:val="auto"/>
        </w:rPr>
        <w:t>. If the waiver of jury trial set forth above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Santa Clara County, California. Such proceeding shall be conducted in Santa Clara County, California, with California rules of evidence and discovery applicable to such proceeding.</w:t>
      </w:r>
    </w:p>
    <w:p>
      <w:pPr>
        <w:spacing w:after="0" w:line="124" w:lineRule="exact"/>
        <w:rPr>
          <w:rFonts w:ascii="Arial" w:cs="Arial" w:eastAsia="Arial" w:hAnsi="Arial"/>
          <w:sz w:val="13"/>
          <w:szCs w:val="13"/>
          <w:color w:val="auto"/>
        </w:rPr>
      </w:pPr>
    </w:p>
    <w:p>
      <w:pPr>
        <w:jc w:val="both"/>
        <w:ind w:firstLine="1042"/>
        <w:spacing w:after="0" w:line="273" w:lineRule="auto"/>
        <w:tabs>
          <w:tab w:leader="none" w:pos="1520"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Prejudgment Relief</w:t>
      </w:r>
      <w:r>
        <w:rPr>
          <w:rFonts w:ascii="Arial" w:cs="Arial" w:eastAsia="Arial" w:hAnsi="Arial"/>
          <w:sz w:val="14"/>
          <w:szCs w:val="14"/>
          <w:color w:val="auto"/>
        </w:rPr>
        <w:t>. In the event Claims are to be resolved by arbitration, either party may seek from a court of competent jurisdiction identified in Section 13(n), any prejudgment order, writ or other relief and have such prejudgment order, writ or other relief enforced to the fullest extent permitted by law notwithstanding that all Claims are otherwise subject to resolution by judicial reference.</w:t>
      </w:r>
    </w:p>
    <w:p>
      <w:pPr>
        <w:spacing w:after="0" w:line="141" w:lineRule="exact"/>
        <w:rPr>
          <w:rFonts w:ascii="Arial" w:cs="Arial" w:eastAsia="Arial" w:hAnsi="Arial"/>
          <w:sz w:val="14"/>
          <w:szCs w:val="14"/>
          <w:color w:val="auto"/>
        </w:rPr>
      </w:pPr>
    </w:p>
    <w:p>
      <w:pPr>
        <w:ind w:firstLine="1042"/>
        <w:spacing w:after="0" w:line="329" w:lineRule="auto"/>
        <w:tabs>
          <w:tab w:leader="none" w:pos="1524" w:val="left"/>
        </w:tabs>
        <w:numPr>
          <w:ilvl w:val="0"/>
          <w:numId w:val="254"/>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[Remainder of Page Intentionally Left Blank]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397" w:name="page398"/>
    <w:bookmarkEnd w:id="397"/>
    <w:p>
      <w:pPr>
        <w:ind w:left="520"/>
        <w:spacing w:after="0"/>
        <w:rPr>
          <w:sz w:val="20"/>
          <w:szCs w:val="20"/>
          <w:color w:val="auto"/>
        </w:rPr>
      </w:pPr>
      <w:r>
        <w:rPr>
          <w:rFonts w:ascii="Arial" w:cs="Arial" w:eastAsia="Arial" w:hAnsi="Arial"/>
          <w:sz w:val="14"/>
          <w:szCs w:val="14"/>
          <w:color w:val="auto"/>
        </w:rPr>
        <w:t>[SIGNATURE PAGE TO WARRANT AGREEMENT TO PURCHASE UNITS]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WITNESS WHEREOF, the parties hereto have caused this Agreement to be executed by its officers thereunto duly authorized as of the Effective Date.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20"/>
                <w:szCs w:val="20"/>
                <w:color w:val="auto"/>
              </w:rPr>
            </w:pPr>
            <w:r>
              <w:rPr>
                <w:rFonts w:ascii="Arial" w:cs="Arial" w:eastAsia="Arial" w:hAnsi="Arial"/>
                <w:sz w:val="14"/>
                <w:szCs w:val="14"/>
                <w:color w:val="auto"/>
              </w:rPr>
              <w:t>COMPANY:</w:t>
            </w:r>
          </w:p>
        </w:tc>
        <w:tc>
          <w:tcPr>
            <w:tcW w:w="5880" w:type="dxa"/>
            <w:vAlign w:val="bottom"/>
            <w:gridSpan w:val="2"/>
          </w:tcPr>
          <w:p>
            <w:pPr>
              <w:ind w:left="1940"/>
              <w:spacing w:after="0"/>
              <w:rPr>
                <w:sz w:val="20"/>
                <w:szCs w:val="20"/>
                <w:color w:val="auto"/>
              </w:rPr>
            </w:pPr>
            <w:r>
              <w:rPr>
                <w:rFonts w:ascii="Arial" w:cs="Arial" w:eastAsia="Arial" w:hAnsi="Arial"/>
                <w:sz w:val="14"/>
                <w:szCs w:val="14"/>
                <w:color w:val="auto"/>
              </w:rPr>
              <w:t>CENTURY THERAPEUTICS, LLC</w:t>
            </w:r>
          </w:p>
        </w:tc>
      </w:tr>
      <w:tr>
        <w:trPr>
          <w:trHeight w:val="345"/>
        </w:trPr>
        <w:tc>
          <w:tcPr>
            <w:tcW w:w="326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Arial" w:cs="Arial" w:eastAsia="Arial" w:hAnsi="Arial"/>
                <w:sz w:val="14"/>
                <w:szCs w:val="14"/>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Douglas Carr</w:t>
            </w:r>
          </w:p>
        </w:tc>
      </w:tr>
      <w:tr>
        <w:trPr>
          <w:trHeight w:val="154"/>
        </w:trPr>
        <w:tc>
          <w:tcPr>
            <w:tcW w:w="3260" w:type="dxa"/>
            <w:vAlign w:val="bottom"/>
          </w:tcPr>
          <w:p>
            <w:pPr>
              <w:spacing w:after="0"/>
              <w:rPr>
                <w:sz w:val="13"/>
                <w:szCs w:val="13"/>
                <w:color w:val="auto"/>
              </w:rPr>
            </w:pPr>
          </w:p>
        </w:tc>
        <w:tc>
          <w:tcPr>
            <w:tcW w:w="2500" w:type="dxa"/>
            <w:vAlign w:val="bottom"/>
          </w:tcPr>
          <w:p>
            <w:pPr>
              <w:ind w:left="1940"/>
              <w:spacing w:after="0" w:line="154" w:lineRule="exact"/>
              <w:rPr>
                <w:sz w:val="20"/>
                <w:szCs w:val="20"/>
                <w:color w:val="auto"/>
              </w:rPr>
            </w:pPr>
            <w:r>
              <w:rPr>
                <w:rFonts w:ascii="Arial" w:cs="Arial" w:eastAsia="Arial" w:hAnsi="Arial"/>
                <w:sz w:val="14"/>
                <w:szCs w:val="14"/>
                <w:color w:val="auto"/>
              </w:rPr>
              <w:t>Name:</w:t>
            </w:r>
          </w:p>
        </w:tc>
        <w:tc>
          <w:tcPr>
            <w:tcW w:w="3380" w:type="dxa"/>
            <w:vAlign w:val="bottom"/>
          </w:tcPr>
          <w:p>
            <w:pPr>
              <w:spacing w:after="0" w:line="154" w:lineRule="exact"/>
              <w:rPr>
                <w:sz w:val="20"/>
                <w:szCs w:val="20"/>
                <w:color w:val="auto"/>
              </w:rPr>
            </w:pPr>
            <w:r>
              <w:rPr>
                <w:rFonts w:ascii="Arial" w:cs="Arial" w:eastAsia="Arial" w:hAnsi="Arial"/>
                <w:sz w:val="14"/>
                <w:szCs w:val="14"/>
                <w:color w:val="auto"/>
              </w:rPr>
              <w:t>Douglas Carr</w:t>
            </w:r>
          </w:p>
        </w:tc>
      </w:tr>
      <w:tr>
        <w:trPr>
          <w:trHeight w:val="182"/>
        </w:trPr>
        <w:tc>
          <w:tcPr>
            <w:tcW w:w="3260" w:type="dxa"/>
            <w:vAlign w:val="bottom"/>
          </w:tcPr>
          <w:p>
            <w:pPr>
              <w:spacing w:after="0"/>
              <w:rPr>
                <w:sz w:val="15"/>
                <w:szCs w:val="15"/>
                <w:color w:val="auto"/>
              </w:rPr>
            </w:pPr>
          </w:p>
        </w:tc>
        <w:tc>
          <w:tcPr>
            <w:tcW w:w="2500" w:type="dxa"/>
            <w:vAlign w:val="bottom"/>
          </w:tcPr>
          <w:p>
            <w:pPr>
              <w:ind w:left="1940"/>
              <w:spacing w:after="0"/>
              <w:rPr>
                <w:sz w:val="20"/>
                <w:szCs w:val="20"/>
                <w:color w:val="auto"/>
              </w:rPr>
            </w:pPr>
            <w:r>
              <w:rPr>
                <w:rFonts w:ascii="Arial" w:cs="Arial" w:eastAsia="Arial" w:hAnsi="Arial"/>
                <w:sz w:val="14"/>
                <w:szCs w:val="14"/>
                <w:color w:val="auto"/>
              </w:rPr>
              <w:t>Title:</w:t>
            </w:r>
          </w:p>
        </w:tc>
        <w:tc>
          <w:tcPr>
            <w:tcW w:w="3380" w:type="dxa"/>
            <w:vAlign w:val="bottom"/>
          </w:tcPr>
          <w:p>
            <w:pPr>
              <w:spacing w:after="0"/>
              <w:rPr>
                <w:sz w:val="20"/>
                <w:szCs w:val="20"/>
                <w:color w:val="auto"/>
              </w:rPr>
            </w:pPr>
            <w:r>
              <w:rPr>
                <w:rFonts w:ascii="Arial" w:cs="Arial" w:eastAsia="Arial" w:hAnsi="Arial"/>
                <w:sz w:val="14"/>
                <w:szCs w:val="14"/>
                <w:color w:val="auto"/>
              </w:rPr>
              <w:t>Vice President Finance &amp; Operations</w:t>
            </w:r>
          </w:p>
        </w:tc>
      </w:tr>
      <w:tr>
        <w:trPr>
          <w:trHeight w:val="518"/>
        </w:trPr>
        <w:tc>
          <w:tcPr>
            <w:tcW w:w="3260" w:type="dxa"/>
            <w:vAlign w:val="bottom"/>
          </w:tcPr>
          <w:p>
            <w:pPr>
              <w:spacing w:after="0"/>
              <w:rPr>
                <w:sz w:val="20"/>
                <w:szCs w:val="20"/>
                <w:color w:val="auto"/>
              </w:rPr>
            </w:pPr>
            <w:r>
              <w:rPr>
                <w:rFonts w:ascii="Arial" w:cs="Arial" w:eastAsia="Arial" w:hAnsi="Arial"/>
                <w:sz w:val="14"/>
                <w:szCs w:val="14"/>
                <w:color w:val="auto"/>
              </w:rPr>
              <w:t>WARRANTHOLDER:</w:t>
            </w:r>
          </w:p>
        </w:tc>
        <w:tc>
          <w:tcPr>
            <w:tcW w:w="5880" w:type="dxa"/>
            <w:vAlign w:val="bottom"/>
            <w:gridSpan w:val="2"/>
          </w:tcPr>
          <w:p>
            <w:pPr>
              <w:ind w:left="1940"/>
              <w:spacing w:after="0"/>
              <w:rPr>
                <w:sz w:val="20"/>
                <w:szCs w:val="20"/>
                <w:color w:val="auto"/>
              </w:rPr>
            </w:pPr>
            <w:r>
              <w:rPr>
                <w:rFonts w:ascii="Arial" w:cs="Arial" w:eastAsia="Arial" w:hAnsi="Arial"/>
                <w:sz w:val="14"/>
                <w:szCs w:val="14"/>
                <w:color w:val="auto"/>
              </w:rPr>
              <w:t>HERCULES TECHNOLOGY MANAGEMENT CO II, INC.</w:t>
            </w:r>
          </w:p>
        </w:tc>
      </w:tr>
      <w:tr>
        <w:trPr>
          <w:trHeight w:val="345"/>
        </w:trPr>
        <w:tc>
          <w:tcPr>
            <w:tcW w:w="326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Arial" w:cs="Arial" w:eastAsia="Arial" w:hAnsi="Arial"/>
                <w:sz w:val="14"/>
                <w:szCs w:val="14"/>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Jennifer Choe</w:t>
            </w:r>
          </w:p>
        </w:tc>
      </w:tr>
      <w:tr>
        <w:trPr>
          <w:trHeight w:val="165"/>
        </w:trPr>
        <w:tc>
          <w:tcPr>
            <w:tcW w:w="3260" w:type="dxa"/>
            <w:vAlign w:val="bottom"/>
          </w:tcPr>
          <w:p>
            <w:pPr>
              <w:spacing w:after="0"/>
              <w:rPr>
                <w:sz w:val="14"/>
                <w:szCs w:val="14"/>
                <w:color w:val="auto"/>
              </w:rPr>
            </w:pPr>
          </w:p>
        </w:tc>
        <w:tc>
          <w:tcPr>
            <w:tcW w:w="2500" w:type="dxa"/>
            <w:vAlign w:val="bottom"/>
          </w:tcPr>
          <w:p>
            <w:pPr>
              <w:ind w:left="1940"/>
              <w:spacing w:after="0"/>
              <w:rPr>
                <w:sz w:val="20"/>
                <w:szCs w:val="20"/>
                <w:color w:val="auto"/>
              </w:rPr>
            </w:pPr>
            <w:r>
              <w:rPr>
                <w:rFonts w:ascii="Arial" w:cs="Arial" w:eastAsia="Arial" w:hAnsi="Arial"/>
                <w:sz w:val="14"/>
                <w:szCs w:val="14"/>
                <w:color w:val="auto"/>
              </w:rPr>
              <w:t>Name: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Jennifer Choe</w:t>
            </w:r>
          </w:p>
        </w:tc>
      </w:tr>
      <w:tr>
        <w:trPr>
          <w:trHeight w:val="163"/>
        </w:trPr>
        <w:tc>
          <w:tcPr>
            <w:tcW w:w="3260" w:type="dxa"/>
            <w:vAlign w:val="bottom"/>
          </w:tcPr>
          <w:p>
            <w:pPr>
              <w:spacing w:after="0"/>
              <w:rPr>
                <w:sz w:val="14"/>
                <w:szCs w:val="14"/>
                <w:color w:val="auto"/>
              </w:rPr>
            </w:pPr>
          </w:p>
        </w:tc>
        <w:tc>
          <w:tcPr>
            <w:tcW w:w="2500" w:type="dxa"/>
            <w:vAlign w:val="bottom"/>
          </w:tcPr>
          <w:p>
            <w:pPr>
              <w:ind w:left="1940"/>
              <w:spacing w:after="0"/>
              <w:rPr>
                <w:sz w:val="20"/>
                <w:szCs w:val="20"/>
                <w:color w:val="auto"/>
              </w:rPr>
            </w:pPr>
            <w:r>
              <w:rPr>
                <w:rFonts w:ascii="Arial" w:cs="Arial" w:eastAsia="Arial" w:hAnsi="Arial"/>
                <w:sz w:val="14"/>
                <w:szCs w:val="14"/>
                <w:color w:val="auto"/>
              </w:rPr>
              <w:t>Title: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Associate General Counsel</w:t>
            </w:r>
          </w:p>
        </w:tc>
      </w:tr>
    </w:tbl>
    <w:p>
      <w:pPr>
        <w:spacing w:after="0" w:line="157" w:lineRule="exact"/>
        <w:rPr>
          <w:sz w:val="20"/>
          <w:szCs w:val="20"/>
          <w:color w:val="auto"/>
        </w:rPr>
      </w:pPr>
    </w:p>
    <w:p>
      <w:pPr>
        <w:ind w:left="4680"/>
        <w:spacing w:after="0"/>
        <w:rPr>
          <w:sz w:val="20"/>
          <w:szCs w:val="20"/>
          <w:color w:val="auto"/>
        </w:rPr>
      </w:pPr>
      <w:r>
        <w:rPr>
          <w:rFonts w:ascii="Arial" w:cs="Arial" w:eastAsia="Arial" w:hAnsi="Arial"/>
          <w:sz w:val="12"/>
          <w:szCs w:val="12"/>
          <w:b w:val="1"/>
          <w:bCs w:val="1"/>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962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582" w:right="1440" w:bottom="1440" w:gutter="0" w:footer="0" w:header="0"/>
        </w:sectPr>
      </w:pPr>
    </w:p>
    <w:bookmarkStart w:id="398" w:name="page399"/>
    <w:bookmarkEnd w:id="398"/>
    <w:p>
      <w:pPr>
        <w:jc w:val="center"/>
        <w:spacing w:after="0"/>
        <w:rPr>
          <w:sz w:val="20"/>
          <w:szCs w:val="20"/>
          <w:color w:val="auto"/>
        </w:rPr>
      </w:pPr>
      <w:r>
        <w:rPr>
          <w:rFonts w:ascii="Arial" w:cs="Arial" w:eastAsia="Arial" w:hAnsi="Arial"/>
          <w:sz w:val="14"/>
          <w:szCs w:val="14"/>
          <w:b w:val="1"/>
          <w:bCs w:val="1"/>
          <w:color w:val="auto"/>
        </w:rPr>
        <w:t>EXHIBIT 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EXERCISE</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CENTURY THERAPEUTICS, LLC</w:t>
      </w:r>
    </w:p>
    <w:p>
      <w:pPr>
        <w:spacing w:after="0" w:line="184" w:lineRule="exact"/>
        <w:rPr>
          <w:sz w:val="20"/>
          <w:szCs w:val="20"/>
          <w:color w:val="auto"/>
        </w:rPr>
      </w:pPr>
    </w:p>
    <w:p>
      <w:pPr>
        <w:jc w:val="both"/>
        <w:ind w:left="520" w:hanging="514"/>
        <w:spacing w:after="0" w:line="303" w:lineRule="auto"/>
        <w:tabs>
          <w:tab w:leader="none" w:pos="5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The undersigned Warrantholder hereby elects to purchase to purchase [________] Units of CENTURY THERAPEUTICS, LLC, pursuant to the terms of the Warrant Agreement dated September 14, 2020 (the “</w:t>
      </w:r>
      <w:r>
        <w:rPr>
          <w:rFonts w:ascii="Arial" w:cs="Arial" w:eastAsia="Arial" w:hAnsi="Arial"/>
          <w:sz w:val="13"/>
          <w:szCs w:val="13"/>
          <w:u w:val="single" w:color="auto"/>
          <w:color w:val="auto"/>
        </w:rPr>
        <w:t>Agreement</w:t>
      </w:r>
      <w:r>
        <w:rPr>
          <w:rFonts w:ascii="Arial" w:cs="Arial" w:eastAsia="Arial" w:hAnsi="Arial"/>
          <w:sz w:val="13"/>
          <w:szCs w:val="13"/>
          <w:color w:val="auto"/>
        </w:rPr>
        <w:t>”) between CENTURY THERAPEUTICS, LLC and the Warrantholder, and [CASH PAYMENT: tenders herewith payment of the Purchase Price in full, together with all applicable transfer taxes, if any.] [NET ISSUANCE: elects pursuant to Section 3(a) of the Agreement to effect a Net Issuance.]</w:t>
      </w:r>
    </w:p>
    <w:p>
      <w:pPr>
        <w:spacing w:after="0" w:line="124" w:lineRule="exact"/>
        <w:rPr>
          <w:rFonts w:ascii="Arial" w:cs="Arial" w:eastAsia="Arial" w:hAnsi="Arial"/>
          <w:sz w:val="13"/>
          <w:szCs w:val="13"/>
          <w:color w:val="auto"/>
        </w:rPr>
      </w:pPr>
    </w:p>
    <w:p>
      <w:pPr>
        <w:ind w:left="520" w:hanging="514"/>
        <w:spacing w:after="0"/>
        <w:tabs>
          <w:tab w:leader="none" w:pos="52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Please issue a certificate or certificates representing said Units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233680</wp:posOffset>
            </wp:positionV>
            <wp:extent cx="2507615"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507615" cy="6985"/>
                    </a:xfrm>
                    <a:prstGeom prst="rect">
                      <a:avLst/>
                    </a:prstGeom>
                    <a:noFill/>
                  </pic:spPr>
                </pic:pic>
              </a:graphicData>
            </a:graphic>
          </wp:anchor>
        </w:drawing>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103505</wp:posOffset>
            </wp:positionV>
            <wp:extent cx="2507615"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507615" cy="6985"/>
                    </a:xfrm>
                    <a:prstGeom prst="rect">
                      <a:avLst/>
                    </a:prstGeom>
                    <a:noFill/>
                  </pic:spPr>
                </pic:pic>
              </a:graphicData>
            </a:graphic>
          </wp:anchor>
        </w:drawing>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22" w:lineRule="exact"/>
        <w:rPr>
          <w:sz w:val="20"/>
          <w:szCs w:val="20"/>
          <w:color w:val="auto"/>
        </w:rPr>
      </w:pPr>
    </w:p>
    <w:p>
      <w:pPr>
        <w:spacing w:after="0"/>
        <w:tabs>
          <w:tab w:leader="none" w:pos="5180" w:val="left"/>
        </w:tabs>
        <w:rPr>
          <w:sz w:val="20"/>
          <w:szCs w:val="20"/>
          <w:color w:val="auto"/>
        </w:rPr>
      </w:pPr>
      <w:r>
        <w:rPr>
          <w:rFonts w:ascii="Arial" w:cs="Arial" w:eastAsia="Arial" w:hAnsi="Arial"/>
          <w:sz w:val="14"/>
          <w:szCs w:val="14"/>
          <w:color w:val="auto"/>
        </w:rPr>
        <w:t>WARRANTHOLDER:</w:t>
      </w:r>
      <w:r>
        <w:rPr>
          <w:sz w:val="20"/>
          <w:szCs w:val="20"/>
          <w:color w:val="auto"/>
        </w:rPr>
        <w:tab/>
      </w:r>
      <w:r>
        <w:rPr>
          <w:rFonts w:ascii="Arial" w:cs="Arial" w:eastAsia="Arial" w:hAnsi="Arial"/>
          <w:sz w:val="14"/>
          <w:szCs w:val="14"/>
          <w:color w:val="auto"/>
        </w:rPr>
        <w:t>HERCULES TECHNOLOGY MANAGEMENT CO II, INC.</w:t>
      </w:r>
    </w:p>
    <w:p>
      <w:pPr>
        <w:spacing w:after="0" w:line="184"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-100965</wp:posOffset>
            </wp:positionV>
            <wp:extent cx="214439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4439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-94615</wp:posOffset>
            </wp:positionV>
            <wp:extent cx="2144395"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44395" cy="6985"/>
                    </a:xfrm>
                    <a:prstGeom prst="rect">
                      <a:avLst/>
                    </a:prstGeom>
                    <a:noFill/>
                  </pic:spPr>
                </pic:pic>
              </a:graphicData>
            </a:graphic>
          </wp:anchor>
        </w:drawing>
      </w:r>
    </w:p>
    <w:p>
      <w:pPr>
        <w:spacing w:after="0" w:line="2"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20955</wp:posOffset>
            </wp:positionV>
            <wp:extent cx="2144395"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144395" cy="6985"/>
                    </a:xfrm>
                    <a:prstGeom prst="rect">
                      <a:avLst/>
                    </a:prstGeom>
                    <a:noFill/>
                  </pic:spPr>
                </pic:pic>
              </a:graphicData>
            </a:graphic>
          </wp:anchor>
        </w:drawing>
        <w:drawing>
          <wp:anchor simplePos="0" relativeHeight="251657728" behindDoc="1" locked="0" layoutInCell="0" allowOverlap="1">
            <wp:simplePos x="0" y="0"/>
            <wp:positionH relativeFrom="column">
              <wp:posOffset>3662680</wp:posOffset>
            </wp:positionH>
            <wp:positionV relativeFrom="paragraph">
              <wp:posOffset>-94615</wp:posOffset>
            </wp:positionV>
            <wp:extent cx="2144395"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4439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247015</wp:posOffset>
            </wp:positionV>
            <wp:extent cx="7159625"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78" w:right="319" w:bottom="1440" w:gutter="0" w:footer="0" w:header="0"/>
        </w:sectPr>
      </w:pPr>
    </w:p>
    <w:bookmarkStart w:id="399" w:name="page400"/>
    <w:bookmarkEnd w:id="399"/>
    <w:p>
      <w:pPr>
        <w:jc w:val="center"/>
        <w:ind w:right="-19"/>
        <w:spacing w:after="0"/>
        <w:rPr>
          <w:sz w:val="20"/>
          <w:szCs w:val="20"/>
          <w:color w:val="auto"/>
        </w:rPr>
      </w:pPr>
      <w:r>
        <w:rPr>
          <w:rFonts w:ascii="Arial" w:cs="Arial" w:eastAsia="Arial" w:hAnsi="Arial"/>
          <w:sz w:val="14"/>
          <w:szCs w:val="14"/>
          <w:b w:val="1"/>
          <w:bCs w:val="1"/>
          <w:color w:val="auto"/>
        </w:rPr>
        <w:t>EXHIBIT 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ACKNOWLEDGMENT OF EXERCISE</w:t>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The undersigned CENTURY THERAPEUTICS, LLC, hereby acknowledges receipt of the Notice of Exercise from HERCULES TECHNOLOGY MANAGEMENT CO II, INC. (“Warrantholder”) to purchase [________] Units of CENTURY THERAPEUTICS, LLC, pursuant to the terms of the Warrant Agreement by and between CENTURY THERAPEUTICS, LLC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Warrantholder, dated as of September 14, 2020 (the “</w:t>
      </w:r>
      <w:r>
        <w:rPr>
          <w:rFonts w:ascii="Arial" w:cs="Arial" w:eastAsia="Arial" w:hAnsi="Arial"/>
          <w:sz w:val="13"/>
          <w:szCs w:val="13"/>
          <w:u w:val="single" w:color="auto"/>
          <w:color w:val="auto"/>
        </w:rPr>
        <w:t>Agreement</w:t>
      </w:r>
      <w:r>
        <w:rPr>
          <w:rFonts w:ascii="Arial" w:cs="Arial" w:eastAsia="Arial" w:hAnsi="Arial"/>
          <w:sz w:val="13"/>
          <w:szCs w:val="13"/>
          <w:color w:val="auto"/>
        </w:rPr>
        <w:t>”), and further acknowledges that [_________________] units remain subject to purchase under the terms of the Agreement.</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COMPANY: CENTURY THERAPEUTICS, LLC</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13970</wp:posOffset>
            </wp:positionV>
            <wp:extent cx="328866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7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13970</wp:posOffset>
            </wp:positionV>
            <wp:extent cx="328866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7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13970</wp:posOffset>
            </wp:positionV>
            <wp:extent cx="328866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28866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240030</wp:posOffset>
            </wp:positionV>
            <wp:extent cx="7159625"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78" w:right="31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4"/>
          <w:szCs w:val="14"/>
          <w:b w:val="1"/>
          <w:bCs w:val="1"/>
          <w:color w:val="auto"/>
        </w:rPr>
        <w:t>EXHIBIT III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TRANSFER NOTICE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 transfer or assign the foregoing Agreement execute this form and supply required information. Do not use this form to purchase units.)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VALUE RECEIVED, the foregoing Agreement and all rights evidenced thereby are hereby transferred and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233680</wp:posOffset>
            </wp:positionV>
            <wp:extent cx="672846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728460" cy="6985"/>
                    </a:xfrm>
                    <a:prstGeom prst="rect">
                      <a:avLst/>
                    </a:prstGeom>
                    <a:noFill/>
                  </pic:spPr>
                </pic:pic>
              </a:graphicData>
            </a:graphic>
          </wp:anchor>
        </w:drawing>
      </w:r>
    </w:p>
    <w:p>
      <w:pPr>
        <w:spacing w:after="0" w:line="34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(Please Print)</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219710</wp:posOffset>
            </wp:positionV>
            <wp:extent cx="672846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728460" cy="6985"/>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13970</wp:posOffset>
            </wp:positionV>
            <wp:extent cx="579628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796280" cy="698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13970</wp:posOffset>
            </wp:positionV>
            <wp:extent cx="2644775"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44775" cy="6985"/>
                    </a:xfrm>
                    <a:prstGeom prst="rect">
                      <a:avLst/>
                    </a:prstGeom>
                    <a:noFill/>
                  </pic:spPr>
                </pic:pic>
              </a:graphicData>
            </a:graphic>
          </wp:anchor>
        </w:drawing>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13970</wp:posOffset>
            </wp:positionV>
            <wp:extent cx="264477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644775" cy="6985"/>
                    </a:xfrm>
                    <a:prstGeom prst="rect">
                      <a:avLst/>
                    </a:prstGeom>
                    <a:noFill/>
                  </pic:spPr>
                </pic:pic>
              </a:graphicData>
            </a:graphic>
          </wp:anchor>
        </w:drawing>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123825</wp:posOffset>
            </wp:positionV>
            <wp:extent cx="356933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569335" cy="6985"/>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13970</wp:posOffset>
            </wp:positionV>
            <wp:extent cx="264477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6447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Signature Guaranteed: _________________________________</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NOTE: The signature to this Transfer Notice must correspond with the name as it appears on the face of the Agreement, without alteration or enlargement or any change whatever.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Officers of corporations and those acting in a fiduciary or other representative capacity should file proper evidence of authority to assign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227330</wp:posOffset>
            </wp:positionV>
            <wp:extent cx="715962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78" w:right="31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4"/>
          <w:szCs w:val="14"/>
          <w:b w:val="1"/>
          <w:bCs w:val="1"/>
          <w:color w:val="auto"/>
        </w:rPr>
        <w:t>EXHIBIT IV</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JOINDER AGREEMENT</w:t>
      </w:r>
    </w:p>
    <w:p>
      <w:pPr>
        <w:spacing w:after="0" w:line="188"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4"/>
          <w:szCs w:val="14"/>
          <w:color w:val="auto"/>
        </w:rPr>
        <w:t>Reference is hereby made to the Amended and Restated Limited Liability Company Agreement of Century Therapeutics, LLC, dated June 21, 2019, as amended, restated and/or otherwise modified from time to time (the “</w:t>
      </w:r>
      <w:r>
        <w:rPr>
          <w:rFonts w:ascii="Arial" w:cs="Arial" w:eastAsia="Arial" w:hAnsi="Arial"/>
          <w:sz w:val="14"/>
          <w:szCs w:val="14"/>
          <w:u w:val="single" w:color="auto"/>
          <w:color w:val="auto"/>
        </w:rPr>
        <w:t>LLC Agreement</w:t>
      </w:r>
      <w:r>
        <w:rPr>
          <w:rFonts w:ascii="Arial" w:cs="Arial" w:eastAsia="Arial" w:hAnsi="Arial"/>
          <w:sz w:val="14"/>
          <w:szCs w:val="14"/>
          <w:color w:val="auto"/>
        </w:rPr>
        <w:t>”), among Century Therapeutics, LLC, a company organized under the laws of Delaware (the “</w:t>
      </w:r>
      <w:r>
        <w:rPr>
          <w:rFonts w:ascii="Arial" w:cs="Arial" w:eastAsia="Arial" w:hAnsi="Arial"/>
          <w:sz w:val="14"/>
          <w:szCs w:val="14"/>
          <w:u w:val="single" w:color="auto"/>
          <w:color w:val="auto"/>
        </w:rPr>
        <w:t>Company</w:t>
      </w:r>
      <w:r>
        <w:rPr>
          <w:rFonts w:ascii="Arial" w:cs="Arial" w:eastAsia="Arial" w:hAnsi="Arial"/>
          <w:sz w:val="14"/>
          <w:szCs w:val="14"/>
          <w:color w:val="auto"/>
        </w:rPr>
        <w:t>”), and the members of the Company that are party thereto. Pursuant to and in accordance with Section 4.01(b) of the LLC Agreement, the undersigned hereby acknowledges that it has received and reviewed a complete copy of the LLC Agreement and agrees that upon execution of this Joinder Agreement, such Person will become a party to the LLC Agreement and will be fully bound by, and subject to, all of the covenants, terms and conditions of the LLC Agreement as though an original party thereto and will be deemed, and is hereby admitted as, a Member for all purposes thereof and entitled to all the rights incidental thereto.</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Capitalized terms used herein without definition will have the meanings ascribed thereto in the LLC Agreement.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parties hereto have executed this Agreement as of [DATE].</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[NEW MEMBER]</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-100965</wp:posOffset>
            </wp:positionV>
            <wp:extent cx="2075815"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07581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962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78" w:right="319" w:bottom="1440" w:gutter="0" w:footer="0" w:header="0"/>
        </w:sectPr>
      </w:pPr>
    </w:p>
    <w:bookmarkStart w:id="402" w:name="page403"/>
    <w:bookmarkEnd w:id="402"/>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3820" w:type="dxa"/>
            <w:vAlign w:val="bottom"/>
            <w:gridSpan w:val="4"/>
          </w:tcPr>
          <w:p>
            <w:pPr>
              <w:jc w:val="right"/>
              <w:ind w:right="1860"/>
              <w:spacing w:after="0"/>
              <w:rPr>
                <w:sz w:val="20"/>
                <w:szCs w:val="20"/>
                <w:color w:val="auto"/>
              </w:rPr>
            </w:pPr>
            <w:r>
              <w:rPr>
                <w:rFonts w:ascii="Arial" w:cs="Arial" w:eastAsia="Arial" w:hAnsi="Arial"/>
                <w:sz w:val="14"/>
                <w:szCs w:val="14"/>
                <w:b w:val="1"/>
                <w:bCs w:val="1"/>
                <w:color w:val="auto"/>
              </w:rPr>
              <w:t>APPENDIX I</w:t>
            </w: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5"/>
        </w:trPr>
        <w:tc>
          <w:tcPr>
            <w:tcW w:w="4100" w:type="dxa"/>
            <w:vAlign w:val="bottom"/>
          </w:tcPr>
          <w:p>
            <w:pPr>
              <w:spacing w:after="0"/>
              <w:rPr>
                <w:sz w:val="24"/>
                <w:szCs w:val="24"/>
                <w:color w:val="auto"/>
              </w:rPr>
            </w:pPr>
          </w:p>
        </w:tc>
        <w:tc>
          <w:tcPr>
            <w:tcW w:w="382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CAPITALIZATION TABLE</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2"/>
        </w:trPr>
        <w:tc>
          <w:tcPr>
            <w:tcW w:w="4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Unit</w:t>
            </w:r>
          </w:p>
        </w:tc>
        <w:tc>
          <w:tcPr>
            <w:tcW w:w="158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Percentage</w:t>
            </w:r>
          </w:p>
        </w:tc>
      </w:tr>
      <w:tr>
        <w:trPr>
          <w:trHeight w:val="187"/>
        </w:trPr>
        <w:tc>
          <w:tcPr>
            <w:tcW w:w="410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Record Owners</w:t>
            </w:r>
          </w:p>
        </w:tc>
        <w:tc>
          <w:tcPr>
            <w:tcW w:w="17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Number of Units</w:t>
            </w:r>
          </w:p>
        </w:tc>
        <w:tc>
          <w:tcPr>
            <w:tcW w:w="3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Equivalents</w:t>
            </w:r>
          </w:p>
        </w:tc>
        <w:tc>
          <w:tcPr>
            <w:tcW w:w="3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r>
      <w:tr>
        <w:trPr>
          <w:trHeight w:val="17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Century Therapeutics, Inc.</w:t>
            </w:r>
          </w:p>
        </w:tc>
        <w:tc>
          <w:tcPr>
            <w:tcW w:w="3820" w:type="dxa"/>
            <w:vAlign w:val="bottom"/>
            <w:gridSpan w:val="4"/>
            <w:shd w:val="clear" w:color="auto" w:fill="CCEEFF"/>
          </w:tcPr>
          <w:p>
            <w:pPr>
              <w:jc w:val="right"/>
              <w:ind w:right="340"/>
              <w:spacing w:after="0"/>
              <w:rPr>
                <w:sz w:val="20"/>
                <w:szCs w:val="20"/>
                <w:color w:val="auto"/>
              </w:rPr>
            </w:pPr>
            <w:r>
              <w:rPr>
                <w:rFonts w:ascii="Arial" w:cs="Arial" w:eastAsia="Arial" w:hAnsi="Arial"/>
                <w:sz w:val="14"/>
                <w:szCs w:val="14"/>
                <w:color w:val="auto"/>
              </w:rPr>
              <w:t>67,226,891</w:t>
            </w:r>
          </w:p>
        </w:tc>
        <w:tc>
          <w:tcPr>
            <w:tcW w:w="1460" w:type="dxa"/>
            <w:vAlign w:val="bottom"/>
            <w:shd w:val="clear" w:color="auto" w:fill="CCEEFF"/>
          </w:tcPr>
          <w:p>
            <w:pPr>
              <w:jc w:val="right"/>
              <w:ind w:right="568"/>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6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Bayer Healthcare, LLC</w:t>
            </w:r>
          </w:p>
        </w:tc>
        <w:tc>
          <w:tcPr>
            <w:tcW w:w="17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26,143,790</w:t>
            </w:r>
          </w:p>
        </w:tc>
        <w:tc>
          <w:tcPr>
            <w:tcW w:w="34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r>
      <w:tr>
        <w:trPr>
          <w:trHeight w:val="163"/>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Reserved</w:t>
            </w:r>
          </w:p>
        </w:tc>
        <w:tc>
          <w:tcPr>
            <w:tcW w:w="1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15,598,186</w:t>
            </w:r>
          </w:p>
        </w:tc>
        <w:tc>
          <w:tcPr>
            <w:tcW w:w="34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121,620</w:t>
            </w:r>
          </w:p>
        </w:tc>
        <w:tc>
          <w:tcPr>
            <w:tcW w:w="32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108,968,867</w:t>
            </w:r>
          </w:p>
        </w:tc>
        <w:tc>
          <w:tcPr>
            <w:tcW w:w="3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121,620</w:t>
            </w:r>
          </w:p>
        </w:tc>
        <w:tc>
          <w:tcPr>
            <w:tcW w:w="32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bl>
    <w:p>
      <w:pPr>
        <w:spacing w:after="0" w:line="162"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Pursuant to the Commitment Agreement by and among the Company, Century Therapeutics, Inc. (“</w:t>
      </w:r>
      <w:r>
        <w:rPr>
          <w:rFonts w:ascii="Arial" w:cs="Arial" w:eastAsia="Arial" w:hAnsi="Arial"/>
          <w:sz w:val="13"/>
          <w:szCs w:val="13"/>
          <w:u w:val="single" w:color="auto"/>
          <w:color w:val="auto"/>
        </w:rPr>
        <w:t>Century</w:t>
      </w:r>
      <w:r>
        <w:rPr>
          <w:rFonts w:ascii="Arial" w:cs="Arial" w:eastAsia="Arial" w:hAnsi="Arial"/>
          <w:sz w:val="13"/>
          <w:szCs w:val="13"/>
          <w:color w:val="auto"/>
        </w:rPr>
        <w:t>”), and Bayer HealthCare, LLC (“</w:t>
      </w:r>
      <w:r>
        <w:rPr>
          <w:rFonts w:ascii="Arial" w:cs="Arial" w:eastAsia="Arial" w:hAnsi="Arial"/>
          <w:sz w:val="13"/>
          <w:szCs w:val="13"/>
          <w:u w:val="single" w:color="auto"/>
          <w:color w:val="auto"/>
        </w:rPr>
        <w:t>Bayer</w:t>
      </w:r>
      <w:r>
        <w:rPr>
          <w:rFonts w:ascii="Arial" w:cs="Arial" w:eastAsia="Arial" w:hAnsi="Arial"/>
          <w:sz w:val="13"/>
          <w:szCs w:val="13"/>
          <w:color w:val="auto"/>
        </w:rPr>
        <w:t>”), dated as of June 21, 2019 and as amended by that certain First Amendment to Commitment Agreement, the Company will issue 12,621,140 Units to Bayer promptly following the Second Tranche Closing (as defined therein).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Pursuant to Section 8.14 of the Operating Agreement, the Company will issue 2,855,426 Units to Century promptly following the Second Tranche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962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78" w:right="319" w:bottom="1440" w:gutter="0" w:footer="0" w:header="0"/>
        </w:sectPr>
      </w:pPr>
    </w:p>
    <w:bookmarkStart w:id="403" w:name="page404"/>
    <w:bookmarkEnd w:id="403"/>
    <w:p>
      <w:pPr>
        <w:jc w:val="center"/>
        <w:ind w:right="-1120"/>
        <w:spacing w:after="0"/>
        <w:rPr>
          <w:sz w:val="20"/>
          <w:szCs w:val="20"/>
          <w:color w:val="auto"/>
        </w:rPr>
      </w:pPr>
      <w:r>
        <w:rPr>
          <w:rFonts w:ascii="Arial" w:cs="Arial" w:eastAsia="Arial" w:hAnsi="Arial"/>
          <w:sz w:val="14"/>
          <w:szCs w:val="14"/>
          <w:b w:val="1"/>
          <w:bCs w:val="1"/>
          <w:color w:val="auto"/>
        </w:rPr>
        <w:t>SCHEDULE A</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UNITS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As of the Effective Date – 40,540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962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51" w:right="1440" w:bottom="1440" w:gutter="0" w:footer="0" w:header="0"/>
        </w:sectPr>
      </w:pPr>
    </w:p>
    <w:bookmarkStart w:id="404" w:name="page405"/>
    <w:bookmarkEnd w:id="404"/>
    <w:p>
      <w:pPr>
        <w:ind w:left="10380"/>
        <w:spacing w:after="0"/>
        <w:rPr>
          <w:sz w:val="20"/>
          <w:szCs w:val="20"/>
          <w:color w:val="auto"/>
        </w:rPr>
      </w:pPr>
      <w:r>
        <w:rPr>
          <w:rFonts w:ascii="Arial" w:cs="Arial" w:eastAsia="Arial" w:hAnsi="Arial"/>
          <w:sz w:val="14"/>
          <w:szCs w:val="14"/>
          <w:b w:val="1"/>
          <w:bCs w:val="1"/>
          <w:color w:val="auto"/>
        </w:rPr>
        <w:t>EXHIBIT 10.1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AGREEMENT</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THIS INDEMNIFICATION AGREEMENT (the “</w:t>
      </w:r>
      <w:r>
        <w:rPr>
          <w:rFonts w:ascii="Arial" w:cs="Arial" w:eastAsia="Arial" w:hAnsi="Arial"/>
          <w:sz w:val="13"/>
          <w:szCs w:val="13"/>
          <w:b w:val="1"/>
          <w:bCs w:val="1"/>
          <w:color w:val="auto"/>
        </w:rPr>
        <w:t>Agreement</w:t>
      </w:r>
      <w:r>
        <w:rPr>
          <w:rFonts w:ascii="Arial" w:cs="Arial" w:eastAsia="Arial" w:hAnsi="Arial"/>
          <w:sz w:val="13"/>
          <w:szCs w:val="13"/>
          <w:color w:val="auto"/>
        </w:rPr>
        <w:t>”) is made and entered into as of [___________], 2020 between Century Therapeutics, LLC, a Delaware limited liability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company (the “</w:t>
      </w:r>
      <w:r>
        <w:rPr>
          <w:rFonts w:ascii="Arial" w:cs="Arial" w:eastAsia="Arial" w:hAnsi="Arial"/>
          <w:sz w:val="14"/>
          <w:szCs w:val="14"/>
          <w:b w:val="1"/>
          <w:bCs w:val="1"/>
          <w:color w:val="auto"/>
        </w:rPr>
        <w:t>Company</w:t>
      </w:r>
      <w:r>
        <w:rPr>
          <w:rFonts w:ascii="Arial" w:cs="Arial" w:eastAsia="Arial" w:hAnsi="Arial"/>
          <w:sz w:val="14"/>
          <w:szCs w:val="14"/>
          <w:color w:val="auto"/>
        </w:rPr>
        <w:t>”), and [___________] (“</w:t>
      </w:r>
      <w:r>
        <w:rPr>
          <w:rFonts w:ascii="Arial" w:cs="Arial" w:eastAsia="Arial" w:hAnsi="Arial"/>
          <w:sz w:val="14"/>
          <w:szCs w:val="14"/>
          <w:b w:val="1"/>
          <w:bCs w:val="1"/>
          <w:color w:val="auto"/>
        </w:rPr>
        <w:t>Indemnitee</w:t>
      </w:r>
      <w:r>
        <w:rPr>
          <w:rFonts w:ascii="Arial" w:cs="Arial" w:eastAsia="Arial" w:hAnsi="Arial"/>
          <w:sz w:val="14"/>
          <w:szCs w:val="14"/>
          <w:color w:val="auto"/>
        </w:rPr>
        <w: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WITNESSETH THAT:</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highly competent persons have become more reluctant to serve companies as managers or in other capacities unless they are provided with adequate protection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insurance or adequate indemnification against inordinate risks of claims and actions against them arising out of their service to and activities on behalf of the company;</w:t>
      </w:r>
    </w:p>
    <w:p>
      <w:pPr>
        <w:spacing w:after="0" w:line="123"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Board of Managers of the Company (the “</w:t>
      </w:r>
      <w:r>
        <w:rPr>
          <w:rFonts w:ascii="Arial" w:cs="Arial" w:eastAsia="Arial" w:hAnsi="Arial"/>
          <w:sz w:val="13"/>
          <w:szCs w:val="13"/>
          <w:b w:val="1"/>
          <w:bCs w:val="1"/>
          <w:color w:val="auto"/>
        </w:rPr>
        <w:t>Board</w:t>
      </w:r>
      <w:r>
        <w:rPr>
          <w:rFonts w:ascii="Arial" w:cs="Arial" w:eastAsia="Arial" w:hAnsi="Arial"/>
          <w:sz w:val="13"/>
          <w:szCs w:val="13"/>
          <w:color w:val="auto"/>
        </w:rPr>
        <w:t>”) has determined that, in order to attract and retain qualified individuals to serve on the Board, the Company will</w:t>
      </w:r>
      <w:r>
        <w:rPr>
          <w:rFonts w:ascii="Arial" w:cs="Arial" w:eastAsia="Arial" w:hAnsi="Arial"/>
          <w:sz w:val="13"/>
          <w:szCs w:val="13"/>
          <w:b w:val="1"/>
          <w:bCs w:val="1"/>
          <w:color w:val="auto"/>
        </w:rPr>
        <w:t xml:space="preserve"> </w:t>
      </w:r>
      <w:r>
        <w:rPr>
          <w:rFonts w:ascii="Arial" w:cs="Arial" w:eastAsia="Arial" w:hAnsi="Arial"/>
          <w:sz w:val="13"/>
          <w:szCs w:val="13"/>
          <w:color w:val="auto"/>
        </w:rPr>
        <w:t>attempt to maintain on an ongoing basis, at its sole expense, liability insurance to protect persons serving the Company and its subsidiaries from certain liabilities. Although the furnishing of such insurance has been a customary and widespread practice among United States-based companies and other business enterprises, the Company believes that, given current market conditions and trends, such insurance may not be available to it on terms that the Company considers to be commercially reasonable or, if available to it on commercially reasonable terms during some period of time, may be available to it in the future only at higher premiums and with more exclusions. At the same time, managers, officers, and other persons in service to companies or business enterprises are being increasingly subjected to expensive and time-consuming litigation relating to, among other things, matters that traditionally would have been brought only against the Company or business enterprise itself. The Amended and Restated Limited Liability Company Agreement (as the same may be amended and/or restated from time to time, the “</w:t>
      </w:r>
      <w:r>
        <w:rPr>
          <w:rFonts w:ascii="Arial" w:cs="Arial" w:eastAsia="Arial" w:hAnsi="Arial"/>
          <w:sz w:val="13"/>
          <w:szCs w:val="13"/>
          <w:b w:val="1"/>
          <w:bCs w:val="1"/>
          <w:color w:val="auto"/>
        </w:rPr>
        <w:t>LLC Agreement</w:t>
      </w:r>
      <w:r>
        <w:rPr>
          <w:rFonts w:ascii="Arial" w:cs="Arial" w:eastAsia="Arial" w:hAnsi="Arial"/>
          <w:sz w:val="13"/>
          <w:szCs w:val="13"/>
          <w:color w:val="auto"/>
        </w:rPr>
        <w:t>”) of the Company requires indemnification of the officers and managers of the Company. Indemnitee may also be entitled to indemnification pursuant to the Delaware Limited Liability Company Act, 6 Del. C. §§ 18-101, et seq. (the “</w:t>
      </w:r>
      <w:r>
        <w:rPr>
          <w:rFonts w:ascii="Arial" w:cs="Arial" w:eastAsia="Arial" w:hAnsi="Arial"/>
          <w:sz w:val="13"/>
          <w:szCs w:val="13"/>
          <w:b w:val="1"/>
          <w:bCs w:val="1"/>
          <w:color w:val="auto"/>
        </w:rPr>
        <w:t>LLC Act</w:t>
      </w:r>
      <w:r>
        <w:rPr>
          <w:rFonts w:ascii="Arial" w:cs="Arial" w:eastAsia="Arial" w:hAnsi="Arial"/>
          <w:sz w:val="13"/>
          <w:szCs w:val="13"/>
          <w:color w:val="auto"/>
        </w:rPr>
        <w:t>”). The LLC Agreement and the LLC Act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uncertainties relating to such insurance and to indemnification have increased the difficulty of attracting and retaining such persons to serve on the Board;</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Board has determined that the increased difficulty in attracting and retaining such persons is detrimental to the best interests of the Company’s members and that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should act to assure such persons that there will be increased certainty of such protection in the future;</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it is reasonable, prudent and necessary for the Company contractually to obligate itself to indemnify, and to advance expenses on behalf of, such persons to the fullest extent</w:t>
      </w:r>
      <w:r>
        <w:rPr>
          <w:rFonts w:ascii="Arial" w:cs="Arial" w:eastAsia="Arial" w:hAnsi="Arial"/>
          <w:sz w:val="14"/>
          <w:szCs w:val="14"/>
          <w:b w:val="1"/>
          <w:bCs w:val="1"/>
          <w:color w:val="auto"/>
        </w:rPr>
        <w:t xml:space="preserve"> </w:t>
      </w:r>
      <w:r>
        <w:rPr>
          <w:rFonts w:ascii="Arial" w:cs="Arial" w:eastAsia="Arial" w:hAnsi="Arial"/>
          <w:sz w:val="14"/>
          <w:szCs w:val="14"/>
          <w:color w:val="auto"/>
        </w:rPr>
        <w:t>permitted by applicable law so that they will serve or continue to serve the Company free from undue concern that they will not be so indemnified;</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this Agreement is a supplement to and in furtherance of the LLC Agreement and any resolutions adopted pursuant thereto, and shall not be deemed a substitute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249555</wp:posOffset>
            </wp:positionV>
            <wp:extent cx="715962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405" w:name="page406"/>
    <w:bookmarkEnd w:id="405"/>
    <w:p>
      <w:pPr>
        <w:spacing w:after="0"/>
        <w:rPr>
          <w:sz w:val="20"/>
          <w:szCs w:val="20"/>
          <w:color w:val="auto"/>
        </w:rPr>
      </w:pPr>
      <w:r>
        <w:rPr>
          <w:rFonts w:ascii="Arial" w:cs="Arial" w:eastAsia="Arial" w:hAnsi="Arial"/>
          <w:sz w:val="14"/>
          <w:szCs w:val="14"/>
          <w:color w:val="auto"/>
        </w:rPr>
        <w:t>therefor, nor to diminish or abrogate any rights of Indemnitee thereunder;</w:t>
      </w:r>
    </w:p>
    <w:p>
      <w:pPr>
        <w:spacing w:after="0" w:line="180"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Indemnitee does not regard the protection available under the LLC Agreement and insurance as adequate in the present circumstances, and may not be willing to serve as a</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director/manager without adequate protection, and the Company desires Indemnitee to serve in such capacity. Indemnitee is willing to serve, continue to serve and to take on additional service for or on behalf of the Company on the condition that Indemnitee be so indemnified;</w:t>
      </w:r>
    </w:p>
    <w:p>
      <w:pPr>
        <w:spacing w:after="0" w:line="13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Indemnitee may have certain rights to indemnification and/or insurance provided by Indemnitee’s employer or other third parties and certain of their affiliates which is</w:t>
      </w:r>
      <w:r>
        <w:rPr>
          <w:rFonts w:ascii="Arial" w:cs="Arial" w:eastAsia="Arial" w:hAnsi="Arial"/>
          <w:sz w:val="14"/>
          <w:szCs w:val="14"/>
          <w:b w:val="1"/>
          <w:bCs w:val="1"/>
          <w:color w:val="auto"/>
        </w:rPr>
        <w:t xml:space="preserve"> </w:t>
      </w:r>
      <w:r>
        <w:rPr>
          <w:rFonts w:ascii="Arial" w:cs="Arial" w:eastAsia="Arial" w:hAnsi="Arial"/>
          <w:sz w:val="14"/>
          <w:szCs w:val="14"/>
          <w:color w:val="auto"/>
        </w:rPr>
        <w:t>intended to be secondary to the primary obligation of the Company to indemnify Indemnitee as provided herein, with the Company’s acknowledgement and agreement to the foregoing being a material condition to Indemnitee’s willingness to serve on the Board; and</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certain capitalized terms used herein are defined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13</w:t>
      </w:r>
      <w:r>
        <w:rPr>
          <w:rFonts w:ascii="Arial" w:cs="Arial" w:eastAsia="Arial" w:hAnsi="Arial"/>
          <w:sz w:val="14"/>
          <w:szCs w:val="14"/>
          <w:b w:val="1"/>
          <w:bCs w:val="1"/>
          <w:color w:val="auto"/>
        </w:rPr>
        <w:t xml:space="preserve"> </w:t>
      </w:r>
      <w:r>
        <w:rPr>
          <w:rFonts w:ascii="Arial" w:cs="Arial" w:eastAsia="Arial" w:hAnsi="Arial"/>
          <w:sz w:val="14"/>
          <w:szCs w:val="14"/>
          <w:color w:val="auto"/>
        </w:rPr>
        <w:t>hereof.</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Indemnitee’s agreement to serve or continue to serve, as applicable, as director/manager of the Company from and after the date hereof,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parties hereto, intending to be legally bound, hereby agree as follows:</w:t>
      </w:r>
    </w:p>
    <w:p>
      <w:pPr>
        <w:spacing w:after="0" w:line="127" w:lineRule="exact"/>
        <w:rPr>
          <w:sz w:val="20"/>
          <w:szCs w:val="20"/>
          <w:color w:val="auto"/>
        </w:rPr>
      </w:pPr>
    </w:p>
    <w:p>
      <w:pPr>
        <w:ind w:firstLine="524"/>
        <w:spacing w:after="0" w:line="288" w:lineRule="auto"/>
        <w:tabs>
          <w:tab w:leader="none" w:pos="920" w:val="left"/>
        </w:tabs>
        <w:numPr>
          <w:ilvl w:val="0"/>
          <w:numId w:val="256"/>
        </w:numPr>
        <w:rPr>
          <w:rFonts w:ascii="Arial" w:cs="Arial" w:eastAsia="Arial" w:hAnsi="Arial"/>
          <w:sz w:val="14"/>
          <w:szCs w:val="14"/>
          <w:color w:val="auto"/>
        </w:rPr>
      </w:pPr>
      <w:r>
        <w:rPr>
          <w:rFonts w:ascii="Arial" w:cs="Arial" w:eastAsia="Arial" w:hAnsi="Arial"/>
          <w:sz w:val="14"/>
          <w:szCs w:val="14"/>
          <w:u w:val="single" w:color="auto"/>
          <w:color w:val="auto"/>
        </w:rPr>
        <w:t>Indemnity of Indemnitee</w:t>
      </w:r>
      <w:r>
        <w:rPr>
          <w:rFonts w:ascii="Arial" w:cs="Arial" w:eastAsia="Arial" w:hAnsi="Arial"/>
          <w:sz w:val="14"/>
          <w:szCs w:val="14"/>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31" w:lineRule="exact"/>
        <w:rPr>
          <w:rFonts w:ascii="Arial" w:cs="Arial" w:eastAsia="Arial" w:hAnsi="Arial"/>
          <w:sz w:val="14"/>
          <w:szCs w:val="14"/>
          <w:color w:val="auto"/>
        </w:rPr>
      </w:pPr>
    </w:p>
    <w:p>
      <w:pPr>
        <w:jc w:val="both"/>
        <w:ind w:firstLine="938"/>
        <w:spacing w:after="0" w:line="290" w:lineRule="auto"/>
        <w:tabs>
          <w:tab w:leader="none" w:pos="1293" w:val="left"/>
        </w:tabs>
        <w:numPr>
          <w:ilvl w:val="1"/>
          <w:numId w:val="256"/>
        </w:numPr>
        <w:rPr>
          <w:rFonts w:ascii="Arial" w:cs="Arial" w:eastAsia="Arial" w:hAnsi="Arial"/>
          <w:sz w:val="13"/>
          <w:szCs w:val="13"/>
          <w:color w:val="auto"/>
        </w:rPr>
      </w:pPr>
      <w:r>
        <w:rPr>
          <w:rFonts w:ascii="Arial" w:cs="Arial" w:eastAsia="Arial" w:hAnsi="Arial"/>
          <w:sz w:val="13"/>
          <w:szCs w:val="13"/>
          <w:u w:val="single" w:color="auto"/>
          <w:color w:val="auto"/>
        </w:rPr>
        <w:t>Proceedings Other Than Proceedings by or in the Right of the Company</w:t>
      </w:r>
      <w:r>
        <w:rPr>
          <w:rFonts w:ascii="Arial" w:cs="Arial" w:eastAsia="Arial" w:hAnsi="Arial"/>
          <w:sz w:val="13"/>
          <w:szCs w:val="13"/>
          <w:color w:val="auto"/>
        </w:rPr>
        <w:t xml:space="preserve">. Indemnitee shall be entitled to the rights of indemnification provided in this </w:t>
      </w:r>
      <w:r>
        <w:rPr>
          <w:rFonts w:ascii="Arial" w:cs="Arial" w:eastAsia="Arial" w:hAnsi="Arial"/>
          <w:sz w:val="13"/>
          <w:szCs w:val="13"/>
          <w:u w:val="single" w:color="auto"/>
          <w:color w:val="auto"/>
        </w:rPr>
        <w:t>Section l(a)</w:t>
      </w:r>
      <w:r>
        <w:rPr>
          <w:rFonts w:ascii="Arial" w:cs="Arial" w:eastAsia="Arial" w:hAnsi="Arial"/>
          <w:sz w:val="13"/>
          <w:szCs w:val="13"/>
          <w:color w:val="auto"/>
        </w:rPr>
        <w:t xml:space="preserve"> if, by reason of Indemnitee’s Company Status, Indemnitee is, or is threatened to be made, a party to or participant in any Proceeding other than a Proceeding by or in the right of the Company. Pursuant to this </w:t>
      </w:r>
      <w:r>
        <w:rPr>
          <w:rFonts w:ascii="Arial" w:cs="Arial" w:eastAsia="Arial" w:hAnsi="Arial"/>
          <w:sz w:val="13"/>
          <w:szCs w:val="13"/>
          <w:u w:val="single" w:color="auto"/>
          <w:color w:val="auto"/>
        </w:rPr>
        <w:t>Section 1(a)</w:t>
      </w:r>
      <w:r>
        <w:rPr>
          <w:rFonts w:ascii="Arial" w:cs="Arial" w:eastAsia="Arial" w:hAnsi="Arial"/>
          <w:sz w:val="13"/>
          <w:szCs w:val="13"/>
          <w:color w:val="auto"/>
        </w:rPr>
        <w:t>, Indemnitee shall be indemnified against all Expenses,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spacing w:after="0" w:line="132" w:lineRule="exact"/>
        <w:rPr>
          <w:rFonts w:ascii="Arial" w:cs="Arial" w:eastAsia="Arial" w:hAnsi="Arial"/>
          <w:sz w:val="13"/>
          <w:szCs w:val="13"/>
          <w:color w:val="auto"/>
        </w:rPr>
      </w:pPr>
    </w:p>
    <w:p>
      <w:pPr>
        <w:jc w:val="both"/>
        <w:ind w:firstLine="938"/>
        <w:spacing w:after="0" w:line="287" w:lineRule="auto"/>
        <w:tabs>
          <w:tab w:leader="none" w:pos="1301" w:val="left"/>
        </w:tabs>
        <w:numPr>
          <w:ilvl w:val="1"/>
          <w:numId w:val="256"/>
        </w:numPr>
        <w:rPr>
          <w:rFonts w:ascii="Arial" w:cs="Arial" w:eastAsia="Arial" w:hAnsi="Arial"/>
          <w:sz w:val="13"/>
          <w:szCs w:val="13"/>
          <w:color w:val="auto"/>
        </w:rPr>
      </w:pPr>
      <w:r>
        <w:rPr>
          <w:rFonts w:ascii="Arial" w:cs="Arial" w:eastAsia="Arial" w:hAnsi="Arial"/>
          <w:sz w:val="13"/>
          <w:szCs w:val="13"/>
          <w:u w:val="single" w:color="auto"/>
          <w:color w:val="auto"/>
        </w:rPr>
        <w:t>Proceedings by or in the Right of the Company</w:t>
      </w:r>
      <w:r>
        <w:rPr>
          <w:rFonts w:ascii="Arial" w:cs="Arial" w:eastAsia="Arial" w:hAnsi="Arial"/>
          <w:sz w:val="13"/>
          <w:szCs w:val="13"/>
          <w:color w:val="auto"/>
        </w:rPr>
        <w:t xml:space="preserve">. Indemnitee shall be entitled to the rights of indemnification provided in this </w:t>
      </w:r>
      <w:r>
        <w:rPr>
          <w:rFonts w:ascii="Arial" w:cs="Arial" w:eastAsia="Arial" w:hAnsi="Arial"/>
          <w:sz w:val="13"/>
          <w:szCs w:val="13"/>
          <w:u w:val="single" w:color="auto"/>
          <w:color w:val="auto"/>
        </w:rPr>
        <w:t>Section 1(b)</w:t>
      </w:r>
      <w:r>
        <w:rPr>
          <w:rFonts w:ascii="Arial" w:cs="Arial" w:eastAsia="Arial" w:hAnsi="Arial"/>
          <w:sz w:val="13"/>
          <w:szCs w:val="13"/>
          <w:color w:val="auto"/>
        </w:rPr>
        <w:t xml:space="preserve"> if, by reason of Indemnitee’s Company Status, Indemnitee is, or is threatened to be made, a party to or participant in any Proceeding brought by or in the right of the Company. Pursuant to this </w:t>
      </w:r>
      <w:r>
        <w:rPr>
          <w:rFonts w:ascii="Arial" w:cs="Arial" w:eastAsia="Arial" w:hAnsi="Arial"/>
          <w:sz w:val="13"/>
          <w:szCs w:val="13"/>
          <w:u w:val="single" w:color="auto"/>
          <w:color w:val="auto"/>
        </w:rPr>
        <w:t>Section 1(b)</w:t>
      </w:r>
      <w:r>
        <w:rPr>
          <w:rFonts w:ascii="Arial" w:cs="Arial" w:eastAsia="Arial" w:hAnsi="Arial"/>
          <w:sz w:val="13"/>
          <w:szCs w:val="13"/>
          <w:color w:val="auto"/>
        </w:rPr>
        <w:t xml:space="preserve">,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(or such other court in which the Proceeding is properly brought) shall determine that Indemnitee is fairly and reasonably entitled to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7159625"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06" w:name="page407"/>
    <w:bookmarkEnd w:id="406"/>
    <w:p>
      <w:pPr>
        <w:jc w:val="both"/>
        <w:ind w:firstLine="938"/>
        <w:spacing w:after="0" w:line="262" w:lineRule="auto"/>
        <w:tabs>
          <w:tab w:leader="none" w:pos="1293" w:val="left"/>
        </w:tabs>
        <w:numPr>
          <w:ilvl w:val="0"/>
          <w:numId w:val="257"/>
        </w:numPr>
        <w:rPr>
          <w:rFonts w:ascii="Arial" w:cs="Arial" w:eastAsia="Arial" w:hAnsi="Arial"/>
          <w:sz w:val="14"/>
          <w:szCs w:val="14"/>
          <w:color w:val="auto"/>
        </w:rPr>
      </w:pPr>
      <w:r>
        <w:rPr>
          <w:rFonts w:ascii="Arial" w:cs="Arial" w:eastAsia="Arial" w:hAnsi="Arial"/>
          <w:sz w:val="14"/>
          <w:szCs w:val="14"/>
          <w:u w:val="single" w:color="auto"/>
          <w:color w:val="auto"/>
        </w:rPr>
        <w:t>Indemnification for Expenses of a Party Who is Wholly or Partly Successful</w:t>
      </w:r>
      <w:r>
        <w:rPr>
          <w:rFonts w:ascii="Arial" w:cs="Arial" w:eastAsia="Arial" w:hAnsi="Arial"/>
          <w:sz w:val="14"/>
          <w:szCs w:val="14"/>
          <w:color w:val="auto"/>
        </w:rPr>
        <w:t xml:space="preserve">. Notwithstanding any other provision of this Agreement, to the extent that Indemnitee is, by reason of Indemnitee’s Company Status, a party to and is successful, on the merits or 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w:t>
      </w:r>
      <w:r>
        <w:rPr>
          <w:rFonts w:ascii="Arial" w:cs="Arial" w:eastAsia="Arial" w:hAnsi="Arial"/>
          <w:sz w:val="14"/>
          <w:szCs w:val="14"/>
          <w:u w:val="single" w:color="auto"/>
          <w:color w:val="auto"/>
        </w:rPr>
        <w:t>Section 1</w:t>
      </w:r>
      <w:r>
        <w:rPr>
          <w:rFonts w:ascii="Arial" w:cs="Arial" w:eastAsia="Arial" w:hAnsi="Arial"/>
          <w:sz w:val="14"/>
          <w:szCs w:val="14"/>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150" w:lineRule="exact"/>
        <w:rPr>
          <w:rFonts w:ascii="Arial" w:cs="Arial" w:eastAsia="Arial" w:hAnsi="Arial"/>
          <w:sz w:val="14"/>
          <w:szCs w:val="14"/>
          <w:color w:val="auto"/>
        </w:rPr>
      </w:pPr>
    </w:p>
    <w:p>
      <w:pPr>
        <w:jc w:val="both"/>
        <w:ind w:firstLine="938"/>
        <w:spacing w:after="0" w:line="265" w:lineRule="auto"/>
        <w:tabs>
          <w:tab w:leader="none" w:pos="1301" w:val="left"/>
        </w:tabs>
        <w:numPr>
          <w:ilvl w:val="0"/>
          <w:numId w:val="2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Indemnification of Appointing Unitholder</w:t>
      </w:r>
      <w:r>
        <w:rPr>
          <w:rFonts w:ascii="Arial" w:cs="Arial" w:eastAsia="Arial" w:hAnsi="Arial"/>
          <w:sz w:val="14"/>
          <w:szCs w:val="14"/>
          <w:color w:val="auto"/>
        </w:rPr>
        <w:t>. Without diminishing or impairing the obligations of the Company set forth in Section 14.02(b) of the LLC Agreement, if (i) Indemnitee is or was affiliated with one or more venture capital funds or other investment entities that has invested in the Company (an “</w:t>
      </w:r>
      <w:r>
        <w:rPr>
          <w:rFonts w:ascii="Arial" w:cs="Arial" w:eastAsia="Arial" w:hAnsi="Arial"/>
          <w:sz w:val="14"/>
          <w:szCs w:val="14"/>
          <w:b w:val="1"/>
          <w:bCs w:val="1"/>
          <w:color w:val="auto"/>
        </w:rPr>
        <w:t>Appointing Unitholder</w:t>
      </w:r>
      <w:r>
        <w:rPr>
          <w:rFonts w:ascii="Arial" w:cs="Arial" w:eastAsia="Arial" w:hAnsi="Arial"/>
          <w:sz w:val="14"/>
          <w:szCs w:val="14"/>
          <w:color w:val="auto"/>
        </w:rPr>
        <w:t>”) and (ii) the Appointing Unitholder is, or is threatened to be made, a party to or a participant in any Proceeding relating to or arising by reason of Appointing Unitholder’s appointment of or affiliation with Indemnitee or any other director/manager, including, without limitation, any alleged misappropriation of a Company asset or corporate opportunity, any claim of misappropriation or infringement of intellectual property relating to the Company, any alleged false or misleading statement or omission made by the Company (or on its behalf) or its employees or agents, or any allegation of inappropriate control or influence over the Company or its Board members, officers, equity holders or debt holders, then the Appointing Unitholder will be entitled to indemnification hereunder for Expenses to the same extent as Indemnitee, and the terms of this Agreement as they relate to procedures for indemnification of Indemnitee and advancement of Expenses shall apply to any such indemnification of Appointing Unitholder.]</w:t>
      </w:r>
      <w:r>
        <w:rPr>
          <w:rFonts w:ascii="Arial" w:cs="Arial" w:eastAsia="Arial" w:hAnsi="Arial"/>
          <w:sz w:val="23"/>
          <w:szCs w:val="23"/>
          <w:color w:val="auto"/>
          <w:vertAlign w:val="superscript"/>
        </w:rPr>
        <w:t>1</w:t>
      </w:r>
    </w:p>
    <w:p>
      <w:pPr>
        <w:spacing w:after="0" w:line="50"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 xml:space="preserve">[The rights provided to the Appointing Unitholder under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shall (i) be suspended during any period during which the Appointing Unitholder does not have a representative on the Company’s Board, and (ii) terminate on an initial public offering of the units or common stock of a corporate successor or affiliate of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the event of any such suspension or termination, the Appointing Unitholder’s rights to indemnification will not be suspended or terminated with respect to any Proceeding based in whole or in part on facts and circumstances occurring at any time prior to such suspension or termination regardless of whether the Proceeding arises before or after such suspension or termination. The Company and Indemnitee agree that the Appointing Unitholder is an express third party beneficiary of the terms of this </w:t>
      </w:r>
      <w:r>
        <w:rPr>
          <w:rFonts w:ascii="Arial" w:cs="Arial" w:eastAsia="Arial" w:hAnsi="Arial"/>
          <w:sz w:val="14"/>
          <w:szCs w:val="14"/>
          <w:u w:val="single" w:color="auto"/>
          <w:color w:val="auto"/>
        </w:rPr>
        <w:t>Section 1(d)</w:t>
      </w:r>
      <w:r>
        <w:rPr>
          <w:rFonts w:ascii="Arial" w:cs="Arial" w:eastAsia="Arial" w:hAnsi="Arial"/>
          <w:sz w:val="14"/>
          <w:szCs w:val="14"/>
          <w:color w:val="auto"/>
        </w:rPr>
        <w:t>.]</w:t>
      </w:r>
    </w:p>
    <w:p>
      <w:pPr>
        <w:spacing w:after="0" w:line="147" w:lineRule="exact"/>
        <w:rPr>
          <w:sz w:val="20"/>
          <w:szCs w:val="20"/>
          <w:color w:val="auto"/>
        </w:rPr>
      </w:pPr>
    </w:p>
    <w:p>
      <w:pPr>
        <w:jc w:val="both"/>
        <w:ind w:firstLine="524"/>
        <w:spacing w:after="0" w:line="303" w:lineRule="auto"/>
        <w:tabs>
          <w:tab w:leader="none" w:pos="1050" w:val="left"/>
        </w:tabs>
        <w:numPr>
          <w:ilvl w:val="0"/>
          <w:numId w:val="258"/>
        </w:numPr>
        <w:rPr>
          <w:rFonts w:ascii="Arial" w:cs="Arial" w:eastAsia="Arial" w:hAnsi="Arial"/>
          <w:sz w:val="13"/>
          <w:szCs w:val="13"/>
          <w:color w:val="auto"/>
        </w:rPr>
      </w:pPr>
      <w:r>
        <w:rPr>
          <w:rFonts w:ascii="Arial" w:cs="Arial" w:eastAsia="Arial" w:hAnsi="Arial"/>
          <w:sz w:val="13"/>
          <w:szCs w:val="13"/>
          <w:u w:val="single" w:color="auto"/>
          <w:color w:val="auto"/>
        </w:rPr>
        <w:t>Additional Indemnity</w:t>
      </w:r>
      <w:r>
        <w:rPr>
          <w:rFonts w:ascii="Arial" w:cs="Arial" w:eastAsia="Arial" w:hAnsi="Arial"/>
          <w:sz w:val="13"/>
          <w:szCs w:val="13"/>
          <w:color w:val="auto"/>
        </w:rPr>
        <w:t xml:space="preserve">. In addition to, and without regard to any limitations on, the indemnification provided for in </w:t>
      </w: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of this Agreement, the Company shall and hereby does indemnify and hold harmless Indemnitee against all Expenses, judgments, penalties, fines and amounts paid in settlement actually and reasonably incurred by Indemnitee or on Indemnitee’s behalf if, by reason of Indemnitee’s Company Status, Indemnitee is, or is threatened to be made, a party to or participant in any Proceeding (including a Proceeding 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178816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788160" cy="6985"/>
                    </a:xfrm>
                    <a:prstGeom prst="rect">
                      <a:avLst/>
                    </a:prstGeom>
                    <a:noFill/>
                  </pic:spPr>
                </pic:pic>
              </a:graphicData>
            </a:graphic>
          </wp:anchor>
        </w:drawing>
      </w:r>
    </w:p>
    <w:p>
      <w:pPr>
        <w:spacing w:after="0" w:line="64" w:lineRule="exact"/>
        <w:rPr>
          <w:sz w:val="20"/>
          <w:szCs w:val="20"/>
          <w:color w:val="auto"/>
        </w:rPr>
      </w:pPr>
    </w:p>
    <w:p>
      <w:pPr>
        <w:ind w:left="100" w:hanging="94"/>
        <w:spacing w:after="0"/>
        <w:tabs>
          <w:tab w:leader="none" w:pos="100" w:val="left"/>
        </w:tabs>
        <w:numPr>
          <w:ilvl w:val="0"/>
          <w:numId w:val="259"/>
        </w:numPr>
        <w:rPr>
          <w:rFonts w:ascii="Arial" w:cs="Arial" w:eastAsia="Arial" w:hAnsi="Arial"/>
          <w:sz w:val="24"/>
          <w:szCs w:val="24"/>
          <w:color w:val="auto"/>
          <w:vertAlign w:val="superscript"/>
        </w:rPr>
      </w:pPr>
      <w:r>
        <w:rPr>
          <w:rFonts w:ascii="Arial" w:cs="Arial" w:eastAsia="Arial" w:hAnsi="Arial"/>
          <w:sz w:val="14"/>
          <w:szCs w:val="14"/>
          <w:b w:val="1"/>
          <w:bCs w:val="1"/>
          <w:color w:val="auto"/>
        </w:rPr>
        <w:t>NTD</w:t>
      </w:r>
      <w:r>
        <w:rPr>
          <w:rFonts w:ascii="Arial" w:cs="Arial" w:eastAsia="Arial" w:hAnsi="Arial"/>
          <w:sz w:val="14"/>
          <w:szCs w:val="14"/>
          <w:color w:val="auto"/>
        </w:rPr>
        <w:t>: Delete this section and revise/remove corresponding references for non-member appointed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59625"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07" w:name="page408"/>
    <w:bookmarkEnd w:id="407"/>
    <w:p>
      <w:pPr>
        <w:jc w:val="both"/>
        <w:spacing w:after="0" w:line="273" w:lineRule="auto"/>
        <w:rPr>
          <w:sz w:val="20"/>
          <w:szCs w:val="20"/>
          <w:color w:val="auto"/>
        </w:rPr>
      </w:pPr>
      <w:r>
        <w:rPr>
          <w:rFonts w:ascii="Arial" w:cs="Arial" w:eastAsia="Arial" w:hAnsi="Arial"/>
          <w:sz w:val="14"/>
          <w:szCs w:val="14"/>
          <w:color w:val="auto"/>
        </w:rPr>
        <w:t xml:space="preserve">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4"/>
          <w:szCs w:val="14"/>
          <w:u w:val="single" w:color="auto"/>
          <w:color w:val="auto"/>
        </w:rPr>
        <w:t>Sections 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w:t>
      </w:r>
      <w:r>
        <w:rPr>
          <w:rFonts w:ascii="Arial" w:cs="Arial" w:eastAsia="Arial" w:hAnsi="Arial"/>
          <w:sz w:val="14"/>
          <w:szCs w:val="14"/>
          <w:color w:val="auto"/>
        </w:rPr>
        <w:t xml:space="preserve"> hereof) to be unlawful.</w:t>
      </w:r>
    </w:p>
    <w:p>
      <w:pPr>
        <w:spacing w:after="0" w:line="141" w:lineRule="exact"/>
        <w:rPr>
          <w:sz w:val="20"/>
          <w:szCs w:val="20"/>
          <w:color w:val="auto"/>
        </w:rPr>
      </w:pPr>
    </w:p>
    <w:p>
      <w:pPr>
        <w:ind w:left="1000" w:hanging="476"/>
        <w:spacing w:after="0"/>
        <w:tabs>
          <w:tab w:leader="none" w:pos="1000" w:val="left"/>
        </w:tabs>
        <w:numPr>
          <w:ilvl w:val="0"/>
          <w:numId w:val="260"/>
        </w:numPr>
        <w:rPr>
          <w:rFonts w:ascii="Arial" w:cs="Arial" w:eastAsia="Arial" w:hAnsi="Arial"/>
          <w:sz w:val="14"/>
          <w:szCs w:val="14"/>
          <w:color w:val="auto"/>
        </w:rPr>
      </w:pPr>
      <w:r>
        <w:rPr>
          <w:rFonts w:ascii="Arial" w:cs="Arial" w:eastAsia="Arial" w:hAnsi="Arial"/>
          <w:sz w:val="14"/>
          <w:szCs w:val="14"/>
          <w:u w:val="single" w:color="auto"/>
          <w:color w:val="auto"/>
        </w:rPr>
        <w:t>Contribution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938"/>
        <w:spacing w:after="0" w:line="290" w:lineRule="auto"/>
        <w:tabs>
          <w:tab w:leader="none" w:pos="1362" w:val="left"/>
        </w:tabs>
        <w:numPr>
          <w:ilvl w:val="1"/>
          <w:numId w:val="260"/>
        </w:numPr>
        <w:rPr>
          <w:rFonts w:ascii="Arial" w:cs="Arial" w:eastAsia="Arial" w:hAnsi="Arial"/>
          <w:sz w:val="13"/>
          <w:szCs w:val="13"/>
          <w:color w:val="auto"/>
        </w:rPr>
      </w:pPr>
      <w:r>
        <w:rPr>
          <w:rFonts w:ascii="Arial" w:cs="Arial" w:eastAsia="Arial" w:hAnsi="Arial"/>
          <w:sz w:val="13"/>
          <w:szCs w:val="13"/>
          <w:color w:val="auto"/>
        </w:rPr>
        <w:t xml:space="preserve">Whether or not the indemnification provided in </w:t>
      </w:r>
      <w:r>
        <w:rPr>
          <w:rFonts w:ascii="Arial" w:cs="Arial" w:eastAsia="Arial" w:hAnsi="Arial"/>
          <w:sz w:val="13"/>
          <w:szCs w:val="13"/>
          <w:u w:val="single" w:color="auto"/>
          <w:color w:val="auto"/>
        </w:rPr>
        <w:t>Sections 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w:t>
      </w:r>
      <w:r>
        <w:rPr>
          <w:rFonts w:ascii="Arial" w:cs="Arial" w:eastAsia="Arial" w:hAnsi="Arial"/>
          <w:sz w:val="13"/>
          <w:szCs w:val="13"/>
          <w:color w:val="auto"/>
        </w:rPr>
        <w:t xml:space="preserve"> hereof is available, in respect of any threatened, pending or completed action, suit or proceeding in which the Company is jointly liable with Indemnitee (or would be if joined in such action, suit or proceeding), to the fullest extent permitted under applicable law,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32" w:lineRule="exact"/>
        <w:rPr>
          <w:rFonts w:ascii="Arial" w:cs="Arial" w:eastAsia="Arial" w:hAnsi="Arial"/>
          <w:sz w:val="13"/>
          <w:szCs w:val="13"/>
          <w:color w:val="auto"/>
        </w:rPr>
      </w:pPr>
    </w:p>
    <w:p>
      <w:pPr>
        <w:jc w:val="both"/>
        <w:ind w:firstLine="938"/>
        <w:spacing w:after="0" w:line="281" w:lineRule="auto"/>
        <w:tabs>
          <w:tab w:leader="none" w:pos="1387" w:val="left"/>
        </w:tabs>
        <w:numPr>
          <w:ilvl w:val="1"/>
          <w:numId w:val="260"/>
        </w:numPr>
        <w:rPr>
          <w:rFonts w:ascii="Arial" w:cs="Arial" w:eastAsia="Arial" w:hAnsi="Arial"/>
          <w:sz w:val="13"/>
          <w:szCs w:val="13"/>
          <w:color w:val="auto"/>
        </w:rPr>
      </w:pPr>
      <w:r>
        <w:rPr>
          <w:rFonts w:ascii="Arial" w:cs="Arial" w:eastAsia="Arial" w:hAnsi="Arial"/>
          <w:sz w:val="13"/>
          <w:szCs w:val="13"/>
          <w:color w:val="auto"/>
        </w:rPr>
        <w:t xml:space="preserve">Without diminishing or impairing the obligations of the Company set forth in the </w:t>
      </w:r>
      <w:r>
        <w:rPr>
          <w:rFonts w:ascii="Arial" w:cs="Arial" w:eastAsia="Arial" w:hAnsi="Arial"/>
          <w:sz w:val="13"/>
          <w:szCs w:val="13"/>
          <w:u w:val="single" w:color="auto"/>
          <w:color w:val="auto"/>
        </w:rPr>
        <w:t>Section 3(a)</w:t>
      </w:r>
      <w:r>
        <w:rPr>
          <w:rFonts w:ascii="Arial" w:cs="Arial" w:eastAsia="Arial" w:hAnsi="Arial"/>
          <w:sz w:val="13"/>
          <w:szCs w:val="13"/>
          <w:color w:val="auto"/>
        </w:rPr>
        <w:t xml:space="preserve"> above,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to the fullest extent permitted under applicable law, the Company shall contribute to the amount of Expenses, judgments, fines and amounts paid in settlement actually and reasonably incurred and paid or payable by Indemnitee in proportion to the relative benefits received by the Company and all officers, managers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proportion determined on the basis of relative benefit may, to the extent necessary to conform to law, be further adjusted by reference to the relative fault of the Company and all officers, managers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managers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43" w:lineRule="exact"/>
        <w:rPr>
          <w:rFonts w:ascii="Arial" w:cs="Arial" w:eastAsia="Arial" w:hAnsi="Arial"/>
          <w:sz w:val="13"/>
          <w:szCs w:val="13"/>
          <w:color w:val="auto"/>
        </w:rPr>
      </w:pPr>
    </w:p>
    <w:p>
      <w:pPr>
        <w:ind w:firstLine="938"/>
        <w:spacing w:after="0" w:line="288" w:lineRule="auto"/>
        <w:tabs>
          <w:tab w:leader="none" w:pos="1387" w:val="left"/>
        </w:tabs>
        <w:numPr>
          <w:ilvl w:val="1"/>
          <w:numId w:val="260"/>
        </w:numPr>
        <w:rPr>
          <w:rFonts w:ascii="Arial" w:cs="Arial" w:eastAsia="Arial" w:hAnsi="Arial"/>
          <w:sz w:val="14"/>
          <w:szCs w:val="14"/>
          <w:color w:val="auto"/>
        </w:rPr>
      </w:pPr>
      <w:r>
        <w:rPr>
          <w:rFonts w:ascii="Arial" w:cs="Arial" w:eastAsia="Arial" w:hAnsi="Arial"/>
          <w:sz w:val="14"/>
          <w:szCs w:val="14"/>
          <w:color w:val="auto"/>
        </w:rPr>
        <w:t>To the fullest extent permitted under applicable law, the Company hereby agrees to fully indemnify and hold Indemnitee harmless from any claims of contribution which may be brought by officers, managers, or employees of the Company, other than Indemnitee, who may be jointly liable with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7159625"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08" w:name="page409"/>
    <w:bookmarkEnd w:id="408"/>
    <w:p>
      <w:pPr>
        <w:jc w:val="both"/>
        <w:ind w:left="-524" w:firstLine="938"/>
        <w:spacing w:after="0" w:line="290" w:lineRule="auto"/>
        <w:tabs>
          <w:tab w:leader="none" w:pos="886" w:val="left"/>
        </w:tabs>
        <w:numPr>
          <w:ilvl w:val="1"/>
          <w:numId w:val="261"/>
        </w:numPr>
        <w:rPr>
          <w:rFonts w:ascii="Arial" w:cs="Arial" w:eastAsia="Arial" w:hAnsi="Arial"/>
          <w:sz w:val="13"/>
          <w:szCs w:val="13"/>
          <w:color w:val="auto"/>
        </w:rPr>
      </w:pPr>
      <w:r>
        <w:rPr>
          <w:rFonts w:ascii="Arial" w:cs="Arial" w:eastAsia="Arial" w:hAnsi="Arial"/>
          <w:sz w:val="13"/>
          <w:szCs w:val="13"/>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actually and reasonably incurred,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managers, officers, employees and agents) and Indemnitee in connection with such event(s) and/or transaction(s).</w:t>
      </w:r>
    </w:p>
    <w:p>
      <w:pPr>
        <w:spacing w:after="0" w:line="132" w:lineRule="exact"/>
        <w:rPr>
          <w:rFonts w:ascii="Arial" w:cs="Arial" w:eastAsia="Arial" w:hAnsi="Arial"/>
          <w:sz w:val="13"/>
          <w:szCs w:val="13"/>
          <w:color w:val="auto"/>
        </w:rPr>
      </w:pPr>
    </w:p>
    <w:p>
      <w:pPr>
        <w:jc w:val="both"/>
        <w:ind w:left="-524" w:firstLine="524"/>
        <w:spacing w:after="0" w:line="273" w:lineRule="auto"/>
        <w:tabs>
          <w:tab w:leader="none" w:pos="472" w:val="left"/>
        </w:tabs>
        <w:numPr>
          <w:ilvl w:val="0"/>
          <w:numId w:val="262"/>
        </w:numPr>
        <w:rPr>
          <w:rFonts w:ascii="Arial" w:cs="Arial" w:eastAsia="Arial" w:hAnsi="Arial"/>
          <w:sz w:val="14"/>
          <w:szCs w:val="14"/>
          <w:color w:val="auto"/>
        </w:rPr>
      </w:pPr>
      <w:r>
        <w:rPr>
          <w:rFonts w:ascii="Arial" w:cs="Arial" w:eastAsia="Arial" w:hAnsi="Arial"/>
          <w:sz w:val="14"/>
          <w:szCs w:val="14"/>
          <w:u w:val="single" w:color="auto"/>
          <w:color w:val="auto"/>
        </w:rPr>
        <w:t>Indemnification for Expenses of a Witness</w:t>
      </w:r>
      <w:r>
        <w:rPr>
          <w:rFonts w:ascii="Arial" w:cs="Arial" w:eastAsia="Arial" w:hAnsi="Arial"/>
          <w:sz w:val="14"/>
          <w:szCs w:val="14"/>
          <w:color w:val="auto"/>
        </w:rPr>
        <w:t>. Notwithstanding any other provision of this Agreement, to the extent that Indemnitee is, by reason of Indemnitee’s Company Status, a witness, or is made (or asked) to respond to discovery requests, in any Proceeding to which Indemnitee is not a party, Indemnitee shall be indemnified against all Expenses actually and reasonably incurred by Indemnitee or on Indemnitee’s behalf in connection therewith.</w:t>
      </w:r>
    </w:p>
    <w:p>
      <w:pPr>
        <w:spacing w:after="0" w:line="141" w:lineRule="exact"/>
        <w:rPr>
          <w:rFonts w:ascii="Arial" w:cs="Arial" w:eastAsia="Arial" w:hAnsi="Arial"/>
          <w:sz w:val="14"/>
          <w:szCs w:val="14"/>
          <w:color w:val="auto"/>
        </w:rPr>
      </w:pPr>
    </w:p>
    <w:p>
      <w:pPr>
        <w:jc w:val="both"/>
        <w:ind w:left="-524" w:firstLine="524"/>
        <w:spacing w:after="0" w:line="262" w:lineRule="auto"/>
        <w:tabs>
          <w:tab w:leader="none" w:pos="483" w:val="left"/>
        </w:tabs>
        <w:numPr>
          <w:ilvl w:val="0"/>
          <w:numId w:val="262"/>
        </w:numPr>
        <w:rPr>
          <w:rFonts w:ascii="Arial" w:cs="Arial" w:eastAsia="Arial" w:hAnsi="Arial"/>
          <w:sz w:val="14"/>
          <w:szCs w:val="14"/>
          <w:color w:val="auto"/>
        </w:rPr>
      </w:pPr>
      <w:r>
        <w:rPr>
          <w:rFonts w:ascii="Arial" w:cs="Arial" w:eastAsia="Arial" w:hAnsi="Arial"/>
          <w:sz w:val="14"/>
          <w:szCs w:val="14"/>
          <w:u w:val="single" w:color="auto"/>
          <w:color w:val="auto"/>
        </w:rPr>
        <w:t>Advancement of Expenses</w:t>
      </w:r>
      <w:r>
        <w:rPr>
          <w:rFonts w:ascii="Arial" w:cs="Arial" w:eastAsia="Arial" w:hAnsi="Arial"/>
          <w:sz w:val="14"/>
          <w:szCs w:val="14"/>
          <w:color w:val="auto"/>
        </w:rPr>
        <w:t xml:space="preserve">. Notwithstanding any other provision of this Agreement, the Company shall advance all Expenses actually and reasonably incurred by or on behalf of Indemnitee in connection with any Proceeding by reason of Indemnitee’s Company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actually and reasonably incurred by Indemnitee and shall include or be preceded or accompanied by a written undertaking by or on behalf of Indemnitee to repay any Expenses advanced if it shall ultimately be determined that Indemnitee is not entitled to be indemnified against such Expenses. Advances shall be made without regard to Indemnitee’s ability to repay Expenses and without regard to Indemnitee’s ultimate entitlement to indemnification under the other provisions of this Agreement. Any advances and undertakings to repay pursuant to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shall be unsecured and interest free.</w:t>
      </w:r>
    </w:p>
    <w:p>
      <w:pPr>
        <w:spacing w:after="0" w:line="150" w:lineRule="exact"/>
        <w:rPr>
          <w:rFonts w:ascii="Arial" w:cs="Arial" w:eastAsia="Arial" w:hAnsi="Arial"/>
          <w:sz w:val="14"/>
          <w:szCs w:val="14"/>
          <w:color w:val="auto"/>
        </w:rPr>
      </w:pPr>
    </w:p>
    <w:p>
      <w:pPr>
        <w:jc w:val="both"/>
        <w:ind w:left="-524" w:firstLine="524"/>
        <w:spacing w:after="0" w:line="273" w:lineRule="auto"/>
        <w:tabs>
          <w:tab w:leader="none" w:pos="580" w:val="left"/>
        </w:tabs>
        <w:numPr>
          <w:ilvl w:val="0"/>
          <w:numId w:val="262"/>
        </w:numPr>
        <w:rPr>
          <w:rFonts w:ascii="Arial" w:cs="Arial" w:eastAsia="Arial" w:hAnsi="Arial"/>
          <w:sz w:val="14"/>
          <w:szCs w:val="14"/>
          <w:color w:val="auto"/>
        </w:rPr>
      </w:pPr>
      <w:r>
        <w:rPr>
          <w:rFonts w:ascii="Arial" w:cs="Arial" w:eastAsia="Arial" w:hAnsi="Arial"/>
          <w:sz w:val="14"/>
          <w:szCs w:val="14"/>
          <w:u w:val="single" w:color="auto"/>
          <w:color w:val="auto"/>
        </w:rPr>
        <w:t>Procedures and Presumptions for Determination of Entitlement to Indemnification</w:t>
      </w:r>
      <w:r>
        <w:rPr>
          <w:rFonts w:ascii="Arial" w:cs="Arial" w:eastAsia="Arial" w:hAnsi="Arial"/>
          <w:sz w:val="14"/>
          <w:szCs w:val="14"/>
          <w:color w:val="auto"/>
        </w:rPr>
        <w:t>. It is the intent of this Agreement to secure for Indemnitee rights of indemnity that are as favorable as may be permitted under applicable law, including, without limitation, the LLC Act and public policy of the State of Delaware. Accordingly, the parties agree that the following procedures and presumptions shall apply in the event of any question as to whether Indemnitee is entitled to indemnification under this Agreement:</w:t>
      </w:r>
    </w:p>
    <w:p>
      <w:pPr>
        <w:spacing w:after="0" w:line="141" w:lineRule="exact"/>
        <w:rPr>
          <w:rFonts w:ascii="Arial" w:cs="Arial" w:eastAsia="Arial" w:hAnsi="Arial"/>
          <w:sz w:val="14"/>
          <w:szCs w:val="14"/>
          <w:color w:val="auto"/>
        </w:rPr>
      </w:pPr>
    </w:p>
    <w:p>
      <w:pPr>
        <w:jc w:val="both"/>
        <w:ind w:left="-524" w:firstLine="938"/>
        <w:spacing w:after="0" w:line="265" w:lineRule="auto"/>
        <w:tabs>
          <w:tab w:leader="none" w:pos="951" w:val="left"/>
        </w:tabs>
        <w:numPr>
          <w:ilvl w:val="1"/>
          <w:numId w:val="262"/>
        </w:numPr>
        <w:rPr>
          <w:rFonts w:ascii="Arial" w:cs="Arial" w:eastAsia="Arial" w:hAnsi="Arial"/>
          <w:sz w:val="14"/>
          <w:szCs w:val="14"/>
          <w:color w:val="auto"/>
        </w:rPr>
      </w:pPr>
      <w:r>
        <w:rPr>
          <w:rFonts w:ascii="Arial" w:cs="Arial" w:eastAsia="Arial" w:hAnsi="Arial"/>
          <w:sz w:val="14"/>
          <w:szCs w:val="14"/>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Chief Executive Officer, President, Secretary or other appropriate officer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223520</wp:posOffset>
            </wp:positionV>
            <wp:extent cx="7159625"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56"/>
          </w:cols>
          <w:pgMar w:left="824" w:top="582" w:right="319" w:bottom="1440" w:gutter="0" w:footer="0" w:header="0"/>
        </w:sectPr>
      </w:pPr>
    </w:p>
    <w:bookmarkStart w:id="409" w:name="page410"/>
    <w:bookmarkEnd w:id="409"/>
    <w:p>
      <w:pPr>
        <w:spacing w:after="0"/>
        <w:rPr>
          <w:sz w:val="20"/>
          <w:szCs w:val="20"/>
          <w:color w:val="auto"/>
        </w:rPr>
      </w:pPr>
      <w:r>
        <w:rPr>
          <w:rFonts w:ascii="Arial" w:cs="Arial" w:eastAsia="Arial" w:hAnsi="Arial"/>
          <w:sz w:val="14"/>
          <w:szCs w:val="14"/>
          <w:color w:val="auto"/>
        </w:rPr>
        <w:t>failure actually and materially prejudices the interests of the Company its affiliates and subsidiaries.</w:t>
      </w:r>
    </w:p>
    <w:p>
      <w:pPr>
        <w:spacing w:after="0" w:line="184" w:lineRule="exact"/>
        <w:rPr>
          <w:sz w:val="20"/>
          <w:szCs w:val="20"/>
          <w:color w:val="auto"/>
        </w:rPr>
      </w:pPr>
    </w:p>
    <w:p>
      <w:pPr>
        <w:jc w:val="both"/>
        <w:ind w:firstLine="938"/>
        <w:spacing w:after="0" w:line="265" w:lineRule="auto"/>
        <w:tabs>
          <w:tab w:leader="none" w:pos="1446" w:val="left"/>
        </w:tabs>
        <w:numPr>
          <w:ilvl w:val="0"/>
          <w:numId w:val="263"/>
        </w:numPr>
        <w:rPr>
          <w:rFonts w:ascii="Arial" w:cs="Arial" w:eastAsia="Arial" w:hAnsi="Arial"/>
          <w:sz w:val="14"/>
          <w:szCs w:val="14"/>
          <w:color w:val="auto"/>
        </w:rPr>
      </w:pPr>
      <w:r>
        <w:rPr>
          <w:rFonts w:ascii="Arial" w:cs="Arial" w:eastAsia="Arial" w:hAnsi="Arial"/>
          <w:sz w:val="14"/>
          <w:szCs w:val="14"/>
          <w:color w:val="auto"/>
        </w:rPr>
        <w:t xml:space="preserve">Upon written request by Indemnitee for indemnification pursuant to the first sentence of </w:t>
      </w:r>
      <w:r>
        <w:rPr>
          <w:rFonts w:ascii="Arial" w:cs="Arial" w:eastAsia="Arial" w:hAnsi="Arial"/>
          <w:sz w:val="14"/>
          <w:szCs w:val="14"/>
          <w:u w:val="single" w:color="auto"/>
          <w:color w:val="auto"/>
        </w:rPr>
        <w:t>Section 6(a)</w:t>
      </w:r>
      <w:r>
        <w:rPr>
          <w:rFonts w:ascii="Arial" w:cs="Arial" w:eastAsia="Arial" w:hAnsi="Arial"/>
          <w:sz w:val="14"/>
          <w:szCs w:val="14"/>
          <w:color w:val="auto"/>
        </w:rPr>
        <w:t xml:space="preserve"> hereof, a determination with respect to Indemnitee’s entitlement thereto shall be made in the specific case by one of the following four methods, which shall be at the election of the Board (1) by a majority vote of the Disinterested Managers, even though less than a quorum, (2) by a committee of Disinterested Managers designated by a majority vote of the Disinterested Managers, even though less than a quorum, (3) if there are no Disinterested Managers or if the Disinterested Managers so direct, by Independent Counsel in a written opinion to the Board, a copy of which shall be delivered to Indemnitee, or (4) if so directed by the Board, by the members of the Company.</w:t>
      </w:r>
    </w:p>
    <w:p>
      <w:pPr>
        <w:spacing w:after="0" w:line="147" w:lineRule="exact"/>
        <w:rPr>
          <w:rFonts w:ascii="Arial" w:cs="Arial" w:eastAsia="Arial" w:hAnsi="Arial"/>
          <w:sz w:val="14"/>
          <w:szCs w:val="14"/>
          <w:color w:val="auto"/>
        </w:rPr>
      </w:pPr>
    </w:p>
    <w:p>
      <w:pPr>
        <w:jc w:val="both"/>
        <w:ind w:firstLine="938"/>
        <w:spacing w:after="0" w:line="307" w:lineRule="auto"/>
        <w:tabs>
          <w:tab w:leader="none" w:pos="1376" w:val="left"/>
        </w:tabs>
        <w:numPr>
          <w:ilvl w:val="0"/>
          <w:numId w:val="263"/>
        </w:numPr>
        <w:rPr>
          <w:rFonts w:ascii="Arial" w:cs="Arial" w:eastAsia="Arial" w:hAnsi="Arial"/>
          <w:sz w:val="12"/>
          <w:szCs w:val="12"/>
          <w:color w:val="auto"/>
        </w:rPr>
      </w:pPr>
      <w:r>
        <w:rPr>
          <w:rFonts w:ascii="Arial" w:cs="Arial" w:eastAsia="Arial" w:hAnsi="Arial"/>
          <w:sz w:val="12"/>
          <w:szCs w:val="12"/>
          <w:color w:val="auto"/>
        </w:rPr>
        <w:t xml:space="preserve">If the determination of entitlement to indemnification is to be made by Independent Counsel pursuant to </w:t>
      </w:r>
      <w:r>
        <w:rPr>
          <w:rFonts w:ascii="Arial" w:cs="Arial" w:eastAsia="Arial" w:hAnsi="Arial"/>
          <w:sz w:val="12"/>
          <w:szCs w:val="12"/>
          <w:u w:val="single" w:color="auto"/>
          <w:color w:val="auto"/>
        </w:rPr>
        <w:t>Section 6(b)</w:t>
      </w:r>
      <w:r>
        <w:rPr>
          <w:rFonts w:ascii="Arial" w:cs="Arial" w:eastAsia="Arial" w:hAnsi="Arial"/>
          <w:sz w:val="12"/>
          <w:szCs w:val="12"/>
          <w:color w:val="auto"/>
        </w:rPr>
        <w:t xml:space="preserve"> hereof, the Independent Counsel shall be selected as provided in this </w:t>
      </w:r>
      <w:r>
        <w:rPr>
          <w:rFonts w:ascii="Arial" w:cs="Arial" w:eastAsia="Arial" w:hAnsi="Arial"/>
          <w:sz w:val="12"/>
          <w:szCs w:val="12"/>
          <w:u w:val="single" w:color="auto"/>
          <w:color w:val="auto"/>
        </w:rPr>
        <w:t>Section 6(c)</w:t>
      </w:r>
      <w:r>
        <w:rPr>
          <w:rFonts w:ascii="Arial" w:cs="Arial" w:eastAsia="Arial" w:hAnsi="Arial"/>
          <w:sz w:val="12"/>
          <w:szCs w:val="12"/>
          <w:color w:val="auto"/>
        </w:rPr>
        <w:t xml:space="preserve">. The Independent Counsel shall be selected by the Board and written notice of such selection shall be given to Indemnitee. Indemnitee may, within ten (10) days after such written notice of selection of Independent Counsel shall have been given, deliver to the Company a written objection to such selection;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such objection may be asserted only on the ground that the Independent Counsel so selected does not meet the requirements of “</w:t>
      </w:r>
      <w:r>
        <w:rPr>
          <w:rFonts w:ascii="Arial" w:cs="Arial" w:eastAsia="Arial" w:hAnsi="Arial"/>
          <w:sz w:val="12"/>
          <w:szCs w:val="12"/>
          <w:b w:val="1"/>
          <w:bCs w:val="1"/>
          <w:color w:val="auto"/>
        </w:rPr>
        <w:t>Independent Counsel</w:t>
      </w:r>
      <w:r>
        <w:rPr>
          <w:rFonts w:ascii="Arial" w:cs="Arial" w:eastAsia="Arial" w:hAnsi="Arial"/>
          <w:sz w:val="12"/>
          <w:szCs w:val="12"/>
          <w:color w:val="auto"/>
        </w:rPr>
        <w:t xml:space="preserve">” as defined in </w:t>
      </w:r>
      <w:r>
        <w:rPr>
          <w:rFonts w:ascii="Arial" w:cs="Arial" w:eastAsia="Arial" w:hAnsi="Arial"/>
          <w:sz w:val="12"/>
          <w:szCs w:val="12"/>
          <w:u w:val="single" w:color="auto"/>
          <w:color w:val="auto"/>
        </w:rPr>
        <w:t>Section 13</w:t>
      </w:r>
      <w:r>
        <w:rPr>
          <w:rFonts w:ascii="Arial" w:cs="Arial" w:eastAsia="Arial" w:hAnsi="Arial"/>
          <w:sz w:val="12"/>
          <w:szCs w:val="12"/>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of competant jurisdiction has determined that such objection is without merit. If, within twenty (20) days after submission by Indemnitee of a written request for indemnification pursuant to </w:t>
      </w:r>
      <w:r>
        <w:rPr>
          <w:rFonts w:ascii="Arial" w:cs="Arial" w:eastAsia="Arial" w:hAnsi="Arial"/>
          <w:sz w:val="12"/>
          <w:szCs w:val="12"/>
          <w:u w:val="single" w:color="auto"/>
          <w:color w:val="auto"/>
        </w:rPr>
        <w:t>Section 6(a)</w:t>
      </w:r>
      <w:r>
        <w:rPr>
          <w:rFonts w:ascii="Arial" w:cs="Arial" w:eastAsia="Arial" w:hAnsi="Arial"/>
          <w:sz w:val="12"/>
          <w:szCs w:val="12"/>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Indemnitee to the Board’s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2"/>
          <w:szCs w:val="12"/>
          <w:u w:val="single" w:color="auto"/>
          <w:color w:val="auto"/>
        </w:rPr>
        <w:t>Section 6(b)</w:t>
      </w:r>
      <w:r>
        <w:rPr>
          <w:rFonts w:ascii="Arial" w:cs="Arial" w:eastAsia="Arial" w:hAnsi="Arial"/>
          <w:sz w:val="12"/>
          <w:szCs w:val="12"/>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2"/>
          <w:szCs w:val="12"/>
          <w:u w:val="single" w:color="auto"/>
          <w:color w:val="auto"/>
        </w:rPr>
        <w:t>Section 6(b)</w:t>
      </w:r>
      <w:r>
        <w:rPr>
          <w:rFonts w:ascii="Arial" w:cs="Arial" w:eastAsia="Arial" w:hAnsi="Arial"/>
          <w:sz w:val="12"/>
          <w:szCs w:val="12"/>
          <w:color w:val="auto"/>
        </w:rPr>
        <w:t xml:space="preserve"> hereof, and the Company shall pay all reasonable fees and expenses incident to the procedures of this </w:t>
      </w:r>
      <w:r>
        <w:rPr>
          <w:rFonts w:ascii="Arial" w:cs="Arial" w:eastAsia="Arial" w:hAnsi="Arial"/>
          <w:sz w:val="12"/>
          <w:szCs w:val="12"/>
          <w:u w:val="single" w:color="auto"/>
          <w:color w:val="auto"/>
        </w:rPr>
        <w:t>Section 6(c)</w:t>
      </w:r>
      <w:r>
        <w:rPr>
          <w:rFonts w:ascii="Arial" w:cs="Arial" w:eastAsia="Arial" w:hAnsi="Arial"/>
          <w:sz w:val="12"/>
          <w:szCs w:val="12"/>
          <w:color w:val="auto"/>
        </w:rPr>
        <w:t>, regardless of the manner in which such Independent Counsel was selected or appointed.</w:t>
      </w:r>
    </w:p>
    <w:p>
      <w:pPr>
        <w:spacing w:after="0" w:line="126" w:lineRule="exact"/>
        <w:rPr>
          <w:rFonts w:ascii="Arial" w:cs="Arial" w:eastAsia="Arial" w:hAnsi="Arial"/>
          <w:sz w:val="12"/>
          <w:szCs w:val="12"/>
          <w:color w:val="auto"/>
        </w:rPr>
      </w:pPr>
    </w:p>
    <w:p>
      <w:pPr>
        <w:jc w:val="both"/>
        <w:ind w:firstLine="938"/>
        <w:spacing w:after="0" w:line="265" w:lineRule="auto"/>
        <w:tabs>
          <w:tab w:leader="none" w:pos="1505" w:val="left"/>
        </w:tabs>
        <w:numPr>
          <w:ilvl w:val="0"/>
          <w:numId w:val="263"/>
        </w:numPr>
        <w:rPr>
          <w:rFonts w:ascii="Arial" w:cs="Arial" w:eastAsia="Arial" w:hAnsi="Arial"/>
          <w:sz w:val="14"/>
          <w:szCs w:val="14"/>
          <w:color w:val="auto"/>
        </w:rPr>
      </w:pPr>
      <w:r>
        <w:rPr>
          <w:rFonts w:ascii="Arial" w:cs="Arial" w:eastAsia="Arial" w:hAnsi="Arial"/>
          <w:sz w:val="14"/>
          <w:szCs w:val="14"/>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managers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managers or Independent Counsel) that Indemnitee has not met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5962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0" w:name="page411"/>
    <w:bookmarkEnd w:id="410"/>
    <w:p>
      <w:pPr>
        <w:spacing w:after="0"/>
        <w:rPr>
          <w:sz w:val="20"/>
          <w:szCs w:val="20"/>
          <w:color w:val="auto"/>
        </w:rPr>
      </w:pPr>
      <w:r>
        <w:rPr>
          <w:rFonts w:ascii="Arial" w:cs="Arial" w:eastAsia="Arial" w:hAnsi="Arial"/>
          <w:sz w:val="14"/>
          <w:szCs w:val="14"/>
          <w:color w:val="auto"/>
        </w:rPr>
        <w:t>applicable standard of conduct, shall be a defense to the action or create a presumption that Indemnitee has not met the applicable standard of conduct.</w:t>
      </w:r>
    </w:p>
    <w:p>
      <w:pPr>
        <w:spacing w:after="0" w:line="184" w:lineRule="exact"/>
        <w:rPr>
          <w:sz w:val="20"/>
          <w:szCs w:val="20"/>
          <w:color w:val="auto"/>
        </w:rPr>
      </w:pPr>
    </w:p>
    <w:p>
      <w:pPr>
        <w:jc w:val="both"/>
        <w:ind w:firstLine="938"/>
        <w:spacing w:after="0" w:line="285" w:lineRule="auto"/>
        <w:tabs>
          <w:tab w:leader="none" w:pos="1412" w:val="left"/>
        </w:tabs>
        <w:numPr>
          <w:ilvl w:val="0"/>
          <w:numId w:val="264"/>
        </w:numPr>
        <w:rPr>
          <w:rFonts w:ascii="Arial" w:cs="Arial" w:eastAsia="Arial" w:hAnsi="Arial"/>
          <w:sz w:val="13"/>
          <w:szCs w:val="13"/>
          <w:color w:val="auto"/>
        </w:rPr>
      </w:pPr>
      <w:r>
        <w:rPr>
          <w:rFonts w:ascii="Arial" w:cs="Arial" w:eastAsia="Arial" w:hAnsi="Arial"/>
          <w:sz w:val="13"/>
          <w:szCs w:val="13"/>
          <w:color w:val="auto"/>
        </w:rPr>
        <w:t xml:space="preserve">To the fullest extent permitted by applicable law, including the LLC Act,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director/manager,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3"/>
          <w:szCs w:val="13"/>
          <w:u w:val="single" w:color="auto"/>
          <w:color w:val="auto"/>
        </w:rPr>
        <w:t>Section 6(e)</w:t>
      </w:r>
      <w:r>
        <w:rPr>
          <w:rFonts w:ascii="Arial" w:cs="Arial" w:eastAsia="Arial" w:hAnsi="Arial"/>
          <w:sz w:val="13"/>
          <w:szCs w:val="13"/>
          <w:color w:val="auto"/>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38" w:lineRule="exact"/>
        <w:rPr>
          <w:rFonts w:ascii="Arial" w:cs="Arial" w:eastAsia="Arial" w:hAnsi="Arial"/>
          <w:sz w:val="13"/>
          <w:szCs w:val="13"/>
          <w:color w:val="auto"/>
        </w:rPr>
      </w:pPr>
    </w:p>
    <w:p>
      <w:pPr>
        <w:jc w:val="both"/>
        <w:ind w:firstLine="938"/>
        <w:spacing w:after="0" w:line="282" w:lineRule="auto"/>
        <w:tabs>
          <w:tab w:leader="none" w:pos="1354" w:val="left"/>
        </w:tabs>
        <w:numPr>
          <w:ilvl w:val="0"/>
          <w:numId w:val="264"/>
        </w:numPr>
        <w:rPr>
          <w:rFonts w:ascii="Arial" w:cs="Arial" w:eastAsia="Arial" w:hAnsi="Arial"/>
          <w:sz w:val="13"/>
          <w:szCs w:val="13"/>
          <w:color w:val="auto"/>
        </w:rPr>
      </w:pPr>
      <w:r>
        <w:rPr>
          <w:rFonts w:ascii="Arial" w:cs="Arial" w:eastAsia="Arial" w:hAnsi="Arial"/>
          <w:sz w:val="13"/>
          <w:szCs w:val="13"/>
          <w:color w:val="auto"/>
        </w:rPr>
        <w:t xml:space="preserve">If the person, persons or entity empowered or selected under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to the fullest extent permitted by applicable law, including the LLC Act,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the foregoing provisions of this </w:t>
      </w:r>
      <w:r>
        <w:rPr>
          <w:rFonts w:ascii="Arial" w:cs="Arial" w:eastAsia="Arial" w:hAnsi="Arial"/>
          <w:sz w:val="13"/>
          <w:szCs w:val="13"/>
          <w:u w:val="single" w:color="auto"/>
          <w:color w:val="auto"/>
        </w:rPr>
        <w:t>Section 6(f)</w:t>
      </w:r>
      <w:r>
        <w:rPr>
          <w:rFonts w:ascii="Arial" w:cs="Arial" w:eastAsia="Arial" w:hAnsi="Arial"/>
          <w:sz w:val="13"/>
          <w:szCs w:val="13"/>
          <w:color w:val="auto"/>
        </w:rPr>
        <w:t xml:space="preserve"> shall not apply if the determination of entitlement to indemnification is to be made by the members of the Company pursuant to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6(b)</w:t>
      </w:r>
      <w:r>
        <w:rPr>
          <w:rFonts w:ascii="Arial" w:cs="Arial" w:eastAsia="Arial" w:hAnsi="Arial"/>
          <w:sz w:val="13"/>
          <w:szCs w:val="13"/>
          <w:color w:val="auto"/>
        </w:rPr>
        <w:t xml:space="preserve"> of this Agreement and if (A) within fifteen (15) days after receipt by the Company of the request for such determination, the Board or the Disinterested Managers, if appropriate, resolve to submit such determination to the members for their consideration thereof at the next regularly scheduled meeting of the members, to be held within seventy five (75) days after such receipt and such determination is made thereat, or (B) a special meeting of members is called within fifteen (15) days after such receipt for the purpose of making such determination, such meeting is held for such purpose within sixty (60) days after having been so called and at which, such determination is made.</w:t>
      </w:r>
    </w:p>
    <w:p>
      <w:pPr>
        <w:spacing w:after="0" w:line="139" w:lineRule="exact"/>
        <w:rPr>
          <w:rFonts w:ascii="Arial" w:cs="Arial" w:eastAsia="Arial" w:hAnsi="Arial"/>
          <w:sz w:val="13"/>
          <w:szCs w:val="13"/>
          <w:color w:val="auto"/>
        </w:rPr>
      </w:pPr>
    </w:p>
    <w:p>
      <w:pPr>
        <w:jc w:val="both"/>
        <w:ind w:firstLine="938"/>
        <w:spacing w:after="0" w:line="294" w:lineRule="auto"/>
        <w:tabs>
          <w:tab w:leader="none" w:pos="1377" w:val="left"/>
        </w:tabs>
        <w:numPr>
          <w:ilvl w:val="0"/>
          <w:numId w:val="264"/>
        </w:numPr>
        <w:rPr>
          <w:rFonts w:ascii="Arial" w:cs="Arial" w:eastAsia="Arial" w:hAnsi="Arial"/>
          <w:sz w:val="13"/>
          <w:szCs w:val="13"/>
          <w:color w:val="auto"/>
        </w:rPr>
      </w:pPr>
      <w:r>
        <w:rPr>
          <w:rFonts w:ascii="Arial" w:cs="Arial" w:eastAsia="Arial" w:hAnsi="Arial"/>
          <w:sz w:val="13"/>
          <w:szCs w:val="13"/>
          <w:color w:val="auto"/>
        </w:rPr>
        <w:t>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member of the Company shall act reasonably and in good faith in making a determination regarding Indemnitee’s entitlement to indemnification under this Agreement. Any costs or expenses (including reasonable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7159625"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1" w:name="page412"/>
    <w:bookmarkEnd w:id="411"/>
    <w:p>
      <w:pPr>
        <w:spacing w:after="0" w:line="288" w:lineRule="auto"/>
        <w:rPr>
          <w:sz w:val="20"/>
          <w:szCs w:val="20"/>
          <w:color w:val="auto"/>
        </w:rPr>
      </w:pPr>
      <w:r>
        <w:rPr>
          <w:rFonts w:ascii="Arial" w:cs="Arial" w:eastAsia="Arial" w:hAnsi="Arial"/>
          <w:sz w:val="14"/>
          <w:szCs w:val="14"/>
          <w:color w:val="auto"/>
        </w:rPr>
        <w:t>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32" w:lineRule="exact"/>
        <w:rPr>
          <w:sz w:val="20"/>
          <w:szCs w:val="20"/>
          <w:color w:val="auto"/>
        </w:rPr>
      </w:pPr>
    </w:p>
    <w:p>
      <w:pPr>
        <w:jc w:val="both"/>
        <w:ind w:firstLine="938"/>
        <w:spacing w:after="0" w:line="265" w:lineRule="auto"/>
        <w:tabs>
          <w:tab w:leader="none" w:pos="1448" w:val="left"/>
        </w:tabs>
        <w:numPr>
          <w:ilvl w:val="1"/>
          <w:numId w:val="265"/>
        </w:numPr>
        <w:rPr>
          <w:rFonts w:ascii="Arial" w:cs="Arial" w:eastAsia="Arial" w:hAnsi="Arial"/>
          <w:sz w:val="14"/>
          <w:szCs w:val="14"/>
          <w:color w:val="auto"/>
        </w:rPr>
      </w:pPr>
      <w:r>
        <w:rPr>
          <w:rFonts w:ascii="Arial" w:cs="Arial" w:eastAsia="Arial" w:hAnsi="Arial"/>
          <w:sz w:val="14"/>
          <w:szCs w:val="14"/>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47" w:lineRule="exact"/>
        <w:rPr>
          <w:rFonts w:ascii="Arial" w:cs="Arial" w:eastAsia="Arial" w:hAnsi="Arial"/>
          <w:sz w:val="14"/>
          <w:szCs w:val="14"/>
          <w:color w:val="auto"/>
        </w:rPr>
      </w:pPr>
    </w:p>
    <w:p>
      <w:pPr>
        <w:jc w:val="both"/>
        <w:ind w:firstLine="938"/>
        <w:spacing w:after="0" w:line="267" w:lineRule="auto"/>
        <w:tabs>
          <w:tab w:leader="none" w:pos="1328" w:val="left"/>
        </w:tabs>
        <w:numPr>
          <w:ilvl w:val="1"/>
          <w:numId w:val="265"/>
        </w:numPr>
        <w:rPr>
          <w:rFonts w:ascii="Arial" w:cs="Arial" w:eastAsia="Arial" w:hAnsi="Arial"/>
          <w:sz w:val="14"/>
          <w:szCs w:val="14"/>
          <w:color w:val="auto"/>
        </w:rPr>
      </w:pPr>
      <w:r>
        <w:rPr>
          <w:rFonts w:ascii="Arial" w:cs="Arial" w:eastAsia="Arial" w:hAnsi="Arial"/>
          <w:sz w:val="14"/>
          <w:szCs w:val="14"/>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46" w:lineRule="exact"/>
        <w:rPr>
          <w:rFonts w:ascii="Arial" w:cs="Arial" w:eastAsia="Arial" w:hAnsi="Arial"/>
          <w:sz w:val="14"/>
          <w:szCs w:val="14"/>
          <w:color w:val="auto"/>
        </w:rPr>
      </w:pPr>
    </w:p>
    <w:p>
      <w:pPr>
        <w:ind w:left="1000" w:hanging="476"/>
        <w:spacing w:after="0"/>
        <w:tabs>
          <w:tab w:leader="none" w:pos="1000" w:val="left"/>
        </w:tabs>
        <w:numPr>
          <w:ilvl w:val="0"/>
          <w:numId w:val="266"/>
        </w:numPr>
        <w:rPr>
          <w:rFonts w:ascii="Arial" w:cs="Arial" w:eastAsia="Arial" w:hAnsi="Arial"/>
          <w:sz w:val="14"/>
          <w:szCs w:val="14"/>
          <w:color w:val="auto"/>
        </w:rPr>
      </w:pPr>
      <w:r>
        <w:rPr>
          <w:rFonts w:ascii="Arial" w:cs="Arial" w:eastAsia="Arial" w:hAnsi="Arial"/>
          <w:sz w:val="14"/>
          <w:szCs w:val="14"/>
          <w:u w:val="single" w:color="auto"/>
          <w:color w:val="auto"/>
        </w:rPr>
        <w:t>Remedies of Indemnitee</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938"/>
        <w:spacing w:after="0" w:line="282" w:lineRule="auto"/>
        <w:tabs>
          <w:tab w:leader="none" w:pos="149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 xml:space="preserve">In the event that (i) a determination is made pursuant to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of this Agreement that Indemnitee is not entitled to indemnification under this Agreement, (ii) advancement of Expenses is not timely made pursuant to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of this Agreement, (iii) no determination of entitlement to indemnification is made pursuant to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of this Agreement within ninety (90) days after receipt by the Company of the request for indemnification, (iv) payment of indemnification is not made pursuant to this Agreement within ten (10) days after receipt by the Company of a written request therefor,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of this Agreement, or (vi)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3"/>
          <w:szCs w:val="13"/>
          <w:u w:val="single" w:color="auto"/>
          <w:color w:val="auto"/>
        </w:rPr>
        <w:t>Section 7(a)</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foregoing clause shall not apply in respect of any proceeding brought by Indemnitee to enforce Indemnitee’s rights under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of this Agreement. The Company shall not oppose Indemnitee’s right to seek any such adjudication.</w:t>
      </w:r>
    </w:p>
    <w:p>
      <w:pPr>
        <w:spacing w:after="0" w:line="142" w:lineRule="exact"/>
        <w:rPr>
          <w:rFonts w:ascii="Arial" w:cs="Arial" w:eastAsia="Arial" w:hAnsi="Arial"/>
          <w:sz w:val="13"/>
          <w:szCs w:val="13"/>
          <w:color w:val="auto"/>
        </w:rPr>
      </w:pPr>
    </w:p>
    <w:p>
      <w:pPr>
        <w:ind w:left="1320" w:hanging="382"/>
        <w:spacing w:after="0"/>
        <w:tabs>
          <w:tab w:leader="none" w:pos="1320" w:val="left"/>
        </w:tabs>
        <w:numPr>
          <w:ilvl w:val="1"/>
          <w:numId w:val="266"/>
        </w:numPr>
        <w:rPr>
          <w:rFonts w:ascii="Arial" w:cs="Arial" w:eastAsia="Arial" w:hAnsi="Arial"/>
          <w:sz w:val="13"/>
          <w:szCs w:val="13"/>
          <w:color w:val="auto"/>
        </w:rPr>
      </w:pPr>
      <w:r>
        <w:rPr>
          <w:rFonts w:ascii="Arial" w:cs="Arial" w:eastAsia="Arial" w:hAnsi="Arial"/>
          <w:sz w:val="13"/>
          <w:szCs w:val="13"/>
          <w:color w:val="auto"/>
        </w:rPr>
        <w:t xml:space="preserve">In the event that a determination shall have been made pursuant to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of this Agreement that Indemnitee is not entitled to indemnification, any judicial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254635</wp:posOffset>
            </wp:positionV>
            <wp:extent cx="7159625"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2" w:name="page413"/>
    <w:bookmarkEnd w:id="412"/>
    <w:p>
      <w:pPr>
        <w:spacing w:after="0" w:line="288" w:lineRule="auto"/>
        <w:rPr>
          <w:sz w:val="20"/>
          <w:szCs w:val="20"/>
          <w:color w:val="auto"/>
        </w:rPr>
      </w:pPr>
      <w:r>
        <w:rPr>
          <w:rFonts w:ascii="Arial" w:cs="Arial" w:eastAsia="Arial" w:hAnsi="Arial"/>
          <w:sz w:val="14"/>
          <w:szCs w:val="14"/>
          <w:color w:val="auto"/>
        </w:rPr>
        <w:t xml:space="preserve">commenced pursuant to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shall be conducted in all respects as a de novo trial on the merits, and Indemnitee shall not be prejudiced by reason of the adverse determination under </w:t>
      </w:r>
      <w:r>
        <w:rPr>
          <w:rFonts w:ascii="Arial" w:cs="Arial" w:eastAsia="Arial" w:hAnsi="Arial"/>
          <w:sz w:val="14"/>
          <w:szCs w:val="14"/>
          <w:u w:val="single" w:color="auto"/>
          <w:color w:val="auto"/>
        </w:rPr>
        <w:t>Section 6(b)</w:t>
      </w:r>
      <w:r>
        <w:rPr>
          <w:rFonts w:ascii="Arial" w:cs="Arial" w:eastAsia="Arial" w:hAnsi="Arial"/>
          <w:sz w:val="14"/>
          <w:szCs w:val="14"/>
          <w:color w:val="auto"/>
        </w:rPr>
        <w:t>.</w:t>
      </w:r>
    </w:p>
    <w:p>
      <w:pPr>
        <w:spacing w:after="0" w:line="132" w:lineRule="exact"/>
        <w:rPr>
          <w:sz w:val="20"/>
          <w:szCs w:val="20"/>
          <w:color w:val="auto"/>
        </w:rPr>
      </w:pPr>
    </w:p>
    <w:p>
      <w:pPr>
        <w:jc w:val="both"/>
        <w:ind w:firstLine="938"/>
        <w:spacing w:after="0" w:line="303" w:lineRule="auto"/>
        <w:tabs>
          <w:tab w:leader="none" w:pos="1372" w:val="left"/>
        </w:tabs>
        <w:numPr>
          <w:ilvl w:val="1"/>
          <w:numId w:val="267"/>
        </w:numPr>
        <w:rPr>
          <w:rFonts w:ascii="Arial" w:cs="Arial" w:eastAsia="Arial" w:hAnsi="Arial"/>
          <w:sz w:val="13"/>
          <w:szCs w:val="13"/>
          <w:color w:val="auto"/>
        </w:rPr>
      </w:pPr>
      <w:r>
        <w:rPr>
          <w:rFonts w:ascii="Arial" w:cs="Arial" w:eastAsia="Arial" w:hAnsi="Arial"/>
          <w:sz w:val="13"/>
          <w:szCs w:val="13"/>
          <w:color w:val="auto"/>
        </w:rPr>
        <w:t xml:space="preserve">If a determination shall have been made pursuant to </w:t>
      </w:r>
      <w:r>
        <w:rPr>
          <w:rFonts w:ascii="Arial" w:cs="Arial" w:eastAsia="Arial" w:hAnsi="Arial"/>
          <w:sz w:val="13"/>
          <w:szCs w:val="13"/>
          <w:u w:val="single" w:color="auto"/>
          <w:color w:val="auto"/>
        </w:rPr>
        <w:t>Section 6(b)</w:t>
      </w:r>
      <w:r>
        <w:rPr>
          <w:rFonts w:ascii="Arial" w:cs="Arial" w:eastAsia="Arial" w:hAnsi="Arial"/>
          <w:sz w:val="13"/>
          <w:szCs w:val="13"/>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3"/>
          <w:szCs w:val="13"/>
          <w:u w:val="single" w:color="auto"/>
          <w:color w:val="auto"/>
        </w:rPr>
        <w:t>Section 7</w:t>
      </w:r>
      <w:r>
        <w:rPr>
          <w:rFonts w:ascii="Arial" w:cs="Arial" w:eastAsia="Arial" w:hAnsi="Arial"/>
          <w:sz w:val="13"/>
          <w:szCs w:val="13"/>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24" w:lineRule="exact"/>
        <w:rPr>
          <w:rFonts w:ascii="Arial" w:cs="Arial" w:eastAsia="Arial" w:hAnsi="Arial"/>
          <w:sz w:val="13"/>
          <w:szCs w:val="13"/>
          <w:color w:val="auto"/>
        </w:rPr>
      </w:pPr>
    </w:p>
    <w:p>
      <w:pPr>
        <w:jc w:val="both"/>
        <w:ind w:firstLine="938"/>
        <w:spacing w:after="0" w:line="267" w:lineRule="auto"/>
        <w:tabs>
          <w:tab w:leader="none" w:pos="1320" w:val="left"/>
        </w:tabs>
        <w:numPr>
          <w:ilvl w:val="1"/>
          <w:numId w:val="267"/>
        </w:numPr>
        <w:rPr>
          <w:rFonts w:ascii="Arial" w:cs="Arial" w:eastAsia="Arial" w:hAnsi="Arial"/>
          <w:sz w:val="14"/>
          <w:szCs w:val="14"/>
          <w:color w:val="auto"/>
        </w:rPr>
      </w:pPr>
      <w:r>
        <w:rPr>
          <w:rFonts w:ascii="Arial" w:cs="Arial" w:eastAsia="Arial" w:hAnsi="Arial"/>
          <w:sz w:val="14"/>
          <w:szCs w:val="14"/>
          <w:color w:val="auto"/>
        </w:rPr>
        <w:t xml:space="preserve">In the event that Indemnitee, pursuant to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of this Agreement) actually and reasonably incurred by Indemnitee in such judicial adjudication, regardless of whether Indemnitee ultimately is determined to be entitled to such indemnification, advancement of expenses or insurance recovery.</w:t>
      </w:r>
    </w:p>
    <w:p>
      <w:pPr>
        <w:spacing w:after="0" w:line="146" w:lineRule="exact"/>
        <w:rPr>
          <w:rFonts w:ascii="Arial" w:cs="Arial" w:eastAsia="Arial" w:hAnsi="Arial"/>
          <w:sz w:val="14"/>
          <w:szCs w:val="14"/>
          <w:color w:val="auto"/>
        </w:rPr>
      </w:pPr>
    </w:p>
    <w:p>
      <w:pPr>
        <w:jc w:val="both"/>
        <w:ind w:firstLine="938"/>
        <w:spacing w:after="0" w:line="287" w:lineRule="auto"/>
        <w:tabs>
          <w:tab w:leader="none" w:pos="1342" w:val="left"/>
        </w:tabs>
        <w:numPr>
          <w:ilvl w:val="1"/>
          <w:numId w:val="267"/>
        </w:numPr>
        <w:rPr>
          <w:rFonts w:ascii="Arial" w:cs="Arial" w:eastAsia="Arial" w:hAnsi="Arial"/>
          <w:sz w:val="13"/>
          <w:szCs w:val="13"/>
          <w:color w:val="auto"/>
        </w:rPr>
      </w:pPr>
      <w:r>
        <w:rPr>
          <w:rFonts w:ascii="Arial" w:cs="Arial" w:eastAsia="Arial" w:hAnsi="Arial"/>
          <w:sz w:val="13"/>
          <w:szCs w:val="13"/>
          <w:color w:val="auto"/>
        </w:rPr>
        <w:t xml:space="preserve">The Company shall be precluded from asserting in any judicial proceeding commenced pursuant to this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actually and reasonably incurred and, if requested by Indemnitee, shall (within ten (10) days after receipt by the Company of a written request therefore) advance, to the extent not prohibited by law, such Expenses to Indemnitee, which are actually and reasonably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35" w:lineRule="exact"/>
        <w:rPr>
          <w:rFonts w:ascii="Arial" w:cs="Arial" w:eastAsia="Arial" w:hAnsi="Arial"/>
          <w:sz w:val="13"/>
          <w:szCs w:val="13"/>
          <w:color w:val="auto"/>
        </w:rPr>
      </w:pPr>
    </w:p>
    <w:p>
      <w:pPr>
        <w:ind w:firstLine="938"/>
        <w:spacing w:after="0" w:line="288" w:lineRule="auto"/>
        <w:tabs>
          <w:tab w:leader="none" w:pos="1354" w:val="left"/>
        </w:tabs>
        <w:numPr>
          <w:ilvl w:val="1"/>
          <w:numId w:val="267"/>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no determination as to entitlement to indemnification under this Agreement shall be required to be made prior to the final disposition of the Proceeding.</w:t>
      </w:r>
    </w:p>
    <w:p>
      <w:pPr>
        <w:spacing w:after="0" w:line="131" w:lineRule="exact"/>
        <w:rPr>
          <w:rFonts w:ascii="Arial" w:cs="Arial" w:eastAsia="Arial" w:hAnsi="Arial"/>
          <w:sz w:val="14"/>
          <w:szCs w:val="14"/>
          <w:color w:val="auto"/>
        </w:rPr>
      </w:pPr>
    </w:p>
    <w:p>
      <w:pPr>
        <w:ind w:left="1000" w:hanging="476"/>
        <w:spacing w:after="0"/>
        <w:tabs>
          <w:tab w:leader="none" w:pos="1000" w:val="left"/>
        </w:tabs>
        <w:numPr>
          <w:ilvl w:val="0"/>
          <w:numId w:val="268"/>
        </w:numPr>
        <w:rPr>
          <w:rFonts w:ascii="Arial" w:cs="Arial" w:eastAsia="Arial" w:hAnsi="Arial"/>
          <w:sz w:val="14"/>
          <w:szCs w:val="14"/>
          <w:color w:val="auto"/>
        </w:rPr>
      </w:pPr>
      <w:r>
        <w:rPr>
          <w:rFonts w:ascii="Arial" w:cs="Arial" w:eastAsia="Arial" w:hAnsi="Arial"/>
          <w:sz w:val="14"/>
          <w:szCs w:val="14"/>
          <w:u w:val="single" w:color="auto"/>
          <w:color w:val="auto"/>
        </w:rPr>
        <w:t>Non-Exclusivity; Survival of Rights; Insurance; Primacy of Indemnification; Subrogation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938"/>
        <w:spacing w:after="0" w:line="265" w:lineRule="auto"/>
        <w:tabs>
          <w:tab w:leader="none" w:pos="1374" w:val="left"/>
        </w:tabs>
        <w:numPr>
          <w:ilvl w:val="1"/>
          <w:numId w:val="268"/>
        </w:numPr>
        <w:rPr>
          <w:rFonts w:ascii="Arial" w:cs="Arial" w:eastAsia="Arial" w:hAnsi="Arial"/>
          <w:sz w:val="14"/>
          <w:szCs w:val="14"/>
          <w:color w:val="auto"/>
        </w:rPr>
      </w:pPr>
      <w:r>
        <w:rPr>
          <w:rFonts w:ascii="Arial" w:cs="Arial" w:eastAsia="Arial" w:hAnsi="Arial"/>
          <w:sz w:val="14"/>
          <w:szCs w:val="14"/>
          <w:color w:val="auto"/>
        </w:rPr>
        <w:t>The rights of indemnification and the right to receive advancement of Expenses as provided by this Agreement shall not be deemed exclusive of any other rights to which Indemnitee may at any time be entitled under applicable law, the LLC Agreement, any agreement, a vote of members, a resolution of managers of the Company, or otherwise. No amendment, alteration or repeal of this Agreement or of any provision hereof shall limit or restrict any right of Indemnitee under this Agreement in respect of any action taken or omitted by such Indemnitee in Indemnitee’s Company Status prior to such amendment, alteration or repeal. To the extent that a change in the LLC Act, whether by statute or judicial decision, permits greater indemnification or advancement of expenses than would be afforded currently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223520</wp:posOffset>
            </wp:positionV>
            <wp:extent cx="7159625"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3" w:name="page414"/>
    <w:bookmarkEnd w:id="413"/>
    <w:p>
      <w:pPr>
        <w:jc w:val="both"/>
        <w:spacing w:after="0" w:line="267" w:lineRule="auto"/>
        <w:rPr>
          <w:sz w:val="20"/>
          <w:szCs w:val="20"/>
          <w:color w:val="auto"/>
        </w:rPr>
      </w:pPr>
      <w:r>
        <w:rPr>
          <w:rFonts w:ascii="Arial" w:cs="Arial" w:eastAsia="Arial" w:hAnsi="Arial"/>
          <w:sz w:val="14"/>
          <w:szCs w:val="14"/>
          <w:color w:val="auto"/>
        </w:rPr>
        <w:t>LLC Agreement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7" w:lineRule="exact"/>
        <w:rPr>
          <w:sz w:val="20"/>
          <w:szCs w:val="20"/>
          <w:color w:val="auto"/>
        </w:rPr>
      </w:pPr>
    </w:p>
    <w:p>
      <w:pPr>
        <w:jc w:val="both"/>
        <w:ind w:firstLine="938"/>
        <w:spacing w:after="0" w:line="262" w:lineRule="auto"/>
        <w:tabs>
          <w:tab w:leader="none" w:pos="1395" w:val="left"/>
        </w:tabs>
        <w:numPr>
          <w:ilvl w:val="1"/>
          <w:numId w:val="269"/>
        </w:numPr>
        <w:rPr>
          <w:rFonts w:ascii="Arial" w:cs="Arial" w:eastAsia="Arial" w:hAnsi="Arial"/>
          <w:sz w:val="14"/>
          <w:szCs w:val="14"/>
          <w:color w:val="auto"/>
        </w:rPr>
      </w:pPr>
      <w:r>
        <w:rPr>
          <w:rFonts w:ascii="Arial" w:cs="Arial" w:eastAsia="Arial" w:hAnsi="Arial"/>
          <w:sz w:val="14"/>
          <w:szCs w:val="14"/>
          <w:color w:val="auto"/>
        </w:rPr>
        <w:t>To the extent that the Company or its affiliates or subsidiaries maintain an insurance policy or policies providing liability insurance for managers, officers, employees, or agents or fiduciaries of the Company or of any other corporation, partnership, limited liability company, joint venture, trust, employee benefit plan or other enterprise that such person serves at the request of the Company, Indemnitee shall be covered by such policy or policies in accordance with its or their terms to the maximum extent of the coverage available for any director/manager,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50" w:lineRule="exact"/>
        <w:rPr>
          <w:rFonts w:ascii="Arial" w:cs="Arial" w:eastAsia="Arial" w:hAnsi="Arial"/>
          <w:sz w:val="14"/>
          <w:szCs w:val="14"/>
          <w:color w:val="auto"/>
        </w:rPr>
      </w:pPr>
    </w:p>
    <w:p>
      <w:pPr>
        <w:jc w:val="both"/>
        <w:ind w:firstLine="938"/>
        <w:spacing w:after="0" w:line="282" w:lineRule="auto"/>
        <w:tabs>
          <w:tab w:leader="none" w:pos="1433" w:val="left"/>
        </w:tabs>
        <w:numPr>
          <w:ilvl w:val="1"/>
          <w:numId w:val="269"/>
        </w:numPr>
        <w:rPr>
          <w:rFonts w:ascii="Arial" w:cs="Arial" w:eastAsia="Arial" w:hAnsi="Arial"/>
          <w:sz w:val="13"/>
          <w:szCs w:val="13"/>
          <w:color w:val="auto"/>
        </w:rPr>
      </w:pPr>
      <w:r>
        <w:rPr>
          <w:rFonts w:ascii="Arial" w:cs="Arial" w:eastAsia="Arial" w:hAnsi="Arial"/>
          <w:sz w:val="13"/>
          <w:szCs w:val="13"/>
          <w:color w:val="auto"/>
        </w:rPr>
        <w:t>[The Company hereby acknowledges that Indemnitee may have certain rights to indemnification, advancement of expenses and/or insurance provided by Indemnitee’s employer or other third parties and certain of their affiliates (collectively, the “</w:t>
      </w:r>
      <w:r>
        <w:rPr>
          <w:rFonts w:ascii="Arial" w:cs="Arial" w:eastAsia="Arial" w:hAnsi="Arial"/>
          <w:sz w:val="13"/>
          <w:szCs w:val="13"/>
          <w:b w:val="1"/>
          <w:bCs w:val="1"/>
          <w:color w:val="auto"/>
        </w:rPr>
        <w:t>Other Indemnitors</w:t>
      </w:r>
      <w:r>
        <w:rPr>
          <w:rFonts w:ascii="Arial" w:cs="Arial" w:eastAsia="Arial" w:hAnsi="Arial"/>
          <w:sz w:val="13"/>
          <w:szCs w:val="13"/>
          <w:color w:val="auto"/>
        </w:rPr>
        <w:t>”). The Company hereby agrees (i) that it is the indemnitor of first resort (</w:t>
      </w:r>
      <w:r>
        <w:rPr>
          <w:rFonts w:ascii="Arial" w:cs="Arial" w:eastAsia="Arial" w:hAnsi="Arial"/>
          <w:sz w:val="13"/>
          <w:szCs w:val="13"/>
          <w:i w:val="1"/>
          <w:iCs w:val="1"/>
          <w:color w:val="auto"/>
        </w:rPr>
        <w:t>i.e.</w:t>
      </w:r>
      <w:r>
        <w:rPr>
          <w:rFonts w:ascii="Arial" w:cs="Arial" w:eastAsia="Arial" w:hAnsi="Arial"/>
          <w:sz w:val="13"/>
          <w:szCs w:val="13"/>
          <w:color w:val="auto"/>
        </w:rPr>
        <w:t>, its obligations to Indemnitee are primary and any obligation of the Other Indemnitors to advance expenses or to provide indemnification for the same expenses or liabilities incurred by Indemnitee are secondary),</w:t>
      </w:r>
    </w:p>
    <w:p>
      <w:pPr>
        <w:jc w:val="both"/>
        <w:ind w:firstLine="6"/>
        <w:spacing w:after="0" w:line="264" w:lineRule="auto"/>
        <w:tabs>
          <w:tab w:leader="none" w:pos="216" w:val="left"/>
        </w:tabs>
        <w:numPr>
          <w:ilvl w:val="0"/>
          <w:numId w:val="270"/>
        </w:numPr>
        <w:rPr>
          <w:rFonts w:ascii="Arial" w:cs="Arial" w:eastAsia="Arial" w:hAnsi="Arial"/>
          <w:sz w:val="14"/>
          <w:szCs w:val="14"/>
          <w:color w:val="auto"/>
        </w:rPr>
      </w:pPr>
      <w:r>
        <w:rPr>
          <w:rFonts w:ascii="Arial" w:cs="Arial" w:eastAsia="Arial" w:hAnsi="Arial"/>
          <w:sz w:val="14"/>
          <w:szCs w:val="14"/>
          <w:color w:val="auto"/>
        </w:rPr>
        <w:t xml:space="preserve">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LLC Agreement of the Company (or any other agreement between the Company and Indemnitee), without regard to any rights Indemnitee may have against the Other Indemnitors and (iii) that it irrevocably waives, relinquishes and releases the Other Indemnitors from any and all claims against the Other Indemnitors for contribution, subrogation or any other recovery of any kind in respect thereof. The Company further agrees that no advancement or payment by the Other Indemnitors on behalf of Indemnitee with respect to any claim for which Indemnitee has sought indemnification from the Company shall affect the foregoing and the Other Indemnitors shall have a right of contribution and/or be subrogated to the extent of such advancement or payment to all of the rights of recovery of Indemnitee against the Company. The Company and Indemnitee agree that the Other Indemnitors are express third party beneficiaries of the terms of this </w:t>
      </w:r>
      <w:r>
        <w:rPr>
          <w:rFonts w:ascii="Arial" w:cs="Arial" w:eastAsia="Arial" w:hAnsi="Arial"/>
          <w:sz w:val="14"/>
          <w:szCs w:val="14"/>
          <w:u w:val="single" w:color="auto"/>
          <w:color w:val="auto"/>
        </w:rPr>
        <w:t>Section 8(c)</w:t>
      </w:r>
      <w:r>
        <w:rPr>
          <w:rFonts w:ascii="Arial" w:cs="Arial" w:eastAsia="Arial" w:hAnsi="Arial"/>
          <w:sz w:val="14"/>
          <w:szCs w:val="14"/>
          <w:color w:val="auto"/>
        </w:rPr>
        <w:t>.]</w:t>
      </w:r>
      <w:r>
        <w:rPr>
          <w:rFonts w:ascii="Arial" w:cs="Arial" w:eastAsia="Arial" w:hAnsi="Arial"/>
          <w:sz w:val="23"/>
          <w:szCs w:val="23"/>
          <w:color w:val="auto"/>
          <w:vertAlign w:val="superscript"/>
        </w:rPr>
        <w:t>2</w:t>
      </w:r>
    </w:p>
    <w:p>
      <w:pPr>
        <w:spacing w:after="0" w:line="50" w:lineRule="exact"/>
        <w:rPr>
          <w:rFonts w:ascii="Arial" w:cs="Arial" w:eastAsia="Arial" w:hAnsi="Arial"/>
          <w:sz w:val="14"/>
          <w:szCs w:val="14"/>
          <w:color w:val="auto"/>
        </w:rPr>
      </w:pPr>
    </w:p>
    <w:p>
      <w:pPr>
        <w:ind w:firstLine="938"/>
        <w:spacing w:after="0" w:line="329" w:lineRule="auto"/>
        <w:tabs>
          <w:tab w:leader="none" w:pos="1386" w:val="left"/>
        </w:tabs>
        <w:numPr>
          <w:ilvl w:val="1"/>
          <w:numId w:val="270"/>
        </w:numPr>
        <w:rPr>
          <w:rFonts w:ascii="Arial" w:cs="Arial" w:eastAsia="Arial" w:hAnsi="Arial"/>
          <w:sz w:val="13"/>
          <w:szCs w:val="13"/>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 8(c)</w:t>
      </w:r>
      <w:r>
        <w:rPr>
          <w:rFonts w:ascii="Arial" w:cs="Arial" w:eastAsia="Arial" w:hAnsi="Arial"/>
          <w:sz w:val="13"/>
          <w:szCs w:val="13"/>
          <w:color w:val="auto"/>
        </w:rPr>
        <w:t xml:space="preserve"> above, in the event of any payment under this Agreement, the Company shall be subrogated to the extent of such payment to all of the rights of recovery of Indemnitee (other than against the Other Indemnitors), who shall execute all papers required and take all action necessary to secure such rights,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1788160"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788160" cy="6985"/>
                    </a:xfrm>
                    <a:prstGeom prst="rect">
                      <a:avLst/>
                    </a:prstGeom>
                    <a:noFill/>
                  </pic:spPr>
                </pic:pic>
              </a:graphicData>
            </a:graphic>
          </wp:anchor>
        </w:drawing>
      </w:r>
    </w:p>
    <w:p>
      <w:pPr>
        <w:spacing w:after="0" w:line="48" w:lineRule="exact"/>
        <w:rPr>
          <w:sz w:val="20"/>
          <w:szCs w:val="20"/>
          <w:color w:val="auto"/>
        </w:rPr>
      </w:pPr>
    </w:p>
    <w:p>
      <w:pPr>
        <w:ind w:left="100" w:hanging="94"/>
        <w:spacing w:after="0"/>
        <w:tabs>
          <w:tab w:leader="none" w:pos="100" w:val="left"/>
        </w:tabs>
        <w:numPr>
          <w:ilvl w:val="0"/>
          <w:numId w:val="271"/>
        </w:numPr>
        <w:rPr>
          <w:rFonts w:ascii="Arial" w:cs="Arial" w:eastAsia="Arial" w:hAnsi="Arial"/>
          <w:sz w:val="24"/>
          <w:szCs w:val="24"/>
          <w:color w:val="auto"/>
          <w:vertAlign w:val="superscript"/>
        </w:rPr>
      </w:pPr>
      <w:r>
        <w:rPr>
          <w:rFonts w:ascii="Arial" w:cs="Arial" w:eastAsia="Arial" w:hAnsi="Arial"/>
          <w:sz w:val="14"/>
          <w:szCs w:val="14"/>
          <w:b w:val="1"/>
          <w:bCs w:val="1"/>
          <w:color w:val="auto"/>
        </w:rPr>
        <w:t>NTD</w:t>
      </w:r>
      <w:r>
        <w:rPr>
          <w:rFonts w:ascii="Arial" w:cs="Arial" w:eastAsia="Arial" w:hAnsi="Arial"/>
          <w:sz w:val="14"/>
          <w:szCs w:val="14"/>
          <w:color w:val="auto"/>
        </w:rPr>
        <w:t>: Delete this section and revise/remove corresponding references for non-member appointed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5962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4" w:name="page415"/>
    <w:bookmarkEnd w:id="414"/>
    <w:p>
      <w:pPr>
        <w:spacing w:after="0"/>
        <w:rPr>
          <w:sz w:val="20"/>
          <w:szCs w:val="20"/>
          <w:color w:val="auto"/>
        </w:rPr>
      </w:pPr>
      <w:r>
        <w:rPr>
          <w:rFonts w:ascii="Arial" w:cs="Arial" w:eastAsia="Arial" w:hAnsi="Arial"/>
          <w:sz w:val="14"/>
          <w:szCs w:val="14"/>
          <w:color w:val="auto"/>
        </w:rPr>
        <w:t>execution of such documents as are necessary to enable the Company to bring suit to enforce such rights.</w:t>
      </w:r>
    </w:p>
    <w:p>
      <w:pPr>
        <w:spacing w:after="0" w:line="184" w:lineRule="exact"/>
        <w:rPr>
          <w:sz w:val="20"/>
          <w:szCs w:val="20"/>
          <w:color w:val="auto"/>
        </w:rPr>
      </w:pPr>
    </w:p>
    <w:p>
      <w:pPr>
        <w:ind w:firstLine="938"/>
        <w:spacing w:after="0" w:line="329" w:lineRule="auto"/>
        <w:tabs>
          <w:tab w:leader="none" w:pos="1314" w:val="left"/>
        </w:tabs>
        <w:numPr>
          <w:ilvl w:val="1"/>
          <w:numId w:val="272"/>
        </w:numPr>
        <w:rPr>
          <w:rFonts w:ascii="Arial" w:cs="Arial" w:eastAsia="Arial" w:hAnsi="Arial"/>
          <w:sz w:val="13"/>
          <w:szCs w:val="13"/>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 8(c)</w:t>
      </w:r>
      <w:r>
        <w:rPr>
          <w:rFonts w:ascii="Arial" w:cs="Arial" w:eastAsia="Arial" w:hAnsi="Arial"/>
          <w:sz w:val="13"/>
          <w:szCs w:val="13"/>
          <w:color w:val="auto"/>
        </w:rPr>
        <w:t xml:space="preserve"> above, the Company shall not be liable under this Agreement to make any payment of amounts otherwise indemnifiable hereunder if and to the extent that Indemnitee has otherwise actually received such payment under any insurance policy, contract, agreement or otherwise and has no obligation to return or repay such funds.</w:t>
      </w:r>
    </w:p>
    <w:p>
      <w:pPr>
        <w:spacing w:after="0" w:line="108" w:lineRule="exact"/>
        <w:rPr>
          <w:rFonts w:ascii="Arial" w:cs="Arial" w:eastAsia="Arial" w:hAnsi="Arial"/>
          <w:sz w:val="13"/>
          <w:szCs w:val="13"/>
          <w:color w:val="auto"/>
        </w:rPr>
      </w:pPr>
    </w:p>
    <w:p>
      <w:pPr>
        <w:jc w:val="both"/>
        <w:ind w:firstLine="938"/>
        <w:spacing w:after="0" w:line="265" w:lineRule="auto"/>
        <w:tabs>
          <w:tab w:leader="none" w:pos="1378" w:val="left"/>
        </w:tabs>
        <w:numPr>
          <w:ilvl w:val="1"/>
          <w:numId w:val="272"/>
        </w:numPr>
        <w:rPr>
          <w:rFonts w:ascii="Arial" w:cs="Arial" w:eastAsia="Arial" w:hAnsi="Arial"/>
          <w:sz w:val="14"/>
          <w:szCs w:val="14"/>
          <w:color w:val="auto"/>
        </w:rPr>
      </w:pPr>
      <w:r>
        <w:rPr>
          <w:rFonts w:ascii="Arial" w:cs="Arial" w:eastAsia="Arial" w:hAnsi="Arial"/>
          <w:sz w:val="14"/>
          <w:szCs w:val="14"/>
          <w:color w:val="auto"/>
        </w:rPr>
        <w:t xml:space="preserve">Except as provided in </w:t>
      </w:r>
      <w:r>
        <w:rPr>
          <w:rFonts w:ascii="Arial" w:cs="Arial" w:eastAsia="Arial" w:hAnsi="Arial"/>
          <w:sz w:val="14"/>
          <w:szCs w:val="14"/>
          <w:u w:val="single" w:color="auto"/>
          <w:color w:val="auto"/>
        </w:rPr>
        <w:t>Section 8(c)</w:t>
      </w:r>
      <w:r>
        <w:rPr>
          <w:rFonts w:ascii="Arial" w:cs="Arial" w:eastAsia="Arial" w:hAnsi="Arial"/>
          <w:sz w:val="14"/>
          <w:szCs w:val="14"/>
          <w:color w:val="auto"/>
        </w:rPr>
        <w:t xml:space="preserve"> above, the Company’s obligation to indemnify or advance Expenses hereunder to Indemnitee who is or was serving at the request of the Company as a director/manager, officer, employee or agent of any other corporation, partnership, limited liability company, joint venture, trust, employee benefit plan or other enterprise shall be reduced by any amount Indemnitee has actually received as indemnification or advancement of expenses from such other corporation, partnership, limited liability company, joint venture, trust, employee benefit plan or other enterprise. The Company shall not adopt any amendment to the LLC Agreement, the effect of which would be to deny, diminish or encumber Indemnitee’s right to indemnification under this Agreement.</w:t>
      </w:r>
    </w:p>
    <w:p>
      <w:pPr>
        <w:spacing w:after="0" w:line="147" w:lineRule="exact"/>
        <w:rPr>
          <w:rFonts w:ascii="Arial" w:cs="Arial" w:eastAsia="Arial" w:hAnsi="Arial"/>
          <w:sz w:val="14"/>
          <w:szCs w:val="14"/>
          <w:color w:val="auto"/>
        </w:rPr>
      </w:pPr>
    </w:p>
    <w:p>
      <w:pPr>
        <w:ind w:firstLine="524"/>
        <w:spacing w:after="0" w:line="288" w:lineRule="auto"/>
        <w:tabs>
          <w:tab w:leader="none" w:pos="1061" w:val="left"/>
        </w:tabs>
        <w:numPr>
          <w:ilvl w:val="0"/>
          <w:numId w:val="273"/>
        </w:numPr>
        <w:rPr>
          <w:rFonts w:ascii="Arial" w:cs="Arial" w:eastAsia="Arial" w:hAnsi="Arial"/>
          <w:sz w:val="14"/>
          <w:szCs w:val="14"/>
          <w:color w:val="auto"/>
        </w:rPr>
      </w:pPr>
      <w:r>
        <w:rPr>
          <w:rFonts w:ascii="Arial" w:cs="Arial" w:eastAsia="Arial" w:hAnsi="Arial"/>
          <w:sz w:val="14"/>
          <w:szCs w:val="14"/>
          <w:u w:val="single" w:color="auto"/>
          <w:color w:val="auto"/>
        </w:rPr>
        <w:t>Exception to Right of Indemnification</w:t>
      </w:r>
      <w:r>
        <w:rPr>
          <w:rFonts w:ascii="Arial" w:cs="Arial" w:eastAsia="Arial" w:hAnsi="Arial"/>
          <w:sz w:val="14"/>
          <w:szCs w:val="14"/>
          <w:color w:val="auto"/>
        </w:rPr>
        <w:t>. Notwithstanding any provision in this Agreement, the Company shall not be obligated under this Agreement to make any indemnity in connection with any claim made against Indemnitee:</w:t>
      </w:r>
    </w:p>
    <w:p>
      <w:pPr>
        <w:spacing w:after="0" w:line="131" w:lineRule="exact"/>
        <w:rPr>
          <w:rFonts w:ascii="Arial" w:cs="Arial" w:eastAsia="Arial" w:hAnsi="Arial"/>
          <w:sz w:val="14"/>
          <w:szCs w:val="14"/>
          <w:color w:val="auto"/>
        </w:rPr>
      </w:pPr>
    </w:p>
    <w:p>
      <w:pPr>
        <w:jc w:val="both"/>
        <w:ind w:firstLine="938"/>
        <w:spacing w:after="0" w:line="273" w:lineRule="auto"/>
        <w:tabs>
          <w:tab w:leader="none" w:pos="135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 xml:space="preserve">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Other Indemnitors set forth in </w:t>
      </w:r>
      <w:r>
        <w:rPr>
          <w:rFonts w:ascii="Arial" w:cs="Arial" w:eastAsia="Arial" w:hAnsi="Arial"/>
          <w:sz w:val="14"/>
          <w:szCs w:val="14"/>
          <w:u w:val="single" w:color="auto"/>
          <w:color w:val="auto"/>
        </w:rPr>
        <w:t>Section 8(c)</w:t>
      </w:r>
      <w:r>
        <w:rPr>
          <w:rFonts w:ascii="Arial" w:cs="Arial" w:eastAsia="Arial" w:hAnsi="Arial"/>
          <w:sz w:val="14"/>
          <w:szCs w:val="14"/>
          <w:color w:val="auto"/>
        </w:rPr>
        <w:t xml:space="preserve"> above; or</w:t>
      </w:r>
    </w:p>
    <w:p>
      <w:pPr>
        <w:spacing w:after="0" w:line="141" w:lineRule="exact"/>
        <w:rPr>
          <w:rFonts w:ascii="Arial" w:cs="Arial" w:eastAsia="Arial" w:hAnsi="Arial"/>
          <w:sz w:val="14"/>
          <w:szCs w:val="14"/>
          <w:color w:val="auto"/>
        </w:rPr>
      </w:pPr>
    </w:p>
    <w:p>
      <w:pPr>
        <w:ind w:firstLine="938"/>
        <w:spacing w:after="0" w:line="288" w:lineRule="auto"/>
        <w:tabs>
          <w:tab w:leader="none" w:pos="1427" w:val="left"/>
        </w:tabs>
        <w:numPr>
          <w:ilvl w:val="1"/>
          <w:numId w:val="273"/>
        </w:numPr>
        <w:rPr>
          <w:rFonts w:ascii="Arial" w:cs="Arial" w:eastAsia="Arial" w:hAnsi="Arial"/>
          <w:sz w:val="14"/>
          <w:szCs w:val="14"/>
          <w:color w:val="auto"/>
        </w:rPr>
      </w:pPr>
      <w:r>
        <w:rPr>
          <w:rFonts w:ascii="Arial" w:cs="Arial" w:eastAsia="Arial" w:hAnsi="Arial"/>
          <w:sz w:val="14"/>
          <w:szCs w:val="14"/>
          <w:color w:val="auto"/>
        </w:rPr>
        <w:t xml:space="preserve">for an accounting of profits made from the purchase and sale (or sale and purchase) by Indemnitee of securities of the Company its affiliates or subsidiaries within the meaning of </w:t>
      </w:r>
      <w:r>
        <w:rPr>
          <w:rFonts w:ascii="Arial" w:cs="Arial" w:eastAsia="Arial" w:hAnsi="Arial"/>
          <w:sz w:val="14"/>
          <w:szCs w:val="14"/>
          <w:u w:val="single" w:color="auto"/>
          <w:color w:val="auto"/>
        </w:rPr>
        <w:t>Section 16(b)</w:t>
      </w:r>
      <w:r>
        <w:rPr>
          <w:rFonts w:ascii="Arial" w:cs="Arial" w:eastAsia="Arial" w:hAnsi="Arial"/>
          <w:sz w:val="14"/>
          <w:szCs w:val="14"/>
          <w:color w:val="auto"/>
        </w:rPr>
        <w:t xml:space="preserve"> of the Securities Exchange Act of 1934, as amended, or similar provisions of state statutory law or common law; or</w:t>
      </w:r>
    </w:p>
    <w:p>
      <w:pPr>
        <w:spacing w:after="0" w:line="131" w:lineRule="exact"/>
        <w:rPr>
          <w:rFonts w:ascii="Arial" w:cs="Arial" w:eastAsia="Arial" w:hAnsi="Arial"/>
          <w:sz w:val="14"/>
          <w:szCs w:val="14"/>
          <w:color w:val="auto"/>
        </w:rPr>
      </w:pPr>
    </w:p>
    <w:p>
      <w:pPr>
        <w:jc w:val="both"/>
        <w:ind w:firstLine="938"/>
        <w:spacing w:after="0" w:line="303" w:lineRule="auto"/>
        <w:tabs>
          <w:tab w:leader="none" w:pos="1386" w:val="left"/>
        </w:tabs>
        <w:numPr>
          <w:ilvl w:val="1"/>
          <w:numId w:val="273"/>
        </w:numPr>
        <w:rPr>
          <w:rFonts w:ascii="Arial" w:cs="Arial" w:eastAsia="Arial" w:hAnsi="Arial"/>
          <w:sz w:val="13"/>
          <w:szCs w:val="13"/>
          <w:color w:val="auto"/>
        </w:rPr>
      </w:pPr>
      <w:r>
        <w:rPr>
          <w:rFonts w:ascii="Arial" w:cs="Arial" w:eastAsia="Arial" w:hAnsi="Arial"/>
          <w:sz w:val="13"/>
          <w:szCs w:val="13"/>
          <w:color w:val="auto"/>
        </w:rPr>
        <w:t>except as otherwise expressly contemplated by this Agreement, in connection with any Proceeding (or any part of any Proceeding) initiated by Indemnitee, including any Proceeding (or any part of any Proceeding) initiated by Indemnitee against the Company or its managers,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24" w:lineRule="exact"/>
        <w:rPr>
          <w:rFonts w:ascii="Arial" w:cs="Arial" w:eastAsia="Arial" w:hAnsi="Arial"/>
          <w:sz w:val="13"/>
          <w:szCs w:val="13"/>
          <w:color w:val="auto"/>
        </w:rPr>
      </w:pPr>
    </w:p>
    <w:p>
      <w:pPr>
        <w:jc w:val="both"/>
        <w:ind w:firstLine="524"/>
        <w:spacing w:after="0" w:line="294" w:lineRule="auto"/>
        <w:tabs>
          <w:tab w:leader="none" w:pos="1053" w:val="left"/>
        </w:tabs>
        <w:numPr>
          <w:ilvl w:val="0"/>
          <w:numId w:val="273"/>
        </w:numPr>
        <w:rPr>
          <w:rFonts w:ascii="Arial" w:cs="Arial" w:eastAsia="Arial" w:hAnsi="Arial"/>
          <w:sz w:val="13"/>
          <w:szCs w:val="13"/>
          <w:color w:val="auto"/>
        </w:rPr>
      </w:pPr>
      <w:r>
        <w:rPr>
          <w:rFonts w:ascii="Arial" w:cs="Arial" w:eastAsia="Arial" w:hAnsi="Arial"/>
          <w:sz w:val="13"/>
          <w:szCs w:val="13"/>
          <w:u w:val="single" w:color="auto"/>
          <w:color w:val="auto"/>
        </w:rPr>
        <w:t>Duration of Agreement</w:t>
      </w:r>
      <w:r>
        <w:rPr>
          <w:rFonts w:ascii="Arial" w:cs="Arial" w:eastAsia="Arial" w:hAnsi="Arial"/>
          <w:sz w:val="13"/>
          <w:szCs w:val="13"/>
          <w:color w:val="auto"/>
        </w:rPr>
        <w:t xml:space="preserve">. All agreements and obligations of the Company contained herein shall continue during the period Indemnitee is a director/manager of the Company (or is or was serving at the request of the Company as a director/manager, officer, employee or agent of another corporation, partnership, limited liability company, joint venture, trust or other enterprise) and shall continue thereafter so long as Indemnitee shall be subject to any Proceeding (or any proceeding commenced under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hereof) by reason of Indemnitee’s Company Status, whether or not Indemnitee is acting or serving in any such capacity at the time any liability or expense is incurred for which indemnification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715962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5" w:name="page416"/>
    <w:bookmarkEnd w:id="415"/>
    <w:p>
      <w:pPr>
        <w:jc w:val="both"/>
        <w:spacing w:after="0" w:line="273" w:lineRule="auto"/>
        <w:rPr>
          <w:sz w:val="20"/>
          <w:szCs w:val="20"/>
          <w:color w:val="auto"/>
        </w:rPr>
      </w:pPr>
      <w:r>
        <w:rPr>
          <w:rFonts w:ascii="Arial" w:cs="Arial" w:eastAsia="Arial" w:hAnsi="Arial"/>
          <w:sz w:val="14"/>
          <w:szCs w:val="14"/>
          <w:color w:val="auto"/>
        </w:rPr>
        <w:t>provided under this Agreement. This Agreement shall be binding upon and inure to the benefit of and be enforceable by the parties hereto and their respective successors (including any direct or indirect successor by reorganization, purchase, merger, consolidation or otherwise to all or substantially all of the business, units or assets of the Company), assigns, spouses, heirs, executors and personal and legal representatives.</w:t>
      </w:r>
    </w:p>
    <w:p>
      <w:pPr>
        <w:spacing w:after="0" w:line="141" w:lineRule="exact"/>
        <w:rPr>
          <w:sz w:val="20"/>
          <w:szCs w:val="20"/>
          <w:color w:val="auto"/>
        </w:rPr>
      </w:pPr>
    </w:p>
    <w:p>
      <w:pPr>
        <w:jc w:val="both"/>
        <w:ind w:firstLine="524"/>
        <w:spacing w:after="0" w:line="273" w:lineRule="auto"/>
        <w:tabs>
          <w:tab w:leader="none" w:pos="1156" w:val="left"/>
        </w:tabs>
        <w:numPr>
          <w:ilvl w:val="0"/>
          <w:numId w:val="274"/>
        </w:numPr>
        <w:rPr>
          <w:rFonts w:ascii="Arial" w:cs="Arial" w:eastAsia="Arial" w:hAnsi="Arial"/>
          <w:sz w:val="14"/>
          <w:szCs w:val="14"/>
          <w:color w:val="auto"/>
        </w:rPr>
      </w:pPr>
      <w:r>
        <w:rPr>
          <w:rFonts w:ascii="Arial" w:cs="Arial" w:eastAsia="Arial" w:hAnsi="Arial"/>
          <w:sz w:val="14"/>
          <w:szCs w:val="14"/>
          <w:u w:val="single" w:color="auto"/>
          <w:color w:val="auto"/>
        </w:rPr>
        <w:t>Security</w:t>
      </w:r>
      <w:r>
        <w:rPr>
          <w:rFonts w:ascii="Arial" w:cs="Arial" w:eastAsia="Arial" w:hAnsi="Arial"/>
          <w:sz w:val="14"/>
          <w:szCs w:val="14"/>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41" w:lineRule="exact"/>
        <w:rPr>
          <w:rFonts w:ascii="Arial" w:cs="Arial" w:eastAsia="Arial" w:hAnsi="Arial"/>
          <w:sz w:val="14"/>
          <w:szCs w:val="14"/>
          <w:color w:val="auto"/>
        </w:rPr>
      </w:pPr>
    </w:p>
    <w:p>
      <w:pPr>
        <w:ind w:left="1020" w:hanging="496"/>
        <w:spacing w:after="0"/>
        <w:tabs>
          <w:tab w:leader="none" w:pos="1020" w:val="left"/>
        </w:tabs>
        <w:numPr>
          <w:ilvl w:val="0"/>
          <w:numId w:val="274"/>
        </w:numPr>
        <w:rPr>
          <w:rFonts w:ascii="Arial" w:cs="Arial" w:eastAsia="Arial" w:hAnsi="Arial"/>
          <w:sz w:val="14"/>
          <w:szCs w:val="14"/>
          <w:color w:val="auto"/>
        </w:rPr>
      </w:pPr>
      <w:r>
        <w:rPr>
          <w:rFonts w:ascii="Arial" w:cs="Arial" w:eastAsia="Arial" w:hAnsi="Arial"/>
          <w:sz w:val="14"/>
          <w:szCs w:val="14"/>
          <w:u w:val="single" w:color="auto"/>
          <w:color w:val="auto"/>
        </w:rPr>
        <w:t>Enforcement</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938"/>
        <w:spacing w:after="0" w:line="329" w:lineRule="auto"/>
        <w:tabs>
          <w:tab w:leader="none" w:pos="1409" w:val="left"/>
        </w:tabs>
        <w:numPr>
          <w:ilvl w:val="1"/>
          <w:numId w:val="274"/>
        </w:numPr>
        <w:rPr>
          <w:rFonts w:ascii="Arial" w:cs="Arial" w:eastAsia="Arial" w:hAnsi="Arial"/>
          <w:sz w:val="13"/>
          <w:szCs w:val="13"/>
          <w:color w:val="auto"/>
        </w:rPr>
      </w:pPr>
      <w:r>
        <w:rPr>
          <w:rFonts w:ascii="Arial" w:cs="Arial" w:eastAsia="Arial" w:hAnsi="Arial"/>
          <w:sz w:val="13"/>
          <w:szCs w:val="13"/>
          <w:color w:val="auto"/>
        </w:rPr>
        <w:t>The Company expressly confirms and agrees that it has entered into this Agreement and assumes the obligations imposed on it hereby in order to induce Indemnitee to serve as a director/manager of the Company, and the Company acknowledges that Indemnitee is relying upon this Agreement in serving as a director/manager of the Company.</w:t>
      </w:r>
    </w:p>
    <w:p>
      <w:pPr>
        <w:spacing w:after="0" w:line="108" w:lineRule="exact"/>
        <w:rPr>
          <w:rFonts w:ascii="Arial" w:cs="Arial" w:eastAsia="Arial" w:hAnsi="Arial"/>
          <w:sz w:val="13"/>
          <w:szCs w:val="13"/>
          <w:color w:val="auto"/>
        </w:rPr>
      </w:pPr>
    </w:p>
    <w:p>
      <w:pPr>
        <w:ind w:firstLine="938"/>
        <w:spacing w:after="0" w:line="288" w:lineRule="auto"/>
        <w:tabs>
          <w:tab w:leader="none" w:pos="1570" w:val="left"/>
        </w:tabs>
        <w:numPr>
          <w:ilvl w:val="1"/>
          <w:numId w:val="274"/>
        </w:numPr>
        <w:rPr>
          <w:rFonts w:ascii="Arial" w:cs="Arial" w:eastAsia="Arial" w:hAnsi="Arial"/>
          <w:sz w:val="14"/>
          <w:szCs w:val="14"/>
          <w:color w:val="auto"/>
        </w:rPr>
      </w:pPr>
      <w:r>
        <w:rPr>
          <w:rFonts w:ascii="Arial" w:cs="Arial" w:eastAsia="Arial" w:hAnsi="Arial"/>
          <w:sz w:val="14"/>
          <w:szCs w:val="14"/>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31" w:lineRule="exact"/>
        <w:rPr>
          <w:rFonts w:ascii="Arial" w:cs="Arial" w:eastAsia="Arial" w:hAnsi="Arial"/>
          <w:sz w:val="14"/>
          <w:szCs w:val="14"/>
          <w:color w:val="auto"/>
        </w:rPr>
      </w:pPr>
    </w:p>
    <w:p>
      <w:pPr>
        <w:ind w:firstLine="938"/>
        <w:spacing w:after="0" w:line="288" w:lineRule="auto"/>
        <w:tabs>
          <w:tab w:leader="none" w:pos="1384" w:val="left"/>
        </w:tabs>
        <w:numPr>
          <w:ilvl w:val="1"/>
          <w:numId w:val="274"/>
        </w:numPr>
        <w:rPr>
          <w:rFonts w:ascii="Arial" w:cs="Arial" w:eastAsia="Arial" w:hAnsi="Arial"/>
          <w:sz w:val="14"/>
          <w:szCs w:val="14"/>
          <w:color w:val="auto"/>
        </w:rPr>
      </w:pPr>
      <w:r>
        <w:rPr>
          <w:rFonts w:ascii="Arial" w:cs="Arial" w:eastAsia="Arial" w:hAnsi="Arial"/>
          <w:sz w:val="14"/>
          <w:szCs w:val="14"/>
          <w:color w:val="auto"/>
        </w:rPr>
        <w:t>The Company shall not seek from a court, or agree to, a "bar order" which would have the effect of prohibiting or limiting Indemnitee’s rights to receive advancement of expenses under this Agreement.</w:t>
      </w:r>
    </w:p>
    <w:p>
      <w:pPr>
        <w:spacing w:after="0" w:line="131" w:lineRule="exact"/>
        <w:rPr>
          <w:rFonts w:ascii="Arial" w:cs="Arial" w:eastAsia="Arial" w:hAnsi="Arial"/>
          <w:sz w:val="14"/>
          <w:szCs w:val="14"/>
          <w:color w:val="auto"/>
        </w:rPr>
      </w:pPr>
    </w:p>
    <w:p>
      <w:pPr>
        <w:ind w:left="1020" w:hanging="496"/>
        <w:spacing w:after="0"/>
        <w:tabs>
          <w:tab w:leader="none" w:pos="1020" w:val="left"/>
        </w:tabs>
        <w:numPr>
          <w:ilvl w:val="0"/>
          <w:numId w:val="274"/>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Agreement:</w:t>
      </w:r>
    </w:p>
    <w:p>
      <w:pPr>
        <w:spacing w:after="0" w:line="180" w:lineRule="exact"/>
        <w:rPr>
          <w:rFonts w:ascii="Arial" w:cs="Arial" w:eastAsia="Arial" w:hAnsi="Arial"/>
          <w:sz w:val="14"/>
          <w:szCs w:val="14"/>
          <w:color w:val="auto"/>
        </w:rPr>
      </w:pPr>
    </w:p>
    <w:p>
      <w:pPr>
        <w:ind w:firstLine="938"/>
        <w:spacing w:after="0" w:line="336" w:lineRule="auto"/>
        <w:tabs>
          <w:tab w:leader="none" w:pos="1347" w:val="left"/>
        </w:tabs>
        <w:numPr>
          <w:ilvl w:val="1"/>
          <w:numId w:val="2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Status</w:t>
      </w:r>
      <w:r>
        <w:rPr>
          <w:rFonts w:ascii="Arial" w:cs="Arial" w:eastAsia="Arial" w:hAnsi="Arial"/>
          <w:sz w:val="13"/>
          <w:szCs w:val="13"/>
          <w:color w:val="auto"/>
        </w:rPr>
        <w:t>” means the status of a person who is or was a director/manager, officer, employee, agent or fiduciary of the Company or of any other corporation, partnership, limited liability company, joint venture, trust, employee benefit plan or other enterprise that such person is or was serving at the express written request of the Company.</w:t>
      </w:r>
    </w:p>
    <w:p>
      <w:pPr>
        <w:spacing w:after="0" w:line="99" w:lineRule="exact"/>
        <w:rPr>
          <w:rFonts w:ascii="Arial" w:cs="Arial" w:eastAsia="Arial" w:hAnsi="Arial"/>
          <w:sz w:val="13"/>
          <w:szCs w:val="13"/>
          <w:color w:val="auto"/>
        </w:rPr>
      </w:pPr>
    </w:p>
    <w:p>
      <w:pPr>
        <w:ind w:left="1380" w:hanging="442"/>
        <w:spacing w:after="0"/>
        <w:tabs>
          <w:tab w:leader="none" w:pos="1380" w:val="left"/>
        </w:tabs>
        <w:numPr>
          <w:ilvl w:val="1"/>
          <w:numId w:val="2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Disinterested Manager</w:t>
      </w:r>
      <w:r>
        <w:rPr>
          <w:rFonts w:ascii="Arial" w:cs="Arial" w:eastAsia="Arial" w:hAnsi="Arial"/>
          <w:sz w:val="13"/>
          <w:szCs w:val="13"/>
          <w:color w:val="auto"/>
        </w:rPr>
        <w:t>” means a director/manager of the Company who is not and was not a party to the Proceeding in respect of which indemnification is sought by</w:t>
      </w:r>
    </w:p>
    <w:p>
      <w:pPr>
        <w:spacing w:after="0" w:line="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Indemnitee.</w:t>
      </w:r>
    </w:p>
    <w:p>
      <w:pPr>
        <w:spacing w:after="0" w:line="170" w:lineRule="exact"/>
        <w:rPr>
          <w:rFonts w:ascii="Arial" w:cs="Arial" w:eastAsia="Arial" w:hAnsi="Arial"/>
          <w:sz w:val="13"/>
          <w:szCs w:val="13"/>
          <w:color w:val="auto"/>
        </w:rPr>
      </w:pPr>
    </w:p>
    <w:p>
      <w:pPr>
        <w:ind w:firstLine="938"/>
        <w:spacing w:after="0" w:line="294" w:lineRule="auto"/>
        <w:tabs>
          <w:tab w:leader="none" w:pos="1365" w:val="left"/>
        </w:tabs>
        <w:numPr>
          <w:ilvl w:val="1"/>
          <w:numId w:val="27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Enterprise</w:t>
      </w:r>
      <w:r>
        <w:rPr>
          <w:rFonts w:ascii="Arial" w:cs="Arial" w:eastAsia="Arial" w:hAnsi="Arial"/>
          <w:sz w:val="14"/>
          <w:szCs w:val="14"/>
          <w:color w:val="auto"/>
        </w:rPr>
        <w:t>” shall mean the Company and any other corporation, partnership, limited liability company, joint venture, trust, employee benefit plan or other enterprise that Indemnitee is or was serving at the express written request of the Company as a director/manager, officer, employee, agent or fiduciary.</w:t>
      </w:r>
    </w:p>
    <w:p>
      <w:pPr>
        <w:spacing w:after="0" w:line="123" w:lineRule="exact"/>
        <w:rPr>
          <w:rFonts w:ascii="Arial" w:cs="Arial" w:eastAsia="Arial" w:hAnsi="Arial"/>
          <w:sz w:val="14"/>
          <w:szCs w:val="14"/>
          <w:color w:val="auto"/>
        </w:rPr>
      </w:pPr>
    </w:p>
    <w:p>
      <w:pPr>
        <w:jc w:val="both"/>
        <w:ind w:firstLine="938"/>
        <w:spacing w:after="0" w:line="306" w:lineRule="auto"/>
        <w:tabs>
          <w:tab w:leader="none" w:pos="1312" w:val="left"/>
        </w:tabs>
        <w:numPr>
          <w:ilvl w:val="1"/>
          <w:numId w:val="2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Expenses</w:t>
      </w:r>
      <w:r>
        <w:rPr>
          <w:rFonts w:ascii="Arial" w:cs="Arial" w:eastAsia="Arial" w:hAnsi="Arial"/>
          <w:sz w:val="13"/>
          <w:szCs w:val="13"/>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15962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6" w:name="page417"/>
    <w:bookmarkEnd w:id="416"/>
    <w:p>
      <w:pPr>
        <w:jc w:val="both"/>
        <w:spacing w:after="0" w:line="273" w:lineRule="auto"/>
        <w:rPr>
          <w:sz w:val="20"/>
          <w:szCs w:val="20"/>
          <w:color w:val="auto"/>
        </w:rPr>
      </w:pPr>
      <w:r>
        <w:rPr>
          <w:rFonts w:ascii="Arial" w:cs="Arial" w:eastAsia="Arial" w:hAnsi="Arial"/>
          <w:sz w:val="14"/>
          <w:szCs w:val="14"/>
          <w:color w:val="auto"/>
        </w:rPr>
        <w:t>Proceeding. Expenses also shall include Expenses actually and reasonably incurred in connection with any appeal resulting from any Proceeding,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37" w:lineRule="exact"/>
        <w:rPr>
          <w:sz w:val="20"/>
          <w:szCs w:val="20"/>
          <w:color w:val="auto"/>
        </w:rPr>
      </w:pPr>
    </w:p>
    <w:p>
      <w:pPr>
        <w:jc w:val="both"/>
        <w:ind w:firstLine="938"/>
        <w:spacing w:after="0" w:line="263" w:lineRule="auto"/>
        <w:tabs>
          <w:tab w:leader="none" w:pos="1293" w:val="left"/>
        </w:tabs>
        <w:numPr>
          <w:ilvl w:val="1"/>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Independent Counsel</w:t>
      </w:r>
      <w:r>
        <w:rPr>
          <w:rFonts w:ascii="Arial" w:cs="Arial" w:eastAsia="Arial" w:hAnsi="Arial"/>
          <w:sz w:val="14"/>
          <w:szCs w:val="14"/>
          <w:color w:val="auto"/>
        </w:rPr>
        <w:t>” means a law firm, or a member of a law firm, or a solo practitioner that is experienced and licensed in matters of limited liability company law in the relevant jurisdiction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46" w:lineRule="exact"/>
        <w:rPr>
          <w:rFonts w:ascii="Arial" w:cs="Arial" w:eastAsia="Arial" w:hAnsi="Arial"/>
          <w:sz w:val="14"/>
          <w:szCs w:val="14"/>
          <w:color w:val="auto"/>
        </w:rPr>
      </w:pPr>
    </w:p>
    <w:p>
      <w:pPr>
        <w:jc w:val="both"/>
        <w:ind w:firstLine="938"/>
        <w:spacing w:after="0" w:line="264" w:lineRule="auto"/>
        <w:tabs>
          <w:tab w:leader="none" w:pos="1220" w:val="left"/>
        </w:tabs>
        <w:numPr>
          <w:ilvl w:val="1"/>
          <w:numId w:val="27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Proceeding</w:t>
      </w:r>
      <w:r>
        <w:rPr>
          <w:rFonts w:ascii="Arial" w:cs="Arial" w:eastAsia="Arial" w:hAnsi="Arial"/>
          <w:sz w:val="14"/>
          <w:szCs w:val="14"/>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Company Status, by reason of any action taken by Indemnitee or of any inaction on Indemnitee’s part while acting in Indemnitee’s Company Status;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of this Agreement to enforce Indemnitee’s rights under this Agreement.</w:t>
      </w:r>
    </w:p>
    <w:p>
      <w:pPr>
        <w:spacing w:after="0" w:line="149" w:lineRule="exact"/>
        <w:rPr>
          <w:rFonts w:ascii="Arial" w:cs="Arial" w:eastAsia="Arial" w:hAnsi="Arial"/>
          <w:sz w:val="14"/>
          <w:szCs w:val="14"/>
          <w:color w:val="auto"/>
        </w:rPr>
      </w:pPr>
    </w:p>
    <w:p>
      <w:pPr>
        <w:jc w:val="both"/>
        <w:ind w:firstLine="524"/>
        <w:spacing w:after="0" w:line="265" w:lineRule="auto"/>
        <w:tabs>
          <w:tab w:leader="none" w:pos="1129" w:val="left"/>
        </w:tabs>
        <w:numPr>
          <w:ilvl w:val="0"/>
          <w:numId w:val="276"/>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The invalidity or unenforceability of any provision hereof shall in no way affect the validity or enforceability of any other provision. Further, the invalidity or unenforceability of any provision hereof as to either Indemnitee or Appointing Unitholder shall in no way affect the validity or enforceability of any provision hereof as to the other. Without limiting the generality of the foregoing, this Agreement is intended to confer upon Indemnitee and Appointing Unitholder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47" w:lineRule="exact"/>
        <w:rPr>
          <w:rFonts w:ascii="Arial" w:cs="Arial" w:eastAsia="Arial" w:hAnsi="Arial"/>
          <w:sz w:val="14"/>
          <w:szCs w:val="14"/>
          <w:color w:val="auto"/>
        </w:rPr>
      </w:pPr>
    </w:p>
    <w:p>
      <w:pPr>
        <w:jc w:val="both"/>
        <w:ind w:firstLine="524"/>
        <w:spacing w:after="0" w:line="273" w:lineRule="auto"/>
        <w:tabs>
          <w:tab w:leader="none" w:pos="1075" w:val="left"/>
        </w:tabs>
        <w:numPr>
          <w:ilvl w:val="0"/>
          <w:numId w:val="276"/>
        </w:numPr>
        <w:rPr>
          <w:rFonts w:ascii="Arial" w:cs="Arial" w:eastAsia="Arial" w:hAnsi="Arial"/>
          <w:sz w:val="14"/>
          <w:szCs w:val="14"/>
          <w:color w:val="auto"/>
        </w:rPr>
      </w:pPr>
      <w:r>
        <w:rPr>
          <w:rFonts w:ascii="Arial" w:cs="Arial" w:eastAsia="Arial" w:hAnsi="Arial"/>
          <w:sz w:val="14"/>
          <w:szCs w:val="14"/>
          <w:u w:val="single" w:color="auto"/>
          <w:color w:val="auto"/>
        </w:rPr>
        <w:t>Modification and Waiver</w:t>
      </w:r>
      <w:r>
        <w:rPr>
          <w:rFonts w:ascii="Arial" w:cs="Arial" w:eastAsia="Arial" w:hAnsi="Arial"/>
          <w:sz w:val="14"/>
          <w:szCs w:val="14"/>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15962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7" w:name="page418"/>
    <w:bookmarkEnd w:id="417"/>
    <w:p>
      <w:pPr>
        <w:jc w:val="both"/>
        <w:ind w:left="-6" w:firstLine="524"/>
        <w:spacing w:after="0" w:line="303" w:lineRule="auto"/>
        <w:tabs>
          <w:tab w:leader="none" w:pos="1015" w:val="left"/>
        </w:tabs>
        <w:numPr>
          <w:ilvl w:val="1"/>
          <w:numId w:val="277"/>
        </w:numPr>
        <w:rPr>
          <w:rFonts w:ascii="Arial" w:cs="Arial" w:eastAsia="Arial" w:hAnsi="Arial"/>
          <w:sz w:val="13"/>
          <w:szCs w:val="13"/>
          <w:color w:val="auto"/>
        </w:rPr>
      </w:pPr>
      <w:r>
        <w:rPr>
          <w:rFonts w:ascii="Arial" w:cs="Arial" w:eastAsia="Arial" w:hAnsi="Arial"/>
          <w:sz w:val="13"/>
          <w:szCs w:val="13"/>
          <w:u w:val="single" w:color="auto"/>
          <w:color w:val="auto"/>
        </w:rPr>
        <w:t>Notice By Indemnitee</w:t>
      </w:r>
      <w:r>
        <w:rPr>
          <w:rFonts w:ascii="Arial" w:cs="Arial" w:eastAsia="Arial" w:hAnsi="Arial"/>
          <w:sz w:val="13"/>
          <w:szCs w:val="13"/>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24" w:lineRule="exact"/>
        <w:rPr>
          <w:rFonts w:ascii="Arial" w:cs="Arial" w:eastAsia="Arial" w:hAnsi="Arial"/>
          <w:sz w:val="13"/>
          <w:szCs w:val="13"/>
          <w:color w:val="auto"/>
        </w:rPr>
      </w:pPr>
    </w:p>
    <w:p>
      <w:pPr>
        <w:jc w:val="both"/>
        <w:ind w:left="-6" w:firstLine="524"/>
        <w:spacing w:after="0" w:line="284" w:lineRule="auto"/>
        <w:tabs>
          <w:tab w:leader="none" w:pos="1036" w:val="left"/>
        </w:tabs>
        <w:numPr>
          <w:ilvl w:val="1"/>
          <w:numId w:val="277"/>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w:t>
      </w:r>
    </w:p>
    <w:p>
      <w:pPr>
        <w:ind w:left="-6" w:firstLine="6"/>
        <w:spacing w:after="0" w:line="274" w:lineRule="auto"/>
        <w:tabs>
          <w:tab w:leader="none" w:pos="202" w:val="left"/>
        </w:tabs>
        <w:numPr>
          <w:ilvl w:val="0"/>
          <w:numId w:val="278"/>
        </w:numPr>
        <w:rPr>
          <w:rFonts w:ascii="Arial" w:cs="Arial" w:eastAsia="Arial" w:hAnsi="Arial"/>
          <w:sz w:val="14"/>
          <w:szCs w:val="14"/>
          <w:color w:val="auto"/>
        </w:rPr>
      </w:pPr>
      <w:r>
        <w:rPr>
          <w:rFonts w:ascii="Arial" w:cs="Arial" w:eastAsia="Arial" w:hAnsi="Arial"/>
          <w:sz w:val="14"/>
          <w:szCs w:val="14"/>
          <w:color w:val="auto"/>
        </w:rPr>
        <w:t>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40" w:lineRule="exact"/>
        <w:rPr>
          <w:rFonts w:ascii="Arial" w:cs="Arial" w:eastAsia="Arial" w:hAnsi="Arial"/>
          <w:sz w:val="14"/>
          <w:szCs w:val="14"/>
          <w:color w:val="auto"/>
        </w:rPr>
      </w:pPr>
    </w:p>
    <w:p>
      <w:pPr>
        <w:ind w:left="1614" w:hanging="708"/>
        <w:spacing w:after="0"/>
        <w:tabs>
          <w:tab w:leader="none" w:pos="1614" w:val="left"/>
        </w:tabs>
        <w:numPr>
          <w:ilvl w:val="2"/>
          <w:numId w:val="278"/>
        </w:numPr>
        <w:rPr>
          <w:rFonts w:ascii="Arial" w:cs="Arial" w:eastAsia="Arial" w:hAnsi="Arial"/>
          <w:sz w:val="14"/>
          <w:szCs w:val="14"/>
          <w:color w:val="auto"/>
        </w:rPr>
      </w:pPr>
      <w:r>
        <w:rPr>
          <w:rFonts w:ascii="Arial" w:cs="Arial" w:eastAsia="Arial" w:hAnsi="Arial"/>
          <w:sz w:val="14"/>
          <w:szCs w:val="14"/>
          <w:color w:val="auto"/>
        </w:rPr>
        <w:t>To Indemnitee at the address set forth below Indemnitee signature hereto.</w:t>
      </w:r>
    </w:p>
    <w:p>
      <w:pPr>
        <w:spacing w:after="0" w:line="184" w:lineRule="exact"/>
        <w:rPr>
          <w:rFonts w:ascii="Arial" w:cs="Arial" w:eastAsia="Arial" w:hAnsi="Arial"/>
          <w:sz w:val="14"/>
          <w:szCs w:val="14"/>
          <w:color w:val="auto"/>
        </w:rPr>
      </w:pPr>
    </w:p>
    <w:p>
      <w:pPr>
        <w:ind w:left="1614" w:hanging="708"/>
        <w:spacing w:after="0"/>
        <w:tabs>
          <w:tab w:leader="none" w:pos="1614" w:val="left"/>
        </w:tabs>
        <w:numPr>
          <w:ilvl w:val="2"/>
          <w:numId w:val="278"/>
        </w:numPr>
        <w:rPr>
          <w:rFonts w:ascii="Arial" w:cs="Arial" w:eastAsia="Arial" w:hAnsi="Arial"/>
          <w:sz w:val="14"/>
          <w:szCs w:val="14"/>
          <w:color w:val="auto"/>
        </w:rPr>
      </w:pPr>
      <w:r>
        <w:rPr>
          <w:rFonts w:ascii="Arial" w:cs="Arial" w:eastAsia="Arial" w:hAnsi="Arial"/>
          <w:sz w:val="14"/>
          <w:szCs w:val="14"/>
          <w:color w:val="auto"/>
        </w:rPr>
        <w:t>To the Company at:</w:t>
      </w:r>
    </w:p>
    <w:p>
      <w:pPr>
        <w:spacing w:after="0" w:line="184" w:lineRule="exact"/>
        <w:rPr>
          <w:rFonts w:ascii="Arial" w:cs="Arial" w:eastAsia="Arial" w:hAnsi="Arial"/>
          <w:sz w:val="14"/>
          <w:szCs w:val="14"/>
          <w:color w:val="auto"/>
        </w:rPr>
      </w:pPr>
    </w:p>
    <w:p>
      <w:pPr>
        <w:ind w:left="1614" w:right="7660"/>
        <w:spacing w:after="0" w:line="267" w:lineRule="auto"/>
        <w:rPr>
          <w:rFonts w:ascii="Arial" w:cs="Arial" w:eastAsia="Arial" w:hAnsi="Arial"/>
          <w:sz w:val="14"/>
          <w:szCs w:val="14"/>
          <w:color w:val="auto"/>
        </w:rPr>
      </w:pPr>
      <w:r>
        <w:rPr>
          <w:rFonts w:ascii="Arial" w:cs="Arial" w:eastAsia="Arial" w:hAnsi="Arial"/>
          <w:sz w:val="14"/>
          <w:szCs w:val="14"/>
          <w:color w:val="auto"/>
        </w:rPr>
        <w:t>Century Therapeutics, LLC 3675 Market Street Philadelphia PA 19104 Attention: Chief Executive Officer</w:t>
      </w:r>
    </w:p>
    <w:p>
      <w:pPr>
        <w:spacing w:after="0" w:line="146" w:lineRule="exact"/>
        <w:rPr>
          <w:rFonts w:ascii="Arial" w:cs="Arial" w:eastAsia="Arial" w:hAnsi="Arial"/>
          <w:sz w:val="14"/>
          <w:szCs w:val="14"/>
          <w:color w:val="auto"/>
        </w:rPr>
      </w:pPr>
    </w:p>
    <w:p>
      <w:pPr>
        <w:ind w:left="1614"/>
        <w:spacing w:after="0"/>
        <w:rPr>
          <w:rFonts w:ascii="Arial" w:cs="Arial" w:eastAsia="Arial" w:hAnsi="Arial"/>
          <w:sz w:val="14"/>
          <w:szCs w:val="14"/>
          <w:color w:val="auto"/>
        </w:rPr>
      </w:pPr>
      <w:r>
        <w:rPr>
          <w:rFonts w:ascii="Arial" w:cs="Arial" w:eastAsia="Arial" w:hAnsi="Arial"/>
          <w:sz w:val="14"/>
          <w:szCs w:val="14"/>
          <w:color w:val="auto"/>
        </w:rPr>
        <w:t>With a copy (which shall not constitute notice) to:</w:t>
      </w:r>
    </w:p>
    <w:p>
      <w:pPr>
        <w:spacing w:after="0" w:line="184" w:lineRule="exact"/>
        <w:rPr>
          <w:rFonts w:ascii="Arial" w:cs="Arial" w:eastAsia="Arial" w:hAnsi="Arial"/>
          <w:sz w:val="14"/>
          <w:szCs w:val="14"/>
          <w:color w:val="auto"/>
        </w:rPr>
      </w:pPr>
    </w:p>
    <w:p>
      <w:pPr>
        <w:ind w:left="1614" w:right="7660"/>
        <w:spacing w:after="0" w:line="267" w:lineRule="auto"/>
        <w:rPr>
          <w:rFonts w:ascii="Arial" w:cs="Arial" w:eastAsia="Arial" w:hAnsi="Arial"/>
          <w:sz w:val="14"/>
          <w:szCs w:val="14"/>
          <w:color w:val="auto"/>
        </w:rPr>
      </w:pPr>
      <w:r>
        <w:rPr>
          <w:rFonts w:ascii="Arial" w:cs="Arial" w:eastAsia="Arial" w:hAnsi="Arial"/>
          <w:sz w:val="14"/>
          <w:szCs w:val="14"/>
          <w:color w:val="auto"/>
        </w:rPr>
        <w:t>c/o Century Therapeutics, Inc. 3675 Market Street Philadelphia PA 19104 Attention: Chief Executive Officer</w:t>
      </w:r>
    </w:p>
    <w:p>
      <w:pPr>
        <w:spacing w:after="0" w:line="147" w:lineRule="exact"/>
        <w:rPr>
          <w:sz w:val="20"/>
          <w:szCs w:val="20"/>
          <w:color w:val="auto"/>
        </w:rPr>
      </w:pPr>
    </w:p>
    <w:p>
      <w:pPr>
        <w:ind w:left="514"/>
        <w:spacing w:after="0"/>
        <w:rPr>
          <w:sz w:val="20"/>
          <w:szCs w:val="20"/>
          <w:color w:val="auto"/>
        </w:rPr>
      </w:pPr>
      <w:r>
        <w:rPr>
          <w:rFonts w:ascii="Arial" w:cs="Arial" w:eastAsia="Arial" w:hAnsi="Arial"/>
          <w:sz w:val="14"/>
          <w:szCs w:val="14"/>
          <w:color w:val="auto"/>
        </w:rPr>
        <w:t>or to such other address as may have been furnished to Indemnitee by the Company or to the Company by Indemnitee, as the case may be.</w:t>
      </w:r>
    </w:p>
    <w:p>
      <w:pPr>
        <w:spacing w:after="0" w:line="184" w:lineRule="exact"/>
        <w:rPr>
          <w:sz w:val="20"/>
          <w:szCs w:val="20"/>
          <w:color w:val="auto"/>
        </w:rPr>
      </w:pPr>
    </w:p>
    <w:p>
      <w:pPr>
        <w:jc w:val="both"/>
        <w:ind w:left="-6" w:firstLine="524"/>
        <w:spacing w:after="0" w:line="303" w:lineRule="auto"/>
        <w:tabs>
          <w:tab w:leader="none" w:pos="1025" w:val="left"/>
        </w:tabs>
        <w:numPr>
          <w:ilvl w:val="0"/>
          <w:numId w:val="279"/>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xml:space="preserve">. This Agreement may be executed in two (2) or more counterparts, each of which shall be deemed an original, but all of which together shall constitute one and the same the same instrument. Counterparts may be delivered via facsimile, electronic mail (including pdf or any electronic signature complying with the U.S. federal ESIGN Act of 2000, </w:t>
      </w:r>
      <w:r>
        <w:rPr>
          <w:rFonts w:ascii="Arial" w:cs="Arial" w:eastAsia="Arial" w:hAnsi="Arial"/>
          <w:sz w:val="13"/>
          <w:szCs w:val="13"/>
          <w:i w:val="1"/>
          <w:iCs w:val="1"/>
          <w:color w:val="auto"/>
        </w:rPr>
        <w:t>e.g.</w:t>
      </w:r>
      <w:r>
        <w:rPr>
          <w:rFonts w:ascii="Arial" w:cs="Arial" w:eastAsia="Arial" w:hAnsi="Arial"/>
          <w:sz w:val="13"/>
          <w:szCs w:val="13"/>
          <w:color w:val="auto"/>
        </w:rPr>
        <w:t>, www.docusign.com) or other transmission method and any counterpart so delivered shall be deemed to have been duly and validly delivered and be valid and effective for all purposes.</w:t>
      </w:r>
    </w:p>
    <w:p>
      <w:pPr>
        <w:spacing w:after="0" w:line="124" w:lineRule="exact"/>
        <w:rPr>
          <w:rFonts w:ascii="Arial" w:cs="Arial" w:eastAsia="Arial" w:hAnsi="Arial"/>
          <w:sz w:val="13"/>
          <w:szCs w:val="13"/>
          <w:color w:val="auto"/>
        </w:rPr>
      </w:pPr>
    </w:p>
    <w:p>
      <w:pPr>
        <w:ind w:left="-6" w:firstLine="524"/>
        <w:spacing w:after="0" w:line="288" w:lineRule="auto"/>
        <w:tabs>
          <w:tab w:leader="none" w:pos="1112" w:val="left"/>
        </w:tabs>
        <w:numPr>
          <w:ilvl w:val="0"/>
          <w:numId w:val="279"/>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of the paragraphs of this Agreement are inserted for convenience only and shall not be deemed to constitute part of this Agreement or to affect the construction thereof.</w:t>
      </w:r>
    </w:p>
    <w:p>
      <w:pPr>
        <w:spacing w:after="0" w:line="131" w:lineRule="exact"/>
        <w:rPr>
          <w:rFonts w:ascii="Arial" w:cs="Arial" w:eastAsia="Arial" w:hAnsi="Arial"/>
          <w:sz w:val="14"/>
          <w:szCs w:val="14"/>
          <w:color w:val="auto"/>
        </w:rPr>
      </w:pPr>
    </w:p>
    <w:p>
      <w:pPr>
        <w:ind w:left="1014" w:hanging="496"/>
        <w:spacing w:after="0"/>
        <w:tabs>
          <w:tab w:leader="none" w:pos="1014" w:val="left"/>
        </w:tabs>
        <w:numPr>
          <w:ilvl w:val="0"/>
          <w:numId w:val="279"/>
        </w:numPr>
        <w:rPr>
          <w:rFonts w:ascii="Arial" w:cs="Arial" w:eastAsia="Arial" w:hAnsi="Arial"/>
          <w:sz w:val="13"/>
          <w:szCs w:val="13"/>
          <w:color w:val="auto"/>
        </w:rPr>
      </w:pPr>
      <w:r>
        <w:rPr>
          <w:rFonts w:ascii="Arial" w:cs="Arial" w:eastAsia="Arial" w:hAnsi="Arial"/>
          <w:sz w:val="13"/>
          <w:szCs w:val="13"/>
          <w:u w:val="single" w:color="auto"/>
          <w:color w:val="auto"/>
        </w:rPr>
        <w:t>Governing Law and Consent to Jurisdiction.</w:t>
      </w:r>
      <w:r>
        <w:rPr>
          <w:rFonts w:ascii="Arial" w:cs="Arial" w:eastAsia="Arial" w:hAnsi="Arial"/>
          <w:sz w:val="13"/>
          <w:szCs w:val="13"/>
          <w:color w:val="auto"/>
        </w:rPr>
        <w:t xml:space="preserve"> This Agreement and the legal relations among the parties shall be governed by, and construed and enforced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7159625" cy="69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582" w:right="319" w:bottom="1440" w:gutter="0" w:footer="0" w:header="0"/>
        </w:sectPr>
      </w:pPr>
    </w:p>
    <w:bookmarkStart w:id="418" w:name="page419"/>
    <w:bookmarkEnd w:id="418"/>
    <w:p>
      <w:pPr>
        <w:jc w:val="both"/>
        <w:spacing w:after="0" w:line="265" w:lineRule="auto"/>
        <w:rPr>
          <w:sz w:val="20"/>
          <w:szCs w:val="20"/>
          <w:color w:val="auto"/>
        </w:rPr>
      </w:pPr>
      <w:r>
        <w:rPr>
          <w:rFonts w:ascii="Arial" w:cs="Arial" w:eastAsia="Arial" w:hAnsi="Arial"/>
          <w:sz w:val="14"/>
          <w:szCs w:val="14"/>
          <w:color w:val="auto"/>
        </w:rPr>
        <w:t>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4"/>
          <w:szCs w:val="14"/>
          <w:b w:val="1"/>
          <w:bCs w:val="1"/>
          <w:color w:val="auto"/>
        </w:rPr>
        <w:t>Delaware Court</w:t>
      </w:r>
      <w:r>
        <w:rPr>
          <w:rFonts w:ascii="Arial" w:cs="Arial" w:eastAsia="Arial" w:hAnsi="Arial"/>
          <w:sz w:val="14"/>
          <w:szCs w:val="14"/>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715962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19" w:name="page420"/>
    <w:bookmarkEnd w:id="419"/>
    <w:p>
      <w:pPr>
        <w:ind w:left="5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executed this Indemnification Agreement on and as of the day and year first above written.</w:t>
      </w:r>
    </w:p>
    <w:p>
      <w:pPr>
        <w:spacing w:after="0" w:line="196"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CENTURY THERAPEUTICS, LLC</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-100965</wp:posOffset>
            </wp:positionV>
            <wp:extent cx="327533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275330"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20955</wp:posOffset>
            </wp:positionV>
            <wp:extent cx="327533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275330" cy="698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-94615</wp:posOffset>
            </wp:positionV>
            <wp:extent cx="3275330"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275330" cy="6985"/>
                    </a:xfrm>
                    <a:prstGeom prst="rect">
                      <a:avLst/>
                    </a:prstGeom>
                    <a:noFill/>
                  </pic:spPr>
                </pic:pic>
              </a:graphicData>
            </a:graphic>
          </wp:anchor>
        </w:drawing>
      </w:r>
    </w:p>
    <w:p>
      <w:pPr>
        <w:spacing w:after="0" w:line="354"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236220</wp:posOffset>
            </wp:positionV>
            <wp:extent cx="3521710"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521710" cy="6985"/>
                    </a:xfrm>
                    <a:prstGeom prst="rect">
                      <a:avLst/>
                    </a:prstGeom>
                    <a:noFill/>
                  </pic:spPr>
                </pic:pic>
              </a:graphicData>
            </a:graphic>
          </wp:anchor>
        </w:drawing>
      </w:r>
    </w:p>
    <w:p>
      <w:pPr>
        <w:spacing w:after="0" w:line="35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13970</wp:posOffset>
            </wp:positionV>
            <wp:extent cx="3275330" cy="69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275330" cy="6985"/>
                    </a:xfrm>
                    <a:prstGeom prst="rect">
                      <a:avLst/>
                    </a:prstGeom>
                    <a:noFill/>
                  </pic:spPr>
                </pic:pic>
              </a:graphicData>
            </a:graphic>
          </wp:anchor>
        </w:drawing>
      </w:r>
    </w:p>
    <w:p>
      <w:pPr>
        <w:spacing w:after="0" w:line="337"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130810</wp:posOffset>
            </wp:positionV>
            <wp:extent cx="352171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521710" cy="6985"/>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13970</wp:posOffset>
            </wp:positionV>
            <wp:extent cx="352171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52171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Last updated August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247015</wp:posOffset>
            </wp:positionV>
            <wp:extent cx="7159625"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579" w:right="1440" w:bottom="1440" w:gutter="0" w:footer="0" w:header="0"/>
        </w:sectPr>
      </w:pPr>
    </w:p>
    <w:bookmarkStart w:id="420" w:name="page421"/>
    <w:bookmarkEnd w:id="420"/>
    <w:p>
      <w:pPr>
        <w:ind w:left="10380"/>
        <w:spacing w:after="0"/>
        <w:rPr>
          <w:sz w:val="20"/>
          <w:szCs w:val="20"/>
          <w:color w:val="auto"/>
        </w:rPr>
      </w:pPr>
      <w:r>
        <w:rPr>
          <w:rFonts w:ascii="Arial" w:cs="Arial" w:eastAsia="Arial" w:hAnsi="Arial"/>
          <w:sz w:val="14"/>
          <w:szCs w:val="14"/>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STOCK OPTION AND GRANT PLAN</w:t>
      </w: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1. </w:t>
      </w:r>
      <w:r>
        <w:rPr>
          <w:rFonts w:ascii="Arial" w:cs="Arial" w:eastAsia="Arial" w:hAnsi="Arial"/>
          <w:sz w:val="13"/>
          <w:szCs w:val="13"/>
          <w:u w:val="single" w:color="auto"/>
          <w:color w:val="auto"/>
        </w:rPr>
        <w:t>GENERAL PURPOSE OF THE PLAN; DEFINITIONS</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The name of the plan is the Century Therapeutics, Inc. 2018 Stock Option and Grant Plan (the “</w:t>
      </w:r>
      <w:r>
        <w:rPr>
          <w:rFonts w:ascii="Arial" w:cs="Arial" w:eastAsia="Arial" w:hAnsi="Arial"/>
          <w:sz w:val="14"/>
          <w:szCs w:val="14"/>
          <w:i w:val="1"/>
          <w:iCs w:val="1"/>
          <w:color w:val="auto"/>
        </w:rPr>
        <w:t>Plan</w:t>
      </w:r>
      <w:r>
        <w:rPr>
          <w:rFonts w:ascii="Arial" w:cs="Arial" w:eastAsia="Arial" w:hAnsi="Arial"/>
          <w:sz w:val="14"/>
          <w:szCs w:val="14"/>
          <w:color w:val="auto"/>
        </w:rPr>
        <w:t>”). The purpose of the Plan is to encourage and enable the officers, employees, directors, Consultants and other key persons of Century Therapeutics, Inc., a Delaware corporation (including any successor entity, the “</w:t>
      </w:r>
      <w:r>
        <w:rPr>
          <w:rFonts w:ascii="Arial" w:cs="Arial" w:eastAsia="Arial" w:hAnsi="Arial"/>
          <w:sz w:val="14"/>
          <w:szCs w:val="14"/>
          <w:i w:val="1"/>
          <w:iCs w:val="1"/>
          <w:color w:val="auto"/>
        </w:rPr>
        <w:t>Company</w:t>
      </w:r>
      <w:r>
        <w:rPr>
          <w:rFonts w:ascii="Arial" w:cs="Arial" w:eastAsia="Arial" w:hAnsi="Arial"/>
          <w:sz w:val="14"/>
          <w:szCs w:val="14"/>
          <w:color w:val="auto"/>
        </w:rPr>
        <w:t>”) and its Subsidiaries, upon whose judgment, initiative and efforts the Company largely depends for the successful conduct of its business, to acquire a proprietary interest in the Company.</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terms shall be defined as set forth below:</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w:t>
      </w:r>
      <w:r>
        <w:rPr>
          <w:rFonts w:ascii="Arial" w:cs="Arial" w:eastAsia="Arial" w:hAnsi="Arial"/>
          <w:sz w:val="14"/>
          <w:szCs w:val="14"/>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4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Award</w:t>
      </w:r>
      <w:r>
        <w:rPr>
          <w:rFonts w:ascii="Arial" w:cs="Arial" w:eastAsia="Arial" w:hAnsi="Arial"/>
          <w:sz w:val="14"/>
          <w:szCs w:val="14"/>
          <w:color w:val="auto"/>
        </w:rPr>
        <w:t>” or “</w:t>
      </w:r>
      <w:r>
        <w:rPr>
          <w:rFonts w:ascii="Arial" w:cs="Arial" w:eastAsia="Arial" w:hAnsi="Arial"/>
          <w:sz w:val="14"/>
          <w:szCs w:val="14"/>
          <w:i w:val="1"/>
          <w:iCs w:val="1"/>
          <w:color w:val="auto"/>
        </w:rPr>
        <w:t>Awards,</w:t>
      </w:r>
      <w:r>
        <w:rPr>
          <w:rFonts w:ascii="Arial" w:cs="Arial" w:eastAsia="Arial" w:hAnsi="Arial"/>
          <w:sz w:val="14"/>
          <w:szCs w:val="14"/>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32" w:lineRule="exact"/>
        <w:rPr>
          <w:sz w:val="20"/>
          <w:szCs w:val="20"/>
          <w:color w:val="auto"/>
        </w:rPr>
      </w:pPr>
    </w:p>
    <w:p>
      <w:pPr>
        <w:jc w:val="both"/>
        <w:ind w:firstLine="518"/>
        <w:spacing w:after="0" w:line="329" w:lineRule="auto"/>
        <w:rPr>
          <w:sz w:val="20"/>
          <w:szCs w:val="20"/>
          <w:color w:val="auto"/>
        </w:rPr>
      </w:pPr>
      <w:r>
        <w:rPr>
          <w:rFonts w:ascii="Arial" w:cs="Arial" w:eastAsia="Arial" w:hAnsi="Arial"/>
          <w:sz w:val="13"/>
          <w:szCs w:val="13"/>
          <w:i w:val="1"/>
          <w:iCs w:val="1"/>
          <w:color w:val="auto"/>
        </w:rPr>
        <w:t xml:space="preserve">“Award Agreement” </w:t>
      </w:r>
      <w:r>
        <w:rPr>
          <w:rFonts w:ascii="Arial" w:cs="Arial" w:eastAsia="Arial" w:hAnsi="Arial"/>
          <w:sz w:val="13"/>
          <w:szCs w:val="13"/>
          <w:color w:val="auto"/>
        </w:rPr>
        <w:t>means a written or electronic agreement setting forth the terms and provisions applicable to an Award granted under the Plan. Each Award Agreement may contain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terms and conditions in addition to those set forth in the Plan;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in the event of any conflict in the terms of the Plan and the Award Agreement, the terms of the Plan shall govern</w:t>
      </w:r>
      <w:r>
        <w:rPr>
          <w:rFonts w:ascii="Arial" w:cs="Arial" w:eastAsia="Arial" w:hAnsi="Arial"/>
          <w:sz w:val="13"/>
          <w:szCs w:val="13"/>
          <w:b w:val="1"/>
          <w:bCs w:val="1"/>
          <w:color w:val="auto"/>
        </w:rPr>
        <w: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Board</w:t>
      </w:r>
      <w:r>
        <w:rPr>
          <w:rFonts w:ascii="Arial" w:cs="Arial" w:eastAsia="Arial" w:hAnsi="Arial"/>
          <w:sz w:val="14"/>
          <w:szCs w:val="14"/>
          <w:color w:val="auto"/>
        </w:rPr>
        <w:t>” means the Board of Directors of the Company.</w:t>
      </w:r>
    </w:p>
    <w:p>
      <w:pPr>
        <w:spacing w:after="0" w:line="184" w:lineRule="exact"/>
        <w:rPr>
          <w:sz w:val="20"/>
          <w:szCs w:val="20"/>
          <w:color w:val="auto"/>
        </w:rPr>
      </w:pPr>
    </w:p>
    <w:p>
      <w:pPr>
        <w:jc w:val="both"/>
        <w:ind w:firstLine="518"/>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Cause</w:t>
      </w:r>
      <w:r>
        <w:rPr>
          <w:rFonts w:ascii="Arial" w:cs="Arial" w:eastAsia="Arial" w:hAnsi="Arial"/>
          <w:sz w:val="13"/>
          <w:szCs w:val="13"/>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w:t>
      </w:r>
    </w:p>
    <w:p>
      <w:pPr>
        <w:spacing w:after="0" w:line="2" w:lineRule="exact"/>
        <w:rPr>
          <w:sz w:val="20"/>
          <w:szCs w:val="20"/>
          <w:color w:val="auto"/>
        </w:rPr>
      </w:pPr>
    </w:p>
    <w:p>
      <w:pPr>
        <w:ind w:firstLine="6"/>
        <w:spacing w:after="0" w:line="274" w:lineRule="auto"/>
        <w:tabs>
          <w:tab w:leader="none" w:pos="248" w:val="left"/>
        </w:tabs>
        <w:numPr>
          <w:ilvl w:val="0"/>
          <w:numId w:val="280"/>
        </w:numPr>
        <w:rPr>
          <w:rFonts w:ascii="Arial" w:cs="Arial" w:eastAsia="Arial" w:hAnsi="Arial"/>
          <w:sz w:val="14"/>
          <w:szCs w:val="14"/>
          <w:color w:val="auto"/>
        </w:rPr>
      </w:pPr>
      <w:r>
        <w:rPr>
          <w:rFonts w:ascii="Arial" w:cs="Arial" w:eastAsia="Arial" w:hAnsi="Arial"/>
          <w:sz w:val="14"/>
          <w:szCs w:val="14"/>
          <w:color w:val="auto"/>
        </w:rPr>
        <w:t>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9625"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1" w:name="page422"/>
    <w:bookmarkEnd w:id="421"/>
    <w:p>
      <w:pPr>
        <w:ind w:left="520"/>
        <w:spacing w:after="0"/>
        <w:rPr>
          <w:sz w:val="20"/>
          <w:szCs w:val="20"/>
          <w:color w:val="auto"/>
        </w:rPr>
      </w:pPr>
      <w:r>
        <w:rPr>
          <w:rFonts w:ascii="Arial" w:cs="Arial" w:eastAsia="Arial" w:hAnsi="Arial"/>
          <w:sz w:val="14"/>
          <w:szCs w:val="14"/>
          <w:i w:val="1"/>
          <w:iCs w:val="1"/>
          <w:color w:val="auto"/>
        </w:rPr>
        <w:t xml:space="preserve">“Chief Executive Officer” </w:t>
      </w:r>
      <w:r>
        <w:rPr>
          <w:rFonts w:ascii="Arial" w:cs="Arial" w:eastAsia="Arial" w:hAnsi="Arial"/>
          <w:sz w:val="14"/>
          <w:szCs w:val="14"/>
          <w:color w:val="auto"/>
        </w:rPr>
        <w:t>means the Chief Executive Officer of the Company or, if there is no Chief Executive Officer, then the President of the Company.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Code</w:t>
      </w:r>
      <w:r>
        <w:rPr>
          <w:rFonts w:ascii="Arial" w:cs="Arial" w:eastAsia="Arial" w:hAnsi="Arial"/>
          <w:sz w:val="14"/>
          <w:szCs w:val="14"/>
          <w:color w:val="auto"/>
        </w:rPr>
        <w:t>” means the Internal Revenue Code of 1986, as amended, and any successor Code, and related rules, regulations and interpretations.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Committee</w:t>
      </w:r>
      <w:r>
        <w:rPr>
          <w:rFonts w:ascii="Arial" w:cs="Arial" w:eastAsia="Arial" w:hAnsi="Arial"/>
          <w:sz w:val="14"/>
          <w:szCs w:val="14"/>
          <w:color w:val="auto"/>
        </w:rPr>
        <w:t>” means the Committee of the Board referred to in Section 2.</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i w:val="1"/>
          <w:iCs w:val="1"/>
          <w:color w:val="auto"/>
        </w:rPr>
        <w:t xml:space="preserve">“Consultant” </w:t>
      </w:r>
      <w:r>
        <w:rPr>
          <w:rFonts w:ascii="Arial" w:cs="Arial" w:eastAsia="Arial" w:hAnsi="Arial"/>
          <w:sz w:val="14"/>
          <w:szCs w:val="14"/>
          <w:color w:val="auto"/>
        </w:rPr>
        <w:t>means any natural person that provides bona fide services to the Company (including a Subsidiary), and such services are not in connection with the offer or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in a capital-raising transaction and do not directly or indirectly promote or maintain a market for the Company’s securities.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means “disability” as defined in Section 422(c) of the Code.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Effective Date</w:t>
      </w:r>
      <w:r>
        <w:rPr>
          <w:rFonts w:ascii="Arial" w:cs="Arial" w:eastAsia="Arial" w:hAnsi="Arial"/>
          <w:sz w:val="14"/>
          <w:szCs w:val="14"/>
          <w:color w:val="auto"/>
        </w:rPr>
        <w:t>” means the date on which the Plan is adopted as set forth on the final page of the Plan.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Exchange Act</w:t>
      </w:r>
      <w:r>
        <w:rPr>
          <w:rFonts w:ascii="Arial" w:cs="Arial" w:eastAsia="Arial" w:hAnsi="Arial"/>
          <w:sz w:val="14"/>
          <w:szCs w:val="14"/>
          <w:color w:val="auto"/>
        </w:rPr>
        <w:t>” means the Securities Exchange Act of 1934, as amended, and the rules and regulations thereunder.</w:t>
      </w:r>
    </w:p>
    <w:p>
      <w:pPr>
        <w:spacing w:after="0" w:line="18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Fair Market Value</w:t>
      </w:r>
      <w:r>
        <w:rPr>
          <w:rFonts w:ascii="Arial" w:cs="Arial" w:eastAsia="Arial" w:hAnsi="Arial"/>
          <w:sz w:val="14"/>
          <w:szCs w:val="14"/>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47"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i w:val="1"/>
          <w:iCs w:val="1"/>
          <w:color w:val="auto"/>
        </w:rPr>
        <w:t xml:space="preserve">“Good Reason” </w:t>
      </w:r>
      <w:r>
        <w:rPr>
          <w:rFonts w:ascii="Arial" w:cs="Arial" w:eastAsia="Arial" w:hAnsi="Arial"/>
          <w:sz w:val="14"/>
          <w:szCs w:val="14"/>
          <w:color w:val="auto"/>
        </w:rPr>
        <w:t>shall have the meaning as set forth in the Award Agreement(s). In the case that any Award Agreement does not contain a definition of “Good Reason,” it shall mean (i) a</w:t>
      </w:r>
      <w:r>
        <w:rPr>
          <w:rFonts w:ascii="Arial" w:cs="Arial" w:eastAsia="Arial" w:hAnsi="Arial"/>
          <w:sz w:val="14"/>
          <w:szCs w:val="14"/>
          <w:i w:val="1"/>
          <w:iCs w:val="1"/>
          <w:color w:val="auto"/>
        </w:rPr>
        <w:t xml:space="preserve"> </w:t>
      </w:r>
      <w:r>
        <w:rPr>
          <w:rFonts w:ascii="Arial" w:cs="Arial" w:eastAsia="Arial" w:hAnsi="Arial"/>
          <w:sz w:val="14"/>
          <w:szCs w:val="14"/>
          <w:color w:val="auto"/>
        </w:rPr>
        <w:t>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4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Grant Date”</w:t>
      </w:r>
      <w:r>
        <w:rPr>
          <w:rFonts w:ascii="Arial" w:cs="Arial" w:eastAsia="Arial" w:hAnsi="Arial"/>
          <w:sz w:val="14"/>
          <w:szCs w:val="14"/>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32" w:lineRule="exact"/>
        <w:rPr>
          <w:sz w:val="20"/>
          <w:szCs w:val="20"/>
          <w:color w:val="auto"/>
        </w:rPr>
      </w:pPr>
    </w:p>
    <w:p>
      <w:pPr>
        <w:jc w:val="center"/>
        <w:ind w:right="320"/>
        <w:spacing w:after="0"/>
        <w:rPr>
          <w:sz w:val="20"/>
          <w:szCs w:val="20"/>
          <w:color w:val="auto"/>
        </w:rPr>
      </w:pPr>
      <w:r>
        <w:rPr>
          <w:rFonts w:ascii="Arial" w:cs="Arial" w:eastAsia="Arial" w:hAnsi="Arial"/>
          <w:sz w:val="14"/>
          <w:szCs w:val="14"/>
          <w:i w:val="1"/>
          <w:iCs w:val="1"/>
          <w:color w:val="auto"/>
        </w:rPr>
        <w:t xml:space="preserve">“Holder” </w:t>
      </w:r>
      <w:r>
        <w:rPr>
          <w:rFonts w:ascii="Arial" w:cs="Arial" w:eastAsia="Arial" w:hAnsi="Arial"/>
          <w:sz w:val="14"/>
          <w:szCs w:val="14"/>
          <w:color w:val="auto"/>
        </w:rPr>
        <w:t>means, with respect to an Award or any Shares, the Person holding such Award or Shares, including the initial recipient of the Award or any Permitted Transferee.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22" w:name="page423"/>
    <w:bookmarkEnd w:id="422"/>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Incentive Stock Option</w:t>
      </w:r>
      <w:r>
        <w:rPr>
          <w:rFonts w:ascii="Arial" w:cs="Arial" w:eastAsia="Arial" w:hAnsi="Arial"/>
          <w:sz w:val="14"/>
          <w:szCs w:val="14"/>
          <w:color w:val="auto"/>
        </w:rPr>
        <w:t>” means any Stock Option designated and qualified as an “incentive stock option” as defined in Section 422 of the Code.</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Initial Public Offering</w:t>
      </w:r>
      <w:r>
        <w:rPr>
          <w:rFonts w:ascii="Arial" w:cs="Arial" w:eastAsia="Arial" w:hAnsi="Arial"/>
          <w:sz w:val="14"/>
          <w:szCs w:val="14"/>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Non-Qualified Stock Option</w:t>
      </w:r>
      <w:r>
        <w:rPr>
          <w:rFonts w:ascii="Arial" w:cs="Arial" w:eastAsia="Arial" w:hAnsi="Arial"/>
          <w:sz w:val="14"/>
          <w:szCs w:val="14"/>
          <w:color w:val="auto"/>
        </w:rPr>
        <w:t>” means any Stock Option that is not an Incentive Stock Option.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Option</w:t>
      </w:r>
      <w:r>
        <w:rPr>
          <w:rFonts w:ascii="Arial" w:cs="Arial" w:eastAsia="Arial" w:hAnsi="Arial"/>
          <w:sz w:val="14"/>
          <w:szCs w:val="14"/>
          <w:color w:val="auto"/>
        </w:rPr>
        <w:t>” or “</w:t>
      </w:r>
      <w:r>
        <w:rPr>
          <w:rFonts w:ascii="Arial" w:cs="Arial" w:eastAsia="Arial" w:hAnsi="Arial"/>
          <w:sz w:val="14"/>
          <w:szCs w:val="14"/>
          <w:i w:val="1"/>
          <w:iCs w:val="1"/>
          <w:color w:val="auto"/>
        </w:rPr>
        <w:t>Stock Option</w:t>
      </w:r>
      <w:r>
        <w:rPr>
          <w:rFonts w:ascii="Arial" w:cs="Arial" w:eastAsia="Arial" w:hAnsi="Arial"/>
          <w:sz w:val="14"/>
          <w:szCs w:val="14"/>
          <w:color w:val="auto"/>
        </w:rPr>
        <w:t>” means any option to purchase shares of Stock granted pursuant to Section 5.</w:t>
      </w:r>
    </w:p>
    <w:p>
      <w:pPr>
        <w:spacing w:after="0" w:line="184"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Transferees</w:t>
      </w:r>
      <w:r>
        <w:rPr>
          <w:rFonts w:ascii="Arial" w:cs="Arial" w:eastAsia="Arial" w:hAnsi="Arial"/>
          <w:sz w:val="13"/>
          <w:szCs w:val="13"/>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Arial" w:cs="Arial" w:eastAsia="Arial" w:hAnsi="Arial"/>
          <w:sz w:val="13"/>
          <w:szCs w:val="13"/>
          <w:i w:val="1"/>
          <w:iCs w:val="1"/>
          <w:color w:val="auto"/>
        </w:rPr>
        <w:t>; provided, however,</w:t>
      </w:r>
      <w:r>
        <w:rPr>
          <w:rFonts w:ascii="Arial" w:cs="Arial" w:eastAsia="Arial" w:hAnsi="Arial"/>
          <w:sz w:val="13"/>
          <w:szCs w:val="13"/>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36"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Person</w:t>
      </w:r>
      <w:r>
        <w:rPr>
          <w:rFonts w:ascii="Arial" w:cs="Arial" w:eastAsia="Arial" w:hAnsi="Arial"/>
          <w:sz w:val="14"/>
          <w:szCs w:val="14"/>
          <w:color w:val="auto"/>
        </w:rPr>
        <w:t>” shall mean any individual, corporation, partnership (limited or general), limited liability company, limited liability partnership, association, trust, joint venture, unincorporated organization or any similar entity.</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“Restricted Stock Award” </w:t>
      </w:r>
      <w:r>
        <w:rPr>
          <w:rFonts w:ascii="Arial" w:cs="Arial" w:eastAsia="Arial" w:hAnsi="Arial"/>
          <w:sz w:val="14"/>
          <w:szCs w:val="14"/>
          <w:color w:val="auto"/>
        </w:rPr>
        <w:t>means Awards granted pursuant to Section 6 and</w:t>
      </w:r>
      <w:r>
        <w:rPr>
          <w:rFonts w:ascii="Arial" w:cs="Arial" w:eastAsia="Arial" w:hAnsi="Arial"/>
          <w:sz w:val="14"/>
          <w:szCs w:val="14"/>
          <w:i w:val="1"/>
          <w:iCs w:val="1"/>
          <w:color w:val="auto"/>
        </w:rPr>
        <w:t xml:space="preserve"> “Restricted Stock” </w:t>
      </w:r>
      <w:r>
        <w:rPr>
          <w:rFonts w:ascii="Arial" w:cs="Arial" w:eastAsia="Arial" w:hAnsi="Arial"/>
          <w:sz w:val="14"/>
          <w:szCs w:val="14"/>
          <w:color w:val="auto"/>
        </w:rPr>
        <w:t>means Shares issued pursuant to such Awards.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“Restricted Stock Unit” </w:t>
      </w:r>
      <w:r>
        <w:rPr>
          <w:rFonts w:ascii="Arial" w:cs="Arial" w:eastAsia="Arial" w:hAnsi="Arial"/>
          <w:sz w:val="14"/>
          <w:szCs w:val="14"/>
          <w:color w:val="auto"/>
        </w:rPr>
        <w:t>means an Award of phantom stock units to a grantee, which may be settled in cash or Shares as determined by the Committee, pursuant to Section 8.</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Sale Event”</w:t>
      </w:r>
      <w:r>
        <w:rPr>
          <w:rFonts w:ascii="Arial" w:cs="Arial" w:eastAsia="Arial" w:hAnsi="Arial"/>
          <w:sz w:val="14"/>
          <w:szCs w:val="14"/>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Arial" w:cs="Arial" w:eastAsia="Arial" w:hAnsi="Arial"/>
          <w:sz w:val="14"/>
          <w:szCs w:val="14"/>
          <w:i w:val="1"/>
          <w:iCs w:val="1"/>
          <w:color w:val="auto"/>
        </w:rPr>
        <w:t xml:space="preserve">provided, however, </w:t>
      </w:r>
      <w:r>
        <w:rPr>
          <w:rFonts w:ascii="Arial" w:cs="Arial" w:eastAsia="Arial" w:hAnsi="Arial"/>
          <w:sz w:val="14"/>
          <w:szCs w:val="14"/>
          <w:color w:val="auto"/>
        </w:rPr>
        <w:t>that the Company’s Initial Public Offering, any subsequent public offering or another capital raising event, or a merger effected solely to change the Company’s domicile shall</w:t>
      </w:r>
      <w:r>
        <w:rPr>
          <w:rFonts w:ascii="Arial" w:cs="Arial" w:eastAsia="Arial" w:hAnsi="Arial"/>
          <w:sz w:val="14"/>
          <w:szCs w:val="14"/>
          <w:i w:val="1"/>
          <w:iCs w:val="1"/>
          <w:color w:val="auto"/>
        </w:rPr>
        <w:t xml:space="preserve"> </w:t>
      </w:r>
      <w:r>
        <w:rPr>
          <w:rFonts w:ascii="Arial" w:cs="Arial" w:eastAsia="Arial" w:hAnsi="Arial"/>
          <w:sz w:val="14"/>
          <w:szCs w:val="14"/>
          <w:color w:val="auto"/>
        </w:rPr>
        <w:t>not constitute a “Sale Event.”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59625"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423" w:name="page424"/>
    <w:bookmarkEnd w:id="423"/>
    <w:p>
      <w:pPr>
        <w:ind w:left="520"/>
        <w:spacing w:after="0"/>
        <w:rPr>
          <w:sz w:val="20"/>
          <w:szCs w:val="20"/>
          <w:color w:val="auto"/>
        </w:rPr>
      </w:pPr>
      <w:r>
        <w:rPr>
          <w:rFonts w:ascii="Arial" w:cs="Arial" w:eastAsia="Arial" w:hAnsi="Arial"/>
          <w:sz w:val="14"/>
          <w:szCs w:val="14"/>
          <w:i w:val="1"/>
          <w:iCs w:val="1"/>
          <w:color w:val="auto"/>
        </w:rPr>
        <w:t xml:space="preserve">“Section 409A” </w:t>
      </w:r>
      <w:r>
        <w:rPr>
          <w:rFonts w:ascii="Arial" w:cs="Arial" w:eastAsia="Arial" w:hAnsi="Arial"/>
          <w:sz w:val="14"/>
          <w:szCs w:val="14"/>
          <w:color w:val="auto"/>
        </w:rPr>
        <w:t>means Section 409A of the Code and the regulations and other guidance promulgated thereunder.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Securities Act</w:t>
      </w:r>
      <w:r>
        <w:rPr>
          <w:rFonts w:ascii="Arial" w:cs="Arial" w:eastAsia="Arial" w:hAnsi="Arial"/>
          <w:sz w:val="14"/>
          <w:szCs w:val="14"/>
          <w:color w:val="auto"/>
        </w:rPr>
        <w:t>” means the Securities Act of 1933, as amended, and the rules and regulations thereunder.</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i w:val="1"/>
          <w:iCs w:val="1"/>
          <w:color w:val="auto"/>
        </w:rPr>
        <w:t xml:space="preserve">“Service Relationship” </w:t>
      </w:r>
      <w:r>
        <w:rPr>
          <w:rFonts w:ascii="Arial" w:cs="Arial" w:eastAsia="Arial" w:hAnsi="Arial"/>
          <w:sz w:val="14"/>
          <w:szCs w:val="14"/>
          <w:color w:val="auto"/>
        </w:rPr>
        <w:t>means any relationship as a full-time employee, part-time employee, director or other key person (including Consultants) of the Company or any Subsidiary or</w:t>
      </w:r>
      <w:r>
        <w:rPr>
          <w:rFonts w:ascii="Arial" w:cs="Arial" w:eastAsia="Arial" w:hAnsi="Arial"/>
          <w:sz w:val="14"/>
          <w:szCs w:val="14"/>
          <w:i w:val="1"/>
          <w:iCs w:val="1"/>
          <w:color w:val="auto"/>
        </w:rPr>
        <w:t xml:space="preserve"> </w:t>
      </w:r>
      <w:r>
        <w:rPr>
          <w:rFonts w:ascii="Arial" w:cs="Arial" w:eastAsia="Arial" w:hAnsi="Arial"/>
          <w:sz w:val="14"/>
          <w:szCs w:val="14"/>
          <w:color w:val="auto"/>
        </w:rPr>
        <w:t>any successor entity (e.g., a Service Relationship shall be deemed to continue without interruption in the event an individual’s status changes from full-time employee to part-time employee or Consultant).</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“Shares” </w:t>
      </w:r>
      <w:r>
        <w:rPr>
          <w:rFonts w:ascii="Arial" w:cs="Arial" w:eastAsia="Arial" w:hAnsi="Arial"/>
          <w:sz w:val="14"/>
          <w:szCs w:val="14"/>
          <w:color w:val="auto"/>
        </w:rPr>
        <w:t>means shares of Stock.</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Stock</w:t>
      </w:r>
      <w:r>
        <w:rPr>
          <w:rFonts w:ascii="Arial" w:cs="Arial" w:eastAsia="Arial" w:hAnsi="Arial"/>
          <w:sz w:val="14"/>
          <w:szCs w:val="14"/>
          <w:color w:val="auto"/>
        </w:rPr>
        <w:t>” means the Common Stock, par value $0.0001 per share, of the Company.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Subsidiary</w:t>
      </w:r>
      <w:r>
        <w:rPr>
          <w:rFonts w:ascii="Arial" w:cs="Arial" w:eastAsia="Arial" w:hAnsi="Arial"/>
          <w:sz w:val="14"/>
          <w:szCs w:val="14"/>
          <w:color w:val="auto"/>
        </w:rPr>
        <w:t>” means any corporation or other entity (other than the Company) in which the Company has more than a 50 percent interest, either directly or indirectly.</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i w:val="1"/>
          <w:iCs w:val="1"/>
          <w:color w:val="auto"/>
        </w:rPr>
        <w:t xml:space="preserve">“Ten Percent Owner” </w:t>
      </w:r>
      <w:r>
        <w:rPr>
          <w:rFonts w:ascii="Arial" w:cs="Arial" w:eastAsia="Arial" w:hAnsi="Arial"/>
          <w:sz w:val="14"/>
          <w:szCs w:val="14"/>
          <w:color w:val="auto"/>
        </w:rPr>
        <w:t>means an employee who owns or is deemed to own (by reason of the attribution rules of Section 424(d) of the Code) more than 10 percent of the combined voting</w:t>
      </w:r>
      <w:r>
        <w:rPr>
          <w:rFonts w:ascii="Arial" w:cs="Arial" w:eastAsia="Arial" w:hAnsi="Arial"/>
          <w:sz w:val="14"/>
          <w:szCs w:val="14"/>
          <w:i w:val="1"/>
          <w:iCs w:val="1"/>
          <w:color w:val="auto"/>
        </w:rPr>
        <w:t xml:space="preserve"> </w:t>
      </w:r>
      <w:r>
        <w:rPr>
          <w:rFonts w:ascii="Arial" w:cs="Arial" w:eastAsia="Arial" w:hAnsi="Arial"/>
          <w:sz w:val="14"/>
          <w:szCs w:val="14"/>
          <w:color w:val="auto"/>
        </w:rPr>
        <w:t>power of all classes of stock of the Company or any parent of the Company or any Subsidiary.</w:t>
      </w:r>
    </w:p>
    <w:p>
      <w:pPr>
        <w:spacing w:after="0" w:line="13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i w:val="1"/>
          <w:iCs w:val="1"/>
          <w:color w:val="auto"/>
        </w:rPr>
        <w:t xml:space="preserve">“Termination Event” </w:t>
      </w:r>
      <w:r>
        <w:rPr>
          <w:rFonts w:ascii="Arial" w:cs="Arial" w:eastAsia="Arial" w:hAnsi="Arial"/>
          <w:sz w:val="14"/>
          <w:szCs w:val="14"/>
          <w:color w:val="auto"/>
        </w:rPr>
        <w:t>means the termination of the Award recipient’s Service Relationship with the Company and its Subsidiaries for any reason whatsoever, regardless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Unrestricted Stock Award”</w:t>
      </w:r>
      <w:r>
        <w:rPr>
          <w:rFonts w:ascii="Arial" w:cs="Arial" w:eastAsia="Arial" w:hAnsi="Arial"/>
          <w:sz w:val="14"/>
          <w:szCs w:val="14"/>
          <w:color w:val="auto"/>
        </w:rPr>
        <w:t xml:space="preserve"> means any Award granted pursuant to Section 7 and </w:t>
      </w:r>
      <w:r>
        <w:rPr>
          <w:rFonts w:ascii="Arial" w:cs="Arial" w:eastAsia="Arial" w:hAnsi="Arial"/>
          <w:sz w:val="14"/>
          <w:szCs w:val="14"/>
          <w:i w:val="1"/>
          <w:iCs w:val="1"/>
          <w:color w:val="auto"/>
        </w:rPr>
        <w:t>“Unrestricted Stock”</w:t>
      </w:r>
      <w:r>
        <w:rPr>
          <w:rFonts w:ascii="Arial" w:cs="Arial" w:eastAsia="Arial" w:hAnsi="Arial"/>
          <w:sz w:val="14"/>
          <w:szCs w:val="14"/>
          <w:color w:val="auto"/>
        </w:rPr>
        <w:t xml:space="preserve"> means Shares issued pursuant to such Awards.</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4"/>
          <w:szCs w:val="14"/>
          <w:color w:val="auto"/>
        </w:rPr>
        <w:t xml:space="preserve">2. </w:t>
      </w:r>
      <w:r>
        <w:rPr>
          <w:rFonts w:ascii="Arial" w:cs="Arial" w:eastAsia="Arial" w:hAnsi="Arial"/>
          <w:sz w:val="14"/>
          <w:szCs w:val="14"/>
          <w:u w:val="single" w:color="auto"/>
          <w:color w:val="auto"/>
        </w:rPr>
        <w:t>ADMINISTRATION OF PLAN; COMMITTEE AUTHORITY TO SELECT GRANTEES AND DETERMINE AWARDS</w:t>
      </w:r>
    </w:p>
    <w:p>
      <w:pPr>
        <w:spacing w:after="0" w:line="184" w:lineRule="exact"/>
        <w:rPr>
          <w:sz w:val="20"/>
          <w:szCs w:val="20"/>
          <w:color w:val="auto"/>
        </w:rPr>
      </w:pPr>
    </w:p>
    <w:p>
      <w:pPr>
        <w:jc w:val="both"/>
        <w:ind w:firstLine="524"/>
        <w:spacing w:after="0" w:line="273" w:lineRule="auto"/>
        <w:tabs>
          <w:tab w:leader="none" w:pos="1238" w:val="left"/>
        </w:tabs>
        <w:numPr>
          <w:ilvl w:val="0"/>
          <w:numId w:val="281"/>
        </w:numPr>
        <w:rPr>
          <w:rFonts w:ascii="Arial" w:cs="Arial" w:eastAsia="Arial" w:hAnsi="Arial"/>
          <w:sz w:val="14"/>
          <w:szCs w:val="14"/>
          <w:color w:val="auto"/>
        </w:rPr>
      </w:pPr>
      <w:r>
        <w:rPr>
          <w:rFonts w:ascii="Arial" w:cs="Arial" w:eastAsia="Arial" w:hAnsi="Arial"/>
          <w:sz w:val="14"/>
          <w:szCs w:val="14"/>
          <w:u w:val="single" w:color="auto"/>
          <w:color w:val="auto"/>
        </w:rPr>
        <w:t>Administration of Plan</w:t>
      </w:r>
      <w:r>
        <w:rPr>
          <w:rFonts w:ascii="Arial" w:cs="Arial" w:eastAsia="Arial" w:hAnsi="Arial"/>
          <w:sz w:val="14"/>
          <w:szCs w:val="14"/>
          <w:color w:val="auto"/>
        </w:rPr>
        <w:t>. The Plan shall be administered by the Board, or at the discretion of the Board, by a committee of the Board, comprised of not less than two directors. All references herein to the “</w:t>
      </w:r>
      <w:r>
        <w:rPr>
          <w:rFonts w:ascii="Arial" w:cs="Arial" w:eastAsia="Arial" w:hAnsi="Arial"/>
          <w:sz w:val="14"/>
          <w:szCs w:val="14"/>
          <w:i w:val="1"/>
          <w:iCs w:val="1"/>
          <w:color w:val="auto"/>
        </w:rPr>
        <w:t>Committee</w:t>
      </w:r>
      <w:r>
        <w:rPr>
          <w:rFonts w:ascii="Arial" w:cs="Arial" w:eastAsia="Arial" w:hAnsi="Arial"/>
          <w:sz w:val="14"/>
          <w:szCs w:val="14"/>
          <w:color w:val="auto"/>
        </w:rPr>
        <w:t>” shall be deemed to refer to the group then responsible for administration of the Plan at the relevant time (i.e., either the Board of Directors or a committee or committees of the Board, as applicable).</w:t>
      </w:r>
    </w:p>
    <w:p>
      <w:pPr>
        <w:spacing w:after="0" w:line="141" w:lineRule="exact"/>
        <w:rPr>
          <w:rFonts w:ascii="Arial" w:cs="Arial" w:eastAsia="Arial" w:hAnsi="Arial"/>
          <w:sz w:val="14"/>
          <w:szCs w:val="14"/>
          <w:color w:val="auto"/>
        </w:rPr>
      </w:pPr>
    </w:p>
    <w:p>
      <w:pPr>
        <w:ind w:left="1240" w:hanging="716"/>
        <w:spacing w:after="0"/>
        <w:tabs>
          <w:tab w:leader="none" w:pos="1240" w:val="left"/>
        </w:tabs>
        <w:numPr>
          <w:ilvl w:val="0"/>
          <w:numId w:val="281"/>
        </w:numPr>
        <w:rPr>
          <w:rFonts w:ascii="Arial" w:cs="Arial" w:eastAsia="Arial" w:hAnsi="Arial"/>
          <w:sz w:val="14"/>
          <w:szCs w:val="14"/>
          <w:color w:val="auto"/>
        </w:rPr>
      </w:pPr>
      <w:r>
        <w:rPr>
          <w:rFonts w:ascii="Arial" w:cs="Arial" w:eastAsia="Arial" w:hAnsi="Arial"/>
          <w:sz w:val="14"/>
          <w:szCs w:val="14"/>
          <w:u w:val="single" w:color="auto"/>
          <w:color w:val="auto"/>
        </w:rPr>
        <w:t>Powers of Committee</w:t>
      </w:r>
      <w:r>
        <w:rPr>
          <w:rFonts w:ascii="Arial" w:cs="Arial" w:eastAsia="Arial" w:hAnsi="Arial"/>
          <w:sz w:val="14"/>
          <w:szCs w:val="14"/>
          <w:color w:val="auto"/>
        </w:rPr>
        <w:t>. The Committee shall have the power and authority to grant Awards consistent with the terms of the Plan, including the power and authority: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424" w:name="page425"/>
    <w:bookmarkEnd w:id="424"/>
    <w:p>
      <w:pPr>
        <w:ind w:left="1600" w:hanging="558"/>
        <w:spacing w:after="0"/>
        <w:tabs>
          <w:tab w:leader="none" w:pos="1600" w:val="left"/>
        </w:tabs>
        <w:numPr>
          <w:ilvl w:val="0"/>
          <w:numId w:val="282"/>
        </w:numPr>
        <w:rPr>
          <w:rFonts w:ascii="Arial" w:cs="Arial" w:eastAsia="Arial" w:hAnsi="Arial"/>
          <w:sz w:val="14"/>
          <w:szCs w:val="14"/>
          <w:color w:val="auto"/>
        </w:rPr>
      </w:pPr>
      <w:r>
        <w:rPr>
          <w:rFonts w:ascii="Arial" w:cs="Arial" w:eastAsia="Arial" w:hAnsi="Arial"/>
          <w:sz w:val="14"/>
          <w:szCs w:val="14"/>
          <w:color w:val="auto"/>
        </w:rPr>
        <w:t>to select the individuals to whom Awards may from time to time be granted;</w:t>
      </w:r>
    </w:p>
    <w:p>
      <w:pPr>
        <w:spacing w:after="0" w:line="184" w:lineRule="exact"/>
        <w:rPr>
          <w:rFonts w:ascii="Arial" w:cs="Arial" w:eastAsia="Arial" w:hAnsi="Arial"/>
          <w:sz w:val="14"/>
          <w:szCs w:val="14"/>
          <w:color w:val="auto"/>
        </w:rPr>
      </w:pPr>
    </w:p>
    <w:p>
      <w:pPr>
        <w:ind w:firstLine="1042"/>
        <w:spacing w:after="0" w:line="288" w:lineRule="auto"/>
        <w:tabs>
          <w:tab w:leader="none" w:pos="1628" w:val="left"/>
        </w:tabs>
        <w:numPr>
          <w:ilvl w:val="0"/>
          <w:numId w:val="282"/>
        </w:numPr>
        <w:rPr>
          <w:rFonts w:ascii="Arial" w:cs="Arial" w:eastAsia="Arial" w:hAnsi="Arial"/>
          <w:sz w:val="14"/>
          <w:szCs w:val="14"/>
          <w:color w:val="auto"/>
        </w:rPr>
      </w:pPr>
      <w:r>
        <w:rPr>
          <w:rFonts w:ascii="Arial" w:cs="Arial" w:eastAsia="Arial" w:hAnsi="Arial"/>
          <w:sz w:val="14"/>
          <w:szCs w:val="14"/>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131" w:lineRule="exact"/>
        <w:rPr>
          <w:rFonts w:ascii="Arial" w:cs="Arial" w:eastAsia="Arial" w:hAnsi="Arial"/>
          <w:sz w:val="14"/>
          <w:szCs w:val="14"/>
          <w:color w:val="auto"/>
        </w:rPr>
      </w:pPr>
    </w:p>
    <w:p>
      <w:pPr>
        <w:ind w:left="1720" w:hanging="678"/>
        <w:spacing w:after="0"/>
        <w:tabs>
          <w:tab w:leader="none" w:pos="1720" w:val="left"/>
        </w:tabs>
        <w:numPr>
          <w:ilvl w:val="0"/>
          <w:numId w:val="282"/>
        </w:numPr>
        <w:rPr>
          <w:rFonts w:ascii="Arial" w:cs="Arial" w:eastAsia="Arial" w:hAnsi="Arial"/>
          <w:sz w:val="13"/>
          <w:szCs w:val="13"/>
          <w:color w:val="auto"/>
        </w:rPr>
      </w:pPr>
      <w:r>
        <w:rPr>
          <w:rFonts w:ascii="Arial" w:cs="Arial" w:eastAsia="Arial" w:hAnsi="Arial"/>
          <w:sz w:val="13"/>
          <w:szCs w:val="13"/>
          <w:color w:val="auto"/>
        </w:rPr>
        <w:t>to determine the number of Shares to be covered by any Award and, subject to the provisions of the Plan, the price, exercise price, conversion ratio or other price</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relating thereto;</w:t>
      </w:r>
    </w:p>
    <w:p>
      <w:pPr>
        <w:spacing w:after="0" w:line="174" w:lineRule="exact"/>
        <w:rPr>
          <w:rFonts w:ascii="Arial" w:cs="Arial" w:eastAsia="Arial" w:hAnsi="Arial"/>
          <w:sz w:val="13"/>
          <w:szCs w:val="13"/>
          <w:color w:val="auto"/>
        </w:rPr>
      </w:pPr>
    </w:p>
    <w:p>
      <w:pPr>
        <w:ind w:firstLine="1042"/>
        <w:spacing w:after="0" w:line="288" w:lineRule="auto"/>
        <w:tabs>
          <w:tab w:leader="none" w:pos="1624" w:val="left"/>
        </w:tabs>
        <w:numPr>
          <w:ilvl w:val="0"/>
          <w:numId w:val="282"/>
        </w:numPr>
        <w:rPr>
          <w:rFonts w:ascii="Arial" w:cs="Arial" w:eastAsia="Arial" w:hAnsi="Arial"/>
          <w:sz w:val="14"/>
          <w:szCs w:val="14"/>
          <w:color w:val="auto"/>
        </w:rPr>
      </w:pPr>
      <w:r>
        <w:rPr>
          <w:rFonts w:ascii="Arial" w:cs="Arial" w:eastAsia="Arial" w:hAnsi="Arial"/>
          <w:sz w:val="14"/>
          <w:szCs w:val="14"/>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131" w:lineRule="exact"/>
        <w:rPr>
          <w:rFonts w:ascii="Arial" w:cs="Arial" w:eastAsia="Arial" w:hAnsi="Arial"/>
          <w:sz w:val="14"/>
          <w:szCs w:val="14"/>
          <w:color w:val="auto"/>
        </w:rPr>
      </w:pPr>
    </w:p>
    <w:p>
      <w:pPr>
        <w:ind w:left="1600" w:hanging="558"/>
        <w:spacing w:after="0"/>
        <w:tabs>
          <w:tab w:leader="none" w:pos="1600" w:val="left"/>
        </w:tabs>
        <w:numPr>
          <w:ilvl w:val="0"/>
          <w:numId w:val="282"/>
        </w:numPr>
        <w:rPr>
          <w:rFonts w:ascii="Arial" w:cs="Arial" w:eastAsia="Arial" w:hAnsi="Arial"/>
          <w:sz w:val="14"/>
          <w:szCs w:val="14"/>
          <w:color w:val="auto"/>
        </w:rPr>
      </w:pPr>
      <w:r>
        <w:rPr>
          <w:rFonts w:ascii="Arial" w:cs="Arial" w:eastAsia="Arial" w:hAnsi="Arial"/>
          <w:sz w:val="14"/>
          <w:szCs w:val="14"/>
          <w:color w:val="auto"/>
        </w:rPr>
        <w:t>to accelerate at any time the exercisability or vesting of all or any portion of any Award;</w:t>
      </w:r>
    </w:p>
    <w:p>
      <w:pPr>
        <w:spacing w:after="0" w:line="184" w:lineRule="exact"/>
        <w:rPr>
          <w:rFonts w:ascii="Arial" w:cs="Arial" w:eastAsia="Arial" w:hAnsi="Arial"/>
          <w:sz w:val="14"/>
          <w:szCs w:val="14"/>
          <w:color w:val="auto"/>
        </w:rPr>
      </w:pPr>
    </w:p>
    <w:p>
      <w:pPr>
        <w:ind w:left="1600" w:hanging="558"/>
        <w:spacing w:after="0"/>
        <w:tabs>
          <w:tab w:leader="none" w:pos="1600" w:val="left"/>
        </w:tabs>
        <w:numPr>
          <w:ilvl w:val="0"/>
          <w:numId w:val="282"/>
        </w:numPr>
        <w:rPr>
          <w:rFonts w:ascii="Arial" w:cs="Arial" w:eastAsia="Arial" w:hAnsi="Arial"/>
          <w:sz w:val="14"/>
          <w:szCs w:val="14"/>
          <w:color w:val="auto"/>
        </w:rPr>
      </w:pPr>
      <w:r>
        <w:rPr>
          <w:rFonts w:ascii="Arial" w:cs="Arial" w:eastAsia="Arial" w:hAnsi="Arial"/>
          <w:sz w:val="14"/>
          <w:szCs w:val="14"/>
          <w:color w:val="auto"/>
        </w:rPr>
        <w:t>to impose any limitations on Awards, including limitations on transfers, repurchase provisions and the like, and to exercise repurchase rights or obligations;</w:t>
      </w:r>
    </w:p>
    <w:p>
      <w:pPr>
        <w:spacing w:after="0" w:line="184" w:lineRule="exact"/>
        <w:rPr>
          <w:rFonts w:ascii="Arial" w:cs="Arial" w:eastAsia="Arial" w:hAnsi="Arial"/>
          <w:sz w:val="14"/>
          <w:szCs w:val="14"/>
          <w:color w:val="auto"/>
        </w:rPr>
      </w:pPr>
    </w:p>
    <w:p>
      <w:pPr>
        <w:ind w:left="1620" w:hanging="578"/>
        <w:spacing w:after="0"/>
        <w:tabs>
          <w:tab w:leader="none" w:pos="1620" w:val="left"/>
        </w:tabs>
        <w:numPr>
          <w:ilvl w:val="0"/>
          <w:numId w:val="282"/>
        </w:numPr>
        <w:rPr>
          <w:rFonts w:ascii="Arial" w:cs="Arial" w:eastAsia="Arial" w:hAnsi="Arial"/>
          <w:sz w:val="14"/>
          <w:szCs w:val="14"/>
          <w:color w:val="auto"/>
        </w:rPr>
      </w:pPr>
      <w:r>
        <w:rPr>
          <w:rFonts w:ascii="Arial" w:cs="Arial" w:eastAsia="Arial" w:hAnsi="Arial"/>
          <w:sz w:val="14"/>
          <w:szCs w:val="14"/>
          <w:color w:val="auto"/>
        </w:rPr>
        <w:t>subject to Section 5(a)(ii) and any restrictions imposed by Section 409A, to extend at any time the period in which Stock Options may be exercised; and</w:t>
      </w:r>
    </w:p>
    <w:p>
      <w:pPr>
        <w:spacing w:after="0" w:line="184" w:lineRule="exact"/>
        <w:rPr>
          <w:rFonts w:ascii="Arial" w:cs="Arial" w:eastAsia="Arial" w:hAnsi="Arial"/>
          <w:sz w:val="14"/>
          <w:szCs w:val="14"/>
          <w:color w:val="auto"/>
        </w:rPr>
      </w:pPr>
    </w:p>
    <w:p>
      <w:pPr>
        <w:jc w:val="both"/>
        <w:ind w:firstLine="1042"/>
        <w:spacing w:after="0" w:line="273" w:lineRule="auto"/>
        <w:tabs>
          <w:tab w:leader="none" w:pos="1622" w:val="left"/>
        </w:tabs>
        <w:numPr>
          <w:ilvl w:val="0"/>
          <w:numId w:val="282"/>
        </w:numPr>
        <w:rPr>
          <w:rFonts w:ascii="Arial" w:cs="Arial" w:eastAsia="Arial" w:hAnsi="Arial"/>
          <w:sz w:val="14"/>
          <w:szCs w:val="14"/>
          <w:color w:val="auto"/>
        </w:rPr>
      </w:pPr>
      <w:r>
        <w:rPr>
          <w:rFonts w:ascii="Arial" w:cs="Arial" w:eastAsia="Arial" w:hAnsi="Arial"/>
          <w:sz w:val="14"/>
          <w:szCs w:val="14"/>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All decisions and interpretations of the Committee shall be binding on all persons, including the Company and all Holders.</w:t>
      </w:r>
    </w:p>
    <w:p>
      <w:pPr>
        <w:spacing w:after="0" w:line="184" w:lineRule="exact"/>
        <w:rPr>
          <w:sz w:val="20"/>
          <w:szCs w:val="20"/>
          <w:color w:val="auto"/>
        </w:rPr>
      </w:pPr>
    </w:p>
    <w:p>
      <w:pPr>
        <w:ind w:left="1220" w:hanging="696"/>
        <w:spacing w:after="0"/>
        <w:tabs>
          <w:tab w:leader="none" w:pos="1220" w:val="left"/>
        </w:tabs>
        <w:numPr>
          <w:ilvl w:val="0"/>
          <w:numId w:val="283"/>
        </w:numPr>
        <w:rPr>
          <w:rFonts w:ascii="Arial" w:cs="Arial" w:eastAsia="Arial" w:hAnsi="Arial"/>
          <w:sz w:val="14"/>
          <w:szCs w:val="14"/>
          <w:color w:val="auto"/>
        </w:rPr>
      </w:pPr>
      <w:r>
        <w:rPr>
          <w:rFonts w:ascii="Arial" w:cs="Arial" w:eastAsia="Arial" w:hAnsi="Arial"/>
          <w:sz w:val="14"/>
          <w:szCs w:val="14"/>
          <w:u w:val="single" w:color="auto"/>
          <w:color w:val="auto"/>
        </w:rPr>
        <w:t>Award Agreement</w:t>
      </w:r>
      <w:r>
        <w:rPr>
          <w:rFonts w:ascii="Arial" w:cs="Arial" w:eastAsia="Arial" w:hAnsi="Arial"/>
          <w:sz w:val="14"/>
          <w:szCs w:val="14"/>
          <w:color w:val="auto"/>
        </w:rPr>
        <w:t>. Awards under the Plan shall be evidenced by Award Agreements that set forth the terms, conditions and limitations for each Award.</w:t>
      </w:r>
    </w:p>
    <w:p>
      <w:pPr>
        <w:spacing w:after="0" w:line="184" w:lineRule="exact"/>
        <w:rPr>
          <w:rFonts w:ascii="Arial" w:cs="Arial" w:eastAsia="Arial" w:hAnsi="Arial"/>
          <w:sz w:val="14"/>
          <w:szCs w:val="14"/>
          <w:color w:val="auto"/>
        </w:rPr>
      </w:pPr>
    </w:p>
    <w:p>
      <w:pPr>
        <w:jc w:val="both"/>
        <w:ind w:firstLine="524"/>
        <w:spacing w:after="0" w:line="294" w:lineRule="auto"/>
        <w:tabs>
          <w:tab w:leader="none" w:pos="1268" w:val="left"/>
        </w:tabs>
        <w:numPr>
          <w:ilvl w:val="0"/>
          <w:numId w:val="283"/>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25" w:name="page426"/>
    <w:bookmarkEnd w:id="425"/>
    <w:p>
      <w:pPr>
        <w:spacing w:after="0"/>
        <w:rPr>
          <w:sz w:val="20"/>
          <w:szCs w:val="20"/>
          <w:color w:val="auto"/>
        </w:rPr>
      </w:pPr>
      <w:r>
        <w:rPr>
          <w:rFonts w:ascii="Arial" w:cs="Arial" w:eastAsia="Arial" w:hAnsi="Arial"/>
          <w:sz w:val="14"/>
          <w:szCs w:val="14"/>
          <w:color w:val="auto"/>
        </w:rPr>
        <w:t>be in effect from time to time and/or any indemnification agreement between such individual and the Company.</w:t>
      </w:r>
    </w:p>
    <w:p>
      <w:pPr>
        <w:spacing w:after="0" w:line="184" w:lineRule="exact"/>
        <w:rPr>
          <w:sz w:val="20"/>
          <w:szCs w:val="20"/>
          <w:color w:val="auto"/>
        </w:rPr>
      </w:pPr>
    </w:p>
    <w:p>
      <w:pPr>
        <w:jc w:val="both"/>
        <w:ind w:firstLine="524"/>
        <w:spacing w:after="0" w:line="262" w:lineRule="auto"/>
        <w:tabs>
          <w:tab w:leader="none" w:pos="1346" w:val="left"/>
        </w:tabs>
        <w:numPr>
          <w:ilvl w:val="0"/>
          <w:numId w:val="284"/>
        </w:numPr>
        <w:rPr>
          <w:rFonts w:ascii="Arial" w:cs="Arial" w:eastAsia="Arial" w:hAnsi="Arial"/>
          <w:sz w:val="14"/>
          <w:szCs w:val="14"/>
          <w:color w:val="auto"/>
        </w:rPr>
      </w:pPr>
      <w:r>
        <w:rPr>
          <w:rFonts w:ascii="Arial" w:cs="Arial" w:eastAsia="Arial" w:hAnsi="Arial"/>
          <w:sz w:val="14"/>
          <w:szCs w:val="14"/>
          <w:u w:val="single" w:color="auto"/>
          <w:color w:val="auto"/>
        </w:rPr>
        <w:t>Foreign Award Recipients</w:t>
      </w:r>
      <w:r>
        <w:rPr>
          <w:rFonts w:ascii="Arial" w:cs="Arial" w:eastAsia="Arial" w:hAnsi="Arial"/>
          <w:sz w:val="14"/>
          <w:szCs w:val="14"/>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3. </w:t>
      </w:r>
      <w:r>
        <w:rPr>
          <w:rFonts w:ascii="Arial" w:cs="Arial" w:eastAsia="Arial" w:hAnsi="Arial"/>
          <w:sz w:val="13"/>
          <w:szCs w:val="13"/>
          <w:u w:val="single" w:color="auto"/>
          <w:color w:val="auto"/>
        </w:rPr>
        <w:t>STOCK ISSUABLE UNDER THE PLAN; MERGERS AND OTHER TRANSACTIONS; SUBSTITUTION</w:t>
      </w:r>
    </w:p>
    <w:p>
      <w:pPr>
        <w:spacing w:after="0" w:line="184" w:lineRule="exact"/>
        <w:rPr>
          <w:sz w:val="20"/>
          <w:szCs w:val="20"/>
          <w:color w:val="auto"/>
        </w:rPr>
      </w:pPr>
    </w:p>
    <w:p>
      <w:pPr>
        <w:jc w:val="both"/>
        <w:ind w:firstLine="524"/>
        <w:spacing w:after="0" w:line="262" w:lineRule="auto"/>
        <w:tabs>
          <w:tab w:leader="none" w:pos="1454" w:val="left"/>
        </w:tabs>
        <w:numPr>
          <w:ilvl w:val="0"/>
          <w:numId w:val="285"/>
        </w:numPr>
        <w:rPr>
          <w:rFonts w:ascii="Arial" w:cs="Arial" w:eastAsia="Arial" w:hAnsi="Arial"/>
          <w:sz w:val="14"/>
          <w:szCs w:val="14"/>
          <w:color w:val="auto"/>
        </w:rPr>
      </w:pP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reserved and available for issuance under the Plan shall be 10,000,000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10,000,000 Shares shall be granted to any one individual in any calendar year period.</w:t>
      </w:r>
    </w:p>
    <w:p>
      <w:pPr>
        <w:spacing w:after="0" w:line="150" w:lineRule="exact"/>
        <w:rPr>
          <w:rFonts w:ascii="Arial" w:cs="Arial" w:eastAsia="Arial" w:hAnsi="Arial"/>
          <w:sz w:val="14"/>
          <w:szCs w:val="14"/>
          <w:color w:val="auto"/>
        </w:rPr>
      </w:pPr>
    </w:p>
    <w:p>
      <w:pPr>
        <w:jc w:val="both"/>
        <w:ind w:firstLine="524"/>
        <w:spacing w:after="0" w:line="287" w:lineRule="auto"/>
        <w:tabs>
          <w:tab w:leader="none" w:pos="1257" w:val="left"/>
        </w:tabs>
        <w:numPr>
          <w:ilvl w:val="0"/>
          <w:numId w:val="285"/>
        </w:numPr>
        <w:rPr>
          <w:rFonts w:ascii="Arial" w:cs="Arial" w:eastAsia="Arial" w:hAnsi="Arial"/>
          <w:sz w:val="13"/>
          <w:szCs w:val="13"/>
          <w:color w:val="auto"/>
        </w:rPr>
      </w:pPr>
      <w:r>
        <w:rPr>
          <w:rFonts w:ascii="Arial" w:cs="Arial" w:eastAsia="Arial" w:hAnsi="Arial"/>
          <w:sz w:val="13"/>
          <w:szCs w:val="13"/>
          <w:u w:val="single" w:color="auto"/>
          <w:color w:val="auto"/>
        </w:rPr>
        <w:t>Changes in Stock</w:t>
      </w:r>
      <w:r>
        <w:rPr>
          <w:rFonts w:ascii="Arial" w:cs="Arial" w:eastAsia="Arial" w:hAnsi="Arial"/>
          <w:sz w:val="13"/>
          <w:szCs w:val="13"/>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59625"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426" w:name="page427"/>
    <w:bookmarkEnd w:id="426"/>
    <w:p>
      <w:pPr>
        <w:jc w:val="both"/>
        <w:ind w:firstLine="518"/>
        <w:spacing w:after="0" w:line="267" w:lineRule="auto"/>
        <w:rPr>
          <w:sz w:val="20"/>
          <w:szCs w:val="20"/>
          <w:color w:val="auto"/>
        </w:rPr>
      </w:pPr>
      <w:r>
        <w:rPr>
          <w:rFonts w:ascii="Arial" w:cs="Arial" w:eastAsia="Arial" w:hAnsi="Arial"/>
          <w:sz w:val="14"/>
          <w:szCs w:val="14"/>
          <w:color w:val="auto"/>
        </w:rPr>
        <w:t>Awards under the Plan, (iii) the repurchase price, if any, per Share subject to each outstanding Award, and (iv) the exercise price for each Share subject to any then outstanding Stock Options under the Plan, without changing the aggregate exercise price (i.e., the exercise price multiplied by the number of Stock Options) as to which such Stock Options remain exercisable.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147" w:lineRule="exact"/>
        <w:rPr>
          <w:sz w:val="20"/>
          <w:szCs w:val="20"/>
          <w:color w:val="auto"/>
        </w:rPr>
      </w:pPr>
    </w:p>
    <w:p>
      <w:pPr>
        <w:ind w:left="1220" w:hanging="696"/>
        <w:spacing w:after="0"/>
        <w:tabs>
          <w:tab w:leader="none" w:pos="1220" w:val="left"/>
        </w:tabs>
        <w:numPr>
          <w:ilvl w:val="0"/>
          <w:numId w:val="286"/>
        </w:numPr>
        <w:rPr>
          <w:rFonts w:ascii="Arial" w:cs="Arial" w:eastAsia="Arial" w:hAnsi="Arial"/>
          <w:sz w:val="14"/>
          <w:szCs w:val="14"/>
          <w:color w:val="auto"/>
        </w:rPr>
      </w:pPr>
      <w:r>
        <w:rPr>
          <w:rFonts w:ascii="Arial" w:cs="Arial" w:eastAsia="Arial" w:hAnsi="Arial"/>
          <w:sz w:val="14"/>
          <w:szCs w:val="14"/>
          <w:u w:val="single" w:color="auto"/>
          <w:color w:val="auto"/>
        </w:rPr>
        <w:t>Sale Events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680" w:hanging="638"/>
        <w:spacing w:after="0"/>
        <w:tabs>
          <w:tab w:leader="none" w:pos="1680" w:val="left"/>
        </w:tabs>
        <w:numPr>
          <w:ilvl w:val="1"/>
          <w:numId w:val="286"/>
        </w:numPr>
        <w:rPr>
          <w:rFonts w:ascii="Arial" w:cs="Arial" w:eastAsia="Arial" w:hAnsi="Arial"/>
          <w:sz w:val="14"/>
          <w:szCs w:val="14"/>
          <w:color w:val="auto"/>
        </w:rPr>
      </w:pPr>
      <w:r>
        <w:rPr>
          <w:rFonts w:ascii="Arial" w:cs="Arial" w:eastAsia="Arial" w:hAnsi="Arial"/>
          <w:sz w:val="14"/>
          <w:szCs w:val="14"/>
          <w:u w:val="single" w:color="auto"/>
          <w:color w:val="auto"/>
        </w:rPr>
        <w:t>Options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left="520" w:firstLine="1040"/>
        <w:spacing w:after="0" w:line="267" w:lineRule="auto"/>
        <w:tabs>
          <w:tab w:leader="none" w:pos="2223" w:val="left"/>
        </w:tabs>
        <w:numPr>
          <w:ilvl w:val="2"/>
          <w:numId w:val="286"/>
        </w:numPr>
        <w:rPr>
          <w:rFonts w:ascii="Arial" w:cs="Arial" w:eastAsia="Arial" w:hAnsi="Arial"/>
          <w:sz w:val="14"/>
          <w:szCs w:val="14"/>
          <w:color w:val="auto"/>
        </w:rPr>
      </w:pPr>
      <w:r>
        <w:rPr>
          <w:rFonts w:ascii="Arial" w:cs="Arial" w:eastAsia="Arial" w:hAnsi="Arial"/>
          <w:sz w:val="14"/>
          <w:szCs w:val="14"/>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46" w:lineRule="exact"/>
        <w:rPr>
          <w:rFonts w:ascii="Arial" w:cs="Arial" w:eastAsia="Arial" w:hAnsi="Arial"/>
          <w:sz w:val="14"/>
          <w:szCs w:val="14"/>
          <w:color w:val="auto"/>
        </w:rPr>
      </w:pPr>
    </w:p>
    <w:p>
      <w:pPr>
        <w:jc w:val="both"/>
        <w:ind w:left="520" w:firstLine="1040"/>
        <w:spacing w:after="0" w:line="303" w:lineRule="auto"/>
        <w:tabs>
          <w:tab w:leader="none" w:pos="2272" w:val="left"/>
        </w:tabs>
        <w:numPr>
          <w:ilvl w:val="2"/>
          <w:numId w:val="286"/>
        </w:numPr>
        <w:rPr>
          <w:rFonts w:ascii="Arial" w:cs="Arial" w:eastAsia="Arial" w:hAnsi="Arial"/>
          <w:sz w:val="13"/>
          <w:szCs w:val="13"/>
          <w:color w:val="auto"/>
        </w:rPr>
      </w:pPr>
      <w:r>
        <w:rPr>
          <w:rFonts w:ascii="Arial" w:cs="Arial" w:eastAsia="Arial" w:hAnsi="Arial"/>
          <w:sz w:val="13"/>
          <w:szCs w:val="13"/>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exercise of Options not exercisable prior to the Sale Event shall be subject to the consummation of the Sale Event.</w:t>
      </w:r>
    </w:p>
    <w:p>
      <w:pPr>
        <w:spacing w:after="0" w:line="124" w:lineRule="exact"/>
        <w:rPr>
          <w:rFonts w:ascii="Arial" w:cs="Arial" w:eastAsia="Arial" w:hAnsi="Arial"/>
          <w:sz w:val="13"/>
          <w:szCs w:val="13"/>
          <w:color w:val="auto"/>
        </w:rPr>
      </w:pPr>
    </w:p>
    <w:p>
      <w:pPr>
        <w:jc w:val="both"/>
        <w:ind w:left="520" w:firstLine="1040"/>
        <w:spacing w:after="0" w:line="284" w:lineRule="auto"/>
        <w:tabs>
          <w:tab w:leader="none" w:pos="2359" w:val="left"/>
        </w:tabs>
        <w:numPr>
          <w:ilvl w:val="2"/>
          <w:numId w:val="286"/>
        </w:numPr>
        <w:rPr>
          <w:rFonts w:ascii="Arial" w:cs="Arial" w:eastAsia="Arial" w:hAnsi="Arial"/>
          <w:sz w:val="13"/>
          <w:szCs w:val="13"/>
          <w:color w:val="auto"/>
        </w:rPr>
      </w:pPr>
      <w:r>
        <w:rPr>
          <w:rFonts w:ascii="Arial" w:cs="Arial" w:eastAsia="Arial" w:hAnsi="Arial"/>
          <w:sz w:val="13"/>
          <w:szCs w:val="13"/>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w:t>
      </w:r>
    </w:p>
    <w:p>
      <w:pPr>
        <w:jc w:val="both"/>
        <w:ind w:left="520"/>
        <w:spacing w:after="0" w:line="266" w:lineRule="auto"/>
        <w:rPr>
          <w:rFonts w:ascii="Arial" w:cs="Arial" w:eastAsia="Arial" w:hAnsi="Arial"/>
          <w:sz w:val="13"/>
          <w:szCs w:val="13"/>
          <w:color w:val="auto"/>
        </w:rPr>
      </w:pPr>
      <w:r>
        <w:rPr>
          <w:rFonts w:ascii="Arial" w:cs="Arial" w:eastAsia="Arial" w:hAnsi="Arial"/>
          <w:sz w:val="14"/>
          <w:szCs w:val="14"/>
          <w:color w:val="auto"/>
        </w:rPr>
        <w:t>(A) the value as determined by the Committee of the consideration payable per share of Stock pursuant to the Sale Event (the “</w:t>
      </w:r>
      <w:r>
        <w:rPr>
          <w:rFonts w:ascii="Arial" w:cs="Arial" w:eastAsia="Arial" w:hAnsi="Arial"/>
          <w:sz w:val="14"/>
          <w:szCs w:val="14"/>
          <w:i w:val="1"/>
          <w:iCs w:val="1"/>
          <w:color w:val="auto"/>
        </w:rPr>
        <w:t>Sale Price</w:t>
      </w:r>
      <w:r>
        <w:rPr>
          <w:rFonts w:ascii="Arial" w:cs="Arial" w:eastAsia="Arial" w:hAnsi="Arial"/>
          <w:sz w:val="14"/>
          <w:szCs w:val="14"/>
          <w:color w:val="auto"/>
        </w:rPr>
        <w:t>”)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145" w:lineRule="exact"/>
        <w:rPr>
          <w:rFonts w:ascii="Arial" w:cs="Arial" w:eastAsia="Arial" w:hAnsi="Arial"/>
          <w:sz w:val="13"/>
          <w:szCs w:val="13"/>
          <w:color w:val="auto"/>
        </w:rPr>
      </w:pPr>
    </w:p>
    <w:p>
      <w:pPr>
        <w:ind w:left="1720" w:hanging="678"/>
        <w:spacing w:after="0"/>
        <w:tabs>
          <w:tab w:leader="none" w:pos="1720" w:val="left"/>
        </w:tabs>
        <w:numPr>
          <w:ilvl w:val="1"/>
          <w:numId w:val="286"/>
        </w:numPr>
        <w:rPr>
          <w:rFonts w:ascii="Arial" w:cs="Arial" w:eastAsia="Arial" w:hAnsi="Arial"/>
          <w:sz w:val="14"/>
          <w:szCs w:val="14"/>
          <w:color w:val="auto"/>
        </w:rPr>
      </w:pPr>
      <w:r>
        <w:rPr>
          <w:rFonts w:ascii="Arial" w:cs="Arial" w:eastAsia="Arial" w:hAnsi="Arial"/>
          <w:sz w:val="14"/>
          <w:szCs w:val="14"/>
          <w:u w:val="single" w:color="auto"/>
          <w:color w:val="auto"/>
        </w:rPr>
        <w:t>Restricted Stock and Restricted Stock Unit Awards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left="520" w:firstLine="1040"/>
        <w:spacing w:after="0" w:line="273" w:lineRule="auto"/>
        <w:tabs>
          <w:tab w:leader="none" w:pos="2277" w:val="left"/>
        </w:tabs>
        <w:numPr>
          <w:ilvl w:val="2"/>
          <w:numId w:val="286"/>
        </w:numPr>
        <w:rPr>
          <w:rFonts w:ascii="Arial" w:cs="Arial" w:eastAsia="Arial" w:hAnsi="Arial"/>
          <w:sz w:val="14"/>
          <w:szCs w:val="14"/>
          <w:color w:val="auto"/>
        </w:rPr>
      </w:pPr>
      <w:r>
        <w:rPr>
          <w:rFonts w:ascii="Arial" w:cs="Arial" w:eastAsia="Arial" w:hAnsi="Arial"/>
          <w:sz w:val="14"/>
          <w:szCs w:val="14"/>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27" w:name="page428"/>
    <w:bookmarkEnd w:id="427"/>
    <w:p>
      <w:pPr>
        <w:ind w:left="520"/>
        <w:spacing w:after="0" w:line="288" w:lineRule="auto"/>
        <w:rPr>
          <w:sz w:val="20"/>
          <w:szCs w:val="20"/>
          <w:color w:val="auto"/>
        </w:rPr>
      </w:pPr>
      <w:r>
        <w:rPr>
          <w:rFonts w:ascii="Arial" w:cs="Arial" w:eastAsia="Arial" w:hAnsi="Arial"/>
          <w:sz w:val="14"/>
          <w:szCs w:val="14"/>
          <w:color w:val="auto"/>
        </w:rPr>
        <w:t>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132" w:lineRule="exact"/>
        <w:rPr>
          <w:sz w:val="20"/>
          <w:szCs w:val="20"/>
          <w:color w:val="auto"/>
        </w:rPr>
      </w:pPr>
    </w:p>
    <w:p>
      <w:pPr>
        <w:ind w:left="520" w:firstLine="1040"/>
        <w:spacing w:after="0" w:line="288" w:lineRule="auto"/>
        <w:tabs>
          <w:tab w:leader="none" w:pos="2359" w:val="left"/>
        </w:tabs>
        <w:numPr>
          <w:ilvl w:val="0"/>
          <w:numId w:val="287"/>
        </w:numPr>
        <w:rPr>
          <w:rFonts w:ascii="Arial" w:cs="Arial" w:eastAsia="Arial" w:hAnsi="Arial"/>
          <w:sz w:val="14"/>
          <w:szCs w:val="14"/>
          <w:color w:val="auto"/>
        </w:rPr>
      </w:pPr>
      <w:r>
        <w:rPr>
          <w:rFonts w:ascii="Arial" w:cs="Arial" w:eastAsia="Arial" w:hAnsi="Arial"/>
          <w:sz w:val="14"/>
          <w:szCs w:val="14"/>
          <w:color w:val="auto"/>
        </w:rPr>
        <w:t>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w:t>
      </w:r>
    </w:p>
    <w:p>
      <w:pPr>
        <w:spacing w:after="0" w:line="131" w:lineRule="exact"/>
        <w:rPr>
          <w:rFonts w:ascii="Arial" w:cs="Arial" w:eastAsia="Arial" w:hAnsi="Arial"/>
          <w:sz w:val="14"/>
          <w:szCs w:val="14"/>
          <w:color w:val="auto"/>
        </w:rPr>
      </w:pPr>
    </w:p>
    <w:p>
      <w:pPr>
        <w:jc w:val="both"/>
        <w:ind w:left="520" w:firstLine="1040"/>
        <w:spacing w:after="0" w:line="303" w:lineRule="auto"/>
        <w:tabs>
          <w:tab w:leader="none" w:pos="2348" w:val="left"/>
        </w:tabs>
        <w:numPr>
          <w:ilvl w:val="0"/>
          <w:numId w:val="287"/>
        </w:numPr>
        <w:rPr>
          <w:rFonts w:ascii="Arial" w:cs="Arial" w:eastAsia="Arial" w:hAnsi="Arial"/>
          <w:sz w:val="13"/>
          <w:szCs w:val="13"/>
          <w:color w:val="auto"/>
        </w:rPr>
      </w:pPr>
      <w:r>
        <w:rPr>
          <w:rFonts w:ascii="Arial" w:cs="Arial" w:eastAsia="Arial" w:hAnsi="Arial"/>
          <w:sz w:val="13"/>
          <w:szCs w:val="13"/>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tab/>
        <w:t xml:space="preserve">4. </w:t>
      </w:r>
      <w:r>
        <w:rPr>
          <w:rFonts w:ascii="Arial" w:cs="Arial" w:eastAsia="Arial" w:hAnsi="Arial"/>
          <w:sz w:val="14"/>
          <w:szCs w:val="14"/>
          <w:u w:val="single" w:color="auto"/>
          <w:color w:val="auto"/>
        </w:rPr>
        <w:t>ELIGIBILITY</w:t>
      </w:r>
    </w:p>
    <w:p>
      <w:pPr>
        <w:spacing w:after="0" w:line="184" w:lineRule="exact"/>
        <w:rPr>
          <w:sz w:val="20"/>
          <w:szCs w:val="20"/>
          <w:color w:val="auto"/>
        </w:rPr>
      </w:pPr>
    </w:p>
    <w:p>
      <w:pPr>
        <w:jc w:val="both"/>
        <w:ind w:firstLine="518"/>
        <w:spacing w:after="0" w:line="329" w:lineRule="auto"/>
        <w:rPr>
          <w:sz w:val="20"/>
          <w:szCs w:val="20"/>
          <w:color w:val="auto"/>
        </w:rPr>
      </w:pPr>
      <w:r>
        <w:rPr>
          <w:rFonts w:ascii="Arial" w:cs="Arial" w:eastAsia="Arial" w:hAnsi="Arial"/>
          <w:sz w:val="13"/>
          <w:szCs w:val="13"/>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Awards shall be granted only to those individuals described in Rule 701(c) of the Securities Act.</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5. </w:t>
      </w:r>
      <w:r>
        <w:rPr>
          <w:rFonts w:ascii="Arial" w:cs="Arial" w:eastAsia="Arial" w:hAnsi="Arial"/>
          <w:sz w:val="13"/>
          <w:szCs w:val="13"/>
          <w:u w:val="single" w:color="auto"/>
          <w:color w:val="auto"/>
        </w:rPr>
        <w:t>STOCK OPTIONS</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3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41" w:lineRule="exact"/>
        <w:rPr>
          <w:sz w:val="20"/>
          <w:szCs w:val="20"/>
          <w:color w:val="auto"/>
        </w:rPr>
      </w:pPr>
    </w:p>
    <w:p>
      <w:pPr>
        <w:ind w:firstLine="524"/>
        <w:spacing w:after="0" w:line="329" w:lineRule="auto"/>
        <w:tabs>
          <w:tab w:leader="none" w:pos="1227" w:val="left"/>
        </w:tabs>
        <w:numPr>
          <w:ilvl w:val="0"/>
          <w:numId w:val="288"/>
        </w:numPr>
        <w:rPr>
          <w:rFonts w:ascii="Arial" w:cs="Arial" w:eastAsia="Arial" w:hAnsi="Arial"/>
          <w:sz w:val="13"/>
          <w:szCs w:val="13"/>
          <w:color w:val="auto"/>
        </w:rPr>
      </w:pPr>
      <w:r>
        <w:rPr>
          <w:rFonts w:ascii="Arial" w:cs="Arial" w:eastAsia="Arial" w:hAnsi="Arial"/>
          <w:sz w:val="13"/>
          <w:szCs w:val="13"/>
          <w:u w:val="single" w:color="auto"/>
          <w:color w:val="auto"/>
        </w:rPr>
        <w:t>Terms of Stock Options</w:t>
      </w:r>
      <w:r>
        <w:rPr>
          <w:rFonts w:ascii="Arial" w:cs="Arial" w:eastAsia="Arial" w:hAnsi="Arial"/>
          <w:sz w:val="13"/>
          <w:szCs w:val="13"/>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108" w:lineRule="exact"/>
        <w:rPr>
          <w:rFonts w:ascii="Arial" w:cs="Arial" w:eastAsia="Arial" w:hAnsi="Arial"/>
          <w:sz w:val="13"/>
          <w:szCs w:val="13"/>
          <w:color w:val="auto"/>
        </w:rPr>
      </w:pPr>
    </w:p>
    <w:p>
      <w:pPr>
        <w:jc w:val="both"/>
        <w:ind w:firstLine="1042"/>
        <w:spacing w:after="0" w:line="273" w:lineRule="auto"/>
        <w:tabs>
          <w:tab w:leader="none" w:pos="1718" w:val="left"/>
        </w:tabs>
        <w:numPr>
          <w:ilvl w:val="1"/>
          <w:numId w:val="288"/>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428" w:name="page429"/>
    <w:bookmarkEnd w:id="428"/>
    <w:p>
      <w:pPr>
        <w:ind w:firstLine="1042"/>
        <w:spacing w:after="0" w:line="288" w:lineRule="auto"/>
        <w:tabs>
          <w:tab w:leader="none" w:pos="1733" w:val="left"/>
        </w:tabs>
        <w:numPr>
          <w:ilvl w:val="0"/>
          <w:numId w:val="289"/>
        </w:numPr>
        <w:rPr>
          <w:rFonts w:ascii="Arial" w:cs="Arial" w:eastAsia="Arial" w:hAnsi="Arial"/>
          <w:sz w:val="14"/>
          <w:szCs w:val="14"/>
          <w:color w:val="auto"/>
        </w:rPr>
      </w:pPr>
      <w:r>
        <w:rPr>
          <w:rFonts w:ascii="Arial" w:cs="Arial" w:eastAsia="Arial" w:hAnsi="Arial"/>
          <w:sz w:val="14"/>
          <w:szCs w:val="14"/>
          <w:u w:val="single" w:color="auto"/>
          <w:color w:val="auto"/>
        </w:rPr>
        <w:t>Option Term</w:t>
      </w:r>
      <w:r>
        <w:rPr>
          <w:rFonts w:ascii="Arial" w:cs="Arial" w:eastAsia="Arial" w:hAnsi="Arial"/>
          <w:sz w:val="14"/>
          <w:szCs w:val="14"/>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131" w:lineRule="exact"/>
        <w:rPr>
          <w:rFonts w:ascii="Arial" w:cs="Arial" w:eastAsia="Arial" w:hAnsi="Arial"/>
          <w:sz w:val="14"/>
          <w:szCs w:val="14"/>
          <w:color w:val="auto"/>
        </w:rPr>
      </w:pPr>
    </w:p>
    <w:p>
      <w:pPr>
        <w:jc w:val="both"/>
        <w:ind w:firstLine="1042"/>
        <w:spacing w:after="0" w:line="315" w:lineRule="auto"/>
        <w:tabs>
          <w:tab w:leader="none" w:pos="1845" w:val="left"/>
        </w:tabs>
        <w:numPr>
          <w:ilvl w:val="0"/>
          <w:numId w:val="289"/>
        </w:numPr>
        <w:rPr>
          <w:rFonts w:ascii="Arial" w:cs="Arial" w:eastAsia="Arial" w:hAnsi="Arial"/>
          <w:sz w:val="12"/>
          <w:szCs w:val="12"/>
          <w:color w:val="auto"/>
        </w:rPr>
      </w:pPr>
      <w:r>
        <w:rPr>
          <w:rFonts w:ascii="Arial" w:cs="Arial" w:eastAsia="Arial" w:hAnsi="Arial"/>
          <w:sz w:val="12"/>
          <w:szCs w:val="12"/>
          <w:u w:val="single" w:color="auto"/>
          <w:color w:val="auto"/>
        </w:rPr>
        <w:t>Exercisability; Rights of a Stockholder</w:t>
      </w:r>
      <w:r>
        <w:rPr>
          <w:rFonts w:ascii="Arial" w:cs="Arial" w:eastAsia="Arial" w:hAnsi="Arial"/>
          <w:sz w:val="12"/>
          <w:szCs w:val="12"/>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21" w:lineRule="exact"/>
        <w:rPr>
          <w:rFonts w:ascii="Arial" w:cs="Arial" w:eastAsia="Arial" w:hAnsi="Arial"/>
          <w:sz w:val="12"/>
          <w:szCs w:val="12"/>
          <w:color w:val="auto"/>
        </w:rPr>
      </w:pPr>
    </w:p>
    <w:p>
      <w:pPr>
        <w:jc w:val="both"/>
        <w:ind w:firstLine="1042"/>
        <w:spacing w:after="0" w:line="273" w:lineRule="auto"/>
        <w:tabs>
          <w:tab w:leader="none" w:pos="1847" w:val="left"/>
        </w:tabs>
        <w:numPr>
          <w:ilvl w:val="0"/>
          <w:numId w:val="289"/>
        </w:numPr>
        <w:rPr>
          <w:rFonts w:ascii="Arial" w:cs="Arial" w:eastAsia="Arial" w:hAnsi="Arial"/>
          <w:sz w:val="14"/>
          <w:szCs w:val="14"/>
          <w:color w:val="auto"/>
        </w:rPr>
      </w:pPr>
      <w:r>
        <w:rPr>
          <w:rFonts w:ascii="Arial" w:cs="Arial" w:eastAsia="Arial" w:hAnsi="Arial"/>
          <w:sz w:val="14"/>
          <w:szCs w:val="14"/>
          <w:u w:val="single" w:color="auto"/>
          <w:color w:val="auto"/>
        </w:rPr>
        <w:t>Method of Exercise</w:t>
      </w:r>
      <w:r>
        <w:rPr>
          <w:rFonts w:ascii="Arial" w:cs="Arial" w:eastAsia="Arial" w:hAnsi="Arial"/>
          <w:sz w:val="14"/>
          <w:szCs w:val="14"/>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141" w:lineRule="exact"/>
        <w:rPr>
          <w:rFonts w:ascii="Arial" w:cs="Arial" w:eastAsia="Arial" w:hAnsi="Arial"/>
          <w:sz w:val="14"/>
          <w:szCs w:val="14"/>
          <w:color w:val="auto"/>
        </w:rPr>
      </w:pPr>
    </w:p>
    <w:p>
      <w:pPr>
        <w:ind w:left="2220" w:hanging="660"/>
        <w:spacing w:after="0"/>
        <w:tabs>
          <w:tab w:leader="none" w:pos="2220" w:val="left"/>
        </w:tabs>
        <w:numPr>
          <w:ilvl w:val="1"/>
          <w:numId w:val="289"/>
        </w:numPr>
        <w:rPr>
          <w:rFonts w:ascii="Arial" w:cs="Arial" w:eastAsia="Arial" w:hAnsi="Arial"/>
          <w:sz w:val="14"/>
          <w:szCs w:val="14"/>
          <w:color w:val="auto"/>
        </w:rPr>
      </w:pPr>
      <w:r>
        <w:rPr>
          <w:rFonts w:ascii="Arial" w:cs="Arial" w:eastAsia="Arial" w:hAnsi="Arial"/>
          <w:sz w:val="14"/>
          <w:szCs w:val="14"/>
          <w:color w:val="auto"/>
        </w:rPr>
        <w:t>In cash, by certified or bank check, by wire transfer of immediately available funds, or other instrument acceptable to the Committee;</w:t>
      </w:r>
    </w:p>
    <w:p>
      <w:pPr>
        <w:spacing w:after="0" w:line="184" w:lineRule="exact"/>
        <w:rPr>
          <w:rFonts w:ascii="Arial" w:cs="Arial" w:eastAsia="Arial" w:hAnsi="Arial"/>
          <w:sz w:val="14"/>
          <w:szCs w:val="14"/>
          <w:color w:val="auto"/>
        </w:rPr>
      </w:pPr>
    </w:p>
    <w:p>
      <w:pPr>
        <w:jc w:val="both"/>
        <w:ind w:left="520" w:firstLine="1040"/>
        <w:spacing w:after="0" w:line="273" w:lineRule="auto"/>
        <w:tabs>
          <w:tab w:leader="none" w:pos="2283" w:val="left"/>
        </w:tabs>
        <w:numPr>
          <w:ilvl w:val="1"/>
          <w:numId w:val="289"/>
        </w:numPr>
        <w:rPr>
          <w:rFonts w:ascii="Arial" w:cs="Arial" w:eastAsia="Arial" w:hAnsi="Arial"/>
          <w:sz w:val="14"/>
          <w:szCs w:val="14"/>
          <w:color w:val="auto"/>
        </w:rPr>
      </w:pPr>
      <w:r>
        <w:rPr>
          <w:rFonts w:ascii="Arial" w:cs="Arial" w:eastAsia="Arial" w:hAnsi="Arial"/>
          <w:sz w:val="14"/>
          <w:szCs w:val="14"/>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Arial" w:cs="Arial" w:eastAsia="Arial" w:hAnsi="Arial"/>
          <w:sz w:val="14"/>
          <w:szCs w:val="14"/>
          <w:u w:val="single" w:color="auto"/>
          <w:color w:val="auto"/>
        </w:rPr>
        <w:t>provided</w:t>
      </w:r>
      <w:r>
        <w:rPr>
          <w:rFonts w:ascii="Arial" w:cs="Arial" w:eastAsia="Arial" w:hAnsi="Arial"/>
          <w:sz w:val="14"/>
          <w:szCs w:val="14"/>
          <w:color w:val="auto"/>
        </w:rPr>
        <w:t>, that at least so much of the exercise price as represents the par value of the Stock shall be paid in cash if required by state law;</w:t>
      </w:r>
    </w:p>
    <w:p>
      <w:pPr>
        <w:spacing w:after="0" w:line="141" w:lineRule="exact"/>
        <w:rPr>
          <w:rFonts w:ascii="Arial" w:cs="Arial" w:eastAsia="Arial" w:hAnsi="Arial"/>
          <w:sz w:val="14"/>
          <w:szCs w:val="14"/>
          <w:color w:val="auto"/>
        </w:rPr>
      </w:pPr>
    </w:p>
    <w:p>
      <w:pPr>
        <w:jc w:val="both"/>
        <w:ind w:left="520" w:firstLine="1040"/>
        <w:spacing w:after="0" w:line="294" w:lineRule="auto"/>
        <w:tabs>
          <w:tab w:leader="none" w:pos="2388" w:val="left"/>
        </w:tabs>
        <w:numPr>
          <w:ilvl w:val="1"/>
          <w:numId w:val="289"/>
        </w:numPr>
        <w:rPr>
          <w:rFonts w:ascii="Arial" w:cs="Arial" w:eastAsia="Arial" w:hAnsi="Arial"/>
          <w:sz w:val="13"/>
          <w:szCs w:val="13"/>
          <w:color w:val="auto"/>
        </w:rPr>
      </w:pPr>
      <w:r>
        <w:rPr>
          <w:rFonts w:ascii="Arial" w:cs="Arial" w:eastAsia="Arial" w:hAnsi="Arial"/>
          <w:sz w:val="13"/>
          <w:szCs w:val="13"/>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130" w:lineRule="exact"/>
        <w:rPr>
          <w:rFonts w:ascii="Arial" w:cs="Arial" w:eastAsia="Arial" w:hAnsi="Arial"/>
          <w:sz w:val="13"/>
          <w:szCs w:val="13"/>
          <w:color w:val="auto"/>
        </w:rPr>
      </w:pPr>
    </w:p>
    <w:p>
      <w:pPr>
        <w:ind w:left="520" w:firstLine="1040"/>
        <w:spacing w:after="0" w:line="288" w:lineRule="auto"/>
        <w:tabs>
          <w:tab w:leader="none" w:pos="2277" w:val="left"/>
        </w:tabs>
        <w:numPr>
          <w:ilvl w:val="1"/>
          <w:numId w:val="289"/>
        </w:numPr>
        <w:rPr>
          <w:rFonts w:ascii="Arial" w:cs="Arial" w:eastAsia="Arial" w:hAnsi="Arial"/>
          <w:sz w:val="14"/>
          <w:szCs w:val="14"/>
          <w:color w:val="auto"/>
        </w:rPr>
      </w:pPr>
      <w:r>
        <w:rPr>
          <w:rFonts w:ascii="Arial" w:cs="Arial" w:eastAsia="Arial" w:hAnsi="Arial"/>
          <w:sz w:val="14"/>
          <w:szCs w:val="14"/>
          <w:color w:val="auto"/>
        </w:rPr>
        <w:t>If permitted by the Committee and the Initial Public Offering has occurred (or the Stock otherwise becomes publicly-traded), by the optionee delivering to the Company a properly executed exercise notice together with irrevocable instructions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29" w:name="page430"/>
    <w:bookmarkEnd w:id="429"/>
    <w:p>
      <w:pPr>
        <w:jc w:val="both"/>
        <w:ind w:left="520"/>
        <w:spacing w:after="0" w:line="273" w:lineRule="auto"/>
        <w:rPr>
          <w:sz w:val="20"/>
          <w:szCs w:val="20"/>
          <w:color w:val="auto"/>
        </w:rPr>
      </w:pPr>
      <w:r>
        <w:rPr>
          <w:rFonts w:ascii="Arial" w:cs="Arial" w:eastAsia="Arial" w:hAnsi="Arial"/>
          <w:sz w:val="14"/>
          <w:szCs w:val="14"/>
          <w:color w:val="auto"/>
        </w:rPr>
        <w:t xml:space="preserve">a broker to promptly deliver to the Company cash or a check payable and acceptable to the Company for the purchase price;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141" w:lineRule="exact"/>
        <w:rPr>
          <w:sz w:val="20"/>
          <w:szCs w:val="20"/>
          <w:color w:val="auto"/>
        </w:rPr>
      </w:pPr>
    </w:p>
    <w:p>
      <w:pPr>
        <w:jc w:val="both"/>
        <w:ind w:left="520" w:firstLine="1040"/>
        <w:spacing w:after="0" w:line="273" w:lineRule="auto"/>
        <w:tabs>
          <w:tab w:leader="none" w:pos="234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41"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3"/>
          <w:szCs w:val="13"/>
          <w:color w:val="auto"/>
        </w:rPr>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 (iii) 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139" w:lineRule="exact"/>
        <w:rPr>
          <w:sz w:val="20"/>
          <w:szCs w:val="20"/>
          <w:color w:val="auto"/>
        </w:rPr>
      </w:pPr>
    </w:p>
    <w:p>
      <w:pPr>
        <w:jc w:val="both"/>
        <w:ind w:firstLine="524"/>
        <w:spacing w:after="0" w:line="267" w:lineRule="auto"/>
        <w:tabs>
          <w:tab w:leader="none" w:pos="1365" w:val="left"/>
        </w:tabs>
        <w:numPr>
          <w:ilvl w:val="0"/>
          <w:numId w:val="291"/>
        </w:numPr>
        <w:rPr>
          <w:rFonts w:ascii="Arial" w:cs="Arial" w:eastAsia="Arial" w:hAnsi="Arial"/>
          <w:sz w:val="14"/>
          <w:szCs w:val="14"/>
          <w:color w:val="auto"/>
        </w:rPr>
      </w:pPr>
      <w:r>
        <w:rPr>
          <w:rFonts w:ascii="Arial" w:cs="Arial" w:eastAsia="Arial" w:hAnsi="Arial"/>
          <w:sz w:val="14"/>
          <w:szCs w:val="14"/>
          <w:u w:val="single" w:color="auto"/>
          <w:color w:val="auto"/>
        </w:rPr>
        <w:t>Annual Limit on Incentive Stock Options</w:t>
      </w:r>
      <w:r>
        <w:rPr>
          <w:rFonts w:ascii="Arial" w:cs="Arial" w:eastAsia="Arial" w:hAnsi="Arial"/>
          <w:sz w:val="14"/>
          <w:szCs w:val="14"/>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146" w:lineRule="exact"/>
        <w:rPr>
          <w:rFonts w:ascii="Arial" w:cs="Arial" w:eastAsia="Arial" w:hAnsi="Arial"/>
          <w:sz w:val="14"/>
          <w:szCs w:val="14"/>
          <w:color w:val="auto"/>
        </w:rPr>
      </w:pPr>
    </w:p>
    <w:p>
      <w:pPr>
        <w:ind w:firstLine="524"/>
        <w:spacing w:after="0" w:line="288" w:lineRule="auto"/>
        <w:tabs>
          <w:tab w:leader="none" w:pos="1216" w:val="left"/>
        </w:tabs>
        <w:numPr>
          <w:ilvl w:val="0"/>
          <w:numId w:val="291"/>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Any portion of a Stock Option that is not vested and exercisable on the date of termination of an optionee’s Service Relationship shall immediately expire and be null and void. Once any portion of the Stock Option becomes vested and exercisable,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0" w:name="page431"/>
    <w:bookmarkEnd w:id="430"/>
    <w:p>
      <w:pPr>
        <w:jc w:val="both"/>
        <w:spacing w:after="0" w:line="287" w:lineRule="auto"/>
        <w:rPr>
          <w:sz w:val="20"/>
          <w:szCs w:val="20"/>
          <w:color w:val="auto"/>
        </w:rPr>
      </w:pPr>
      <w:r>
        <w:rPr>
          <w:rFonts w:ascii="Arial" w:cs="Arial" w:eastAsia="Arial" w:hAnsi="Arial"/>
          <w:sz w:val="13"/>
          <w:szCs w:val="13"/>
          <w:color w:val="auto"/>
        </w:rPr>
        <w:t xml:space="preserve">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6. </w:t>
      </w:r>
      <w:r>
        <w:rPr>
          <w:rFonts w:ascii="Arial" w:cs="Arial" w:eastAsia="Arial" w:hAnsi="Arial"/>
          <w:sz w:val="13"/>
          <w:szCs w:val="13"/>
          <w:u w:val="single" w:color="auto"/>
          <w:color w:val="auto"/>
        </w:rPr>
        <w:t>RESTRICTED STOCK AWARDS</w:t>
      </w:r>
    </w:p>
    <w:p>
      <w:pPr>
        <w:spacing w:after="0" w:line="184" w:lineRule="exact"/>
        <w:rPr>
          <w:sz w:val="20"/>
          <w:szCs w:val="20"/>
          <w:color w:val="auto"/>
        </w:rPr>
      </w:pPr>
    </w:p>
    <w:p>
      <w:pPr>
        <w:jc w:val="both"/>
        <w:ind w:firstLine="524"/>
        <w:spacing w:after="0" w:line="290" w:lineRule="auto"/>
        <w:tabs>
          <w:tab w:leader="none" w:pos="1314" w:val="left"/>
        </w:tabs>
        <w:numPr>
          <w:ilvl w:val="0"/>
          <w:numId w:val="292"/>
        </w:numPr>
        <w:rPr>
          <w:rFonts w:ascii="Arial" w:cs="Arial" w:eastAsia="Arial" w:hAnsi="Arial"/>
          <w:sz w:val="13"/>
          <w:szCs w:val="13"/>
          <w:color w:val="auto"/>
        </w:rPr>
      </w:pPr>
      <w:r>
        <w:rPr>
          <w:rFonts w:ascii="Arial" w:cs="Arial" w:eastAsia="Arial" w:hAnsi="Arial"/>
          <w:sz w:val="13"/>
          <w:szCs w:val="13"/>
          <w:u w:val="single" w:color="auto"/>
          <w:color w:val="auto"/>
        </w:rPr>
        <w:t>Nature of Restricted Stock Awards</w:t>
      </w:r>
      <w:r>
        <w:rPr>
          <w:rFonts w:ascii="Arial" w:cs="Arial" w:eastAsia="Arial" w:hAnsi="Arial"/>
          <w:sz w:val="13"/>
          <w:szCs w:val="13"/>
          <w:color w:val="auto"/>
        </w:rPr>
        <w:t>. The Committee may, in its sole discretion, grant (or sell at par value or such other purchase price 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132" w:lineRule="exact"/>
        <w:rPr>
          <w:rFonts w:ascii="Arial" w:cs="Arial" w:eastAsia="Arial" w:hAnsi="Arial"/>
          <w:sz w:val="13"/>
          <w:szCs w:val="13"/>
          <w:color w:val="auto"/>
        </w:rPr>
      </w:pPr>
    </w:p>
    <w:p>
      <w:pPr>
        <w:jc w:val="both"/>
        <w:ind w:firstLine="524"/>
        <w:spacing w:after="0" w:line="263" w:lineRule="auto"/>
        <w:tabs>
          <w:tab w:leader="none" w:pos="1300" w:val="left"/>
        </w:tabs>
        <w:numPr>
          <w:ilvl w:val="0"/>
          <w:numId w:val="292"/>
        </w:numPr>
        <w:rPr>
          <w:rFonts w:ascii="Arial" w:cs="Arial" w:eastAsia="Arial" w:hAnsi="Arial"/>
          <w:sz w:val="14"/>
          <w:szCs w:val="14"/>
          <w:color w:val="auto"/>
        </w:rPr>
      </w:pPr>
      <w:r>
        <w:rPr>
          <w:rFonts w:ascii="Arial" w:cs="Arial" w:eastAsia="Arial" w:hAnsi="Arial"/>
          <w:sz w:val="14"/>
          <w:szCs w:val="14"/>
          <w:u w:val="single" w:color="auto"/>
          <w:color w:val="auto"/>
        </w:rPr>
        <w:t>Rights as a Stockholder</w:t>
      </w:r>
      <w:r>
        <w:rPr>
          <w:rFonts w:ascii="Arial" w:cs="Arial" w:eastAsia="Arial" w:hAnsi="Arial"/>
          <w:sz w:val="14"/>
          <w:szCs w:val="14"/>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149" w:lineRule="exact"/>
        <w:rPr>
          <w:rFonts w:ascii="Arial" w:cs="Arial" w:eastAsia="Arial" w:hAnsi="Arial"/>
          <w:sz w:val="14"/>
          <w:szCs w:val="14"/>
          <w:color w:val="auto"/>
        </w:rPr>
      </w:pPr>
    </w:p>
    <w:p>
      <w:pPr>
        <w:jc w:val="both"/>
        <w:ind w:firstLine="524"/>
        <w:spacing w:after="0" w:line="267" w:lineRule="auto"/>
        <w:tabs>
          <w:tab w:leader="none" w:pos="1260" w:val="left"/>
        </w:tabs>
        <w:numPr>
          <w:ilvl w:val="0"/>
          <w:numId w:val="292"/>
        </w:numPr>
        <w:rPr>
          <w:rFonts w:ascii="Arial" w:cs="Arial" w:eastAsia="Arial" w:hAnsi="Arial"/>
          <w:sz w:val="14"/>
          <w:szCs w:val="14"/>
          <w:color w:val="auto"/>
        </w:rPr>
      </w:pPr>
      <w:r>
        <w:rPr>
          <w:rFonts w:ascii="Arial" w:cs="Arial" w:eastAsia="Arial" w:hAnsi="Arial"/>
          <w:sz w:val="14"/>
          <w:szCs w:val="14"/>
          <w:u w:val="single" w:color="auto"/>
          <w:color w:val="auto"/>
        </w:rPr>
        <w:t>Restrictions</w:t>
      </w:r>
      <w:r>
        <w:rPr>
          <w:rFonts w:ascii="Arial" w:cs="Arial" w:eastAsia="Arial" w:hAnsi="Arial"/>
          <w:sz w:val="14"/>
          <w:szCs w:val="14"/>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1" w:name="page432"/>
    <w:bookmarkEnd w:id="431"/>
    <w:p>
      <w:pPr>
        <w:jc w:val="both"/>
        <w:ind w:firstLine="524"/>
        <w:spacing w:after="0" w:line="273" w:lineRule="auto"/>
        <w:tabs>
          <w:tab w:leader="none" w:pos="1257" w:val="left"/>
        </w:tabs>
        <w:numPr>
          <w:ilvl w:val="0"/>
          <w:numId w:val="293"/>
        </w:numPr>
        <w:rPr>
          <w:rFonts w:ascii="Arial" w:cs="Arial" w:eastAsia="Arial" w:hAnsi="Arial"/>
          <w:sz w:val="14"/>
          <w:szCs w:val="14"/>
          <w:color w:val="auto"/>
        </w:rPr>
      </w:pPr>
      <w:r>
        <w:rPr>
          <w:rFonts w:ascii="Arial" w:cs="Arial" w:eastAsia="Arial" w:hAnsi="Arial"/>
          <w:sz w:val="14"/>
          <w:szCs w:val="14"/>
          <w:u w:val="single" w:color="auto"/>
          <w:color w:val="auto"/>
        </w:rPr>
        <w:t>Vesting of Restricted Stock</w:t>
      </w:r>
      <w:r>
        <w:rPr>
          <w:rFonts w:ascii="Arial" w:cs="Arial" w:eastAsia="Arial" w:hAnsi="Arial"/>
          <w:sz w:val="14"/>
          <w:szCs w:val="14"/>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7. </w:t>
      </w:r>
      <w:r>
        <w:rPr>
          <w:rFonts w:ascii="Arial" w:cs="Arial" w:eastAsia="Arial" w:hAnsi="Arial"/>
          <w:sz w:val="13"/>
          <w:szCs w:val="13"/>
          <w:u w:val="single" w:color="auto"/>
          <w:color w:val="auto"/>
        </w:rPr>
        <w:t>UNRESTRICTED STOCK AWARDS</w:t>
      </w:r>
    </w:p>
    <w:p>
      <w:pPr>
        <w:spacing w:after="0" w:line="184" w:lineRule="exact"/>
        <w:rPr>
          <w:sz w:val="20"/>
          <w:szCs w:val="20"/>
          <w:color w:val="auto"/>
        </w:rPr>
      </w:pPr>
    </w:p>
    <w:p>
      <w:pPr>
        <w:ind w:firstLine="518"/>
        <w:spacing w:after="0" w:line="329" w:lineRule="auto"/>
        <w:rPr>
          <w:sz w:val="20"/>
          <w:szCs w:val="20"/>
          <w:color w:val="auto"/>
        </w:rPr>
      </w:pPr>
      <w:r>
        <w:rPr>
          <w:rFonts w:ascii="Arial" w:cs="Arial" w:eastAsia="Arial" w:hAnsi="Arial"/>
          <w:sz w:val="13"/>
          <w:szCs w:val="13"/>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8. </w:t>
      </w:r>
      <w:r>
        <w:rPr>
          <w:rFonts w:ascii="Arial" w:cs="Arial" w:eastAsia="Arial" w:hAnsi="Arial"/>
          <w:sz w:val="13"/>
          <w:szCs w:val="13"/>
          <w:u w:val="single" w:color="auto"/>
          <w:color w:val="auto"/>
        </w:rPr>
        <w:t>RESTRICTED STOCK UNITS</w:t>
      </w:r>
    </w:p>
    <w:p>
      <w:pPr>
        <w:spacing w:after="0" w:line="184" w:lineRule="exact"/>
        <w:rPr>
          <w:sz w:val="20"/>
          <w:szCs w:val="20"/>
          <w:color w:val="auto"/>
        </w:rPr>
      </w:pPr>
    </w:p>
    <w:p>
      <w:pPr>
        <w:jc w:val="both"/>
        <w:ind w:firstLine="524"/>
        <w:spacing w:after="0" w:line="262" w:lineRule="auto"/>
        <w:tabs>
          <w:tab w:leader="none" w:pos="1324" w:val="left"/>
        </w:tabs>
        <w:numPr>
          <w:ilvl w:val="0"/>
          <w:numId w:val="294"/>
        </w:numPr>
        <w:rPr>
          <w:rFonts w:ascii="Arial" w:cs="Arial" w:eastAsia="Arial" w:hAnsi="Arial"/>
          <w:sz w:val="14"/>
          <w:szCs w:val="14"/>
          <w:color w:val="auto"/>
        </w:rPr>
      </w:pPr>
      <w:r>
        <w:rPr>
          <w:rFonts w:ascii="Arial" w:cs="Arial" w:eastAsia="Arial" w:hAnsi="Arial"/>
          <w:sz w:val="14"/>
          <w:szCs w:val="14"/>
          <w:u w:val="single" w:color="auto"/>
          <w:color w:val="auto"/>
        </w:rPr>
        <w:t>Nature of Restricted Stock Units</w:t>
      </w:r>
      <w:r>
        <w:rPr>
          <w:rFonts w:ascii="Arial" w:cs="Arial" w:eastAsia="Arial" w:hAnsi="Arial"/>
          <w:sz w:val="14"/>
          <w:szCs w:val="14"/>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150" w:lineRule="exact"/>
        <w:rPr>
          <w:rFonts w:ascii="Arial" w:cs="Arial" w:eastAsia="Arial" w:hAnsi="Arial"/>
          <w:sz w:val="14"/>
          <w:szCs w:val="14"/>
          <w:color w:val="auto"/>
        </w:rPr>
      </w:pPr>
    </w:p>
    <w:p>
      <w:pPr>
        <w:jc w:val="both"/>
        <w:ind w:firstLine="524"/>
        <w:spacing w:after="0" w:line="267" w:lineRule="auto"/>
        <w:tabs>
          <w:tab w:leader="none" w:pos="1268" w:val="left"/>
        </w:tabs>
        <w:numPr>
          <w:ilvl w:val="0"/>
          <w:numId w:val="294"/>
        </w:numPr>
        <w:rPr>
          <w:rFonts w:ascii="Arial" w:cs="Arial" w:eastAsia="Arial" w:hAnsi="Arial"/>
          <w:sz w:val="14"/>
          <w:szCs w:val="14"/>
          <w:color w:val="auto"/>
        </w:rPr>
      </w:pPr>
      <w:r>
        <w:rPr>
          <w:rFonts w:ascii="Arial" w:cs="Arial" w:eastAsia="Arial" w:hAnsi="Arial"/>
          <w:sz w:val="14"/>
          <w:szCs w:val="14"/>
          <w:u w:val="single" w:color="auto"/>
          <w:color w:val="auto"/>
        </w:rPr>
        <w:t>Rights as a Stockholder</w:t>
      </w:r>
      <w:r>
        <w:rPr>
          <w:rFonts w:ascii="Arial" w:cs="Arial" w:eastAsia="Arial" w:hAnsi="Arial"/>
          <w:sz w:val="14"/>
          <w:szCs w:val="14"/>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146" w:lineRule="exact"/>
        <w:rPr>
          <w:rFonts w:ascii="Arial" w:cs="Arial" w:eastAsia="Arial" w:hAnsi="Arial"/>
          <w:sz w:val="14"/>
          <w:szCs w:val="14"/>
          <w:color w:val="auto"/>
        </w:rPr>
      </w:pPr>
    </w:p>
    <w:p>
      <w:pPr>
        <w:ind w:firstLine="524"/>
        <w:spacing w:after="0" w:line="329" w:lineRule="auto"/>
        <w:tabs>
          <w:tab w:leader="none" w:pos="1227" w:val="left"/>
        </w:tabs>
        <w:numPr>
          <w:ilvl w:val="0"/>
          <w:numId w:val="294"/>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2" w:name="page433"/>
    <w:bookmarkEnd w:id="432"/>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9. </w:t>
      </w:r>
      <w:r>
        <w:rPr>
          <w:rFonts w:ascii="Arial" w:cs="Arial" w:eastAsia="Arial" w:hAnsi="Arial"/>
          <w:sz w:val="13"/>
          <w:szCs w:val="13"/>
          <w:u w:val="single" w:color="auto"/>
          <w:color w:val="auto"/>
        </w:rPr>
        <w:t>TRANSFER RESTRICTIONS; COMPANY RIGHT OF FIRST REFUSAL; COMPANY REPURCHASE RIGHTS</w:t>
      </w:r>
    </w:p>
    <w:p>
      <w:pPr>
        <w:spacing w:after="0" w:line="184" w:lineRule="exact"/>
        <w:rPr>
          <w:sz w:val="20"/>
          <w:szCs w:val="20"/>
          <w:color w:val="auto"/>
        </w:rPr>
      </w:pPr>
    </w:p>
    <w:p>
      <w:pPr>
        <w:ind w:left="1220" w:hanging="696"/>
        <w:spacing w:after="0"/>
        <w:tabs>
          <w:tab w:leader="none" w:pos="1220" w:val="left"/>
        </w:tabs>
        <w:numPr>
          <w:ilvl w:val="0"/>
          <w:numId w:val="295"/>
        </w:numPr>
        <w:rPr>
          <w:rFonts w:ascii="Arial" w:cs="Arial" w:eastAsia="Arial" w:hAnsi="Arial"/>
          <w:sz w:val="14"/>
          <w:szCs w:val="14"/>
          <w:color w:val="auto"/>
        </w:rPr>
      </w:pPr>
      <w:r>
        <w:rPr>
          <w:rFonts w:ascii="Arial" w:cs="Arial" w:eastAsia="Arial" w:hAnsi="Arial"/>
          <w:sz w:val="14"/>
          <w:szCs w:val="14"/>
          <w:u w:val="single" w:color="auto"/>
          <w:color w:val="auto"/>
        </w:rPr>
        <w:t>Restrictions on Transfer</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1042"/>
        <w:spacing w:after="0" w:line="261" w:lineRule="auto"/>
        <w:tabs>
          <w:tab w:leader="none" w:pos="1750" w:val="left"/>
        </w:tabs>
        <w:numPr>
          <w:ilvl w:val="1"/>
          <w:numId w:val="295"/>
        </w:numPr>
        <w:rPr>
          <w:rFonts w:ascii="Arial" w:cs="Arial" w:eastAsia="Arial" w:hAnsi="Arial"/>
          <w:sz w:val="14"/>
          <w:szCs w:val="14"/>
          <w:color w:val="auto"/>
        </w:rPr>
      </w:pPr>
      <w:r>
        <w:rPr>
          <w:rFonts w:ascii="Arial" w:cs="Arial" w:eastAsia="Arial" w:hAnsi="Arial"/>
          <w:sz w:val="14"/>
          <w:szCs w:val="14"/>
          <w:u w:val="single" w:color="auto"/>
          <w:color w:val="auto"/>
        </w:rPr>
        <w:t>Non-Transferability of Stock Options</w:t>
      </w:r>
      <w:r>
        <w:rPr>
          <w:rFonts w:ascii="Arial" w:cs="Arial" w:eastAsia="Arial" w:hAnsi="Arial"/>
          <w:sz w:val="14"/>
          <w:szCs w:val="14"/>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 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50" w:lineRule="exact"/>
        <w:rPr>
          <w:rFonts w:ascii="Arial" w:cs="Arial" w:eastAsia="Arial" w:hAnsi="Arial"/>
          <w:sz w:val="14"/>
          <w:szCs w:val="14"/>
          <w:color w:val="auto"/>
        </w:rPr>
      </w:pPr>
    </w:p>
    <w:p>
      <w:pPr>
        <w:jc w:val="both"/>
        <w:ind w:firstLine="1042"/>
        <w:spacing w:after="0" w:line="282" w:lineRule="auto"/>
        <w:tabs>
          <w:tab w:leader="none" w:pos="1722" w:val="left"/>
        </w:tabs>
        <w:numPr>
          <w:ilvl w:val="1"/>
          <w:numId w:val="295"/>
        </w:numPr>
        <w:rPr>
          <w:rFonts w:ascii="Arial" w:cs="Arial" w:eastAsia="Arial" w:hAnsi="Arial"/>
          <w:sz w:val="13"/>
          <w:szCs w:val="13"/>
          <w:color w:val="auto"/>
        </w:rPr>
      </w:pPr>
      <w:r>
        <w:rPr>
          <w:rFonts w:ascii="Arial" w:cs="Arial" w:eastAsia="Arial" w:hAnsi="Arial"/>
          <w:sz w:val="13"/>
          <w:szCs w:val="13"/>
          <w:u w:val="single" w:color="auto"/>
          <w:color w:val="auto"/>
        </w:rPr>
        <w:t>Shares</w:t>
      </w:r>
      <w:r>
        <w:rPr>
          <w:rFonts w:ascii="Arial" w:cs="Arial" w:eastAsia="Arial" w:hAnsi="Arial"/>
          <w:sz w:val="13"/>
          <w:szCs w:val="13"/>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33" w:name="page434"/>
    <w:bookmarkEnd w:id="433"/>
    <w:p>
      <w:pPr>
        <w:jc w:val="both"/>
        <w:ind w:left="520" w:firstLine="1040"/>
        <w:spacing w:after="0" w:line="294" w:lineRule="auto"/>
        <w:tabs>
          <w:tab w:leader="none" w:pos="2223" w:val="left"/>
        </w:tabs>
        <w:numPr>
          <w:ilvl w:val="1"/>
          <w:numId w:val="296"/>
        </w:numPr>
        <w:rPr>
          <w:rFonts w:ascii="Arial" w:cs="Arial" w:eastAsia="Arial" w:hAnsi="Arial"/>
          <w:sz w:val="13"/>
          <w:szCs w:val="13"/>
          <w:color w:val="auto"/>
        </w:rPr>
      </w:pPr>
      <w:r>
        <w:rPr>
          <w:rFonts w:ascii="Arial" w:cs="Arial" w:eastAsia="Arial" w:hAnsi="Arial"/>
          <w:sz w:val="13"/>
          <w:szCs w:val="13"/>
          <w:u w:val="single" w:color="auto"/>
          <w:color w:val="auto"/>
        </w:rPr>
        <w:t>Transfers to Permitted Transferees</w:t>
      </w:r>
      <w:r>
        <w:rPr>
          <w:rFonts w:ascii="Arial" w:cs="Arial" w:eastAsia="Arial" w:hAnsi="Arial"/>
          <w:sz w:val="13"/>
          <w:szCs w:val="13"/>
          <w:color w:val="auto"/>
        </w:rPr>
        <w:t xml:space="preserve">. The Holder may transfer any or all of the Shares to one or more Permitted Transferees; </w:t>
      </w:r>
      <w:r>
        <w:rPr>
          <w:rFonts w:ascii="Arial" w:cs="Arial" w:eastAsia="Arial" w:hAnsi="Arial"/>
          <w:sz w:val="13"/>
          <w:szCs w:val="13"/>
          <w:i w:val="1"/>
          <w:iCs w:val="1"/>
          <w:color w:val="auto"/>
        </w:rPr>
        <w:t>provided, however</w:t>
      </w:r>
      <w:r>
        <w:rPr>
          <w:rFonts w:ascii="Arial" w:cs="Arial" w:eastAsia="Arial" w:hAnsi="Arial"/>
          <w:sz w:val="13"/>
          <w:szCs w:val="13"/>
          <w:color w:val="auto"/>
        </w:rPr>
        <w:t>, that following such transfer, such Shares shall continue to be subject to the terms of this Plan (including this Section 9) and 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130" w:lineRule="exact"/>
        <w:rPr>
          <w:rFonts w:ascii="Arial" w:cs="Arial" w:eastAsia="Arial" w:hAnsi="Arial"/>
          <w:sz w:val="13"/>
          <w:szCs w:val="13"/>
          <w:color w:val="auto"/>
        </w:rPr>
      </w:pPr>
    </w:p>
    <w:p>
      <w:pPr>
        <w:jc w:val="both"/>
        <w:ind w:left="520" w:firstLine="1040"/>
        <w:spacing w:after="0" w:line="303" w:lineRule="auto"/>
        <w:tabs>
          <w:tab w:leader="none" w:pos="2423" w:val="left"/>
        </w:tabs>
        <w:numPr>
          <w:ilvl w:val="1"/>
          <w:numId w:val="296"/>
        </w:numPr>
        <w:rPr>
          <w:rFonts w:ascii="Arial" w:cs="Arial" w:eastAsia="Arial" w:hAnsi="Arial"/>
          <w:sz w:val="13"/>
          <w:szCs w:val="13"/>
          <w:color w:val="auto"/>
        </w:rPr>
      </w:pPr>
      <w:r>
        <w:rPr>
          <w:rFonts w:ascii="Arial" w:cs="Arial" w:eastAsia="Arial" w:hAnsi="Arial"/>
          <w:sz w:val="13"/>
          <w:szCs w:val="13"/>
          <w:u w:val="single" w:color="auto"/>
          <w:color w:val="auto"/>
        </w:rPr>
        <w:t>Transfers Upon Death</w:t>
      </w:r>
      <w:r>
        <w:rPr>
          <w:rFonts w:ascii="Arial" w:cs="Arial" w:eastAsia="Arial" w:hAnsi="Arial"/>
          <w:sz w:val="13"/>
          <w:szCs w:val="13"/>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124" w:lineRule="exact"/>
        <w:rPr>
          <w:rFonts w:ascii="Arial" w:cs="Arial" w:eastAsia="Arial" w:hAnsi="Arial"/>
          <w:sz w:val="13"/>
          <w:szCs w:val="13"/>
          <w:color w:val="auto"/>
        </w:rPr>
      </w:pPr>
    </w:p>
    <w:p>
      <w:pPr>
        <w:jc w:val="both"/>
        <w:ind w:firstLine="524"/>
        <w:spacing w:after="0" w:line="281" w:lineRule="auto"/>
        <w:tabs>
          <w:tab w:leader="none" w:pos="1332" w:val="left"/>
        </w:tabs>
        <w:numPr>
          <w:ilvl w:val="0"/>
          <w:numId w:val="297"/>
        </w:numPr>
        <w:rPr>
          <w:rFonts w:ascii="Arial" w:cs="Arial" w:eastAsia="Arial" w:hAnsi="Arial"/>
          <w:sz w:val="13"/>
          <w:szCs w:val="13"/>
          <w:color w:val="auto"/>
        </w:rPr>
      </w:pPr>
      <w:r>
        <w:rPr>
          <w:rFonts w:ascii="Arial" w:cs="Arial" w:eastAsia="Arial" w:hAnsi="Arial"/>
          <w:sz w:val="13"/>
          <w:szCs w:val="13"/>
          <w:u w:val="single" w:color="auto"/>
          <w:color w:val="auto"/>
        </w:rPr>
        <w:t>Right of First Refusal</w:t>
      </w:r>
      <w:r>
        <w:rPr>
          <w:rFonts w:ascii="Arial" w:cs="Arial" w:eastAsia="Arial" w:hAnsi="Arial"/>
          <w:sz w:val="13"/>
          <w:szCs w:val="13"/>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w:t>
      </w:r>
      <w:r>
        <w:rPr>
          <w:rFonts w:ascii="Arial" w:cs="Arial" w:eastAsia="Arial" w:hAnsi="Arial"/>
          <w:sz w:val="13"/>
          <w:szCs w:val="13"/>
          <w:i w:val="1"/>
          <w:iCs w:val="1"/>
          <w:color w:val="auto"/>
        </w:rPr>
        <w:t>Offered Shares</w:t>
      </w:r>
      <w:r>
        <w:rPr>
          <w:rFonts w:ascii="Arial" w:cs="Arial" w:eastAsia="Arial" w:hAnsi="Arial"/>
          <w:sz w:val="13"/>
          <w:szCs w:val="13"/>
          <w:color w:val="auto"/>
        </w:rPr>
        <w:t>”),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4" w:name="page435"/>
    <w:bookmarkEnd w:id="434"/>
    <w:p>
      <w:pPr>
        <w:ind w:left="1220" w:hanging="696"/>
        <w:spacing w:after="0"/>
        <w:tabs>
          <w:tab w:leader="none" w:pos="1220" w:val="left"/>
        </w:tabs>
        <w:numPr>
          <w:ilvl w:val="0"/>
          <w:numId w:val="298"/>
        </w:numPr>
        <w:rPr>
          <w:rFonts w:ascii="Arial" w:cs="Arial" w:eastAsia="Arial" w:hAnsi="Arial"/>
          <w:sz w:val="14"/>
          <w:szCs w:val="14"/>
          <w:color w:val="auto"/>
        </w:rPr>
      </w:pPr>
      <w:r>
        <w:rPr>
          <w:rFonts w:ascii="Arial" w:cs="Arial" w:eastAsia="Arial" w:hAnsi="Arial"/>
          <w:sz w:val="14"/>
          <w:szCs w:val="14"/>
          <w:u w:val="single" w:color="auto"/>
          <w:color w:val="auto"/>
        </w:rPr>
        <w:t>Company’s Right of Repurchase</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1042"/>
        <w:spacing w:after="0" w:line="265" w:lineRule="auto"/>
        <w:tabs>
          <w:tab w:leader="none" w:pos="1793" w:val="left"/>
        </w:tabs>
        <w:numPr>
          <w:ilvl w:val="1"/>
          <w:numId w:val="298"/>
        </w:numPr>
        <w:rPr>
          <w:rFonts w:ascii="Arial" w:cs="Arial" w:eastAsia="Arial" w:hAnsi="Arial"/>
          <w:sz w:val="14"/>
          <w:szCs w:val="14"/>
          <w:color w:val="auto"/>
        </w:rPr>
      </w:pPr>
      <w:r>
        <w:rPr>
          <w:rFonts w:ascii="Arial" w:cs="Arial" w:eastAsia="Arial" w:hAnsi="Arial"/>
          <w:sz w:val="14"/>
          <w:szCs w:val="14"/>
          <w:u w:val="single" w:color="auto"/>
          <w:color w:val="auto"/>
        </w:rPr>
        <w:t>Right of Repurchase for Unvested Shares Issued Upon the Exercise of an Option</w:t>
      </w:r>
      <w:r>
        <w:rPr>
          <w:rFonts w:ascii="Arial" w:cs="Arial" w:eastAsia="Arial" w:hAnsi="Arial"/>
          <w:sz w:val="14"/>
          <w:szCs w:val="14"/>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147" w:lineRule="exact"/>
        <w:rPr>
          <w:rFonts w:ascii="Arial" w:cs="Arial" w:eastAsia="Arial" w:hAnsi="Arial"/>
          <w:sz w:val="14"/>
          <w:szCs w:val="14"/>
          <w:color w:val="auto"/>
        </w:rPr>
      </w:pPr>
    </w:p>
    <w:p>
      <w:pPr>
        <w:jc w:val="both"/>
        <w:ind w:firstLine="1042"/>
        <w:spacing w:after="0" w:line="294" w:lineRule="auto"/>
        <w:tabs>
          <w:tab w:leader="none" w:pos="1754" w:val="left"/>
        </w:tabs>
        <w:numPr>
          <w:ilvl w:val="1"/>
          <w:numId w:val="298"/>
        </w:numPr>
        <w:rPr>
          <w:rFonts w:ascii="Arial" w:cs="Arial" w:eastAsia="Arial" w:hAnsi="Arial"/>
          <w:sz w:val="13"/>
          <w:szCs w:val="13"/>
          <w:color w:val="auto"/>
        </w:rPr>
      </w:pPr>
      <w:r>
        <w:rPr>
          <w:rFonts w:ascii="Arial" w:cs="Arial" w:eastAsia="Arial" w:hAnsi="Arial"/>
          <w:sz w:val="13"/>
          <w:szCs w:val="13"/>
          <w:u w:val="single" w:color="auto"/>
          <w:color w:val="auto"/>
        </w:rPr>
        <w:t>Right of Repurchase With Respect to Restricted Stock</w:t>
      </w:r>
      <w:r>
        <w:rPr>
          <w:rFonts w:ascii="Arial" w:cs="Arial" w:eastAsia="Arial" w:hAnsi="Arial"/>
          <w:sz w:val="13"/>
          <w:szCs w:val="13"/>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30" w:lineRule="exact"/>
        <w:rPr>
          <w:rFonts w:ascii="Arial" w:cs="Arial" w:eastAsia="Arial" w:hAnsi="Arial"/>
          <w:sz w:val="13"/>
          <w:szCs w:val="13"/>
          <w:color w:val="auto"/>
        </w:rPr>
      </w:pPr>
    </w:p>
    <w:p>
      <w:pPr>
        <w:jc w:val="both"/>
        <w:ind w:firstLine="1042"/>
        <w:spacing w:after="0" w:line="290" w:lineRule="auto"/>
        <w:tabs>
          <w:tab w:leader="none" w:pos="1693" w:val="left"/>
        </w:tabs>
        <w:numPr>
          <w:ilvl w:val="1"/>
          <w:numId w:val="298"/>
        </w:numPr>
        <w:rPr>
          <w:rFonts w:ascii="Arial" w:cs="Arial" w:eastAsia="Arial" w:hAnsi="Arial"/>
          <w:sz w:val="13"/>
          <w:szCs w:val="13"/>
          <w:color w:val="auto"/>
        </w:rPr>
      </w:pPr>
      <w:r>
        <w:rPr>
          <w:rFonts w:ascii="Arial" w:cs="Arial" w:eastAsia="Arial" w:hAnsi="Arial"/>
          <w:sz w:val="13"/>
          <w:szCs w:val="13"/>
          <w:u w:val="single" w:color="auto"/>
          <w:color w:val="auto"/>
        </w:rPr>
        <w:t>Procedure</w:t>
      </w:r>
      <w:r>
        <w:rPr>
          <w:rFonts w:ascii="Arial" w:cs="Arial" w:eastAsia="Arial" w:hAnsi="Arial"/>
          <w:sz w:val="13"/>
          <w:szCs w:val="13"/>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Company may pay the repurchase price by offsetting and canceling any indebtedness then owed by the Holder to the Company.</w:t>
      </w:r>
    </w:p>
    <w:p>
      <w:pPr>
        <w:spacing w:after="0" w:line="132" w:lineRule="exact"/>
        <w:rPr>
          <w:rFonts w:ascii="Arial" w:cs="Arial" w:eastAsia="Arial" w:hAnsi="Arial"/>
          <w:sz w:val="13"/>
          <w:szCs w:val="13"/>
          <w:color w:val="auto"/>
        </w:rPr>
      </w:pPr>
    </w:p>
    <w:p>
      <w:pPr>
        <w:ind w:left="1240" w:hanging="716"/>
        <w:spacing w:after="0"/>
        <w:tabs>
          <w:tab w:leader="none" w:pos="1240" w:val="left"/>
        </w:tabs>
        <w:numPr>
          <w:ilvl w:val="0"/>
          <w:numId w:val="298"/>
        </w:numPr>
        <w:rPr>
          <w:rFonts w:ascii="Arial" w:cs="Arial" w:eastAsia="Arial" w:hAnsi="Arial"/>
          <w:sz w:val="14"/>
          <w:szCs w:val="14"/>
          <w:color w:val="auto"/>
        </w:rPr>
      </w:pPr>
      <w:r>
        <w:rPr>
          <w:rFonts w:ascii="Arial" w:cs="Arial" w:eastAsia="Arial" w:hAnsi="Arial"/>
          <w:sz w:val="14"/>
          <w:szCs w:val="14"/>
          <w:u w:val="single" w:color="auto"/>
          <w:color w:val="auto"/>
        </w:rPr>
        <w:t>Reserved</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220" w:hanging="696"/>
        <w:spacing w:after="0"/>
        <w:tabs>
          <w:tab w:leader="none" w:pos="1220" w:val="left"/>
        </w:tabs>
        <w:numPr>
          <w:ilvl w:val="0"/>
          <w:numId w:val="298"/>
        </w:numPr>
        <w:rPr>
          <w:rFonts w:ascii="Arial" w:cs="Arial" w:eastAsia="Arial" w:hAnsi="Arial"/>
          <w:sz w:val="14"/>
          <w:szCs w:val="14"/>
          <w:color w:val="auto"/>
        </w:rPr>
      </w:pPr>
      <w:r>
        <w:rPr>
          <w:rFonts w:ascii="Arial" w:cs="Arial" w:eastAsia="Arial" w:hAnsi="Arial"/>
          <w:sz w:val="14"/>
          <w:szCs w:val="14"/>
          <w:u w:val="single" w:color="auto"/>
          <w:color w:val="auto"/>
        </w:rPr>
        <w:t>Escrow Arrangement</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1042"/>
        <w:spacing w:after="0" w:line="263" w:lineRule="auto"/>
        <w:tabs>
          <w:tab w:leader="none" w:pos="1783" w:val="left"/>
        </w:tabs>
        <w:numPr>
          <w:ilvl w:val="1"/>
          <w:numId w:val="298"/>
        </w:numPr>
        <w:rPr>
          <w:rFonts w:ascii="Arial" w:cs="Arial" w:eastAsia="Arial" w:hAnsi="Arial"/>
          <w:sz w:val="14"/>
          <w:szCs w:val="14"/>
          <w:color w:val="auto"/>
        </w:rPr>
      </w:pPr>
      <w:r>
        <w:rPr>
          <w:rFonts w:ascii="Arial" w:cs="Arial" w:eastAsia="Arial" w:hAnsi="Arial"/>
          <w:sz w:val="14"/>
          <w:szCs w:val="14"/>
          <w:u w:val="single" w:color="auto"/>
          <w:color w:val="auto"/>
        </w:rPr>
        <w:t>Escrow</w:t>
      </w:r>
      <w:r>
        <w:rPr>
          <w:rFonts w:ascii="Arial" w:cs="Arial" w:eastAsia="Arial" w:hAnsi="Arial"/>
          <w:sz w:val="14"/>
          <w:szCs w:val="14"/>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59625"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5" w:name="page436"/>
    <w:bookmarkEnd w:id="435"/>
    <w:p>
      <w:pPr>
        <w:jc w:val="both"/>
        <w:ind w:firstLine="1042"/>
        <w:spacing w:after="0" w:line="284" w:lineRule="auto"/>
        <w:tabs>
          <w:tab w:leader="none" w:pos="1787" w:val="left"/>
        </w:tabs>
        <w:numPr>
          <w:ilvl w:val="1"/>
          <w:numId w:val="299"/>
        </w:numPr>
        <w:rPr>
          <w:rFonts w:ascii="Arial" w:cs="Arial" w:eastAsia="Arial" w:hAnsi="Arial"/>
          <w:sz w:val="13"/>
          <w:szCs w:val="13"/>
          <w:color w:val="auto"/>
        </w:rPr>
      </w:pPr>
      <w:r>
        <w:rPr>
          <w:rFonts w:ascii="Arial" w:cs="Arial" w:eastAsia="Arial" w:hAnsi="Arial"/>
          <w:sz w:val="13"/>
          <w:szCs w:val="13"/>
          <w:u w:val="single" w:color="auto"/>
          <w:color w:val="auto"/>
        </w:rPr>
        <w:t>Remedy</w:t>
      </w:r>
      <w:r>
        <w:rPr>
          <w:rFonts w:ascii="Arial" w:cs="Arial" w:eastAsia="Arial" w:hAnsi="Arial"/>
          <w:sz w:val="13"/>
          <w:szCs w:val="13"/>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138" w:lineRule="exact"/>
        <w:rPr>
          <w:rFonts w:ascii="Arial" w:cs="Arial" w:eastAsia="Arial" w:hAnsi="Arial"/>
          <w:sz w:val="13"/>
          <w:szCs w:val="13"/>
          <w:color w:val="auto"/>
        </w:rPr>
      </w:pPr>
    </w:p>
    <w:p>
      <w:pPr>
        <w:jc w:val="both"/>
        <w:ind w:firstLine="524"/>
        <w:spacing w:after="0" w:line="303" w:lineRule="auto"/>
        <w:tabs>
          <w:tab w:leader="none" w:pos="1334" w:val="left"/>
        </w:tabs>
        <w:numPr>
          <w:ilvl w:val="0"/>
          <w:numId w:val="300"/>
        </w:numPr>
        <w:rPr>
          <w:rFonts w:ascii="Arial" w:cs="Arial" w:eastAsia="Arial" w:hAnsi="Arial"/>
          <w:sz w:val="13"/>
          <w:szCs w:val="13"/>
          <w:color w:val="auto"/>
        </w:rPr>
      </w:pPr>
      <w:r>
        <w:rPr>
          <w:rFonts w:ascii="Arial" w:cs="Arial" w:eastAsia="Arial" w:hAnsi="Arial"/>
          <w:sz w:val="13"/>
          <w:szCs w:val="13"/>
          <w:u w:val="single" w:color="auto"/>
          <w:color w:val="auto"/>
        </w:rPr>
        <w:t>Lockup Provision</w:t>
      </w:r>
      <w:r>
        <w:rPr>
          <w:rFonts w:ascii="Arial" w:cs="Arial" w:eastAsia="Arial" w:hAnsi="Arial"/>
          <w:sz w:val="13"/>
          <w:szCs w:val="13"/>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124" w:lineRule="exact"/>
        <w:rPr>
          <w:rFonts w:ascii="Arial" w:cs="Arial" w:eastAsia="Arial" w:hAnsi="Arial"/>
          <w:sz w:val="13"/>
          <w:szCs w:val="13"/>
          <w:color w:val="auto"/>
        </w:rPr>
      </w:pPr>
    </w:p>
    <w:p>
      <w:pPr>
        <w:jc w:val="both"/>
        <w:ind w:firstLine="524"/>
        <w:spacing w:after="0" w:line="303" w:lineRule="auto"/>
        <w:tabs>
          <w:tab w:leader="none" w:pos="1332" w:val="left"/>
        </w:tabs>
        <w:numPr>
          <w:ilvl w:val="0"/>
          <w:numId w:val="300"/>
        </w:numPr>
        <w:rPr>
          <w:rFonts w:ascii="Arial" w:cs="Arial" w:eastAsia="Arial" w:hAnsi="Arial"/>
          <w:sz w:val="13"/>
          <w:szCs w:val="13"/>
          <w:color w:val="auto"/>
        </w:rPr>
      </w:pPr>
      <w:r>
        <w:rPr>
          <w:rFonts w:ascii="Arial" w:cs="Arial" w:eastAsia="Arial" w:hAnsi="Arial"/>
          <w:sz w:val="13"/>
          <w:szCs w:val="13"/>
          <w:u w:val="single" w:color="auto"/>
          <w:color w:val="auto"/>
        </w:rPr>
        <w:t>Adjustments for Changes in Capital Structure</w:t>
      </w:r>
      <w:r>
        <w:rPr>
          <w:rFonts w:ascii="Arial" w:cs="Arial" w:eastAsia="Arial" w:hAnsi="Arial"/>
          <w:sz w:val="13"/>
          <w:szCs w:val="13"/>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124" w:lineRule="exact"/>
        <w:rPr>
          <w:rFonts w:ascii="Arial" w:cs="Arial" w:eastAsia="Arial" w:hAnsi="Arial"/>
          <w:sz w:val="13"/>
          <w:szCs w:val="13"/>
          <w:color w:val="auto"/>
        </w:rPr>
      </w:pPr>
    </w:p>
    <w:p>
      <w:pPr>
        <w:jc w:val="both"/>
        <w:ind w:firstLine="524"/>
        <w:spacing w:after="0" w:line="273" w:lineRule="auto"/>
        <w:tabs>
          <w:tab w:leader="none" w:pos="1397" w:val="left"/>
        </w:tabs>
        <w:numPr>
          <w:ilvl w:val="0"/>
          <w:numId w:val="300"/>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tab/>
        <w:t xml:space="preserve">10. </w:t>
      </w:r>
      <w:r>
        <w:rPr>
          <w:rFonts w:ascii="Arial" w:cs="Arial" w:eastAsia="Arial" w:hAnsi="Arial"/>
          <w:sz w:val="14"/>
          <w:szCs w:val="14"/>
          <w:u w:val="single" w:color="auto"/>
          <w:color w:val="auto"/>
        </w:rPr>
        <w:t>TAX WITHHOLDING</w:t>
      </w:r>
    </w:p>
    <w:p>
      <w:pPr>
        <w:spacing w:after="0" w:line="184" w:lineRule="exact"/>
        <w:rPr>
          <w:sz w:val="20"/>
          <w:szCs w:val="20"/>
          <w:color w:val="auto"/>
        </w:rPr>
      </w:pPr>
    </w:p>
    <w:p>
      <w:pPr>
        <w:jc w:val="both"/>
        <w:ind w:firstLine="524"/>
        <w:spacing w:after="0" w:line="267" w:lineRule="auto"/>
        <w:tabs>
          <w:tab w:leader="none" w:pos="1389" w:val="left"/>
        </w:tabs>
        <w:numPr>
          <w:ilvl w:val="0"/>
          <w:numId w:val="301"/>
        </w:numPr>
        <w:rPr>
          <w:rFonts w:ascii="Arial" w:cs="Arial" w:eastAsia="Arial" w:hAnsi="Arial"/>
          <w:sz w:val="14"/>
          <w:szCs w:val="14"/>
          <w:color w:val="auto"/>
        </w:rPr>
      </w:pPr>
      <w:r>
        <w:rPr>
          <w:rFonts w:ascii="Arial" w:cs="Arial" w:eastAsia="Arial" w:hAnsi="Arial"/>
          <w:sz w:val="14"/>
          <w:szCs w:val="14"/>
          <w:u w:val="single" w:color="auto"/>
          <w:color w:val="auto"/>
        </w:rPr>
        <w:t>Payment by Grantee</w:t>
      </w:r>
      <w:r>
        <w:rPr>
          <w:rFonts w:ascii="Arial" w:cs="Arial" w:eastAsia="Arial" w:hAnsi="Arial"/>
          <w:sz w:val="14"/>
          <w:szCs w:val="14"/>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36" w:name="page437"/>
    <w:bookmarkEnd w:id="436"/>
    <w:p>
      <w:pPr>
        <w:spacing w:after="0"/>
        <w:rPr>
          <w:sz w:val="20"/>
          <w:szCs w:val="20"/>
          <w:color w:val="auto"/>
        </w:rPr>
      </w:pPr>
      <w:r>
        <w:rPr>
          <w:rFonts w:ascii="Arial" w:cs="Arial" w:eastAsia="Arial" w:hAnsi="Arial"/>
          <w:sz w:val="13"/>
          <w:szCs w:val="13"/>
          <w:color w:val="auto"/>
        </w:rPr>
        <w:t>Company’s obligation to deliver stock certificates (or evidence of book entry) to any grantee is subject to and conditioned on any such tax withholding obligations being satisfied by the grantee.</w:t>
      </w:r>
    </w:p>
    <w:p>
      <w:pPr>
        <w:spacing w:after="0" w:line="196" w:lineRule="exact"/>
        <w:rPr>
          <w:sz w:val="20"/>
          <w:szCs w:val="20"/>
          <w:color w:val="auto"/>
        </w:rPr>
      </w:pPr>
    </w:p>
    <w:p>
      <w:pPr>
        <w:ind w:firstLine="524"/>
        <w:spacing w:after="0" w:line="329" w:lineRule="auto"/>
        <w:tabs>
          <w:tab w:leader="none" w:pos="1246" w:val="left"/>
        </w:tabs>
        <w:numPr>
          <w:ilvl w:val="0"/>
          <w:numId w:val="302"/>
        </w:numPr>
        <w:rPr>
          <w:rFonts w:ascii="Arial" w:cs="Arial" w:eastAsia="Arial" w:hAnsi="Arial"/>
          <w:sz w:val="13"/>
          <w:szCs w:val="13"/>
          <w:color w:val="auto"/>
        </w:rPr>
      </w:pPr>
      <w:r>
        <w:rPr>
          <w:rFonts w:ascii="Arial" w:cs="Arial" w:eastAsia="Arial" w:hAnsi="Arial"/>
          <w:sz w:val="13"/>
          <w:szCs w:val="13"/>
          <w:u w:val="single" w:color="auto"/>
          <w:color w:val="auto"/>
        </w:rPr>
        <w:t>Payment in Stock</w:t>
      </w:r>
      <w:r>
        <w:rPr>
          <w:rFonts w:ascii="Arial" w:cs="Arial" w:eastAsia="Arial" w:hAnsi="Arial"/>
          <w:sz w:val="13"/>
          <w:szCs w:val="13"/>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11. </w:t>
      </w:r>
      <w:r>
        <w:rPr>
          <w:rFonts w:ascii="Arial" w:cs="Arial" w:eastAsia="Arial" w:hAnsi="Arial"/>
          <w:sz w:val="13"/>
          <w:szCs w:val="13"/>
          <w:u w:val="single" w:color="auto"/>
          <w:color w:val="auto"/>
        </w:rPr>
        <w:t>SECTION 409A AWARDS.</w:t>
      </w:r>
    </w:p>
    <w:p>
      <w:pPr>
        <w:spacing w:after="0" w:line="184"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3"/>
          <w:szCs w:val="13"/>
          <w:color w:val="auto"/>
        </w:rPr>
        <w:t>To the extent that any Award is determined to constitute “nonqualified deferred compensation” within the meaning of Section 409A (a “</w:t>
      </w:r>
      <w:r>
        <w:rPr>
          <w:rFonts w:ascii="Arial" w:cs="Arial" w:eastAsia="Arial" w:hAnsi="Arial"/>
          <w:sz w:val="13"/>
          <w:szCs w:val="13"/>
          <w:i w:val="1"/>
          <w:iCs w:val="1"/>
          <w:color w:val="auto"/>
        </w:rPr>
        <w:t>409A Award</w:t>
      </w:r>
      <w:r>
        <w:rPr>
          <w:rFonts w:ascii="Arial" w:cs="Arial" w:eastAsia="Arial" w:hAnsi="Arial"/>
          <w:sz w:val="13"/>
          <w:szCs w:val="13"/>
          <w:color w:val="auto"/>
        </w:rPr>
        <w:t>”),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tab/>
        <w:t xml:space="preserve">12. </w:t>
      </w:r>
      <w:r>
        <w:rPr>
          <w:rFonts w:ascii="Arial" w:cs="Arial" w:eastAsia="Arial" w:hAnsi="Arial"/>
          <w:sz w:val="14"/>
          <w:szCs w:val="14"/>
          <w:u w:val="single" w:color="auto"/>
          <w:color w:val="auto"/>
        </w:rPr>
        <w:t>AMENDMENTS AND TERMINATION</w:t>
      </w:r>
    </w:p>
    <w:p>
      <w:pPr>
        <w:spacing w:after="0" w:line="184"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3"/>
          <w:szCs w:val="13"/>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 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3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13. </w:t>
      </w:r>
      <w:r>
        <w:rPr>
          <w:rFonts w:ascii="Arial" w:cs="Arial" w:eastAsia="Arial" w:hAnsi="Arial"/>
          <w:sz w:val="13"/>
          <w:szCs w:val="13"/>
          <w:u w:val="single" w:color="auto"/>
          <w:color w:val="auto"/>
        </w:rPr>
        <w:t>STATUS OF PLAN</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7" w:name="page438"/>
    <w:bookmarkEnd w:id="437"/>
    <w:p>
      <w:pPr>
        <w:spacing w:after="0"/>
        <w:tabs>
          <w:tab w:leader="none" w:pos="70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3"/>
          <w:szCs w:val="13"/>
          <w:color w:val="auto"/>
        </w:rPr>
        <w:t xml:space="preserve">14. </w:t>
      </w:r>
      <w:r>
        <w:rPr>
          <w:rFonts w:ascii="Arial" w:cs="Arial" w:eastAsia="Arial" w:hAnsi="Arial"/>
          <w:sz w:val="13"/>
          <w:szCs w:val="13"/>
          <w:u w:val="single" w:color="auto"/>
          <w:color w:val="auto"/>
        </w:rPr>
        <w:t>GENERAL PROVISIONS</w:t>
      </w:r>
    </w:p>
    <w:p>
      <w:pPr>
        <w:spacing w:after="0" w:line="184" w:lineRule="exact"/>
        <w:rPr>
          <w:sz w:val="20"/>
          <w:szCs w:val="20"/>
          <w:color w:val="auto"/>
        </w:rPr>
      </w:pPr>
    </w:p>
    <w:p>
      <w:pPr>
        <w:jc w:val="both"/>
        <w:ind w:firstLine="524"/>
        <w:spacing w:after="0" w:line="267" w:lineRule="auto"/>
        <w:tabs>
          <w:tab w:leader="none" w:pos="875" w:val="left"/>
        </w:tabs>
        <w:numPr>
          <w:ilvl w:val="0"/>
          <w:numId w:val="303"/>
        </w:numPr>
        <w:rPr>
          <w:rFonts w:ascii="Arial" w:cs="Arial" w:eastAsia="Arial" w:hAnsi="Arial"/>
          <w:sz w:val="14"/>
          <w:szCs w:val="14"/>
          <w:color w:val="auto"/>
        </w:rPr>
      </w:pPr>
      <w:r>
        <w:rPr>
          <w:rFonts w:ascii="Arial" w:cs="Arial" w:eastAsia="Arial" w:hAnsi="Arial"/>
          <w:sz w:val="14"/>
          <w:szCs w:val="14"/>
          <w:u w:val="single" w:color="auto"/>
          <w:color w:val="auto"/>
        </w:rPr>
        <w:t>No Distribution; Compliance with Legal Requirements</w:t>
      </w:r>
      <w:r>
        <w:rPr>
          <w:rFonts w:ascii="Arial" w:cs="Arial" w:eastAsia="Arial" w:hAnsi="Arial"/>
          <w:sz w:val="14"/>
          <w:szCs w:val="14"/>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146" w:lineRule="exact"/>
        <w:rPr>
          <w:rFonts w:ascii="Arial" w:cs="Arial" w:eastAsia="Arial" w:hAnsi="Arial"/>
          <w:sz w:val="14"/>
          <w:szCs w:val="14"/>
          <w:color w:val="auto"/>
        </w:rPr>
      </w:pPr>
    </w:p>
    <w:p>
      <w:pPr>
        <w:jc w:val="both"/>
        <w:ind w:firstLine="524"/>
        <w:spacing w:after="0" w:line="290" w:lineRule="auto"/>
        <w:tabs>
          <w:tab w:leader="none" w:pos="883" w:val="left"/>
        </w:tabs>
        <w:numPr>
          <w:ilvl w:val="0"/>
          <w:numId w:val="303"/>
        </w:numPr>
        <w:rPr>
          <w:rFonts w:ascii="Arial" w:cs="Arial" w:eastAsia="Arial" w:hAnsi="Arial"/>
          <w:sz w:val="13"/>
          <w:szCs w:val="13"/>
          <w:color w:val="auto"/>
        </w:rPr>
      </w:pPr>
      <w:r>
        <w:rPr>
          <w:rFonts w:ascii="Arial" w:cs="Arial" w:eastAsia="Arial" w:hAnsi="Arial"/>
          <w:sz w:val="13"/>
          <w:szCs w:val="13"/>
          <w:u w:val="single" w:color="auto"/>
          <w:color w:val="auto"/>
        </w:rPr>
        <w:t>Delivery of Stock Certificates</w:t>
      </w:r>
      <w:r>
        <w:rPr>
          <w:rFonts w:ascii="Arial" w:cs="Arial" w:eastAsia="Arial" w:hAnsi="Arial"/>
          <w:sz w:val="13"/>
          <w:szCs w:val="13"/>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132" w:lineRule="exact"/>
        <w:rPr>
          <w:rFonts w:ascii="Arial" w:cs="Arial" w:eastAsia="Arial" w:hAnsi="Arial"/>
          <w:sz w:val="13"/>
          <w:szCs w:val="13"/>
          <w:color w:val="auto"/>
        </w:rPr>
      </w:pPr>
    </w:p>
    <w:p>
      <w:pPr>
        <w:ind w:firstLine="524"/>
        <w:spacing w:after="0" w:line="288" w:lineRule="auto"/>
        <w:tabs>
          <w:tab w:leader="none" w:pos="875" w:val="left"/>
        </w:tabs>
        <w:numPr>
          <w:ilvl w:val="0"/>
          <w:numId w:val="303"/>
        </w:numPr>
        <w:rPr>
          <w:rFonts w:ascii="Arial" w:cs="Arial" w:eastAsia="Arial" w:hAnsi="Arial"/>
          <w:sz w:val="14"/>
          <w:szCs w:val="14"/>
          <w:color w:val="auto"/>
        </w:rPr>
      </w:pPr>
      <w:r>
        <w:rPr>
          <w:rFonts w:ascii="Arial" w:cs="Arial" w:eastAsia="Arial" w:hAnsi="Arial"/>
          <w:sz w:val="14"/>
          <w:szCs w:val="14"/>
          <w:u w:val="single" w:color="auto"/>
          <w:color w:val="auto"/>
        </w:rPr>
        <w:t>No Employment Rights</w:t>
      </w:r>
      <w:r>
        <w:rPr>
          <w:rFonts w:ascii="Arial" w:cs="Arial" w:eastAsia="Arial" w:hAnsi="Arial"/>
          <w:sz w:val="14"/>
          <w:szCs w:val="14"/>
          <w:color w:val="auto"/>
        </w:rPr>
        <w:t>. The adoption of the Plan and the grant of Awards do not confer upon any Person any right to continued employment or Service Relationship with the Company or any Subsidiary.</w:t>
      </w:r>
    </w:p>
    <w:p>
      <w:pPr>
        <w:spacing w:after="0" w:line="131" w:lineRule="exact"/>
        <w:rPr>
          <w:rFonts w:ascii="Arial" w:cs="Arial" w:eastAsia="Arial" w:hAnsi="Arial"/>
          <w:sz w:val="14"/>
          <w:szCs w:val="14"/>
          <w:color w:val="auto"/>
        </w:rPr>
      </w:pPr>
    </w:p>
    <w:p>
      <w:pPr>
        <w:ind w:firstLine="524"/>
        <w:spacing w:after="0" w:line="288" w:lineRule="auto"/>
        <w:tabs>
          <w:tab w:leader="none" w:pos="883" w:val="left"/>
        </w:tabs>
        <w:numPr>
          <w:ilvl w:val="0"/>
          <w:numId w:val="303"/>
        </w:numPr>
        <w:rPr>
          <w:rFonts w:ascii="Arial" w:cs="Arial" w:eastAsia="Arial" w:hAnsi="Arial"/>
          <w:sz w:val="14"/>
          <w:szCs w:val="14"/>
          <w:color w:val="auto"/>
        </w:rPr>
      </w:pPr>
      <w:r>
        <w:rPr>
          <w:rFonts w:ascii="Arial" w:cs="Arial" w:eastAsia="Arial" w:hAnsi="Arial"/>
          <w:sz w:val="14"/>
          <w:szCs w:val="14"/>
          <w:u w:val="single" w:color="auto"/>
          <w:color w:val="auto"/>
        </w:rPr>
        <w:t>Trading Policy Restrictions</w:t>
      </w:r>
      <w:r>
        <w:rPr>
          <w:rFonts w:ascii="Arial" w:cs="Arial" w:eastAsia="Arial" w:hAnsi="Arial"/>
          <w:sz w:val="14"/>
          <w:szCs w:val="14"/>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131" w:lineRule="exact"/>
        <w:rPr>
          <w:rFonts w:ascii="Arial" w:cs="Arial" w:eastAsia="Arial" w:hAnsi="Arial"/>
          <w:sz w:val="14"/>
          <w:szCs w:val="14"/>
          <w:color w:val="auto"/>
        </w:rPr>
      </w:pPr>
    </w:p>
    <w:p>
      <w:pPr>
        <w:jc w:val="both"/>
        <w:ind w:firstLine="524"/>
        <w:spacing w:after="0" w:line="267" w:lineRule="auto"/>
        <w:tabs>
          <w:tab w:leader="none" w:pos="875" w:val="left"/>
        </w:tabs>
        <w:numPr>
          <w:ilvl w:val="0"/>
          <w:numId w:val="303"/>
        </w:numPr>
        <w:rPr>
          <w:rFonts w:ascii="Arial" w:cs="Arial" w:eastAsia="Arial" w:hAnsi="Arial"/>
          <w:sz w:val="14"/>
          <w:szCs w:val="14"/>
          <w:color w:val="auto"/>
        </w:rPr>
      </w:pPr>
      <w:r>
        <w:rPr>
          <w:rFonts w:ascii="Arial" w:cs="Arial" w:eastAsia="Arial" w:hAnsi="Arial"/>
          <w:sz w:val="14"/>
          <w:szCs w:val="14"/>
          <w:u w:val="single" w:color="auto"/>
          <w:color w:val="auto"/>
        </w:rPr>
        <w:t>Designation of Beneficiary</w:t>
      </w:r>
      <w:r>
        <w:rPr>
          <w:rFonts w:ascii="Arial" w:cs="Arial" w:eastAsia="Arial" w:hAnsi="Arial"/>
          <w:sz w:val="14"/>
          <w:szCs w:val="14"/>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146" w:lineRule="exact"/>
        <w:rPr>
          <w:rFonts w:ascii="Arial" w:cs="Arial" w:eastAsia="Arial" w:hAnsi="Arial"/>
          <w:sz w:val="14"/>
          <w:szCs w:val="14"/>
          <w:color w:val="auto"/>
        </w:rPr>
      </w:pPr>
    </w:p>
    <w:p>
      <w:pPr>
        <w:ind w:firstLine="524"/>
        <w:spacing w:after="0" w:line="288" w:lineRule="auto"/>
        <w:tabs>
          <w:tab w:leader="none" w:pos="859" w:val="left"/>
        </w:tabs>
        <w:numPr>
          <w:ilvl w:val="0"/>
          <w:numId w:val="303"/>
        </w:numPr>
        <w:rPr>
          <w:rFonts w:ascii="Arial" w:cs="Arial" w:eastAsia="Arial" w:hAnsi="Arial"/>
          <w:sz w:val="14"/>
          <w:szCs w:val="14"/>
          <w:color w:val="auto"/>
        </w:rPr>
      </w:pPr>
      <w:r>
        <w:rPr>
          <w:rFonts w:ascii="Arial" w:cs="Arial" w:eastAsia="Arial" w:hAnsi="Arial"/>
          <w:sz w:val="14"/>
          <w:szCs w:val="14"/>
          <w:u w:val="single" w:color="auto"/>
          <w:color w:val="auto"/>
        </w:rPr>
        <w:t>Legend</w:t>
      </w:r>
      <w:r>
        <w:rPr>
          <w:rFonts w:ascii="Arial" w:cs="Arial" w:eastAsia="Arial" w:hAnsi="Arial"/>
          <w:sz w:val="14"/>
          <w:szCs w:val="14"/>
          <w:color w:val="auto"/>
        </w:rPr>
        <w:t>. Any certificate(s) representing the Shares shall carry substantially the following legend (and with respect to uncertificated Stock, the book entries evidencing such shares shall contain the following notation):</w:t>
      </w:r>
    </w:p>
    <w:p>
      <w:pPr>
        <w:spacing w:after="0" w:line="132" w:lineRule="exact"/>
        <w:rPr>
          <w:sz w:val="20"/>
          <w:szCs w:val="20"/>
          <w:color w:val="auto"/>
        </w:rPr>
      </w:pPr>
    </w:p>
    <w:p>
      <w:pPr>
        <w:ind w:left="1040" w:right="1040"/>
        <w:spacing w:after="0" w:line="288" w:lineRule="auto"/>
        <w:rPr>
          <w:sz w:val="20"/>
          <w:szCs w:val="20"/>
          <w:color w:val="auto"/>
        </w:rPr>
      </w:pPr>
      <w:r>
        <w:rPr>
          <w:rFonts w:ascii="Arial" w:cs="Arial" w:eastAsia="Arial" w:hAnsi="Arial"/>
          <w:sz w:val="14"/>
          <w:szCs w:val="14"/>
          <w:color w:val="auto"/>
        </w:rPr>
        <w:t>The transferability of this certificate and the shares of stock represented hereby are subject to the restrictions, terms and conditions (including repurchase and restrictions against transfers) contained in the Century Therapeutics, Inc. 2018 Stock Option 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38" w:name="page439"/>
    <w:bookmarkEnd w:id="438"/>
    <w:p>
      <w:pPr>
        <w:ind w:left="1040" w:right="1040"/>
        <w:spacing w:after="0" w:line="288" w:lineRule="auto"/>
        <w:rPr>
          <w:sz w:val="20"/>
          <w:szCs w:val="20"/>
          <w:color w:val="auto"/>
        </w:rPr>
      </w:pPr>
      <w:r>
        <w:rPr>
          <w:rFonts w:ascii="Arial" w:cs="Arial" w:eastAsia="Arial" w:hAnsi="Arial"/>
          <w:sz w:val="14"/>
          <w:szCs w:val="14"/>
          <w:color w:val="auto"/>
        </w:rPr>
        <w:t>Grant Plan and any agreements entered into thereunder by and between the company and the holder of this certificate (a copy of which is available at the offices of the company for examination).</w:t>
      </w:r>
    </w:p>
    <w:p>
      <w:pPr>
        <w:spacing w:after="0" w:line="132" w:lineRule="exact"/>
        <w:rPr>
          <w:sz w:val="20"/>
          <w:szCs w:val="20"/>
          <w:color w:val="auto"/>
        </w:rPr>
      </w:pPr>
    </w:p>
    <w:p>
      <w:pPr>
        <w:jc w:val="both"/>
        <w:ind w:firstLine="524"/>
        <w:spacing w:after="0" w:line="260" w:lineRule="auto"/>
        <w:tabs>
          <w:tab w:leader="none" w:pos="883" w:val="left"/>
        </w:tabs>
        <w:numPr>
          <w:ilvl w:val="0"/>
          <w:numId w:val="304"/>
        </w:numPr>
        <w:rPr>
          <w:rFonts w:ascii="Arial" w:cs="Arial" w:eastAsia="Arial" w:hAnsi="Arial"/>
          <w:sz w:val="14"/>
          <w:szCs w:val="14"/>
          <w:color w:val="auto"/>
        </w:rPr>
      </w:pPr>
      <w:r>
        <w:rPr>
          <w:rFonts w:ascii="Arial" w:cs="Arial" w:eastAsia="Arial" w:hAnsi="Arial"/>
          <w:sz w:val="14"/>
          <w:szCs w:val="14"/>
          <w:u w:val="single" w:color="auto"/>
          <w:color w:val="auto"/>
        </w:rPr>
        <w:t>Information to Holders of Options</w:t>
      </w:r>
      <w:r>
        <w:rPr>
          <w:rFonts w:ascii="Arial" w:cs="Arial" w:eastAsia="Arial" w:hAnsi="Arial"/>
          <w:sz w:val="14"/>
          <w:szCs w:val="14"/>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2" w:lineRule="exact"/>
        <w:rPr>
          <w:sz w:val="20"/>
          <w:szCs w:val="20"/>
          <w:color w:val="auto"/>
        </w:rPr>
      </w:pPr>
    </w:p>
    <w:p>
      <w:pPr>
        <w:ind w:left="520"/>
        <w:spacing w:after="0"/>
        <w:tabs>
          <w:tab w:leader="none" w:pos="1640" w:val="left"/>
        </w:tabs>
        <w:rPr>
          <w:sz w:val="20"/>
          <w:szCs w:val="20"/>
          <w:color w:val="auto"/>
        </w:rPr>
      </w:pPr>
      <w:r>
        <w:rPr>
          <w:rFonts w:ascii="Arial" w:cs="Arial" w:eastAsia="Arial" w:hAnsi="Arial"/>
          <w:sz w:val="14"/>
          <w:szCs w:val="14"/>
          <w:color w:val="auto"/>
        </w:rPr>
        <w:t>SECTION</w:t>
      </w:r>
      <w:r>
        <w:rPr>
          <w:sz w:val="20"/>
          <w:szCs w:val="20"/>
          <w:color w:val="auto"/>
        </w:rPr>
        <w:tab/>
      </w:r>
      <w:r>
        <w:rPr>
          <w:rFonts w:ascii="Arial" w:cs="Arial" w:eastAsia="Arial" w:hAnsi="Arial"/>
          <w:sz w:val="14"/>
          <w:szCs w:val="14"/>
          <w:color w:val="auto"/>
        </w:rPr>
        <w:t xml:space="preserve">15. </w:t>
      </w:r>
      <w:r>
        <w:rPr>
          <w:rFonts w:ascii="Arial" w:cs="Arial" w:eastAsia="Arial" w:hAnsi="Arial"/>
          <w:sz w:val="14"/>
          <w:szCs w:val="14"/>
          <w:u w:val="single" w:color="auto"/>
          <w:color w:val="auto"/>
        </w:rPr>
        <w:t>EFFECTIVE DATE OF PLAN</w:t>
      </w:r>
    </w:p>
    <w:p>
      <w:pPr>
        <w:spacing w:after="0" w:line="175"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3"/>
          <w:szCs w:val="13"/>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SECTION</w:t>
        <w:tab/>
        <w:t xml:space="preserve">16. </w:t>
      </w:r>
      <w:r>
        <w:rPr>
          <w:rFonts w:ascii="Arial" w:cs="Arial" w:eastAsia="Arial" w:hAnsi="Arial"/>
          <w:sz w:val="14"/>
          <w:szCs w:val="14"/>
          <w:u w:val="single" w:color="auto"/>
          <w:color w:val="auto"/>
        </w:rPr>
        <w:t>GOVERNING LAW</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DATE ADOPTED BY THE BOARD OF DIRECTORS: June 1, 2018</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DATE APPROVED BY THE STOCKHOLDERS: June 1, 2018</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59625"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439" w:name="page440"/>
    <w:bookmarkEnd w:id="439"/>
    <w:p>
      <w:pPr>
        <w:jc w:val="right"/>
        <w:spacing w:after="0"/>
        <w:rPr>
          <w:sz w:val="20"/>
          <w:szCs w:val="20"/>
          <w:color w:val="auto"/>
        </w:rPr>
      </w:pPr>
      <w:r>
        <w:rPr>
          <w:rFonts w:ascii="Arial" w:cs="Arial" w:eastAsia="Arial" w:hAnsi="Arial"/>
          <w:sz w:val="14"/>
          <w:szCs w:val="14"/>
          <w:b w:val="1"/>
          <w:bCs w:val="1"/>
          <w:color w:val="auto"/>
        </w:rPr>
        <w:t>Exhibit 10.3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STOCK OPTION AND GRANT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56"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up to 10,000,000 shares of Common Stock, par value $0.0001 per share, of Century Therapeutics,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are currently reserved under the Company’s 2018 Stock Option and Grant Plan (the “</w:t>
      </w:r>
      <w:r>
        <w:rPr>
          <w:rFonts w:ascii="Arial" w:cs="Arial" w:eastAsia="Arial" w:hAnsi="Arial"/>
          <w:sz w:val="14"/>
          <w:szCs w:val="14"/>
          <w:u w:val="single" w:color="auto"/>
          <w:color w:val="auto"/>
        </w:rPr>
        <w:t>Plan</w:t>
      </w:r>
      <w:r>
        <w:rPr>
          <w:rFonts w:ascii="Arial" w:cs="Arial" w:eastAsia="Arial" w:hAnsi="Arial"/>
          <w:sz w:val="14"/>
          <w:szCs w:val="14"/>
          <w:color w:val="auto"/>
        </w:rPr>
        <w:t>”); and</w:t>
      </w:r>
    </w:p>
    <w:p>
      <w:pPr>
        <w:spacing w:after="0" w:line="99"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the Board of Directors of the Company (the “</w:t>
      </w:r>
      <w:r>
        <w:rPr>
          <w:rFonts w:ascii="Arial" w:cs="Arial" w:eastAsia="Arial" w:hAnsi="Arial"/>
          <w:sz w:val="14"/>
          <w:szCs w:val="14"/>
          <w:u w:val="single" w:color="auto"/>
          <w:color w:val="auto"/>
        </w:rPr>
        <w:t>Board</w:t>
      </w:r>
      <w:r>
        <w:rPr>
          <w:rFonts w:ascii="Arial" w:cs="Arial" w:eastAsia="Arial" w:hAnsi="Arial"/>
          <w:sz w:val="14"/>
          <w:szCs w:val="14"/>
          <w:color w:val="auto"/>
        </w:rPr>
        <w:t>”), pursuant to a Written Consent of the Board dated as of September 10, 2018, approved and authorized this Amendment to the Plan, pursuant to which the number of shares reserved under the Plan shall be decreased as set forth herein.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Section 3(a) of the Plan is hereby amended and restated as follows:</w:t>
      </w:r>
    </w:p>
    <w:p>
      <w:pPr>
        <w:spacing w:after="0" w:line="152" w:lineRule="exact"/>
        <w:rPr>
          <w:sz w:val="20"/>
          <w:szCs w:val="20"/>
          <w:color w:val="auto"/>
        </w:rPr>
      </w:pPr>
    </w:p>
    <w:p>
      <w:pPr>
        <w:jc w:val="both"/>
        <w:ind w:left="1040" w:right="52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reserved and available for issuance under the Plan shall be 8,500,000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8,500,000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8,500,000 Shares shall be granted to any one individual in any calendar year period.”</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7159625"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0" w:name="page441"/>
    <w:bookmarkEnd w:id="440"/>
    <w:p>
      <w:pPr>
        <w:ind w:left="10380"/>
        <w:spacing w:after="0"/>
        <w:rPr>
          <w:sz w:val="20"/>
          <w:szCs w:val="20"/>
          <w:color w:val="auto"/>
        </w:rPr>
      </w:pPr>
      <w:r>
        <w:rPr>
          <w:rFonts w:ascii="Arial" w:cs="Arial" w:eastAsia="Arial" w:hAnsi="Arial"/>
          <w:sz w:val="14"/>
          <w:szCs w:val="14"/>
          <w:b w:val="1"/>
          <w:bCs w:val="1"/>
          <w:color w:val="auto"/>
        </w:rPr>
        <w:t>EXHIBIT 10.4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NO. 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STOCK OPTION AND GRANT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up to 8,500,000 shares of Common Stock, par value $0.0001 per share, of Century Therapeutics,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are currently reserved under the Company’s 2018 Stock Option and Grant Plan (the “</w:t>
      </w:r>
      <w:r>
        <w:rPr>
          <w:rFonts w:ascii="Arial" w:cs="Arial" w:eastAsia="Arial" w:hAnsi="Arial"/>
          <w:sz w:val="14"/>
          <w:szCs w:val="14"/>
          <w:u w:val="single" w:color="auto"/>
          <w:color w:val="auto"/>
        </w:rPr>
        <w:t>Plan</w:t>
      </w:r>
      <w:r>
        <w:rPr>
          <w:rFonts w:ascii="Arial" w:cs="Arial" w:eastAsia="Arial" w:hAnsi="Arial"/>
          <w:sz w:val="14"/>
          <w:szCs w:val="14"/>
          <w:color w:val="auto"/>
        </w:rPr>
        <w:t>”); and</w:t>
      </w:r>
    </w:p>
    <w:p>
      <w:pPr>
        <w:spacing w:after="0" w:line="132"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the Board of Directors of the Company (the “</w:t>
      </w:r>
      <w:r>
        <w:rPr>
          <w:rFonts w:ascii="Arial" w:cs="Arial" w:eastAsia="Arial" w:hAnsi="Arial"/>
          <w:sz w:val="14"/>
          <w:szCs w:val="14"/>
          <w:u w:val="single" w:color="auto"/>
          <w:color w:val="auto"/>
        </w:rPr>
        <w:t>Board</w:t>
      </w:r>
      <w:r>
        <w:rPr>
          <w:rFonts w:ascii="Arial" w:cs="Arial" w:eastAsia="Arial" w:hAnsi="Arial"/>
          <w:sz w:val="14"/>
          <w:szCs w:val="14"/>
          <w:color w:val="auto"/>
        </w:rPr>
        <w:t>”), pursuant to a Written Consent of the Board dated as of June 21, 2019, approved and authorized this Amendment No. 2 to the Plan, pursuant to which the number of shares reserved under the Plan shall be increased as set forth herein.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Section 3(a) of the Plan is hereby amended and restated as follows:</w:t>
      </w:r>
    </w:p>
    <w:p>
      <w:pPr>
        <w:spacing w:after="0" w:line="184" w:lineRule="exact"/>
        <w:rPr>
          <w:sz w:val="20"/>
          <w:szCs w:val="20"/>
          <w:color w:val="auto"/>
        </w:rPr>
      </w:pPr>
    </w:p>
    <w:p>
      <w:pPr>
        <w:jc w:val="both"/>
        <w:ind w:left="1040" w:right="52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reserved and available for issuance under the Plan shall be 15,260,038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15,260,038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15,260,038 Shares shall be granted to any one individual in any calendar year period.”</w:t>
      </w:r>
    </w:p>
    <w:p>
      <w:pPr>
        <w:spacing w:after="0" w:line="153"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59625"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1" w:name="page442"/>
    <w:bookmarkEnd w:id="441"/>
    <w:p>
      <w:pPr>
        <w:jc w:val="right"/>
        <w:spacing w:after="0"/>
        <w:rPr>
          <w:sz w:val="20"/>
          <w:szCs w:val="20"/>
          <w:color w:val="auto"/>
        </w:rPr>
      </w:pPr>
      <w:r>
        <w:rPr>
          <w:rFonts w:ascii="Arial" w:cs="Arial" w:eastAsia="Arial" w:hAnsi="Arial"/>
          <w:sz w:val="14"/>
          <w:szCs w:val="14"/>
          <w:b w:val="1"/>
          <w:bCs w:val="1"/>
          <w:color w:val="auto"/>
        </w:rPr>
        <w:t>EXHIBIT 10.5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NO. 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STOCK OPTION AND GRANT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200" w:lineRule="exact"/>
        <w:rPr>
          <w:sz w:val="20"/>
          <w:szCs w:val="20"/>
          <w:color w:val="auto"/>
        </w:rPr>
      </w:pPr>
    </w:p>
    <w:p>
      <w:pPr>
        <w:spacing w:after="0" w:line="334"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up to 15,260,038 shares of Common Stock, par value $0.0001 per share, of Century Therapeutics.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arc currently reserved under the Company’s 2018 Stock Option and Grant Plan (the “</w:t>
      </w:r>
      <w:r>
        <w:rPr>
          <w:rFonts w:ascii="Arial" w:cs="Arial" w:eastAsia="Arial" w:hAnsi="Arial"/>
          <w:sz w:val="14"/>
          <w:szCs w:val="14"/>
          <w:u w:val="single" w:color="auto"/>
          <w:color w:val="auto"/>
        </w:rPr>
        <w:t>Plan</w:t>
      </w:r>
      <w:r>
        <w:rPr>
          <w:rFonts w:ascii="Arial" w:cs="Arial" w:eastAsia="Arial" w:hAnsi="Arial"/>
          <w:sz w:val="14"/>
          <w:szCs w:val="14"/>
          <w:color w:val="auto"/>
        </w:rPr>
        <w:t>”); and</w:t>
      </w:r>
    </w:p>
    <w:p>
      <w:pPr>
        <w:spacing w:after="0" w:line="132"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the Board of Directors of the Company (the “</w:t>
      </w:r>
      <w:r>
        <w:rPr>
          <w:rFonts w:ascii="Arial" w:cs="Arial" w:eastAsia="Arial" w:hAnsi="Arial"/>
          <w:sz w:val="14"/>
          <w:szCs w:val="14"/>
          <w:u w:val="single" w:color="auto"/>
          <w:color w:val="auto"/>
        </w:rPr>
        <w:t>Board</w:t>
      </w:r>
      <w:r>
        <w:rPr>
          <w:rFonts w:ascii="Arial" w:cs="Arial" w:eastAsia="Arial" w:hAnsi="Arial"/>
          <w:sz w:val="14"/>
          <w:szCs w:val="14"/>
          <w:color w:val="auto"/>
        </w:rPr>
        <w:t>”), pursuant at a meeting held on March 18, 2019, approved and authorized this Amendment No. 3 to the Plan, pursuant to which the number of shares reserved under the Plan shall be increased as set forth herein.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Section 3(a) of the Plan is hereby amended and restated as follows:</w:t>
      </w:r>
    </w:p>
    <w:p>
      <w:pPr>
        <w:spacing w:after="0" w:line="184" w:lineRule="exact"/>
        <w:rPr>
          <w:sz w:val="20"/>
          <w:szCs w:val="20"/>
          <w:color w:val="auto"/>
        </w:rPr>
      </w:pPr>
    </w:p>
    <w:p>
      <w:pPr>
        <w:jc w:val="both"/>
        <w:ind w:left="1040" w:right="52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reserved and available for issuance under the Plan shall be 16,476,891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16,476,891 Shares may be issued pursuant to Incentive Stock Options. The Shares available for issuance under the Plan may be authorized but unissued Shares or Shares reacquired by the Company. Beginning on the date that the Company becomes subject to Section I62(m) of the Code, Options with respect to no more than 16,476,891 Shares shall be granted to any one individual in any calendar year period.”</w:t>
      </w:r>
    </w:p>
    <w:p>
      <w:pPr>
        <w:spacing w:after="0" w:line="153"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59625"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2" w:name="page443"/>
    <w:bookmarkEnd w:id="442"/>
    <w:p>
      <w:pPr>
        <w:ind w:left="10380"/>
        <w:spacing w:after="0"/>
        <w:rPr>
          <w:sz w:val="20"/>
          <w:szCs w:val="20"/>
          <w:color w:val="auto"/>
        </w:rPr>
      </w:pPr>
      <w:r>
        <w:rPr>
          <w:rFonts w:ascii="Arial" w:cs="Arial" w:eastAsia="Arial" w:hAnsi="Arial"/>
          <w:sz w:val="14"/>
          <w:szCs w:val="14"/>
          <w:b w:val="1"/>
          <w:bCs w:val="1"/>
          <w:color w:val="auto"/>
        </w:rPr>
        <w:t>EXHIBIT 10.6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 4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STOCK OPTION AND GRANT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up to 16,476,891 shares of Common Stock, par value $0.0001 per share, of Century Therapeutics,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are currently reserved under the Company’s 2018 Stock Option and Grant Plan (the “</w:t>
      </w:r>
      <w:r>
        <w:rPr>
          <w:rFonts w:ascii="Arial" w:cs="Arial" w:eastAsia="Arial" w:hAnsi="Arial"/>
          <w:sz w:val="14"/>
          <w:szCs w:val="14"/>
          <w:u w:val="single" w:color="auto"/>
          <w:color w:val="auto"/>
        </w:rPr>
        <w:t>Plan</w:t>
      </w:r>
      <w:r>
        <w:rPr>
          <w:rFonts w:ascii="Arial" w:cs="Arial" w:eastAsia="Arial" w:hAnsi="Arial"/>
          <w:sz w:val="14"/>
          <w:szCs w:val="14"/>
          <w:color w:val="auto"/>
        </w:rPr>
        <w:t>”); and</w:t>
      </w:r>
    </w:p>
    <w:p>
      <w:pPr>
        <w:spacing w:after="0" w:line="132"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the Board of Directors of the Company (the “Board”), pursuant at a meeting held on December 16, 2020, approved and authorized this Amendment No. 4 to the Plan, pursuant to which the number of shares reserved under the Plan shall be increased as set forth herein.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Section 3(a) of the Plan is hereby amended and restated as follows:</w:t>
      </w:r>
    </w:p>
    <w:p>
      <w:pPr>
        <w:spacing w:after="0" w:line="184" w:lineRule="exact"/>
        <w:rPr>
          <w:sz w:val="20"/>
          <w:szCs w:val="20"/>
          <w:color w:val="auto"/>
        </w:rPr>
      </w:pPr>
    </w:p>
    <w:p>
      <w:pPr>
        <w:jc w:val="both"/>
        <w:ind w:left="1040" w:right="520"/>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reserved and available for issuance under the Plan shall be 19,498,781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19,498,781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19,498,781 Shares shall be granted to any one individual in any calendar year period.”</w:t>
      </w:r>
    </w:p>
    <w:p>
      <w:pPr>
        <w:spacing w:after="0" w:line="153"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59625"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3" w:name="page444"/>
    <w:bookmarkEnd w:id="443"/>
    <w:p>
      <w:pPr>
        <w:ind w:left="10380"/>
        <w:spacing w:after="0"/>
        <w:rPr>
          <w:sz w:val="20"/>
          <w:szCs w:val="20"/>
          <w:color w:val="auto"/>
        </w:rPr>
      </w:pPr>
      <w:r>
        <w:rPr>
          <w:rFonts w:ascii="Arial" w:cs="Arial" w:eastAsia="Arial" w:hAnsi="Arial"/>
          <w:sz w:val="14"/>
          <w:szCs w:val="14"/>
          <w:b w:val="1"/>
          <w:bCs w:val="1"/>
          <w:color w:val="auto"/>
        </w:rPr>
        <w:t>EXHIBIT 10.7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 5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STOCK OPTION AND GRANT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up to 19,498,781 shares of Common Stock, par value $0.0001 per share, of Century Therapeutics,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are currently reserved under the Century Therapeutics, Inc. 2018 Stock Option and Grant Plan (the “</w:t>
      </w:r>
      <w:r>
        <w:rPr>
          <w:rFonts w:ascii="Arial" w:cs="Arial" w:eastAsia="Arial" w:hAnsi="Arial"/>
          <w:sz w:val="14"/>
          <w:szCs w:val="14"/>
          <w:u w:val="single" w:color="auto"/>
          <w:color w:val="auto"/>
        </w:rPr>
        <w:t>Plan</w:t>
      </w:r>
      <w:r>
        <w:rPr>
          <w:rFonts w:ascii="Arial" w:cs="Arial" w:eastAsia="Arial" w:hAnsi="Arial"/>
          <w:sz w:val="14"/>
          <w:szCs w:val="14"/>
          <w:color w:val="auto"/>
        </w:rPr>
        <w:t>”); and</w:t>
      </w:r>
    </w:p>
    <w:p>
      <w:pPr>
        <w:spacing w:after="0" w:line="132"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WHEREAS, the Board of Directors of the Company (the “</w:t>
      </w:r>
      <w:r>
        <w:rPr>
          <w:rFonts w:ascii="Arial" w:cs="Arial" w:eastAsia="Arial" w:hAnsi="Arial"/>
          <w:sz w:val="14"/>
          <w:szCs w:val="14"/>
          <w:u w:val="single" w:color="auto"/>
          <w:color w:val="auto"/>
        </w:rPr>
        <w:t>Board</w:t>
      </w:r>
      <w:r>
        <w:rPr>
          <w:rFonts w:ascii="Arial" w:cs="Arial" w:eastAsia="Arial" w:hAnsi="Arial"/>
          <w:sz w:val="14"/>
          <w:szCs w:val="14"/>
          <w:color w:val="auto"/>
        </w:rPr>
        <w:t>”), acting by unanimous written consent dated as of February 25, 2021, approved and authorized this Amendment No. 5 to the Plan, pursuant to which the number of shares reserved under the Plan shall be increased as set forth herein.</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Section 3(a) of the Plan is hereby amended and restated as follows:</w:t>
      </w:r>
    </w:p>
    <w:p>
      <w:pPr>
        <w:spacing w:after="0" w:line="18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reserved and available for issuance under the Plan shall be 23,498,781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23,498,781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23,498,781 Shares shall be granted to any one individual in any calendar year period.”</w:t>
      </w:r>
    </w:p>
    <w:p>
      <w:pPr>
        <w:spacing w:after="0" w:line="151"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Except as expressly set forth above, all of the terms and provisions of the Plan shall remain in full force and effect and all references to the Plan shall hereinafter be deemed to be references to the Plan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59625"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4" w:name="page445"/>
    <w:bookmarkEnd w:id="444"/>
    <w:p>
      <w:pPr>
        <w:jc w:val="right"/>
        <w:spacing w:after="0"/>
        <w:rPr>
          <w:sz w:val="20"/>
          <w:szCs w:val="20"/>
          <w:color w:val="auto"/>
        </w:rPr>
      </w:pPr>
      <w:r>
        <w:rPr>
          <w:rFonts w:ascii="Arial" w:cs="Arial" w:eastAsia="Arial" w:hAnsi="Arial"/>
          <w:sz w:val="14"/>
          <w:szCs w:val="14"/>
          <w:b w:val="1"/>
          <w:bCs w:val="1"/>
          <w:color w:val="auto"/>
        </w:rPr>
        <w:t>Exhibit 10.10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ESTRICTED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AWARD NOTICE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UNDER THE </w:t>
      </w:r>
      <w:r>
        <w:rPr>
          <w:rFonts w:ascii="Arial" w:cs="Arial" w:eastAsia="Arial" w:hAnsi="Arial"/>
          <w:sz w:val="17"/>
          <w:szCs w:val="17"/>
          <w:b w:val="1"/>
          <w:bCs w:val="1"/>
          <w:color w:val="auto"/>
        </w:rPr>
        <w:t>CENTURY THERAPEUTICS, INC.</w:t>
      </w:r>
    </w:p>
    <w:p>
      <w:pPr>
        <w:jc w:val="center"/>
        <w:spacing w:after="0"/>
        <w:rPr>
          <w:sz w:val="20"/>
          <w:szCs w:val="20"/>
          <w:color w:val="auto"/>
        </w:rPr>
      </w:pPr>
      <w:r>
        <w:rPr>
          <w:rFonts w:ascii="Arial" w:cs="Arial" w:eastAsia="Arial" w:hAnsi="Arial"/>
          <w:sz w:val="17"/>
          <w:szCs w:val="17"/>
          <w:b w:val="1"/>
          <w:bCs w:val="1"/>
          <w:color w:val="auto"/>
        </w:rPr>
        <w:t>2018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163" w:lineRule="exact"/>
        <w:rPr>
          <w:sz w:val="20"/>
          <w:szCs w:val="20"/>
          <w:color w:val="auto"/>
        </w:rPr>
      </w:pPr>
    </w:p>
    <w:p>
      <w:pPr>
        <w:jc w:val="both"/>
        <w:ind w:right="80" w:firstLine="518"/>
        <w:spacing w:after="0" w:line="304" w:lineRule="auto"/>
        <w:rPr>
          <w:sz w:val="20"/>
          <w:szCs w:val="20"/>
          <w:color w:val="auto"/>
        </w:rPr>
      </w:pPr>
      <w:r>
        <w:rPr>
          <w:rFonts w:ascii="Arial" w:cs="Arial" w:eastAsia="Arial" w:hAnsi="Arial"/>
          <w:sz w:val="12"/>
          <w:szCs w:val="12"/>
          <w:color w:val="auto"/>
        </w:rPr>
        <w:t>Pursuant to the Century Therapeutics, Inc. 2018 Stock Option and Grant Plan (the “Plan”), Century Therapeutics,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 ______ ] in full payment for the Shares.</w:t>
      </w:r>
    </w:p>
    <w:p>
      <w:pPr>
        <w:spacing w:after="0" w:line="1" w:lineRule="exact"/>
        <w:rPr>
          <w:sz w:val="20"/>
          <w:szCs w:val="20"/>
          <w:color w:val="auto"/>
        </w:rPr>
      </w:pPr>
    </w:p>
    <w:p>
      <w:pPr>
        <w:jc w:val="both"/>
        <w:ind w:right="80"/>
        <w:spacing w:after="0" w:line="300" w:lineRule="auto"/>
        <w:rPr>
          <w:sz w:val="20"/>
          <w:szCs w:val="20"/>
          <w:color w:val="auto"/>
        </w:rPr>
      </w:pPr>
      <w:r>
        <w:rPr>
          <w:rFonts w:ascii="Arial" w:cs="Arial" w:eastAsia="Arial" w:hAnsi="Arial"/>
          <w:sz w:val="12"/>
          <w:szCs w:val="12"/>
          <w:color w:val="auto"/>
        </w:rPr>
        <w:t>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40" w:type="dxa"/>
            <w:vAlign w:val="bottom"/>
          </w:tcPr>
          <w:p>
            <w:pPr>
              <w:spacing w:after="0"/>
              <w:rPr>
                <w:sz w:val="20"/>
                <w:szCs w:val="20"/>
                <w:color w:val="auto"/>
              </w:rPr>
            </w:pPr>
            <w:r>
              <w:rPr>
                <w:rFonts w:ascii="Arial" w:cs="Arial" w:eastAsia="Arial" w:hAnsi="Arial"/>
                <w:sz w:val="14"/>
                <w:szCs w:val="14"/>
                <w:color w:val="auto"/>
              </w:rPr>
              <w:t>date hereof.</w:t>
            </w:r>
          </w:p>
        </w:tc>
        <w:tc>
          <w:tcPr>
            <w:tcW w:w="8440" w:type="dxa"/>
            <w:vAlign w:val="bottom"/>
          </w:tcPr>
          <w:p>
            <w:pPr>
              <w:spacing w:after="0"/>
              <w:rPr>
                <w:sz w:val="15"/>
                <w:szCs w:val="15"/>
                <w:color w:val="auto"/>
              </w:rPr>
            </w:pPr>
          </w:p>
        </w:tc>
      </w:tr>
      <w:tr>
        <w:trPr>
          <w:trHeight w:val="347"/>
        </w:trPr>
        <w:tc>
          <w:tcPr>
            <w:tcW w:w="2840" w:type="dxa"/>
            <w:vAlign w:val="bottom"/>
          </w:tcPr>
          <w:p>
            <w:pPr>
              <w:spacing w:after="0"/>
              <w:rPr>
                <w:sz w:val="20"/>
                <w:szCs w:val="20"/>
                <w:color w:val="auto"/>
              </w:rPr>
            </w:pPr>
            <w:r>
              <w:rPr>
                <w:rFonts w:ascii="Arial" w:cs="Arial" w:eastAsia="Arial" w:hAnsi="Arial"/>
                <w:sz w:val="14"/>
                <w:szCs w:val="14"/>
                <w:color w:val="auto"/>
              </w:rPr>
              <w:t>Name of Grantee:</w:t>
            </w:r>
          </w:p>
        </w:tc>
        <w:tc>
          <w:tcPr>
            <w:tcW w:w="8440" w:type="dxa"/>
            <w:vAlign w:val="bottom"/>
          </w:tcPr>
          <w:p>
            <w:pPr>
              <w:ind w:left="1080"/>
              <w:spacing w:after="0"/>
              <w:rPr>
                <w:sz w:val="20"/>
                <w:szCs w:val="20"/>
                <w:color w:val="auto"/>
              </w:rPr>
            </w:pPr>
            <w:r>
              <w:rPr>
                <w:rFonts w:ascii="Arial" w:cs="Arial" w:eastAsia="Arial" w:hAnsi="Arial"/>
                <w:sz w:val="14"/>
                <w:szCs w:val="14"/>
                <w:color w:val="auto"/>
              </w:rPr>
              <w:t>__________________(the “Grantee”)</w:t>
            </w:r>
          </w:p>
        </w:tc>
      </w:tr>
      <w:tr>
        <w:trPr>
          <w:trHeight w:val="345"/>
        </w:trPr>
        <w:tc>
          <w:tcPr>
            <w:tcW w:w="2840" w:type="dxa"/>
            <w:vAlign w:val="bottom"/>
          </w:tcPr>
          <w:p>
            <w:pPr>
              <w:spacing w:after="0"/>
              <w:rPr>
                <w:sz w:val="20"/>
                <w:szCs w:val="20"/>
                <w:color w:val="auto"/>
              </w:rPr>
            </w:pPr>
            <w:r>
              <w:rPr>
                <w:rFonts w:ascii="Arial" w:cs="Arial" w:eastAsia="Arial" w:hAnsi="Arial"/>
                <w:sz w:val="14"/>
                <w:szCs w:val="14"/>
                <w:color w:val="auto"/>
              </w:rPr>
              <w:t>No. of Shares:</w:t>
            </w:r>
          </w:p>
        </w:tc>
        <w:tc>
          <w:tcPr>
            <w:tcW w:w="8440" w:type="dxa"/>
            <w:vAlign w:val="bottom"/>
          </w:tcPr>
          <w:p>
            <w:pPr>
              <w:ind w:left="1080"/>
              <w:spacing w:after="0"/>
              <w:rPr>
                <w:sz w:val="20"/>
                <w:szCs w:val="20"/>
                <w:color w:val="auto"/>
              </w:rPr>
            </w:pPr>
            <w:r>
              <w:rPr>
                <w:rFonts w:ascii="Arial" w:cs="Arial" w:eastAsia="Arial" w:hAnsi="Arial"/>
                <w:sz w:val="14"/>
                <w:szCs w:val="14"/>
                <w:color w:val="auto"/>
              </w:rPr>
              <w:t>____________ Shares of Common Stock (the “Shares”)</w:t>
            </w:r>
          </w:p>
        </w:tc>
      </w:tr>
      <w:tr>
        <w:trPr>
          <w:trHeight w:val="345"/>
        </w:trPr>
        <w:tc>
          <w:tcPr>
            <w:tcW w:w="2840" w:type="dxa"/>
            <w:vAlign w:val="bottom"/>
          </w:tcPr>
          <w:p>
            <w:pPr>
              <w:spacing w:after="0"/>
              <w:rPr>
                <w:sz w:val="20"/>
                <w:szCs w:val="20"/>
                <w:color w:val="auto"/>
              </w:rPr>
            </w:pPr>
            <w:r>
              <w:rPr>
                <w:rFonts w:ascii="Arial" w:cs="Arial" w:eastAsia="Arial" w:hAnsi="Arial"/>
                <w:sz w:val="14"/>
                <w:szCs w:val="14"/>
                <w:color w:val="auto"/>
              </w:rPr>
              <w:t>Grant Date:</w:t>
            </w:r>
          </w:p>
        </w:tc>
        <w:tc>
          <w:tcPr>
            <w:tcW w:w="8440" w:type="dxa"/>
            <w:vAlign w:val="bottom"/>
          </w:tcPr>
          <w:p>
            <w:pPr>
              <w:ind w:left="1080"/>
              <w:spacing w:after="0"/>
              <w:rPr>
                <w:sz w:val="20"/>
                <w:szCs w:val="20"/>
                <w:color w:val="auto"/>
              </w:rPr>
            </w:pPr>
            <w:r>
              <w:rPr>
                <w:rFonts w:ascii="Arial" w:cs="Arial" w:eastAsia="Arial" w:hAnsi="Arial"/>
                <w:sz w:val="14"/>
                <w:szCs w:val="14"/>
                <w:color w:val="auto"/>
              </w:rPr>
              <w:t>___________ __, __</w:t>
            </w:r>
          </w:p>
        </w:tc>
      </w:tr>
      <w:tr>
        <w:trPr>
          <w:trHeight w:val="345"/>
        </w:trPr>
        <w:tc>
          <w:tcPr>
            <w:tcW w:w="2840" w:type="dxa"/>
            <w:vAlign w:val="bottom"/>
          </w:tcPr>
          <w:p>
            <w:pPr>
              <w:spacing w:after="0"/>
              <w:rPr>
                <w:sz w:val="20"/>
                <w:szCs w:val="20"/>
                <w:color w:val="auto"/>
              </w:rPr>
            </w:pPr>
            <w:r>
              <w:rPr>
                <w:rFonts w:ascii="Arial" w:cs="Arial" w:eastAsia="Arial" w:hAnsi="Arial"/>
                <w:sz w:val="14"/>
                <w:szCs w:val="14"/>
                <w:color w:val="auto"/>
              </w:rPr>
              <w:t>Date of Purchase of Shares:</w:t>
            </w:r>
          </w:p>
        </w:tc>
        <w:tc>
          <w:tcPr>
            <w:tcW w:w="8440" w:type="dxa"/>
            <w:vAlign w:val="bottom"/>
          </w:tcPr>
          <w:p>
            <w:pPr>
              <w:ind w:left="1080"/>
              <w:spacing w:after="0"/>
              <w:rPr>
                <w:sz w:val="20"/>
                <w:szCs w:val="20"/>
                <w:color w:val="auto"/>
              </w:rPr>
            </w:pPr>
            <w:r>
              <w:rPr>
                <w:rFonts w:ascii="Arial" w:cs="Arial" w:eastAsia="Arial" w:hAnsi="Arial"/>
                <w:sz w:val="14"/>
                <w:szCs w:val="14"/>
                <w:color w:val="auto"/>
              </w:rPr>
              <w:t>___________ __, __</w:t>
            </w:r>
          </w:p>
        </w:tc>
      </w:tr>
      <w:tr>
        <w:trPr>
          <w:trHeight w:val="345"/>
        </w:trPr>
        <w:tc>
          <w:tcPr>
            <w:tcW w:w="2840" w:type="dxa"/>
            <w:vAlign w:val="bottom"/>
          </w:tcPr>
          <w:p>
            <w:pPr>
              <w:spacing w:after="0"/>
              <w:rPr>
                <w:sz w:val="20"/>
                <w:szCs w:val="20"/>
                <w:color w:val="auto"/>
              </w:rPr>
            </w:pPr>
            <w:r>
              <w:rPr>
                <w:rFonts w:ascii="Arial" w:cs="Arial" w:eastAsia="Arial" w:hAnsi="Arial"/>
                <w:sz w:val="14"/>
                <w:szCs w:val="14"/>
                <w:color w:val="auto"/>
              </w:rPr>
              <w:t>Vesting Commencement Date:</w:t>
            </w:r>
          </w:p>
        </w:tc>
        <w:tc>
          <w:tcPr>
            <w:tcW w:w="8440" w:type="dxa"/>
            <w:vAlign w:val="bottom"/>
          </w:tcPr>
          <w:p>
            <w:pPr>
              <w:ind w:left="1080"/>
              <w:spacing w:after="0"/>
              <w:rPr>
                <w:sz w:val="20"/>
                <w:szCs w:val="20"/>
                <w:color w:val="auto"/>
              </w:rPr>
            </w:pPr>
            <w:r>
              <w:rPr>
                <w:rFonts w:ascii="Arial" w:cs="Arial" w:eastAsia="Arial" w:hAnsi="Arial"/>
                <w:sz w:val="14"/>
                <w:szCs w:val="14"/>
                <w:color w:val="auto"/>
              </w:rPr>
              <w:t>___________ __, __ (the “Vesting Commencement Date”)</w:t>
            </w:r>
          </w:p>
        </w:tc>
      </w:tr>
      <w:tr>
        <w:trPr>
          <w:trHeight w:val="345"/>
        </w:trPr>
        <w:tc>
          <w:tcPr>
            <w:tcW w:w="2840" w:type="dxa"/>
            <w:vAlign w:val="bottom"/>
          </w:tcPr>
          <w:p>
            <w:pPr>
              <w:spacing w:after="0"/>
              <w:rPr>
                <w:sz w:val="20"/>
                <w:szCs w:val="20"/>
                <w:color w:val="auto"/>
              </w:rPr>
            </w:pPr>
            <w:r>
              <w:rPr>
                <w:rFonts w:ascii="Arial" w:cs="Arial" w:eastAsia="Arial" w:hAnsi="Arial"/>
                <w:sz w:val="14"/>
                <w:szCs w:val="14"/>
                <w:color w:val="auto"/>
              </w:rPr>
              <w:t>Per Share Purchase Price:</w:t>
            </w:r>
          </w:p>
        </w:tc>
        <w:tc>
          <w:tcPr>
            <w:tcW w:w="8440" w:type="dxa"/>
            <w:vAlign w:val="bottom"/>
          </w:tcPr>
          <w:p>
            <w:pPr>
              <w:ind w:left="1080"/>
              <w:spacing w:after="0"/>
              <w:rPr>
                <w:sz w:val="20"/>
                <w:szCs w:val="20"/>
                <w:color w:val="auto"/>
              </w:rPr>
            </w:pPr>
            <w:r>
              <w:rPr>
                <w:rFonts w:ascii="Arial" w:cs="Arial" w:eastAsia="Arial" w:hAnsi="Arial"/>
                <w:sz w:val="14"/>
                <w:szCs w:val="14"/>
                <w:color w:val="auto"/>
              </w:rPr>
              <w:t>$_______(the “Per Share Purchase Price”)</w:t>
            </w:r>
          </w:p>
        </w:tc>
      </w:tr>
      <w:tr>
        <w:trPr>
          <w:trHeight w:val="379"/>
        </w:trPr>
        <w:tc>
          <w:tcPr>
            <w:tcW w:w="2840" w:type="dxa"/>
            <w:vAlign w:val="bottom"/>
          </w:tcPr>
          <w:p>
            <w:pPr>
              <w:spacing w:after="0"/>
              <w:rPr>
                <w:sz w:val="20"/>
                <w:szCs w:val="20"/>
                <w:color w:val="auto"/>
              </w:rPr>
            </w:pPr>
            <w:r>
              <w:rPr>
                <w:rFonts w:ascii="Arial" w:cs="Arial" w:eastAsia="Arial" w:hAnsi="Arial"/>
                <w:sz w:val="14"/>
                <w:szCs w:val="14"/>
                <w:color w:val="auto"/>
              </w:rPr>
              <w:t>1.</w:t>
            </w:r>
          </w:p>
        </w:tc>
        <w:tc>
          <w:tcPr>
            <w:tcW w:w="8440" w:type="dxa"/>
            <w:vAlign w:val="bottom"/>
          </w:tcPr>
          <w:p>
            <w:pPr>
              <w:ind w:left="1080"/>
              <w:spacing w:after="0"/>
              <w:rPr>
                <w:sz w:val="20"/>
                <w:szCs w:val="20"/>
                <w:color w:val="auto"/>
              </w:rPr>
            </w:pPr>
            <w:r>
              <w:rPr>
                <w:rFonts w:ascii="Arial" w:cs="Arial" w:eastAsia="Arial" w:hAnsi="Arial"/>
                <w:sz w:val="14"/>
                <w:szCs w:val="14"/>
                <w:color w:val="auto"/>
                <w:w w:val="95"/>
              </w:rPr>
              <w:t>Vesting Schedule: 25 percent of the Shares shall vest on the first anniversary of the Vesting Commencement Date; provided</w:t>
            </w:r>
          </w:p>
        </w:tc>
      </w:tr>
      <w:tr>
        <w:trPr>
          <w:trHeight w:val="173"/>
        </w:trPr>
        <w:tc>
          <w:tcPr>
            <w:tcW w:w="2840" w:type="dxa"/>
            <w:vAlign w:val="bottom"/>
          </w:tcPr>
          <w:p>
            <w:pPr>
              <w:spacing w:after="0"/>
              <w:rPr>
                <w:sz w:val="15"/>
                <w:szCs w:val="15"/>
                <w:color w:val="auto"/>
              </w:rPr>
            </w:pPr>
          </w:p>
        </w:tc>
        <w:tc>
          <w:tcPr>
            <w:tcW w:w="8440" w:type="dxa"/>
            <w:vAlign w:val="bottom"/>
          </w:tcPr>
          <w:p>
            <w:pPr>
              <w:ind w:left="1080"/>
              <w:spacing w:after="0"/>
              <w:rPr>
                <w:sz w:val="20"/>
                <w:szCs w:val="20"/>
                <w:color w:val="auto"/>
              </w:rPr>
            </w:pPr>
            <w:r>
              <w:rPr>
                <w:rFonts w:ascii="Arial" w:cs="Arial" w:eastAsia="Arial" w:hAnsi="Arial"/>
                <w:sz w:val="14"/>
                <w:szCs w:val="14"/>
                <w:color w:val="auto"/>
                <w:w w:val="99"/>
              </w:rPr>
              <w:t>that the Grantee continues to have a Service Relationship with the Company at such time. Thereafter, the remaining 75</w:t>
            </w:r>
          </w:p>
        </w:tc>
      </w:tr>
      <w:tr>
        <w:trPr>
          <w:trHeight w:val="173"/>
        </w:trPr>
        <w:tc>
          <w:tcPr>
            <w:tcW w:w="2840" w:type="dxa"/>
            <w:vAlign w:val="bottom"/>
          </w:tcPr>
          <w:p>
            <w:pPr>
              <w:spacing w:after="0"/>
              <w:rPr>
                <w:sz w:val="15"/>
                <w:szCs w:val="15"/>
                <w:color w:val="auto"/>
              </w:rPr>
            </w:pPr>
          </w:p>
        </w:tc>
        <w:tc>
          <w:tcPr>
            <w:tcW w:w="8440" w:type="dxa"/>
            <w:vAlign w:val="bottom"/>
          </w:tcPr>
          <w:p>
            <w:pPr>
              <w:ind w:left="1080"/>
              <w:spacing w:after="0"/>
              <w:rPr>
                <w:sz w:val="20"/>
                <w:szCs w:val="20"/>
                <w:color w:val="auto"/>
              </w:rPr>
            </w:pPr>
            <w:r>
              <w:rPr>
                <w:rFonts w:ascii="Arial" w:cs="Arial" w:eastAsia="Arial" w:hAnsi="Arial"/>
                <w:sz w:val="14"/>
                <w:szCs w:val="14"/>
                <w:color w:val="auto"/>
              </w:rPr>
              <w:t>percent of the Shares shall vest in 36 equal monthly installments following the first anniversary of the Vesting</w:t>
            </w:r>
          </w:p>
        </w:tc>
      </w:tr>
      <w:tr>
        <w:trPr>
          <w:trHeight w:val="173"/>
        </w:trPr>
        <w:tc>
          <w:tcPr>
            <w:tcW w:w="2840" w:type="dxa"/>
            <w:vAlign w:val="bottom"/>
          </w:tcPr>
          <w:p>
            <w:pPr>
              <w:spacing w:after="0"/>
              <w:rPr>
                <w:sz w:val="15"/>
                <w:szCs w:val="15"/>
                <w:color w:val="auto"/>
              </w:rPr>
            </w:pPr>
          </w:p>
        </w:tc>
        <w:tc>
          <w:tcPr>
            <w:tcW w:w="8440" w:type="dxa"/>
            <w:vAlign w:val="bottom"/>
          </w:tcPr>
          <w:p>
            <w:pPr>
              <w:ind w:left="1080"/>
              <w:spacing w:after="0"/>
              <w:rPr>
                <w:sz w:val="20"/>
                <w:szCs w:val="20"/>
                <w:color w:val="auto"/>
              </w:rPr>
            </w:pPr>
            <w:r>
              <w:rPr>
                <w:rFonts w:ascii="Arial" w:cs="Arial" w:eastAsia="Arial" w:hAnsi="Arial"/>
                <w:sz w:val="14"/>
                <w:szCs w:val="14"/>
                <w:color w:val="auto"/>
              </w:rPr>
              <w:t>Commencement Date, provided the Grantee continues to have a Service Relationship with the Company at such time.</w:t>
            </w:r>
          </w:p>
        </w:tc>
      </w:tr>
      <w:tr>
        <w:trPr>
          <w:trHeight w:val="182"/>
        </w:trPr>
        <w:tc>
          <w:tcPr>
            <w:tcW w:w="2840" w:type="dxa"/>
            <w:vAlign w:val="bottom"/>
          </w:tcPr>
          <w:p>
            <w:pPr>
              <w:spacing w:after="0"/>
              <w:rPr>
                <w:sz w:val="15"/>
                <w:szCs w:val="15"/>
                <w:color w:val="auto"/>
              </w:rPr>
            </w:pPr>
          </w:p>
        </w:tc>
        <w:tc>
          <w:tcPr>
            <w:tcW w:w="8440" w:type="dxa"/>
            <w:vAlign w:val="bottom"/>
          </w:tcPr>
          <w:p>
            <w:pPr>
              <w:ind w:left="1080"/>
              <w:spacing w:after="0"/>
              <w:rPr>
                <w:sz w:val="20"/>
                <w:szCs w:val="20"/>
                <w:color w:val="auto"/>
              </w:rPr>
            </w:pPr>
            <w:r>
              <w:rPr>
                <w:rFonts w:ascii="Arial" w:cs="Arial" w:eastAsia="Arial" w:hAnsi="Arial"/>
                <w:sz w:val="14"/>
                <w:szCs w:val="14"/>
                <w:color w:val="auto"/>
              </w:rPr>
              <w:t>Notwithstanding anything in the Agreement to the contrary in the case of a Sale</w:t>
            </w:r>
          </w:p>
        </w:tc>
      </w:tr>
      <w:tr>
        <w:trPr>
          <w:trHeight w:val="346"/>
        </w:trPr>
        <w:tc>
          <w:tcPr>
            <w:tcW w:w="284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4" w:right="319" w:bottom="1440" w:gutter="0" w:footer="0" w:header="0"/>
        </w:sectPr>
      </w:pPr>
    </w:p>
    <w:bookmarkStart w:id="445" w:name="page446"/>
    <w:bookmarkEnd w:id="445"/>
    <w:p>
      <w:pPr>
        <w:ind w:left="2780"/>
        <w:spacing w:after="0"/>
        <w:rPr>
          <w:sz w:val="20"/>
          <w:szCs w:val="20"/>
          <w:color w:val="auto"/>
        </w:rPr>
      </w:pPr>
      <w:r>
        <w:rPr>
          <w:rFonts w:ascii="Arial" w:cs="Arial" w:eastAsia="Arial" w:hAnsi="Arial"/>
          <w:sz w:val="12"/>
          <w:szCs w:val="12"/>
          <w:color w:val="auto"/>
        </w:rPr>
        <w:t>Event, the Shares of Restricted Stock shall be treated as provided in Section 3(c) of the Plan.</w:t>
      </w:r>
    </w:p>
    <w:p>
      <w:pPr>
        <w:sectPr>
          <w:pgSz w:w="11900" w:h="16838" w:orient="portrait"/>
          <w:cols w:equalWidth="0" w:num="1">
            <w:col w:w="9019"/>
          </w:cols>
          <w:pgMar w:left="1440" w:top="755" w:right="1440"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13970</wp:posOffset>
            </wp:positionV>
            <wp:extent cx="7159625"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755" w:right="1440" w:bottom="1440" w:gutter="0" w:footer="0" w:header="0"/>
          <w:type w:val="continuous"/>
        </w:sectPr>
      </w:pPr>
    </w:p>
    <w:bookmarkStart w:id="446" w:name="page447"/>
    <w:bookmarkEnd w:id="446"/>
    <w:p>
      <w:pPr>
        <w:jc w:val="center"/>
        <w:ind w:right="-99"/>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ESTRICTED</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 xml:space="preserve">UNDER THE </w:t>
      </w:r>
      <w:r>
        <w:rPr>
          <w:rFonts w:ascii="Arial" w:cs="Arial" w:eastAsia="Arial" w:hAnsi="Arial"/>
          <w:sz w:val="17"/>
          <w:szCs w:val="17"/>
          <w:b w:val="1"/>
          <w:bCs w:val="1"/>
          <w:color w:val="auto"/>
        </w:rPr>
        <w:t>CENTURY THERAPEUTICS, INC.</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2018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capitalized terms used herein and not otherwise defined shall have the respective meanings set forth in the Award Notice and the Plan.</w:t>
      </w:r>
    </w:p>
    <w:p>
      <w:pPr>
        <w:spacing w:after="0" w:line="184" w:lineRule="exact"/>
        <w:rPr>
          <w:sz w:val="20"/>
          <w:szCs w:val="20"/>
          <w:color w:val="auto"/>
        </w:rPr>
      </w:pPr>
    </w:p>
    <w:p>
      <w:pPr>
        <w:ind w:left="1040" w:hanging="516"/>
        <w:spacing w:after="0"/>
        <w:tabs>
          <w:tab w:leader="none" w:pos="1040" w:val="left"/>
        </w:tabs>
        <w:numPr>
          <w:ilvl w:val="0"/>
          <w:numId w:val="305"/>
        </w:numPr>
        <w:rPr>
          <w:rFonts w:ascii="Arial" w:cs="Arial" w:eastAsia="Arial" w:hAnsi="Arial"/>
          <w:sz w:val="14"/>
          <w:szCs w:val="14"/>
          <w:color w:val="auto"/>
        </w:rPr>
      </w:pPr>
      <w:r>
        <w:rPr>
          <w:rFonts w:ascii="Arial" w:cs="Arial" w:eastAsia="Arial" w:hAnsi="Arial"/>
          <w:sz w:val="14"/>
          <w:szCs w:val="14"/>
          <w:u w:val="single" w:color="auto"/>
          <w:color w:val="auto"/>
        </w:rPr>
        <w:t>Purchase and Sale of Shares; Vesting; Investment Representations</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ind w:firstLine="1042"/>
        <w:spacing w:after="0" w:line="288" w:lineRule="auto"/>
        <w:tabs>
          <w:tab w:leader="none" w:pos="1317" w:val="left"/>
        </w:tabs>
        <w:numPr>
          <w:ilvl w:val="1"/>
          <w:numId w:val="305"/>
        </w:numPr>
        <w:rPr>
          <w:rFonts w:ascii="Arial" w:cs="Arial" w:eastAsia="Arial" w:hAnsi="Arial"/>
          <w:sz w:val="14"/>
          <w:szCs w:val="14"/>
          <w:color w:val="auto"/>
        </w:rPr>
      </w:pPr>
      <w:r>
        <w:rPr>
          <w:rFonts w:ascii="Arial" w:cs="Arial" w:eastAsia="Arial" w:hAnsi="Arial"/>
          <w:sz w:val="14"/>
          <w:szCs w:val="14"/>
          <w:u w:val="single" w:color="auto"/>
          <w:color w:val="auto"/>
        </w:rPr>
        <w:t>Purchase and Sale</w:t>
      </w:r>
      <w:r>
        <w:rPr>
          <w:rFonts w:ascii="Arial" w:cs="Arial" w:eastAsia="Arial" w:hAnsi="Arial"/>
          <w:sz w:val="14"/>
          <w:szCs w:val="14"/>
          <w:color w:val="auto"/>
        </w:rPr>
        <w:t>. The Company hereby sells to the Grantee, and the Grantee hereby purchases from the Company, the number of Shares set forth in the Award Notice for the Per Share Purchase Price.</w:t>
      </w:r>
    </w:p>
    <w:p>
      <w:pPr>
        <w:spacing w:after="0" w:line="131" w:lineRule="exact"/>
        <w:rPr>
          <w:rFonts w:ascii="Arial" w:cs="Arial" w:eastAsia="Arial" w:hAnsi="Arial"/>
          <w:sz w:val="14"/>
          <w:szCs w:val="14"/>
          <w:color w:val="auto"/>
        </w:rPr>
      </w:pPr>
    </w:p>
    <w:p>
      <w:pPr>
        <w:ind w:firstLine="1042"/>
        <w:spacing w:after="0" w:line="288" w:lineRule="auto"/>
        <w:tabs>
          <w:tab w:leader="none" w:pos="1326" w:val="left"/>
        </w:tabs>
        <w:numPr>
          <w:ilvl w:val="1"/>
          <w:numId w:val="305"/>
        </w:numPr>
        <w:rPr>
          <w:rFonts w:ascii="Arial" w:cs="Arial" w:eastAsia="Arial" w:hAnsi="Arial"/>
          <w:sz w:val="14"/>
          <w:szCs w:val="14"/>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31" w:lineRule="exact"/>
        <w:rPr>
          <w:rFonts w:ascii="Arial" w:cs="Arial" w:eastAsia="Arial" w:hAnsi="Arial"/>
          <w:sz w:val="14"/>
          <w:szCs w:val="14"/>
          <w:color w:val="auto"/>
        </w:rPr>
      </w:pPr>
    </w:p>
    <w:p>
      <w:pPr>
        <w:ind w:left="1320" w:hanging="278"/>
        <w:spacing w:after="0"/>
        <w:tabs>
          <w:tab w:leader="none" w:pos="1320" w:val="left"/>
        </w:tabs>
        <w:numPr>
          <w:ilvl w:val="1"/>
          <w:numId w:val="305"/>
        </w:numPr>
        <w:rPr>
          <w:rFonts w:ascii="Arial" w:cs="Arial" w:eastAsia="Arial" w:hAnsi="Arial"/>
          <w:sz w:val="12"/>
          <w:szCs w:val="12"/>
          <w:color w:val="auto"/>
        </w:rPr>
      </w:pPr>
      <w:r>
        <w:rPr>
          <w:rFonts w:ascii="Arial" w:cs="Arial" w:eastAsia="Arial" w:hAnsi="Arial"/>
          <w:sz w:val="12"/>
          <w:szCs w:val="12"/>
          <w:u w:val="single" w:color="auto"/>
          <w:color w:val="auto"/>
        </w:rPr>
        <w:t>Investment Representations</w:t>
      </w:r>
      <w:r>
        <w:rPr>
          <w:rFonts w:ascii="Arial" w:cs="Arial" w:eastAsia="Arial" w:hAnsi="Arial"/>
          <w:sz w:val="12"/>
          <w:szCs w:val="12"/>
          <w:color w:val="auto"/>
        </w:rPr>
        <w:t>. In connection with the purchase and sale of the Shares contemplated by Section 1(a) above, the Grantee hereby represents and warrants to the</w:t>
      </w:r>
    </w:p>
    <w:p>
      <w:pPr>
        <w:spacing w:after="0" w:line="4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Company as follows:</w:t>
      </w:r>
    </w:p>
    <w:p>
      <w:pPr>
        <w:spacing w:after="0" w:line="174" w:lineRule="exact"/>
        <w:rPr>
          <w:rFonts w:ascii="Arial" w:cs="Arial" w:eastAsia="Arial" w:hAnsi="Arial"/>
          <w:sz w:val="12"/>
          <w:szCs w:val="12"/>
          <w:color w:val="auto"/>
        </w:rPr>
      </w:pPr>
    </w:p>
    <w:p>
      <w:pPr>
        <w:ind w:left="1620" w:hanging="267"/>
        <w:spacing w:after="0"/>
        <w:tabs>
          <w:tab w:leader="none" w:pos="1620" w:val="left"/>
        </w:tabs>
        <w:numPr>
          <w:ilvl w:val="2"/>
          <w:numId w:val="305"/>
        </w:numPr>
        <w:rPr>
          <w:rFonts w:ascii="Arial" w:cs="Arial" w:eastAsia="Arial" w:hAnsi="Arial"/>
          <w:sz w:val="14"/>
          <w:szCs w:val="14"/>
          <w:color w:val="auto"/>
        </w:rPr>
      </w:pPr>
      <w:r>
        <w:rPr>
          <w:rFonts w:ascii="Arial" w:cs="Arial" w:eastAsia="Arial" w:hAnsi="Arial"/>
          <w:sz w:val="14"/>
          <w:szCs w:val="14"/>
          <w:color w:val="auto"/>
        </w:rPr>
        <w:t>The Grantee is purchasing the Shares for the Grantee’s own account for investment only, and not for resale or with a view to the distribution thereof.</w:t>
      </w:r>
    </w:p>
    <w:p>
      <w:pPr>
        <w:spacing w:after="0" w:line="184" w:lineRule="exact"/>
        <w:rPr>
          <w:rFonts w:ascii="Arial" w:cs="Arial" w:eastAsia="Arial" w:hAnsi="Arial"/>
          <w:sz w:val="14"/>
          <w:szCs w:val="14"/>
          <w:color w:val="auto"/>
        </w:rPr>
      </w:pPr>
    </w:p>
    <w:p>
      <w:pPr>
        <w:ind w:left="520" w:firstLine="833"/>
        <w:spacing w:after="0" w:line="329" w:lineRule="auto"/>
        <w:tabs>
          <w:tab w:leader="none" w:pos="1647" w:val="left"/>
        </w:tabs>
        <w:numPr>
          <w:ilvl w:val="2"/>
          <w:numId w:val="305"/>
        </w:numPr>
        <w:rPr>
          <w:rFonts w:ascii="Arial" w:cs="Arial" w:eastAsia="Arial" w:hAnsi="Arial"/>
          <w:sz w:val="13"/>
          <w:szCs w:val="13"/>
          <w:color w:val="auto"/>
        </w:rPr>
      </w:pPr>
      <w:r>
        <w:rPr>
          <w:rFonts w:ascii="Arial" w:cs="Arial" w:eastAsia="Arial" w:hAnsi="Arial"/>
          <w:sz w:val="13"/>
          <w:szCs w:val="13"/>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108" w:lineRule="exact"/>
        <w:rPr>
          <w:rFonts w:ascii="Arial" w:cs="Arial" w:eastAsia="Arial" w:hAnsi="Arial"/>
          <w:sz w:val="13"/>
          <w:szCs w:val="13"/>
          <w:color w:val="auto"/>
        </w:rPr>
      </w:pPr>
    </w:p>
    <w:p>
      <w:pPr>
        <w:ind w:left="520" w:right="20" w:firstLine="833"/>
        <w:spacing w:after="0" w:line="288" w:lineRule="auto"/>
        <w:tabs>
          <w:tab w:leader="none" w:pos="1697" w:val="left"/>
        </w:tabs>
        <w:numPr>
          <w:ilvl w:val="2"/>
          <w:numId w:val="305"/>
        </w:numPr>
        <w:rPr>
          <w:rFonts w:ascii="Arial" w:cs="Arial" w:eastAsia="Arial" w:hAnsi="Arial"/>
          <w:sz w:val="14"/>
          <w:szCs w:val="14"/>
          <w:color w:val="auto"/>
        </w:rPr>
      </w:pPr>
      <w:r>
        <w:rPr>
          <w:rFonts w:ascii="Arial" w:cs="Arial" w:eastAsia="Arial" w:hAnsi="Arial"/>
          <w:sz w:val="14"/>
          <w:szCs w:val="14"/>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131" w:lineRule="exact"/>
        <w:rPr>
          <w:rFonts w:ascii="Arial" w:cs="Arial" w:eastAsia="Arial" w:hAnsi="Arial"/>
          <w:sz w:val="14"/>
          <w:szCs w:val="14"/>
          <w:color w:val="auto"/>
        </w:rPr>
      </w:pPr>
    </w:p>
    <w:p>
      <w:pPr>
        <w:ind w:left="1680" w:hanging="327"/>
        <w:spacing w:after="0"/>
        <w:tabs>
          <w:tab w:leader="none" w:pos="1680" w:val="left"/>
        </w:tabs>
        <w:numPr>
          <w:ilvl w:val="2"/>
          <w:numId w:val="305"/>
        </w:numPr>
        <w:rPr>
          <w:rFonts w:ascii="Arial" w:cs="Arial" w:eastAsia="Arial" w:hAnsi="Arial"/>
          <w:sz w:val="14"/>
          <w:szCs w:val="14"/>
          <w:color w:val="auto"/>
        </w:rPr>
      </w:pPr>
      <w:r>
        <w:rPr>
          <w:rFonts w:ascii="Arial" w:cs="Arial" w:eastAsia="Arial" w:hAnsi="Arial"/>
          <w:sz w:val="14"/>
          <w:szCs w:val="14"/>
          <w:color w:val="auto"/>
        </w:rPr>
        <w:t>The Grantee can afford a complete loss of the value of the Shares and is able to bear the economic risk of holding such Shares for an indefinite period.</w:t>
      </w:r>
    </w:p>
    <w:p>
      <w:pPr>
        <w:spacing w:after="0" w:line="184" w:lineRule="exact"/>
        <w:rPr>
          <w:rFonts w:ascii="Arial" w:cs="Arial" w:eastAsia="Arial" w:hAnsi="Arial"/>
          <w:sz w:val="14"/>
          <w:szCs w:val="14"/>
          <w:color w:val="auto"/>
        </w:rPr>
      </w:pPr>
    </w:p>
    <w:p>
      <w:pPr>
        <w:jc w:val="both"/>
        <w:ind w:left="520" w:right="20" w:firstLine="833"/>
        <w:spacing w:after="0" w:line="267" w:lineRule="auto"/>
        <w:tabs>
          <w:tab w:leader="none" w:pos="1638" w:val="left"/>
        </w:tabs>
        <w:numPr>
          <w:ilvl w:val="2"/>
          <w:numId w:val="305"/>
        </w:numPr>
        <w:rPr>
          <w:rFonts w:ascii="Arial" w:cs="Arial" w:eastAsia="Arial" w:hAnsi="Arial"/>
          <w:sz w:val="14"/>
          <w:szCs w:val="14"/>
          <w:color w:val="auto"/>
        </w:rPr>
      </w:pPr>
      <w:r>
        <w:rPr>
          <w:rFonts w:ascii="Arial" w:cs="Arial" w:eastAsia="Arial" w:hAnsi="Arial"/>
          <w:sz w:val="14"/>
          <w:szCs w:val="14"/>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689" w:right="399" w:bottom="1440" w:gutter="0" w:footer="0" w:header="0"/>
        </w:sectPr>
      </w:pPr>
    </w:p>
    <w:bookmarkStart w:id="447" w:name="page448"/>
    <w:bookmarkEnd w:id="447"/>
    <w:p>
      <w:pPr>
        <w:ind w:left="460"/>
        <w:spacing w:after="0"/>
        <w:rPr>
          <w:sz w:val="20"/>
          <w:szCs w:val="20"/>
          <w:color w:val="auto"/>
        </w:rPr>
      </w:pPr>
      <w:r>
        <w:rPr>
          <w:rFonts w:ascii="Arial" w:cs="Arial" w:eastAsia="Arial" w:hAnsi="Arial"/>
          <w:sz w:val="14"/>
          <w:szCs w:val="14"/>
          <w:color w:val="auto"/>
        </w:rPr>
        <w:t>restrictive legends reflecting the foregoing and/or that book entries for uncertificated Shares will include similar restrictive notations.</w:t>
      </w:r>
    </w:p>
    <w:p>
      <w:pPr>
        <w:spacing w:after="0" w:line="184" w:lineRule="exact"/>
        <w:rPr>
          <w:sz w:val="20"/>
          <w:szCs w:val="20"/>
          <w:color w:val="auto"/>
        </w:rPr>
      </w:pPr>
    </w:p>
    <w:p>
      <w:pPr>
        <w:ind w:left="460" w:right="20" w:firstLine="833"/>
        <w:spacing w:after="0" w:line="288" w:lineRule="auto"/>
        <w:tabs>
          <w:tab w:leader="none" w:pos="1618" w:val="left"/>
        </w:tabs>
        <w:numPr>
          <w:ilvl w:val="2"/>
          <w:numId w:val="306"/>
        </w:numPr>
        <w:rPr>
          <w:rFonts w:ascii="Arial" w:cs="Arial" w:eastAsia="Arial" w:hAnsi="Arial"/>
          <w:sz w:val="14"/>
          <w:szCs w:val="14"/>
          <w:color w:val="auto"/>
        </w:rPr>
      </w:pPr>
      <w:r>
        <w:rPr>
          <w:rFonts w:ascii="Arial" w:cs="Arial" w:eastAsia="Arial" w:hAnsi="Arial"/>
          <w:sz w:val="14"/>
          <w:szCs w:val="14"/>
          <w:color w:val="auto"/>
        </w:rPr>
        <w:t>The Grantee has read and understands the Plan and acknowledges and agrees that the Shares are subject to all of the relevant terms of the Plan, including without limitation, the transfer restrictions set forth in Section 9 of the Plan.</w:t>
      </w:r>
    </w:p>
    <w:p>
      <w:pPr>
        <w:spacing w:after="0" w:line="142" w:lineRule="exact"/>
        <w:rPr>
          <w:rFonts w:ascii="Arial" w:cs="Arial" w:eastAsia="Arial" w:hAnsi="Arial"/>
          <w:sz w:val="14"/>
          <w:szCs w:val="14"/>
          <w:color w:val="auto"/>
        </w:rPr>
      </w:pPr>
    </w:p>
    <w:p>
      <w:pPr>
        <w:ind w:left="1640" w:hanging="347"/>
        <w:spacing w:after="0"/>
        <w:tabs>
          <w:tab w:leader="none" w:pos="1640" w:val="left"/>
        </w:tabs>
        <w:numPr>
          <w:ilvl w:val="2"/>
          <w:numId w:val="306"/>
        </w:numPr>
        <w:rPr>
          <w:rFonts w:ascii="Arial" w:cs="Arial" w:eastAsia="Arial" w:hAnsi="Arial"/>
          <w:sz w:val="14"/>
          <w:szCs w:val="14"/>
          <w:color w:val="auto"/>
        </w:rPr>
      </w:pPr>
      <w:r>
        <w:rPr>
          <w:rFonts w:ascii="Arial" w:cs="Arial" w:eastAsia="Arial" w:hAnsi="Arial"/>
          <w:sz w:val="14"/>
          <w:szCs w:val="14"/>
          <w:color w:val="auto"/>
        </w:rPr>
        <w:t>The Grantee understands and agrees that the Company has a right of first refusal with respect to the Shares pursuant to Section 9(b) of the Plan.</w:t>
      </w:r>
    </w:p>
    <w:p>
      <w:pPr>
        <w:spacing w:after="0" w:line="184" w:lineRule="exact"/>
        <w:rPr>
          <w:rFonts w:ascii="Arial" w:cs="Arial" w:eastAsia="Arial" w:hAnsi="Arial"/>
          <w:sz w:val="14"/>
          <w:szCs w:val="14"/>
          <w:color w:val="auto"/>
        </w:rPr>
      </w:pPr>
    </w:p>
    <w:p>
      <w:pPr>
        <w:ind w:left="1680" w:hanging="387"/>
        <w:spacing w:after="0"/>
        <w:tabs>
          <w:tab w:leader="none" w:pos="1680" w:val="left"/>
        </w:tabs>
        <w:numPr>
          <w:ilvl w:val="2"/>
          <w:numId w:val="306"/>
        </w:numPr>
        <w:rPr>
          <w:rFonts w:ascii="Arial" w:cs="Arial" w:eastAsia="Arial" w:hAnsi="Arial"/>
          <w:sz w:val="14"/>
          <w:szCs w:val="14"/>
          <w:color w:val="auto"/>
        </w:rPr>
      </w:pPr>
      <w:r>
        <w:rPr>
          <w:rFonts w:ascii="Arial" w:cs="Arial" w:eastAsia="Arial" w:hAnsi="Arial"/>
          <w:sz w:val="14"/>
          <w:szCs w:val="14"/>
          <w:color w:val="auto"/>
        </w:rPr>
        <w:t>The Grantee understands and agree that the Company has certain repurchase rights with respect to the Shares pursuant to Section 9(c) of the Plan.</w:t>
      </w:r>
    </w:p>
    <w:p>
      <w:pPr>
        <w:spacing w:after="0" w:line="184" w:lineRule="exact"/>
        <w:rPr>
          <w:rFonts w:ascii="Arial" w:cs="Arial" w:eastAsia="Arial" w:hAnsi="Arial"/>
          <w:sz w:val="14"/>
          <w:szCs w:val="14"/>
          <w:color w:val="auto"/>
        </w:rPr>
      </w:pPr>
    </w:p>
    <w:p>
      <w:pPr>
        <w:ind w:left="460" w:right="20" w:firstLine="833"/>
        <w:spacing w:after="0" w:line="288" w:lineRule="auto"/>
        <w:tabs>
          <w:tab w:leader="none" w:pos="1618" w:val="left"/>
        </w:tabs>
        <w:numPr>
          <w:ilvl w:val="2"/>
          <w:numId w:val="306"/>
        </w:numPr>
        <w:rPr>
          <w:rFonts w:ascii="Arial" w:cs="Arial" w:eastAsia="Arial" w:hAnsi="Arial"/>
          <w:sz w:val="14"/>
          <w:szCs w:val="14"/>
          <w:color w:val="auto"/>
        </w:rPr>
      </w:pPr>
      <w:r>
        <w:rPr>
          <w:rFonts w:ascii="Arial" w:cs="Arial" w:eastAsia="Arial" w:hAnsi="Arial"/>
          <w:sz w:val="14"/>
          <w:szCs w:val="14"/>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31" w:lineRule="exact"/>
        <w:rPr>
          <w:rFonts w:ascii="Arial" w:cs="Arial" w:eastAsia="Arial" w:hAnsi="Arial"/>
          <w:sz w:val="14"/>
          <w:szCs w:val="14"/>
          <w:color w:val="auto"/>
        </w:rPr>
      </w:pPr>
    </w:p>
    <w:p>
      <w:pPr>
        <w:ind w:left="-60" w:right="20" w:firstLine="524"/>
        <w:spacing w:after="0" w:line="288" w:lineRule="auto"/>
        <w:tabs>
          <w:tab w:leader="none" w:pos="918" w:val="left"/>
        </w:tabs>
        <w:numPr>
          <w:ilvl w:val="0"/>
          <w:numId w:val="307"/>
        </w:numPr>
        <w:rPr>
          <w:rFonts w:ascii="Arial" w:cs="Arial" w:eastAsia="Arial" w:hAnsi="Arial"/>
          <w:sz w:val="14"/>
          <w:szCs w:val="14"/>
          <w:color w:val="auto"/>
        </w:rPr>
      </w:pPr>
      <w:r>
        <w:rPr>
          <w:rFonts w:ascii="Arial" w:cs="Arial" w:eastAsia="Arial" w:hAnsi="Arial"/>
          <w:sz w:val="14"/>
          <w:szCs w:val="14"/>
          <w:u w:val="single" w:color="auto"/>
          <w:color w:val="auto"/>
        </w:rPr>
        <w:t>Repurchase Right</w:t>
      </w:r>
      <w:r>
        <w:rPr>
          <w:rFonts w:ascii="Arial" w:cs="Arial" w:eastAsia="Arial" w:hAnsi="Arial"/>
          <w:sz w:val="14"/>
          <w:szCs w:val="14"/>
          <w:color w:val="auto"/>
        </w:rPr>
        <w:t>. Upon a Termination Event, the Company shall have the right to repurchase Shares of Restricted Stock that are unvested as of the date of such Termination Event as set forth in Section 9(c) of the Plan.</w:t>
      </w:r>
    </w:p>
    <w:p>
      <w:pPr>
        <w:spacing w:after="0" w:line="131" w:lineRule="exact"/>
        <w:rPr>
          <w:rFonts w:ascii="Arial" w:cs="Arial" w:eastAsia="Arial" w:hAnsi="Arial"/>
          <w:sz w:val="14"/>
          <w:szCs w:val="14"/>
          <w:color w:val="auto"/>
        </w:rPr>
      </w:pPr>
    </w:p>
    <w:p>
      <w:pPr>
        <w:ind w:left="-60" w:right="20" w:firstLine="524"/>
        <w:spacing w:after="0" w:line="288" w:lineRule="auto"/>
        <w:tabs>
          <w:tab w:leader="none" w:pos="911" w:val="left"/>
        </w:tabs>
        <w:numPr>
          <w:ilvl w:val="0"/>
          <w:numId w:val="307"/>
        </w:numPr>
        <w:rPr>
          <w:rFonts w:ascii="Arial" w:cs="Arial" w:eastAsia="Arial" w:hAnsi="Arial"/>
          <w:sz w:val="14"/>
          <w:szCs w:val="14"/>
          <w:color w:val="auto"/>
        </w:rPr>
      </w:pPr>
      <w:r>
        <w:rPr>
          <w:rFonts w:ascii="Arial" w:cs="Arial" w:eastAsia="Arial" w:hAnsi="Arial"/>
          <w:sz w:val="14"/>
          <w:szCs w:val="14"/>
          <w:u w:val="single" w:color="auto"/>
          <w:color w:val="auto"/>
        </w:rPr>
        <w:t>Restrictions on Transfer of Shares</w:t>
      </w:r>
      <w:r>
        <w:rPr>
          <w:rFonts w:ascii="Arial" w:cs="Arial" w:eastAsia="Arial" w:hAnsi="Arial"/>
          <w:sz w:val="14"/>
          <w:szCs w:val="14"/>
          <w:color w:val="auto"/>
        </w:rPr>
        <w:t>. The Shares (whether or not vested) shall be subject to certain transfer restrictions and other limitations including, without limitation, the provisions contained in Section 9 of the Plan.</w:t>
      </w:r>
    </w:p>
    <w:p>
      <w:pPr>
        <w:spacing w:after="0" w:line="131" w:lineRule="exact"/>
        <w:rPr>
          <w:rFonts w:ascii="Arial" w:cs="Arial" w:eastAsia="Arial" w:hAnsi="Arial"/>
          <w:sz w:val="14"/>
          <w:szCs w:val="14"/>
          <w:color w:val="auto"/>
        </w:rPr>
      </w:pPr>
    </w:p>
    <w:p>
      <w:pPr>
        <w:ind w:left="920" w:hanging="456"/>
        <w:spacing w:after="0"/>
        <w:tabs>
          <w:tab w:leader="none" w:pos="920" w:val="left"/>
        </w:tabs>
        <w:numPr>
          <w:ilvl w:val="0"/>
          <w:numId w:val="307"/>
        </w:numPr>
        <w:rPr>
          <w:rFonts w:ascii="Arial" w:cs="Arial" w:eastAsia="Arial" w:hAnsi="Arial"/>
          <w:sz w:val="13"/>
          <w:szCs w:val="13"/>
          <w:color w:val="auto"/>
        </w:rPr>
      </w:pPr>
      <w:r>
        <w:rPr>
          <w:rFonts w:ascii="Arial" w:cs="Arial" w:eastAsia="Arial" w:hAnsi="Arial"/>
          <w:sz w:val="13"/>
          <w:szCs w:val="13"/>
          <w:u w:val="single" w:color="auto"/>
          <w:color w:val="auto"/>
        </w:rPr>
        <w:t>Incorporation of Plan</w:t>
      </w:r>
      <w:r>
        <w:rPr>
          <w:rFonts w:ascii="Arial" w:cs="Arial" w:eastAsia="Arial" w:hAnsi="Arial"/>
          <w:sz w:val="13"/>
          <w:szCs w:val="13"/>
          <w:color w:val="auto"/>
        </w:rPr>
        <w:t>. Notwithstanding anything herein to the contrary, this Restricted Stock Award shall be subject to and governed by all the terms and conditions of the Plan.</w:t>
      </w:r>
    </w:p>
    <w:p>
      <w:pPr>
        <w:spacing w:after="0" w:line="260" w:lineRule="exact"/>
        <w:rPr>
          <w:rFonts w:ascii="Arial" w:cs="Arial" w:eastAsia="Arial" w:hAnsi="Arial"/>
          <w:sz w:val="13"/>
          <w:szCs w:val="13"/>
          <w:color w:val="auto"/>
        </w:rPr>
      </w:pPr>
    </w:p>
    <w:p>
      <w:pPr>
        <w:ind w:left="940" w:hanging="476"/>
        <w:spacing w:after="0"/>
        <w:tabs>
          <w:tab w:leader="none" w:pos="940" w:val="left"/>
        </w:tabs>
        <w:numPr>
          <w:ilvl w:val="0"/>
          <w:numId w:val="307"/>
        </w:numPr>
        <w:rPr>
          <w:rFonts w:ascii="Arial" w:cs="Arial" w:eastAsia="Arial" w:hAnsi="Arial"/>
          <w:sz w:val="14"/>
          <w:szCs w:val="14"/>
          <w:color w:val="auto"/>
        </w:rPr>
      </w:pPr>
      <w:r>
        <w:rPr>
          <w:rFonts w:ascii="Arial" w:cs="Arial" w:eastAsia="Arial" w:hAnsi="Arial"/>
          <w:sz w:val="14"/>
          <w:szCs w:val="14"/>
          <w:u w:val="single" w:color="auto"/>
          <w:color w:val="auto"/>
        </w:rPr>
        <w:t>Miscellaneous Provisions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left="-60" w:firstLine="1042"/>
        <w:spacing w:after="0" w:line="273" w:lineRule="auto"/>
        <w:tabs>
          <w:tab w:leader="none" w:pos="1268" w:val="left"/>
        </w:tabs>
        <w:numPr>
          <w:ilvl w:val="1"/>
          <w:numId w:val="307"/>
        </w:numPr>
        <w:rPr>
          <w:rFonts w:ascii="Arial" w:cs="Arial" w:eastAsia="Arial" w:hAnsi="Arial"/>
          <w:sz w:val="14"/>
          <w:szCs w:val="14"/>
          <w:color w:val="auto"/>
        </w:rPr>
      </w:pPr>
      <w:r>
        <w:rPr>
          <w:rFonts w:ascii="Arial" w:cs="Arial" w:eastAsia="Arial" w:hAnsi="Arial"/>
          <w:sz w:val="14"/>
          <w:szCs w:val="14"/>
          <w:u w:val="single" w:color="auto"/>
          <w:color w:val="auto"/>
        </w:rPr>
        <w:t>Record Owner; Dividends</w:t>
      </w:r>
      <w:r>
        <w:rPr>
          <w:rFonts w:ascii="Arial" w:cs="Arial" w:eastAsia="Arial" w:hAnsi="Arial"/>
          <w:sz w:val="14"/>
          <w:szCs w:val="14"/>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is under no duty to declare any such dividends or to make any such distribution.</w:t>
      </w:r>
    </w:p>
    <w:p>
      <w:pPr>
        <w:spacing w:after="0" w:line="141" w:lineRule="exact"/>
        <w:rPr>
          <w:rFonts w:ascii="Arial" w:cs="Arial" w:eastAsia="Arial" w:hAnsi="Arial"/>
          <w:sz w:val="14"/>
          <w:szCs w:val="14"/>
          <w:color w:val="auto"/>
        </w:rPr>
      </w:pPr>
    </w:p>
    <w:p>
      <w:pPr>
        <w:jc w:val="both"/>
        <w:ind w:left="-60" w:firstLine="1042"/>
        <w:spacing w:after="0" w:line="273" w:lineRule="auto"/>
        <w:tabs>
          <w:tab w:leader="none" w:pos="1266" w:val="left"/>
        </w:tabs>
        <w:numPr>
          <w:ilvl w:val="1"/>
          <w:numId w:val="307"/>
        </w:numPr>
        <w:rPr>
          <w:rFonts w:ascii="Arial" w:cs="Arial" w:eastAsia="Arial" w:hAnsi="Arial"/>
          <w:sz w:val="14"/>
          <w:szCs w:val="14"/>
          <w:color w:val="auto"/>
        </w:rPr>
      </w:pPr>
      <w:r>
        <w:rPr>
          <w:rFonts w:ascii="Arial" w:cs="Arial" w:eastAsia="Arial" w:hAnsi="Arial"/>
          <w:sz w:val="14"/>
          <w:szCs w:val="14"/>
          <w:u w:val="single" w:color="auto"/>
          <w:color w:val="auto"/>
        </w:rPr>
        <w:t>Section 83(b) Election</w:t>
      </w:r>
      <w:r>
        <w:rPr>
          <w:rFonts w:ascii="Arial" w:cs="Arial" w:eastAsia="Arial" w:hAnsi="Arial"/>
          <w:sz w:val="14"/>
          <w:szCs w:val="14"/>
          <w:color w:val="auto"/>
        </w:rPr>
        <w:t>.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w:t>
      </w:r>
    </w:p>
    <w:p>
      <w:pPr>
        <w:spacing w:after="0" w:line="151" w:lineRule="exact"/>
        <w:rPr>
          <w:rFonts w:ascii="Arial" w:cs="Arial" w:eastAsia="Arial" w:hAnsi="Arial"/>
          <w:sz w:val="14"/>
          <w:szCs w:val="14"/>
          <w:color w:val="auto"/>
        </w:rPr>
      </w:pPr>
    </w:p>
    <w:p>
      <w:pPr>
        <w:ind w:left="1260" w:hanging="278"/>
        <w:spacing w:after="0"/>
        <w:tabs>
          <w:tab w:leader="none" w:pos="1260" w:val="left"/>
        </w:tabs>
        <w:numPr>
          <w:ilvl w:val="1"/>
          <w:numId w:val="307"/>
        </w:numPr>
        <w:rPr>
          <w:rFonts w:ascii="Arial" w:cs="Arial" w:eastAsia="Arial" w:hAnsi="Arial"/>
          <w:sz w:val="13"/>
          <w:szCs w:val="13"/>
          <w:color w:val="auto"/>
        </w:rPr>
      </w:pPr>
      <w:r>
        <w:rPr>
          <w:rFonts w:ascii="Arial" w:cs="Arial" w:eastAsia="Arial" w:hAnsi="Arial"/>
          <w:sz w:val="13"/>
          <w:szCs w:val="13"/>
          <w:u w:val="single" w:color="auto"/>
          <w:color w:val="auto"/>
        </w:rPr>
        <w:t>Equitable Relief</w:t>
      </w:r>
      <w:r>
        <w:rPr>
          <w:rFonts w:ascii="Arial" w:cs="Arial" w:eastAsia="Arial" w:hAnsi="Arial"/>
          <w:sz w:val="13"/>
          <w:szCs w:val="13"/>
          <w:color w:val="auto"/>
        </w:rPr>
        <w:t>. The parties hereto agree and declare that legal remedies may be inadequate to enforce the provisions of this Agreement and that equitable relief,</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13970</wp:posOffset>
            </wp:positionV>
            <wp:extent cx="7159625"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40"/>
          </w:cols>
          <w:pgMar w:left="360" w:top="679" w:right="399" w:bottom="1440" w:gutter="0" w:footer="0" w:header="0"/>
        </w:sectPr>
      </w:pPr>
    </w:p>
    <w:bookmarkStart w:id="448" w:name="page449"/>
    <w:bookmarkEnd w:id="448"/>
    <w:p>
      <w:pPr>
        <w:spacing w:after="0"/>
        <w:rPr>
          <w:sz w:val="20"/>
          <w:szCs w:val="20"/>
          <w:color w:val="auto"/>
        </w:rPr>
      </w:pPr>
      <w:r>
        <w:rPr>
          <w:rFonts w:ascii="Arial" w:cs="Arial" w:eastAsia="Arial" w:hAnsi="Arial"/>
          <w:sz w:val="14"/>
          <w:szCs w:val="14"/>
          <w:color w:val="auto"/>
        </w:rPr>
        <w:t>including specific performance and injunctive relief, may be used to enforce the provisions of this Agreement.</w:t>
      </w:r>
    </w:p>
    <w:p>
      <w:pPr>
        <w:spacing w:after="0" w:line="184" w:lineRule="exact"/>
        <w:rPr>
          <w:sz w:val="20"/>
          <w:szCs w:val="20"/>
          <w:color w:val="auto"/>
        </w:rPr>
      </w:pPr>
    </w:p>
    <w:p>
      <w:pPr>
        <w:ind w:right="20" w:firstLine="1042"/>
        <w:spacing w:after="0" w:line="288" w:lineRule="auto"/>
        <w:tabs>
          <w:tab w:leader="none" w:pos="1326"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Change and Modifications</w:t>
      </w:r>
      <w:r>
        <w:rPr>
          <w:rFonts w:ascii="Arial" w:cs="Arial" w:eastAsia="Arial" w:hAnsi="Arial"/>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42" w:lineRule="exact"/>
        <w:rPr>
          <w:rFonts w:ascii="Arial" w:cs="Arial" w:eastAsia="Arial" w:hAnsi="Arial"/>
          <w:sz w:val="14"/>
          <w:szCs w:val="14"/>
          <w:color w:val="auto"/>
        </w:rPr>
      </w:pPr>
    </w:p>
    <w:p>
      <w:pPr>
        <w:jc w:val="both"/>
        <w:ind w:right="20" w:firstLine="1042"/>
        <w:spacing w:after="0" w:line="273" w:lineRule="auto"/>
        <w:tabs>
          <w:tab w:leader="none" w:pos="1317"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41" w:lineRule="exact"/>
        <w:rPr>
          <w:rFonts w:ascii="Arial" w:cs="Arial" w:eastAsia="Arial" w:hAnsi="Arial"/>
          <w:sz w:val="14"/>
          <w:szCs w:val="14"/>
          <w:color w:val="auto"/>
        </w:rPr>
      </w:pPr>
    </w:p>
    <w:p>
      <w:pPr>
        <w:ind w:right="20" w:firstLine="1042"/>
        <w:spacing w:after="0" w:line="288" w:lineRule="auto"/>
        <w:tabs>
          <w:tab w:leader="none" w:pos="1302"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131" w:lineRule="exact"/>
        <w:rPr>
          <w:rFonts w:ascii="Arial" w:cs="Arial" w:eastAsia="Arial" w:hAnsi="Arial"/>
          <w:sz w:val="14"/>
          <w:szCs w:val="14"/>
          <w:color w:val="auto"/>
        </w:rPr>
      </w:pPr>
    </w:p>
    <w:p>
      <w:pPr>
        <w:ind w:right="20" w:firstLine="1042"/>
        <w:spacing w:after="0" w:line="288" w:lineRule="auto"/>
        <w:tabs>
          <w:tab w:leader="none" w:pos="1336"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Saving Clause</w:t>
      </w:r>
      <w:r>
        <w:rPr>
          <w:rFonts w:ascii="Arial" w:cs="Arial" w:eastAsia="Arial" w:hAnsi="Arial"/>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326"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205" w:lineRule="exact"/>
        <w:rPr>
          <w:rFonts w:ascii="Arial" w:cs="Arial" w:eastAsia="Arial" w:hAnsi="Arial"/>
          <w:sz w:val="14"/>
          <w:szCs w:val="14"/>
          <w:color w:val="auto"/>
        </w:rPr>
      </w:pPr>
    </w:p>
    <w:p>
      <w:pPr>
        <w:ind w:right="20" w:firstLine="1042"/>
        <w:spacing w:after="0" w:line="329" w:lineRule="auto"/>
        <w:tabs>
          <w:tab w:leader="none" w:pos="1304" w:val="left"/>
        </w:tabs>
        <w:numPr>
          <w:ilvl w:val="1"/>
          <w:numId w:val="308"/>
        </w:numPr>
        <w:rPr>
          <w:rFonts w:ascii="Arial" w:cs="Arial" w:eastAsia="Arial" w:hAnsi="Arial"/>
          <w:sz w:val="13"/>
          <w:szCs w:val="13"/>
          <w:color w:val="auto"/>
        </w:rPr>
      </w:pPr>
      <w:r>
        <w:rPr>
          <w:rFonts w:ascii="Arial" w:cs="Arial" w:eastAsia="Arial" w:hAnsi="Arial"/>
          <w:sz w:val="13"/>
          <w:szCs w:val="13"/>
          <w:u w:val="single" w:color="auto"/>
          <w:color w:val="auto"/>
        </w:rPr>
        <w:t>Benefit and Binding Effect</w:t>
      </w:r>
      <w:r>
        <w:rPr>
          <w:rFonts w:ascii="Arial" w:cs="Arial" w:eastAsia="Arial" w:hAnsi="Arial"/>
          <w:sz w:val="13"/>
          <w:szCs w:val="13"/>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rFonts w:ascii="Arial" w:cs="Arial" w:eastAsia="Arial" w:hAnsi="Arial"/>
          <w:sz w:val="13"/>
          <w:szCs w:val="13"/>
          <w:color w:val="auto"/>
        </w:rPr>
      </w:pPr>
    </w:p>
    <w:p>
      <w:pPr>
        <w:ind w:right="20" w:firstLine="1042"/>
        <w:spacing w:after="0" w:line="288" w:lineRule="auto"/>
        <w:tabs>
          <w:tab w:leader="none" w:pos="1294"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31" w:lineRule="exact"/>
        <w:rPr>
          <w:rFonts w:ascii="Arial" w:cs="Arial" w:eastAsia="Arial" w:hAnsi="Arial"/>
          <w:sz w:val="14"/>
          <w:szCs w:val="14"/>
          <w:color w:val="auto"/>
        </w:rPr>
      </w:pPr>
    </w:p>
    <w:p>
      <w:pPr>
        <w:ind w:firstLine="1042"/>
        <w:spacing w:after="0" w:line="288" w:lineRule="auto"/>
        <w:tabs>
          <w:tab w:leader="none" w:pos="1326"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Integration</w:t>
      </w:r>
      <w:r>
        <w:rPr>
          <w:rFonts w:ascii="Arial" w:cs="Arial" w:eastAsia="Arial" w:hAnsi="Arial"/>
          <w:sz w:val="14"/>
          <w:szCs w:val="14"/>
          <w:color w:val="auto"/>
        </w:rPr>
        <w:t>. This Agreement constitutes the entire agreement between the parties with respect to this Award and supersedes all prior agreements and discussions between the parties concerning such subject matter.</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309"/>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ind w:firstLine="1042"/>
        <w:spacing w:after="0" w:line="288" w:lineRule="auto"/>
        <w:tabs>
          <w:tab w:leader="none" w:pos="1317" w:val="left"/>
        </w:tabs>
        <w:numPr>
          <w:ilvl w:val="1"/>
          <w:numId w:val="309"/>
        </w:numPr>
        <w:rPr>
          <w:rFonts w:ascii="Arial" w:cs="Arial" w:eastAsia="Arial" w:hAnsi="Arial"/>
          <w:sz w:val="14"/>
          <w:szCs w:val="14"/>
          <w:color w:val="auto"/>
        </w:rPr>
      </w:pPr>
      <w:r>
        <w:rPr>
          <w:rFonts w:ascii="Arial" w:cs="Arial" w:eastAsia="Arial" w:hAnsi="Arial"/>
          <w:sz w:val="14"/>
          <w:szCs w:val="14"/>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679" w:right="399" w:bottom="1440" w:gutter="0" w:footer="0" w:header="0"/>
        </w:sectPr>
      </w:pPr>
    </w:p>
    <w:bookmarkStart w:id="449" w:name="page450"/>
    <w:bookmarkEnd w:id="449"/>
    <w:p>
      <w:pPr>
        <w:spacing w:after="0"/>
        <w:rPr>
          <w:sz w:val="20"/>
          <w:szCs w:val="20"/>
          <w:color w:val="auto"/>
        </w:rPr>
      </w:pPr>
      <w:r>
        <w:rPr>
          <w:rFonts w:ascii="Arial" w:cs="Arial" w:eastAsia="Arial" w:hAnsi="Arial"/>
          <w:sz w:val="13"/>
          <w:szCs w:val="13"/>
          <w:color w:val="auto"/>
        </w:rPr>
        <w:t>accordance with the J.A.M.S./Endispute Comprehensive Arbitration Rules and Procedures (the “J.A.M.S. Rules”). The arbitration shall be governed by the United States Arbitration Act, 9 U.S.C.</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Sections 1 - 16, and judgment upon the award rendered by the arbitrators may be entered by any court having jurisdiction thereof. The place of arbitration shall be New York, New York.</w:t>
      </w:r>
    </w:p>
    <w:p>
      <w:pPr>
        <w:spacing w:after="0" w:line="186" w:lineRule="exact"/>
        <w:rPr>
          <w:sz w:val="20"/>
          <w:szCs w:val="20"/>
          <w:color w:val="auto"/>
        </w:rPr>
      </w:pPr>
    </w:p>
    <w:p>
      <w:pPr>
        <w:jc w:val="both"/>
        <w:ind w:right="20" w:firstLine="1042"/>
        <w:spacing w:after="0" w:line="261" w:lineRule="auto"/>
        <w:tabs>
          <w:tab w:leader="none" w:pos="1336" w:val="left"/>
        </w:tabs>
        <w:numPr>
          <w:ilvl w:val="0"/>
          <w:numId w:val="310"/>
        </w:numPr>
        <w:rPr>
          <w:rFonts w:ascii="Arial" w:cs="Arial" w:eastAsia="Arial" w:hAnsi="Arial"/>
          <w:sz w:val="14"/>
          <w:szCs w:val="14"/>
          <w:color w:val="auto"/>
        </w:rPr>
      </w:pPr>
      <w:r>
        <w:rPr>
          <w:rFonts w:ascii="Arial" w:cs="Arial" w:eastAsia="Arial" w:hAnsi="Arial"/>
          <w:sz w:val="14"/>
          <w:szCs w:val="14"/>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217" w:lineRule="exact"/>
        <w:rPr>
          <w:rFonts w:ascii="Arial" w:cs="Arial" w:eastAsia="Arial" w:hAnsi="Arial"/>
          <w:sz w:val="14"/>
          <w:szCs w:val="14"/>
          <w:color w:val="auto"/>
        </w:rPr>
      </w:pPr>
    </w:p>
    <w:p>
      <w:pPr>
        <w:jc w:val="both"/>
        <w:ind w:right="20" w:firstLine="1042"/>
        <w:spacing w:after="0" w:line="273" w:lineRule="auto"/>
        <w:tabs>
          <w:tab w:leader="none" w:pos="1317" w:val="left"/>
        </w:tabs>
        <w:numPr>
          <w:ilvl w:val="0"/>
          <w:numId w:val="310"/>
        </w:numPr>
        <w:rPr>
          <w:rFonts w:ascii="Arial" w:cs="Arial" w:eastAsia="Arial" w:hAnsi="Arial"/>
          <w:sz w:val="14"/>
          <w:szCs w:val="14"/>
          <w:color w:val="auto"/>
        </w:rPr>
      </w:pPr>
      <w:r>
        <w:rPr>
          <w:rFonts w:ascii="Arial" w:cs="Arial" w:eastAsia="Arial" w:hAnsi="Arial"/>
          <w:sz w:val="14"/>
          <w:szCs w:val="14"/>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41" w:lineRule="exact"/>
        <w:rPr>
          <w:rFonts w:ascii="Arial" w:cs="Arial" w:eastAsia="Arial" w:hAnsi="Arial"/>
          <w:sz w:val="14"/>
          <w:szCs w:val="14"/>
          <w:color w:val="auto"/>
        </w:rPr>
      </w:pPr>
    </w:p>
    <w:p>
      <w:pPr>
        <w:jc w:val="both"/>
        <w:ind w:right="20" w:firstLine="1042"/>
        <w:spacing w:after="0" w:line="284" w:lineRule="auto"/>
        <w:tabs>
          <w:tab w:leader="none" w:pos="1336" w:val="left"/>
        </w:tabs>
        <w:numPr>
          <w:ilvl w:val="0"/>
          <w:numId w:val="310"/>
        </w:numPr>
        <w:rPr>
          <w:rFonts w:ascii="Arial" w:cs="Arial" w:eastAsia="Arial" w:hAnsi="Arial"/>
          <w:sz w:val="13"/>
          <w:szCs w:val="13"/>
          <w:color w:val="auto"/>
        </w:rPr>
      </w:pPr>
      <w:r>
        <w:rPr>
          <w:rFonts w:ascii="Arial" w:cs="Arial" w:eastAsia="Arial" w:hAnsi="Arial"/>
          <w:sz w:val="13"/>
          <w:szCs w:val="13"/>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20"/>
          </w:cols>
          <w:pgMar w:left="300" w:top="668" w:right="379" w:bottom="1440" w:gutter="0" w:footer="0" w:header="0"/>
        </w:sectPr>
      </w:pPr>
    </w:p>
    <w:bookmarkStart w:id="450" w:name="page451"/>
    <w:bookmarkEnd w:id="450"/>
    <w:p>
      <w:pPr>
        <w:jc w:val="both"/>
        <w:ind w:left="-100" w:firstLine="524"/>
        <w:spacing w:after="0" w:line="283" w:lineRule="auto"/>
        <w:tabs>
          <w:tab w:leader="none" w:pos="907"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Waiver of Statutory Information Rights</w:t>
      </w:r>
      <w:r>
        <w:rPr>
          <w:rFonts w:ascii="Arial" w:cs="Arial" w:eastAsia="Arial" w:hAnsi="Arial"/>
          <w:sz w:val="13"/>
          <w:szCs w:val="13"/>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FOLLOWS]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13970</wp:posOffset>
            </wp:positionV>
            <wp:extent cx="7159625"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60"/>
          </w:cols>
          <w:pgMar w:left="400" w:top="712" w:right="439" w:bottom="1440" w:gutter="0" w:footer="0" w:header="0"/>
        </w:sectPr>
      </w:pPr>
    </w:p>
    <w:bookmarkStart w:id="451" w:name="page452"/>
    <w:bookmarkEnd w:id="451"/>
    <w:p>
      <w:pPr>
        <w:ind w:left="340" w:right="180" w:firstLine="518"/>
        <w:spacing w:after="0" w:line="288" w:lineRule="auto"/>
        <w:rPr>
          <w:sz w:val="20"/>
          <w:szCs w:val="20"/>
          <w:color w:val="auto"/>
        </w:rPr>
      </w:pPr>
      <w:r>
        <w:rPr>
          <w:rFonts w:ascii="Arial" w:cs="Arial" w:eastAsia="Arial" w:hAnsi="Arial"/>
          <w:sz w:val="14"/>
          <w:szCs w:val="14"/>
          <w:color w:val="auto"/>
        </w:rPr>
        <w:t>The foregoing Restricted Stock Agreement is hereby accepted and the terms and conditions thereof are hereby agreed to by the undersigned as of the date of purchase of Shares above written.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Title: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184" w:lineRule="exact"/>
        <w:rPr>
          <w:sz w:val="20"/>
          <w:szCs w:val="20"/>
          <w:color w:val="auto"/>
        </w:rPr>
      </w:pPr>
    </w:p>
    <w:p>
      <w:pPr>
        <w:jc w:val="both"/>
        <w:ind w:left="340"/>
        <w:spacing w:after="0" w:line="284" w:lineRule="auto"/>
        <w:rPr>
          <w:sz w:val="20"/>
          <w:szCs w:val="20"/>
          <w:color w:val="auto"/>
        </w:rPr>
      </w:pPr>
      <w:r>
        <w:rPr>
          <w:rFonts w:ascii="Arial" w:cs="Arial" w:eastAsia="Arial" w:hAnsi="Arial"/>
          <w:sz w:val="13"/>
          <w:szCs w:val="13"/>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w:t>
      </w:r>
    </w:p>
    <w:p>
      <w:pPr>
        <w:spacing w:after="0" w:line="1" w:lineRule="exact"/>
        <w:rPr>
          <w:sz w:val="20"/>
          <w:szCs w:val="20"/>
          <w:color w:val="auto"/>
        </w:rPr>
      </w:pPr>
    </w:p>
    <w:p>
      <w:pPr>
        <w:ind w:left="340" w:right="20"/>
        <w:spacing w:after="0" w:line="274" w:lineRule="auto"/>
        <w:rPr>
          <w:sz w:val="20"/>
          <w:szCs w:val="20"/>
          <w:color w:val="auto"/>
        </w:rPr>
      </w:pPr>
      <w:r>
        <w:rPr>
          <w:rFonts w:ascii="Arial" w:cs="Arial" w:eastAsia="Arial" w:hAnsi="Arial"/>
          <w:sz w:val="14"/>
          <w:szCs w:val="14"/>
          <w:color w:val="auto"/>
        </w:rPr>
        <w:t>SPECIFICALLY INCLUDING THE ARBITRATION PROVISIONS SET FORTH IN SECTION 6 AND THE WAIVER OF STATUTORY INFORMATION RIGHTS SET FORTH IN SECTION 7 OF THIS AGREEMENT, are hereby agreed to, by the undersigned as of the date first above written.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GRANTEE: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711" w:right="399" w:bottom="1440" w:gutter="0" w:footer="0" w:header="0"/>
        </w:sectPr>
      </w:pPr>
    </w:p>
    <w:bookmarkStart w:id="452" w:name="page453"/>
    <w:bookmarkEnd w:id="452"/>
    <w:p>
      <w:pPr>
        <w:jc w:val="right"/>
        <w:spacing w:after="0"/>
        <w:rPr>
          <w:sz w:val="20"/>
          <w:szCs w:val="20"/>
          <w:color w:val="auto"/>
        </w:rPr>
      </w:pPr>
      <w:r>
        <w:rPr>
          <w:rFonts w:ascii="Arial" w:cs="Arial" w:eastAsia="Arial" w:hAnsi="Arial"/>
          <w:sz w:val="14"/>
          <w:szCs w:val="14"/>
          <w:b w:val="1"/>
          <w:bCs w:val="1"/>
          <w:color w:val="auto"/>
        </w:rPr>
        <w:t>Exhibit 10.11</w:t>
      </w:r>
    </w:p>
    <w:p>
      <w:pPr>
        <w:spacing w:after="0" w:line="195"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NON-QUALIFIED STOCK OPTION GRANT NOTICE</w:t>
      </w:r>
    </w:p>
    <w:p>
      <w:pPr>
        <w:spacing w:after="0" w:line="25"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UNDER THE CENTURY THERAPEUTICS, INC.</w:t>
      </w:r>
    </w:p>
    <w:p>
      <w:pPr>
        <w:spacing w:after="0" w:line="12"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2018 STOCK OPTION AND GRANT PLAN</w:t>
      </w:r>
    </w:p>
    <w:p>
      <w:pPr>
        <w:spacing w:after="0" w:line="304" w:lineRule="exact"/>
        <w:rPr>
          <w:sz w:val="20"/>
          <w:szCs w:val="20"/>
          <w:color w:val="auto"/>
        </w:rPr>
      </w:pPr>
    </w:p>
    <w:p>
      <w:pPr>
        <w:jc w:val="both"/>
        <w:ind w:left="340" w:right="100" w:firstLine="518"/>
        <w:spacing w:after="0" w:line="263" w:lineRule="auto"/>
        <w:rPr>
          <w:sz w:val="20"/>
          <w:szCs w:val="20"/>
          <w:color w:val="auto"/>
        </w:rPr>
      </w:pPr>
      <w:r>
        <w:rPr>
          <w:rFonts w:ascii="Arial" w:cs="Arial" w:eastAsia="Arial" w:hAnsi="Arial"/>
          <w:sz w:val="14"/>
          <w:szCs w:val="14"/>
          <w:color w:val="auto"/>
        </w:rPr>
        <w:t>Pursuant to the Century Therapeutics, Inc. 2018 Stock Option and Grant Plan (the “Plan”), Century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00" w:type="dxa"/>
            <w:vAlign w:val="bottom"/>
          </w:tcPr>
          <w:p>
            <w:pPr>
              <w:ind w:left="340"/>
              <w:spacing w:after="0"/>
              <w:rPr>
                <w:sz w:val="20"/>
                <w:szCs w:val="20"/>
                <w:color w:val="auto"/>
              </w:rPr>
            </w:pPr>
            <w:r>
              <w:rPr>
                <w:rFonts w:ascii="Arial" w:cs="Arial" w:eastAsia="Arial" w:hAnsi="Arial"/>
                <w:sz w:val="14"/>
                <w:szCs w:val="14"/>
                <w:color w:val="auto"/>
              </w:rPr>
              <w:t>Name of Optionee:</w:t>
            </w:r>
          </w:p>
        </w:tc>
        <w:tc>
          <w:tcPr>
            <w:tcW w:w="8180" w:type="dxa"/>
            <w:vAlign w:val="bottom"/>
          </w:tcPr>
          <w:p>
            <w:pPr>
              <w:ind w:left="1000"/>
              <w:spacing w:after="0"/>
              <w:rPr>
                <w:sz w:val="20"/>
                <w:szCs w:val="20"/>
                <w:color w:val="auto"/>
              </w:rPr>
            </w:pPr>
            <w:r>
              <w:rPr>
                <w:rFonts w:ascii="Arial" w:cs="Arial" w:eastAsia="Arial" w:hAnsi="Arial"/>
                <w:sz w:val="14"/>
                <w:szCs w:val="14"/>
                <w:color w:val="auto"/>
              </w:rPr>
              <w:t>________________ (the “Optionee”)</w:t>
            </w:r>
          </w:p>
        </w:tc>
      </w:tr>
      <w:tr>
        <w:trPr>
          <w:trHeight w:val="313"/>
        </w:trPr>
        <w:tc>
          <w:tcPr>
            <w:tcW w:w="3100" w:type="dxa"/>
            <w:vAlign w:val="bottom"/>
          </w:tcPr>
          <w:p>
            <w:pPr>
              <w:ind w:left="340"/>
              <w:spacing w:after="0"/>
              <w:rPr>
                <w:sz w:val="20"/>
                <w:szCs w:val="20"/>
                <w:color w:val="auto"/>
              </w:rPr>
            </w:pPr>
            <w:r>
              <w:rPr>
                <w:rFonts w:ascii="Arial" w:cs="Arial" w:eastAsia="Arial" w:hAnsi="Arial"/>
                <w:sz w:val="14"/>
                <w:szCs w:val="14"/>
                <w:color w:val="auto"/>
              </w:rPr>
              <w:t>No. of Shares:</w:t>
            </w:r>
          </w:p>
        </w:tc>
        <w:tc>
          <w:tcPr>
            <w:tcW w:w="8180" w:type="dxa"/>
            <w:vAlign w:val="bottom"/>
          </w:tcPr>
          <w:p>
            <w:pPr>
              <w:ind w:left="1000"/>
              <w:spacing w:after="0"/>
              <w:rPr>
                <w:sz w:val="20"/>
                <w:szCs w:val="20"/>
                <w:color w:val="auto"/>
              </w:rPr>
            </w:pPr>
            <w:r>
              <w:rPr>
                <w:rFonts w:ascii="Arial" w:cs="Arial" w:eastAsia="Arial" w:hAnsi="Arial"/>
                <w:sz w:val="14"/>
                <w:szCs w:val="14"/>
                <w:color w:val="auto"/>
              </w:rPr>
              <w:t>__________Shares of Common Stock</w:t>
            </w:r>
          </w:p>
        </w:tc>
      </w:tr>
      <w:tr>
        <w:trPr>
          <w:trHeight w:val="313"/>
        </w:trPr>
        <w:tc>
          <w:tcPr>
            <w:tcW w:w="3100" w:type="dxa"/>
            <w:vAlign w:val="bottom"/>
          </w:tcPr>
          <w:p>
            <w:pPr>
              <w:ind w:left="340"/>
              <w:spacing w:after="0"/>
              <w:rPr>
                <w:sz w:val="20"/>
                <w:szCs w:val="20"/>
                <w:color w:val="auto"/>
              </w:rPr>
            </w:pPr>
            <w:r>
              <w:rPr>
                <w:rFonts w:ascii="Arial" w:cs="Arial" w:eastAsia="Arial" w:hAnsi="Arial"/>
                <w:sz w:val="14"/>
                <w:szCs w:val="14"/>
                <w:color w:val="auto"/>
              </w:rPr>
              <w:t>Grant Date:</w:t>
            </w:r>
          </w:p>
        </w:tc>
        <w:tc>
          <w:tcPr>
            <w:tcW w:w="8180" w:type="dxa"/>
            <w:vAlign w:val="bottom"/>
          </w:tcPr>
          <w:p>
            <w:pPr>
              <w:ind w:left="1000"/>
              <w:spacing w:after="0"/>
              <w:rPr>
                <w:sz w:val="20"/>
                <w:szCs w:val="20"/>
                <w:color w:val="auto"/>
              </w:rPr>
            </w:pPr>
            <w:r>
              <w:rPr>
                <w:rFonts w:ascii="Arial" w:cs="Arial" w:eastAsia="Arial" w:hAnsi="Arial"/>
                <w:sz w:val="14"/>
                <w:szCs w:val="14"/>
                <w:color w:val="auto"/>
              </w:rPr>
              <w:t>________________</w:t>
            </w:r>
          </w:p>
        </w:tc>
      </w:tr>
      <w:tr>
        <w:trPr>
          <w:trHeight w:val="313"/>
        </w:trPr>
        <w:tc>
          <w:tcPr>
            <w:tcW w:w="3100" w:type="dxa"/>
            <w:vAlign w:val="bottom"/>
          </w:tcPr>
          <w:p>
            <w:pPr>
              <w:ind w:left="340"/>
              <w:spacing w:after="0"/>
              <w:rPr>
                <w:sz w:val="20"/>
                <w:szCs w:val="20"/>
                <w:color w:val="auto"/>
              </w:rPr>
            </w:pPr>
            <w:r>
              <w:rPr>
                <w:rFonts w:ascii="Arial" w:cs="Arial" w:eastAsia="Arial" w:hAnsi="Arial"/>
                <w:sz w:val="14"/>
                <w:szCs w:val="14"/>
                <w:color w:val="auto"/>
              </w:rPr>
              <w:t>Vesting Commencement Date:</w:t>
            </w:r>
          </w:p>
        </w:tc>
        <w:tc>
          <w:tcPr>
            <w:tcW w:w="8180" w:type="dxa"/>
            <w:vAlign w:val="bottom"/>
          </w:tcPr>
          <w:p>
            <w:pPr>
              <w:ind w:left="1000"/>
              <w:spacing w:after="0"/>
              <w:rPr>
                <w:sz w:val="20"/>
                <w:szCs w:val="20"/>
                <w:color w:val="auto"/>
              </w:rPr>
            </w:pPr>
            <w:r>
              <w:rPr>
                <w:rFonts w:ascii="Arial" w:cs="Arial" w:eastAsia="Arial" w:hAnsi="Arial"/>
                <w:sz w:val="14"/>
                <w:szCs w:val="14"/>
                <w:color w:val="auto"/>
              </w:rPr>
              <w:t>________________ (the “Vesting Commencement Date”)</w:t>
            </w:r>
          </w:p>
        </w:tc>
      </w:tr>
      <w:tr>
        <w:trPr>
          <w:trHeight w:val="313"/>
        </w:trPr>
        <w:tc>
          <w:tcPr>
            <w:tcW w:w="3100" w:type="dxa"/>
            <w:vAlign w:val="bottom"/>
          </w:tcPr>
          <w:p>
            <w:pPr>
              <w:ind w:left="340"/>
              <w:spacing w:after="0"/>
              <w:rPr>
                <w:sz w:val="20"/>
                <w:szCs w:val="20"/>
                <w:color w:val="auto"/>
              </w:rPr>
            </w:pPr>
            <w:r>
              <w:rPr>
                <w:rFonts w:ascii="Arial" w:cs="Arial" w:eastAsia="Arial" w:hAnsi="Arial"/>
                <w:sz w:val="14"/>
                <w:szCs w:val="14"/>
                <w:color w:val="auto"/>
              </w:rPr>
              <w:t>Expiration Date:</w:t>
            </w:r>
          </w:p>
        </w:tc>
        <w:tc>
          <w:tcPr>
            <w:tcW w:w="8180" w:type="dxa"/>
            <w:vAlign w:val="bottom"/>
          </w:tcPr>
          <w:p>
            <w:pPr>
              <w:ind w:left="1000"/>
              <w:spacing w:after="0"/>
              <w:rPr>
                <w:sz w:val="20"/>
                <w:szCs w:val="20"/>
                <w:color w:val="auto"/>
              </w:rPr>
            </w:pPr>
            <w:r>
              <w:rPr>
                <w:rFonts w:ascii="Arial" w:cs="Arial" w:eastAsia="Arial" w:hAnsi="Arial"/>
                <w:sz w:val="14"/>
                <w:szCs w:val="14"/>
                <w:color w:val="auto"/>
              </w:rPr>
              <w:t>________________ (the “Expiration Date”)</w:t>
            </w:r>
          </w:p>
        </w:tc>
      </w:tr>
      <w:tr>
        <w:trPr>
          <w:trHeight w:val="313"/>
        </w:trPr>
        <w:tc>
          <w:tcPr>
            <w:tcW w:w="3100" w:type="dxa"/>
            <w:vAlign w:val="bottom"/>
          </w:tcPr>
          <w:p>
            <w:pPr>
              <w:ind w:left="340"/>
              <w:spacing w:after="0"/>
              <w:rPr>
                <w:sz w:val="20"/>
                <w:szCs w:val="20"/>
                <w:color w:val="auto"/>
              </w:rPr>
            </w:pPr>
            <w:r>
              <w:rPr>
                <w:rFonts w:ascii="Arial" w:cs="Arial" w:eastAsia="Arial" w:hAnsi="Arial"/>
                <w:sz w:val="14"/>
                <w:szCs w:val="14"/>
                <w:color w:val="auto"/>
              </w:rPr>
              <w:t>Option Exercise Price/Share:</w:t>
            </w:r>
          </w:p>
        </w:tc>
        <w:tc>
          <w:tcPr>
            <w:tcW w:w="8180" w:type="dxa"/>
            <w:vAlign w:val="bottom"/>
          </w:tcPr>
          <w:p>
            <w:pPr>
              <w:ind w:left="1000"/>
              <w:spacing w:after="0"/>
              <w:rPr>
                <w:sz w:val="20"/>
                <w:szCs w:val="20"/>
                <w:color w:val="auto"/>
              </w:rPr>
            </w:pPr>
            <w:r>
              <w:rPr>
                <w:rFonts w:ascii="Arial" w:cs="Arial" w:eastAsia="Arial" w:hAnsi="Arial"/>
                <w:sz w:val="14"/>
                <w:szCs w:val="14"/>
                <w:color w:val="auto"/>
              </w:rPr>
              <w:t>$_______________ (the “Option Exercise Price”)</w:t>
            </w:r>
          </w:p>
        </w:tc>
      </w:tr>
      <w:tr>
        <w:trPr>
          <w:trHeight w:val="303"/>
        </w:trPr>
        <w:tc>
          <w:tcPr>
            <w:tcW w:w="3100" w:type="dxa"/>
            <w:vAlign w:val="bottom"/>
          </w:tcPr>
          <w:p>
            <w:pPr>
              <w:ind w:left="340"/>
              <w:spacing w:after="0"/>
              <w:rPr>
                <w:sz w:val="20"/>
                <w:szCs w:val="20"/>
                <w:color w:val="auto"/>
              </w:rPr>
            </w:pPr>
            <w:r>
              <w:rPr>
                <w:rFonts w:ascii="Arial" w:cs="Arial" w:eastAsia="Arial" w:hAnsi="Arial"/>
                <w:sz w:val="14"/>
                <w:szCs w:val="14"/>
                <w:color w:val="auto"/>
              </w:rPr>
              <w:t>Vesting Schedule:</w:t>
            </w:r>
          </w:p>
        </w:tc>
        <w:tc>
          <w:tcPr>
            <w:tcW w:w="8180" w:type="dxa"/>
            <w:vAlign w:val="bottom"/>
          </w:tcPr>
          <w:p>
            <w:pPr>
              <w:ind w:left="1000"/>
              <w:spacing w:after="0"/>
              <w:rPr>
                <w:sz w:val="20"/>
                <w:szCs w:val="20"/>
                <w:color w:val="auto"/>
              </w:rPr>
            </w:pPr>
            <w:r>
              <w:rPr>
                <w:rFonts w:ascii="Arial" w:cs="Arial" w:eastAsia="Arial" w:hAnsi="Arial"/>
                <w:sz w:val="14"/>
                <w:szCs w:val="14"/>
                <w:color w:val="auto"/>
                <w:w w:val="95"/>
              </w:rPr>
              <w:t>25 percent of the Shares shall vest and become exercisable on the first anniversary of the Vesting Commencement Date;</w:t>
            </w:r>
          </w:p>
        </w:tc>
      </w:tr>
      <w:tr>
        <w:trPr>
          <w:trHeight w:val="173"/>
        </w:trPr>
        <w:tc>
          <w:tcPr>
            <w:tcW w:w="3100" w:type="dxa"/>
            <w:vAlign w:val="bottom"/>
          </w:tcPr>
          <w:p>
            <w:pPr>
              <w:spacing w:after="0"/>
              <w:rPr>
                <w:sz w:val="15"/>
                <w:szCs w:val="15"/>
                <w:color w:val="auto"/>
              </w:rPr>
            </w:pPr>
          </w:p>
        </w:tc>
        <w:tc>
          <w:tcPr>
            <w:tcW w:w="8180" w:type="dxa"/>
            <w:vAlign w:val="bottom"/>
          </w:tcPr>
          <w:p>
            <w:pPr>
              <w:ind w:left="1000"/>
              <w:spacing w:after="0"/>
              <w:rPr>
                <w:sz w:val="20"/>
                <w:szCs w:val="20"/>
                <w:color w:val="auto"/>
              </w:rPr>
            </w:pPr>
            <w:r>
              <w:rPr>
                <w:rFonts w:ascii="Arial" w:cs="Arial" w:eastAsia="Arial" w:hAnsi="Arial"/>
                <w:sz w:val="14"/>
                <w:szCs w:val="14"/>
                <w:color w:val="auto"/>
                <w:w w:val="99"/>
              </w:rPr>
              <w:t>provided that the Optionee continues to have a Service Relationship with the Company at such time. Thereafter, the</w:t>
            </w:r>
          </w:p>
        </w:tc>
      </w:tr>
      <w:tr>
        <w:trPr>
          <w:trHeight w:val="173"/>
        </w:trPr>
        <w:tc>
          <w:tcPr>
            <w:tcW w:w="3100" w:type="dxa"/>
            <w:vAlign w:val="bottom"/>
          </w:tcPr>
          <w:p>
            <w:pPr>
              <w:spacing w:after="0"/>
              <w:rPr>
                <w:sz w:val="15"/>
                <w:szCs w:val="15"/>
                <w:color w:val="auto"/>
              </w:rPr>
            </w:pPr>
          </w:p>
        </w:tc>
        <w:tc>
          <w:tcPr>
            <w:tcW w:w="8180" w:type="dxa"/>
            <w:vAlign w:val="bottom"/>
          </w:tcPr>
          <w:p>
            <w:pPr>
              <w:ind w:left="1000"/>
              <w:spacing w:after="0"/>
              <w:rPr>
                <w:sz w:val="20"/>
                <w:szCs w:val="20"/>
                <w:color w:val="auto"/>
              </w:rPr>
            </w:pPr>
            <w:r>
              <w:rPr>
                <w:rFonts w:ascii="Arial" w:cs="Arial" w:eastAsia="Arial" w:hAnsi="Arial"/>
                <w:sz w:val="14"/>
                <w:szCs w:val="14"/>
                <w:color w:val="auto"/>
                <w:w w:val="99"/>
              </w:rPr>
              <w:t>remaining 75 percent of the Shares shall vest and become exercisable in 36 equal monthly installments following the</w:t>
            </w:r>
          </w:p>
        </w:tc>
      </w:tr>
      <w:tr>
        <w:trPr>
          <w:trHeight w:val="173"/>
        </w:trPr>
        <w:tc>
          <w:tcPr>
            <w:tcW w:w="3100" w:type="dxa"/>
            <w:vAlign w:val="bottom"/>
          </w:tcPr>
          <w:p>
            <w:pPr>
              <w:spacing w:after="0"/>
              <w:rPr>
                <w:sz w:val="15"/>
                <w:szCs w:val="15"/>
                <w:color w:val="auto"/>
              </w:rPr>
            </w:pPr>
          </w:p>
        </w:tc>
        <w:tc>
          <w:tcPr>
            <w:tcW w:w="8180" w:type="dxa"/>
            <w:vAlign w:val="bottom"/>
          </w:tcPr>
          <w:p>
            <w:pPr>
              <w:ind w:left="1000"/>
              <w:spacing w:after="0"/>
              <w:rPr>
                <w:sz w:val="20"/>
                <w:szCs w:val="20"/>
                <w:color w:val="auto"/>
              </w:rPr>
            </w:pPr>
            <w:r>
              <w:rPr>
                <w:rFonts w:ascii="Arial" w:cs="Arial" w:eastAsia="Arial" w:hAnsi="Arial"/>
                <w:sz w:val="14"/>
                <w:szCs w:val="14"/>
                <w:color w:val="auto"/>
                <w:w w:val="97"/>
              </w:rPr>
              <w:t>first anniversary of the Vesting Commencement Date, provided the Optionee continues to have a Service Relationship</w:t>
            </w:r>
          </w:p>
        </w:tc>
      </w:tr>
      <w:tr>
        <w:trPr>
          <w:trHeight w:val="173"/>
        </w:trPr>
        <w:tc>
          <w:tcPr>
            <w:tcW w:w="3100" w:type="dxa"/>
            <w:vAlign w:val="bottom"/>
          </w:tcPr>
          <w:p>
            <w:pPr>
              <w:spacing w:after="0"/>
              <w:rPr>
                <w:sz w:val="15"/>
                <w:szCs w:val="15"/>
                <w:color w:val="auto"/>
              </w:rPr>
            </w:pPr>
          </w:p>
        </w:tc>
        <w:tc>
          <w:tcPr>
            <w:tcW w:w="8180" w:type="dxa"/>
            <w:vAlign w:val="bottom"/>
          </w:tcPr>
          <w:p>
            <w:pPr>
              <w:ind w:left="1000"/>
              <w:spacing w:after="0"/>
              <w:rPr>
                <w:sz w:val="20"/>
                <w:szCs w:val="20"/>
                <w:color w:val="auto"/>
              </w:rPr>
            </w:pPr>
            <w:r>
              <w:rPr>
                <w:rFonts w:ascii="Arial" w:cs="Arial" w:eastAsia="Arial" w:hAnsi="Arial"/>
                <w:sz w:val="14"/>
                <w:szCs w:val="14"/>
                <w:color w:val="auto"/>
              </w:rPr>
              <w:t>with the Company on each vesting date. Notwithstanding anything in the Agreement to the contrary, in the case of a</w:t>
            </w:r>
          </w:p>
        </w:tc>
      </w:tr>
      <w:tr>
        <w:trPr>
          <w:trHeight w:val="182"/>
        </w:trPr>
        <w:tc>
          <w:tcPr>
            <w:tcW w:w="3100" w:type="dxa"/>
            <w:vAlign w:val="bottom"/>
          </w:tcPr>
          <w:p>
            <w:pPr>
              <w:spacing w:after="0"/>
              <w:rPr>
                <w:sz w:val="15"/>
                <w:szCs w:val="15"/>
                <w:color w:val="auto"/>
              </w:rPr>
            </w:pPr>
          </w:p>
        </w:tc>
        <w:tc>
          <w:tcPr>
            <w:tcW w:w="8180" w:type="dxa"/>
            <w:vAlign w:val="bottom"/>
          </w:tcPr>
          <w:p>
            <w:pPr>
              <w:ind w:left="1000"/>
              <w:spacing w:after="0"/>
              <w:rPr>
                <w:sz w:val="20"/>
                <w:szCs w:val="20"/>
                <w:color w:val="auto"/>
              </w:rPr>
            </w:pPr>
            <w:r>
              <w:rPr>
                <w:rFonts w:ascii="Arial" w:cs="Arial" w:eastAsia="Arial" w:hAnsi="Arial"/>
                <w:sz w:val="14"/>
                <w:szCs w:val="14"/>
                <w:color w:val="auto"/>
              </w:rPr>
              <w:t>Sale Event, this Stock Option and the Shares shall be treated as provided in Section 3(c) of the Plan.</w:t>
            </w:r>
          </w:p>
        </w:tc>
      </w:tr>
      <w:tr>
        <w:trPr>
          <w:trHeight w:val="692"/>
        </w:trPr>
        <w:tc>
          <w:tcPr>
            <w:tcW w:w="310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7" w:right="319" w:bottom="1440" w:gutter="0" w:footer="0" w:header="0"/>
        </w:sectPr>
      </w:pPr>
    </w:p>
    <w:bookmarkStart w:id="453" w:name="page454"/>
    <w:bookmarkEnd w:id="453"/>
    <w:p>
      <w:pPr>
        <w:jc w:val="center"/>
        <w:ind w:right="240"/>
        <w:spacing w:after="0"/>
        <w:rPr>
          <w:sz w:val="20"/>
          <w:szCs w:val="20"/>
          <w:color w:val="auto"/>
        </w:rPr>
      </w:pPr>
      <w:r>
        <w:rPr>
          <w:rFonts w:ascii="Arial" w:cs="Arial" w:eastAsia="Arial" w:hAnsi="Arial"/>
          <w:sz w:val="14"/>
          <w:szCs w:val="14"/>
          <w:b w:val="1"/>
          <w:bCs w:val="1"/>
          <w:color w:val="auto"/>
        </w:rPr>
        <w:t>NON-QUALIFIED STOCK OPTION AGREEMENT</w:t>
      </w:r>
    </w:p>
    <w:p>
      <w:pPr>
        <w:spacing w:after="0" w:line="25"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UNDER THE CENTURY THERAPEUTICS, INC.</w:t>
      </w:r>
    </w:p>
    <w:p>
      <w:pPr>
        <w:spacing w:after="0" w:line="149"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2018 STOCK OPTION AND GRANT PLAN</w:t>
      </w:r>
    </w:p>
    <w:p>
      <w:pPr>
        <w:spacing w:after="0" w:line="30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capitalized terms used herein and not otherwise defined shall have the respective meanings set forth in the Grant Notice and the Plan.</w:t>
      </w:r>
    </w:p>
    <w:p>
      <w:pPr>
        <w:spacing w:after="0" w:line="184" w:lineRule="exact"/>
        <w:rPr>
          <w:sz w:val="20"/>
          <w:szCs w:val="20"/>
          <w:color w:val="auto"/>
        </w:rPr>
      </w:pPr>
    </w:p>
    <w:p>
      <w:pPr>
        <w:ind w:left="1140" w:hanging="625"/>
        <w:spacing w:after="0"/>
        <w:tabs>
          <w:tab w:leader="none" w:pos="1140" w:val="left"/>
        </w:tabs>
        <w:numPr>
          <w:ilvl w:val="0"/>
          <w:numId w:val="312"/>
        </w:numPr>
        <w:rPr>
          <w:rFonts w:ascii="Arial" w:cs="Arial" w:eastAsia="Arial" w:hAnsi="Arial"/>
          <w:sz w:val="14"/>
          <w:szCs w:val="14"/>
          <w:color w:val="auto"/>
        </w:rPr>
      </w:pPr>
      <w:r>
        <w:rPr>
          <w:rFonts w:ascii="Arial" w:cs="Arial" w:eastAsia="Arial" w:hAnsi="Arial"/>
          <w:sz w:val="14"/>
          <w:szCs w:val="14"/>
          <w:u w:val="single" w:color="auto"/>
          <w:color w:val="auto"/>
        </w:rPr>
        <w:t>Vesting, Exercisability and Termination</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ind w:left="1460" w:hanging="272"/>
        <w:spacing w:after="0"/>
        <w:tabs>
          <w:tab w:leader="none" w:pos="1460" w:val="left"/>
        </w:tabs>
        <w:numPr>
          <w:ilvl w:val="1"/>
          <w:numId w:val="312"/>
        </w:numPr>
        <w:rPr>
          <w:rFonts w:ascii="Arial" w:cs="Arial" w:eastAsia="Arial" w:hAnsi="Arial"/>
          <w:sz w:val="14"/>
          <w:szCs w:val="14"/>
          <w:color w:val="auto"/>
        </w:rPr>
      </w:pPr>
      <w:r>
        <w:rPr>
          <w:rFonts w:ascii="Arial" w:cs="Arial" w:eastAsia="Arial" w:hAnsi="Arial"/>
          <w:sz w:val="14"/>
          <w:szCs w:val="14"/>
          <w:color w:val="auto"/>
        </w:rPr>
        <w:t>No portion of this Stock Option may be exercised until such portion shall have vested and become exercisable.</w:t>
      </w:r>
    </w:p>
    <w:p>
      <w:pPr>
        <w:spacing w:after="0" w:line="184" w:lineRule="exact"/>
        <w:rPr>
          <w:rFonts w:ascii="Arial" w:cs="Arial" w:eastAsia="Arial" w:hAnsi="Arial"/>
          <w:sz w:val="14"/>
          <w:szCs w:val="14"/>
          <w:color w:val="auto"/>
        </w:rPr>
      </w:pPr>
    </w:p>
    <w:p>
      <w:pPr>
        <w:ind w:right="20" w:firstLine="1188"/>
        <w:spacing w:after="0" w:line="288" w:lineRule="auto"/>
        <w:tabs>
          <w:tab w:leader="none" w:pos="1467" w:val="left"/>
        </w:tabs>
        <w:numPr>
          <w:ilvl w:val="1"/>
          <w:numId w:val="312"/>
        </w:numPr>
        <w:rPr>
          <w:rFonts w:ascii="Arial" w:cs="Arial" w:eastAsia="Arial" w:hAnsi="Arial"/>
          <w:sz w:val="14"/>
          <w:szCs w:val="14"/>
          <w:color w:val="auto"/>
        </w:rPr>
      </w:pPr>
      <w:r>
        <w:rPr>
          <w:rFonts w:ascii="Arial" w:cs="Arial" w:eastAsia="Arial" w:hAnsi="Arial"/>
          <w:sz w:val="14"/>
          <w:szCs w:val="14"/>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31" w:lineRule="exact"/>
        <w:rPr>
          <w:rFonts w:ascii="Arial" w:cs="Arial" w:eastAsia="Arial" w:hAnsi="Arial"/>
          <w:sz w:val="14"/>
          <w:szCs w:val="14"/>
          <w:color w:val="auto"/>
        </w:rPr>
      </w:pPr>
    </w:p>
    <w:p>
      <w:pPr>
        <w:ind w:left="2180" w:hanging="629"/>
        <w:spacing w:after="0"/>
        <w:tabs>
          <w:tab w:leader="none" w:pos="2180" w:val="left"/>
        </w:tabs>
        <w:numPr>
          <w:ilvl w:val="2"/>
          <w:numId w:val="312"/>
        </w:numPr>
        <w:rPr>
          <w:rFonts w:ascii="Arial" w:cs="Arial" w:eastAsia="Arial" w:hAnsi="Arial"/>
          <w:sz w:val="14"/>
          <w:szCs w:val="14"/>
          <w:color w:val="auto"/>
        </w:rPr>
      </w:pPr>
      <w:r>
        <w:rPr>
          <w:rFonts w:ascii="Arial" w:cs="Arial" w:eastAsia="Arial" w:hAnsi="Arial"/>
          <w:sz w:val="14"/>
          <w:szCs w:val="14"/>
          <w:color w:val="auto"/>
        </w:rPr>
        <w:t>This Stock Option shall initially be unvested and unexercisable.</w:t>
      </w:r>
    </w:p>
    <w:p>
      <w:pPr>
        <w:spacing w:after="0" w:line="184" w:lineRule="exact"/>
        <w:rPr>
          <w:rFonts w:ascii="Arial" w:cs="Arial" w:eastAsia="Arial" w:hAnsi="Arial"/>
          <w:sz w:val="14"/>
          <w:szCs w:val="14"/>
          <w:color w:val="auto"/>
        </w:rPr>
      </w:pPr>
    </w:p>
    <w:p>
      <w:pPr>
        <w:ind w:left="2160" w:hanging="609"/>
        <w:spacing w:after="0"/>
        <w:tabs>
          <w:tab w:leader="none" w:pos="2160" w:val="left"/>
        </w:tabs>
        <w:numPr>
          <w:ilvl w:val="2"/>
          <w:numId w:val="312"/>
        </w:numPr>
        <w:rPr>
          <w:rFonts w:ascii="Arial" w:cs="Arial" w:eastAsia="Arial" w:hAnsi="Arial"/>
          <w:sz w:val="14"/>
          <w:szCs w:val="14"/>
          <w:color w:val="auto"/>
        </w:rPr>
      </w:pPr>
      <w:r>
        <w:rPr>
          <w:rFonts w:ascii="Arial" w:cs="Arial" w:eastAsia="Arial" w:hAnsi="Arial"/>
          <w:sz w:val="14"/>
          <w:szCs w:val="14"/>
          <w:color w:val="auto"/>
        </w:rPr>
        <w:t>This Stock Option shall vest and become exercisable in accordance with the Vesting Schedule set forth in the Grant Notice.</w:t>
      </w:r>
    </w:p>
    <w:p>
      <w:pPr>
        <w:spacing w:after="0" w:line="184" w:lineRule="exact"/>
        <w:rPr>
          <w:rFonts w:ascii="Arial" w:cs="Arial" w:eastAsia="Arial" w:hAnsi="Arial"/>
          <w:sz w:val="14"/>
          <w:szCs w:val="14"/>
          <w:color w:val="auto"/>
        </w:rPr>
      </w:pPr>
    </w:p>
    <w:p>
      <w:pPr>
        <w:ind w:right="20" w:firstLine="1188"/>
        <w:spacing w:after="0" w:line="329" w:lineRule="auto"/>
        <w:tabs>
          <w:tab w:leader="none" w:pos="1459" w:val="left"/>
        </w:tabs>
        <w:numPr>
          <w:ilvl w:val="1"/>
          <w:numId w:val="312"/>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08" w:lineRule="exact"/>
        <w:rPr>
          <w:rFonts w:ascii="Arial" w:cs="Arial" w:eastAsia="Arial" w:hAnsi="Arial"/>
          <w:sz w:val="13"/>
          <w:szCs w:val="13"/>
          <w:color w:val="auto"/>
        </w:rPr>
      </w:pPr>
    </w:p>
    <w:p>
      <w:pPr>
        <w:jc w:val="both"/>
        <w:ind w:left="520" w:right="20" w:firstLine="1031"/>
        <w:spacing w:after="0" w:line="273" w:lineRule="auto"/>
        <w:tabs>
          <w:tab w:leader="none" w:pos="2188" w:val="left"/>
        </w:tabs>
        <w:numPr>
          <w:ilvl w:val="2"/>
          <w:numId w:val="312"/>
        </w:numPr>
        <w:rPr>
          <w:rFonts w:ascii="Arial" w:cs="Arial" w:eastAsia="Arial" w:hAnsi="Arial"/>
          <w:sz w:val="14"/>
          <w:szCs w:val="14"/>
          <w:color w:val="auto"/>
        </w:rPr>
      </w:pPr>
      <w:r>
        <w:rPr>
          <w:rFonts w:ascii="Arial" w:cs="Arial" w:eastAsia="Arial" w:hAnsi="Arial"/>
          <w:sz w:val="14"/>
          <w:szCs w:val="14"/>
          <w:u w:val="single" w:color="auto"/>
          <w:color w:val="auto"/>
        </w:rPr>
        <w:t>Termination Due to Death or Disability</w:t>
      </w:r>
      <w:r>
        <w:rPr>
          <w:rFonts w:ascii="Arial" w:cs="Arial" w:eastAsia="Arial" w:hAnsi="Arial"/>
          <w:sz w:val="14"/>
          <w:szCs w:val="14"/>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51" w:lineRule="exact"/>
        <w:rPr>
          <w:rFonts w:ascii="Arial" w:cs="Arial" w:eastAsia="Arial" w:hAnsi="Arial"/>
          <w:sz w:val="14"/>
          <w:szCs w:val="14"/>
          <w:color w:val="auto"/>
        </w:rPr>
      </w:pPr>
    </w:p>
    <w:p>
      <w:pPr>
        <w:jc w:val="both"/>
        <w:ind w:left="520" w:firstLine="1031"/>
        <w:spacing w:after="0" w:line="303" w:lineRule="auto"/>
        <w:tabs>
          <w:tab w:leader="none" w:pos="2170" w:val="left"/>
        </w:tabs>
        <w:numPr>
          <w:ilvl w:val="2"/>
          <w:numId w:val="312"/>
        </w:numPr>
        <w:rPr>
          <w:rFonts w:ascii="Arial" w:cs="Arial" w:eastAsia="Arial" w:hAnsi="Arial"/>
          <w:sz w:val="13"/>
          <w:szCs w:val="13"/>
          <w:color w:val="auto"/>
        </w:rPr>
      </w:pPr>
      <w:r>
        <w:rPr>
          <w:rFonts w:ascii="Arial" w:cs="Arial" w:eastAsia="Arial" w:hAnsi="Arial"/>
          <w:sz w:val="13"/>
          <w:szCs w:val="13"/>
          <w:u w:val="single" w:color="auto"/>
          <w:color w:val="auto"/>
        </w:rPr>
        <w:t>Other Termination</w:t>
      </w:r>
      <w:r>
        <w:rPr>
          <w:rFonts w:ascii="Arial" w:cs="Arial" w:eastAsia="Arial" w:hAnsi="Arial"/>
          <w:sz w:val="13"/>
          <w:szCs w:val="13"/>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3"/>
          <w:szCs w:val="13"/>
          <w:u w:val="single" w:color="auto"/>
          <w:color w:val="auto"/>
        </w:rPr>
        <w:t>provided however</w:t>
      </w:r>
      <w:r>
        <w:rPr>
          <w:rFonts w:ascii="Arial" w:cs="Arial" w:eastAsia="Arial" w:hAnsi="Arial"/>
          <w:sz w:val="13"/>
          <w:szCs w:val="13"/>
          <w:color w:val="auto"/>
        </w:rPr>
        <w:t>, if the Optionee’s Service Relationship is terminated for Cause, this Stock Option shall terminate immediately upon the date of such termination.</w:t>
      </w:r>
    </w:p>
    <w:p>
      <w:pPr>
        <w:spacing w:after="0" w:line="124" w:lineRule="exact"/>
        <w:rPr>
          <w:sz w:val="20"/>
          <w:szCs w:val="20"/>
          <w:color w:val="auto"/>
        </w:rPr>
      </w:pPr>
    </w:p>
    <w:p>
      <w:pPr>
        <w:ind w:right="20" w:firstLine="518"/>
        <w:spacing w:after="0" w:line="288" w:lineRule="auto"/>
        <w:rPr>
          <w:sz w:val="20"/>
          <w:szCs w:val="20"/>
          <w:color w:val="auto"/>
        </w:rPr>
      </w:pPr>
      <w:r>
        <w:rPr>
          <w:rFonts w:ascii="Arial" w:cs="Arial" w:eastAsia="Arial" w:hAnsi="Arial"/>
          <w:sz w:val="14"/>
          <w:szCs w:val="14"/>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w:t>
      </w:r>
    </w:p>
    <w:p>
      <w:pPr>
        <w:spacing w:after="0" w:line="304"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13970</wp:posOffset>
            </wp:positionV>
            <wp:extent cx="7159625"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60"/>
          </w:cols>
          <w:pgMar w:left="640" w:top="891" w:right="399" w:bottom="1440" w:gutter="0" w:footer="0" w:header="0"/>
        </w:sectPr>
      </w:pPr>
    </w:p>
    <w:bookmarkStart w:id="454" w:name="page455"/>
    <w:bookmarkEnd w:id="454"/>
    <w:p>
      <w:pPr>
        <w:spacing w:after="0"/>
        <w:rPr>
          <w:sz w:val="20"/>
          <w:szCs w:val="20"/>
          <w:color w:val="auto"/>
        </w:rPr>
      </w:pPr>
      <w:r>
        <w:rPr>
          <w:rFonts w:ascii="Arial" w:cs="Arial" w:eastAsia="Arial" w:hAnsi="Arial"/>
          <w:sz w:val="14"/>
          <w:szCs w:val="14"/>
          <w:color w:val="auto"/>
        </w:rPr>
        <w:t>is not vested and exercisable on the date of termination of the Service Relationship shall terminate immediately and be null and void.</w:t>
      </w:r>
    </w:p>
    <w:p>
      <w:pPr>
        <w:spacing w:after="0" w:line="195" w:lineRule="exact"/>
        <w:rPr>
          <w:sz w:val="20"/>
          <w:szCs w:val="20"/>
          <w:color w:val="auto"/>
        </w:rPr>
      </w:pPr>
    </w:p>
    <w:p>
      <w:pPr>
        <w:ind w:left="1140" w:hanging="625"/>
        <w:spacing w:after="0"/>
        <w:tabs>
          <w:tab w:leader="none" w:pos="1140" w:val="left"/>
        </w:tabs>
        <w:numPr>
          <w:ilvl w:val="0"/>
          <w:numId w:val="313"/>
        </w:numPr>
        <w:rPr>
          <w:rFonts w:ascii="Arial" w:cs="Arial" w:eastAsia="Arial" w:hAnsi="Arial"/>
          <w:sz w:val="14"/>
          <w:szCs w:val="14"/>
          <w:color w:val="auto"/>
        </w:rPr>
      </w:pPr>
      <w:r>
        <w:rPr>
          <w:rFonts w:ascii="Arial" w:cs="Arial" w:eastAsia="Arial" w:hAnsi="Arial"/>
          <w:sz w:val="14"/>
          <w:szCs w:val="14"/>
          <w:u w:val="single" w:color="auto"/>
          <w:color w:val="auto"/>
        </w:rPr>
        <w:t>Exercise of Stock Option</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jc w:val="both"/>
        <w:ind w:right="20" w:firstLine="1188"/>
        <w:spacing w:after="0" w:line="294" w:lineRule="auto"/>
        <w:tabs>
          <w:tab w:leader="none" w:pos="1473" w:val="left"/>
        </w:tabs>
        <w:numPr>
          <w:ilvl w:val="1"/>
          <w:numId w:val="313"/>
        </w:numPr>
        <w:rPr>
          <w:rFonts w:ascii="Arial" w:cs="Arial" w:eastAsia="Arial" w:hAnsi="Arial"/>
          <w:sz w:val="13"/>
          <w:szCs w:val="13"/>
          <w:color w:val="auto"/>
        </w:rPr>
      </w:pPr>
      <w:r>
        <w:rPr>
          <w:rFonts w:ascii="Arial" w:cs="Arial" w:eastAsia="Arial" w:hAnsi="Arial"/>
          <w:sz w:val="13"/>
          <w:szCs w:val="13"/>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3"/>
          <w:szCs w:val="13"/>
          <w:u w:val="single" w:color="auto"/>
          <w:color w:val="auto"/>
        </w:rPr>
        <w:t>Appendix A</w:t>
      </w:r>
      <w:r>
        <w:rPr>
          <w:rFonts w:ascii="Arial" w:cs="Arial" w:eastAsia="Arial" w:hAnsi="Arial"/>
          <w:sz w:val="13"/>
          <w:szCs w:val="13"/>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30" w:lineRule="exact"/>
        <w:rPr>
          <w:rFonts w:ascii="Arial" w:cs="Arial" w:eastAsia="Arial" w:hAnsi="Arial"/>
          <w:sz w:val="13"/>
          <w:szCs w:val="13"/>
          <w:color w:val="auto"/>
        </w:rPr>
      </w:pPr>
    </w:p>
    <w:p>
      <w:pPr>
        <w:ind w:left="1480" w:hanging="292"/>
        <w:spacing w:after="0"/>
        <w:tabs>
          <w:tab w:leader="none" w:pos="1480" w:val="left"/>
        </w:tabs>
        <w:numPr>
          <w:ilvl w:val="1"/>
          <w:numId w:val="313"/>
        </w:numPr>
        <w:rPr>
          <w:rFonts w:ascii="Arial" w:cs="Arial" w:eastAsia="Arial" w:hAnsi="Arial"/>
          <w:sz w:val="14"/>
          <w:szCs w:val="14"/>
          <w:color w:val="auto"/>
        </w:rPr>
      </w:pPr>
      <w:r>
        <w:rPr>
          <w:rFonts w:ascii="Arial" w:cs="Arial" w:eastAsia="Arial" w:hAnsi="Arial"/>
          <w:sz w:val="14"/>
          <w:szCs w:val="14"/>
          <w:color w:val="auto"/>
        </w:rPr>
        <w:t>Notwithstanding any other provision hereof or of the Plan, no portion of this Stock Option shall be exercisable after the Expiration Date.</w:t>
      </w:r>
    </w:p>
    <w:p>
      <w:pPr>
        <w:spacing w:after="0" w:line="184" w:lineRule="exact"/>
        <w:rPr>
          <w:rFonts w:ascii="Arial" w:cs="Arial" w:eastAsia="Arial" w:hAnsi="Arial"/>
          <w:sz w:val="14"/>
          <w:szCs w:val="14"/>
          <w:color w:val="auto"/>
        </w:rPr>
      </w:pPr>
    </w:p>
    <w:p>
      <w:pPr>
        <w:ind w:left="1140" w:hanging="625"/>
        <w:spacing w:after="0"/>
        <w:tabs>
          <w:tab w:leader="none" w:pos="1140" w:val="left"/>
        </w:tabs>
        <w:numPr>
          <w:ilvl w:val="0"/>
          <w:numId w:val="313"/>
        </w:numPr>
        <w:rPr>
          <w:rFonts w:ascii="Arial" w:cs="Arial" w:eastAsia="Arial" w:hAnsi="Arial"/>
          <w:sz w:val="13"/>
          <w:szCs w:val="13"/>
          <w:color w:val="auto"/>
        </w:rPr>
      </w:pPr>
      <w:r>
        <w:rPr>
          <w:rFonts w:ascii="Arial" w:cs="Arial" w:eastAsia="Arial" w:hAnsi="Arial"/>
          <w:sz w:val="13"/>
          <w:szCs w:val="13"/>
          <w:u w:val="single" w:color="auto"/>
          <w:color w:val="auto"/>
        </w:rPr>
        <w:t>Incorporation of Plan</w:t>
      </w:r>
      <w:r>
        <w:rPr>
          <w:rFonts w:ascii="Arial" w:cs="Arial" w:eastAsia="Arial" w:hAnsi="Arial"/>
          <w:sz w:val="13"/>
          <w:szCs w:val="13"/>
          <w:color w:val="auto"/>
        </w:rPr>
        <w:t>. Notwithstanding anything herein to the contrary, this Stock Option shall be subject to and governed by all the terms and conditions of the Plan.</w:t>
      </w:r>
    </w:p>
    <w:p>
      <w:pPr>
        <w:spacing w:after="0" w:line="195" w:lineRule="exact"/>
        <w:rPr>
          <w:rFonts w:ascii="Arial" w:cs="Arial" w:eastAsia="Arial" w:hAnsi="Arial"/>
          <w:sz w:val="13"/>
          <w:szCs w:val="13"/>
          <w:color w:val="auto"/>
        </w:rPr>
      </w:pPr>
    </w:p>
    <w:p>
      <w:pPr>
        <w:jc w:val="both"/>
        <w:ind w:firstLine="515"/>
        <w:spacing w:after="0" w:line="263" w:lineRule="auto"/>
        <w:tabs>
          <w:tab w:leader="none" w:pos="1151" w:val="left"/>
        </w:tabs>
        <w:numPr>
          <w:ilvl w:val="0"/>
          <w:numId w:val="313"/>
        </w:numPr>
        <w:rPr>
          <w:rFonts w:ascii="Arial" w:cs="Arial" w:eastAsia="Arial" w:hAnsi="Arial"/>
          <w:sz w:val="14"/>
          <w:szCs w:val="14"/>
          <w:color w:val="auto"/>
        </w:rPr>
      </w:pPr>
      <w:r>
        <w:rPr>
          <w:rFonts w:ascii="Arial" w:cs="Arial" w:eastAsia="Arial" w:hAnsi="Arial"/>
          <w:sz w:val="14"/>
          <w:szCs w:val="14"/>
          <w:u w:val="single" w:color="auto"/>
          <w:color w:val="auto"/>
        </w:rPr>
        <w:t>Transferability of Stock Option</w:t>
      </w:r>
      <w:r>
        <w:rPr>
          <w:rFonts w:ascii="Arial" w:cs="Arial" w:eastAsia="Arial" w:hAnsi="Arial"/>
          <w:sz w:val="14"/>
          <w:szCs w:val="14"/>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60" w:lineRule="exact"/>
        <w:rPr>
          <w:rFonts w:ascii="Arial" w:cs="Arial" w:eastAsia="Arial" w:hAnsi="Arial"/>
          <w:sz w:val="14"/>
          <w:szCs w:val="14"/>
          <w:color w:val="auto"/>
        </w:rPr>
      </w:pPr>
    </w:p>
    <w:p>
      <w:pPr>
        <w:ind w:right="20" w:firstLine="515"/>
        <w:spacing w:after="0" w:line="288" w:lineRule="auto"/>
        <w:tabs>
          <w:tab w:leader="none" w:pos="1151" w:val="left"/>
        </w:tabs>
        <w:numPr>
          <w:ilvl w:val="0"/>
          <w:numId w:val="313"/>
        </w:numPr>
        <w:rPr>
          <w:rFonts w:ascii="Arial" w:cs="Arial" w:eastAsia="Arial" w:hAnsi="Arial"/>
          <w:sz w:val="14"/>
          <w:szCs w:val="14"/>
          <w:color w:val="auto"/>
        </w:rPr>
      </w:pPr>
      <w:r>
        <w:rPr>
          <w:rFonts w:ascii="Arial" w:cs="Arial" w:eastAsia="Arial" w:hAnsi="Arial"/>
          <w:sz w:val="14"/>
          <w:szCs w:val="14"/>
          <w:u w:val="single" w:color="auto"/>
          <w:color w:val="auto"/>
        </w:rPr>
        <w:t>Restrictions on Transfer of Shares</w:t>
      </w:r>
      <w:r>
        <w:rPr>
          <w:rFonts w:ascii="Arial" w:cs="Arial" w:eastAsia="Arial" w:hAnsi="Arial"/>
          <w:sz w:val="14"/>
          <w:szCs w:val="14"/>
          <w:color w:val="auto"/>
        </w:rPr>
        <w:t>. The Shares acquired upon exercise of the Stock Option shall be subject to certain transfer restrictions and other limitations including, without limitation, the provisions contained in Section 9 of the Plan.</w:t>
      </w:r>
    </w:p>
    <w:p>
      <w:pPr>
        <w:spacing w:after="0" w:line="131" w:lineRule="exact"/>
        <w:rPr>
          <w:rFonts w:ascii="Arial" w:cs="Arial" w:eastAsia="Arial" w:hAnsi="Arial"/>
          <w:sz w:val="14"/>
          <w:szCs w:val="14"/>
          <w:color w:val="auto"/>
        </w:rPr>
      </w:pPr>
    </w:p>
    <w:p>
      <w:pPr>
        <w:ind w:left="1140" w:hanging="625"/>
        <w:spacing w:after="0"/>
        <w:tabs>
          <w:tab w:leader="none" w:pos="1140" w:val="left"/>
        </w:tabs>
        <w:numPr>
          <w:ilvl w:val="0"/>
          <w:numId w:val="313"/>
        </w:numPr>
        <w:rPr>
          <w:rFonts w:ascii="Arial" w:cs="Arial" w:eastAsia="Arial" w:hAnsi="Arial"/>
          <w:sz w:val="14"/>
          <w:szCs w:val="14"/>
          <w:color w:val="auto"/>
        </w:rPr>
      </w:pPr>
      <w:r>
        <w:rPr>
          <w:rFonts w:ascii="Arial" w:cs="Arial" w:eastAsia="Arial" w:hAnsi="Arial"/>
          <w:sz w:val="14"/>
          <w:szCs w:val="14"/>
          <w:u w:val="single" w:color="auto"/>
          <w:color w:val="auto"/>
        </w:rPr>
        <w:t>Miscellaneous Provisions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right="20" w:firstLine="1188"/>
        <w:spacing w:after="0" w:line="288" w:lineRule="auto"/>
        <w:tabs>
          <w:tab w:leader="none" w:pos="1473" w:val="left"/>
        </w:tabs>
        <w:numPr>
          <w:ilvl w:val="1"/>
          <w:numId w:val="313"/>
        </w:numPr>
        <w:rPr>
          <w:rFonts w:ascii="Arial" w:cs="Arial" w:eastAsia="Arial" w:hAnsi="Arial"/>
          <w:sz w:val="14"/>
          <w:szCs w:val="14"/>
          <w:color w:val="auto"/>
        </w:rPr>
      </w:pPr>
      <w:r>
        <w:rPr>
          <w:rFonts w:ascii="Arial" w:cs="Arial" w:eastAsia="Arial" w:hAnsi="Arial"/>
          <w:sz w:val="14"/>
          <w:szCs w:val="14"/>
          <w:u w:val="single" w:color="auto"/>
          <w:color w:val="auto"/>
        </w:rPr>
        <w:t>Equitable Relief</w:t>
      </w:r>
      <w:r>
        <w:rPr>
          <w:rFonts w:ascii="Arial" w:cs="Arial" w:eastAsia="Arial" w:hAnsi="Arial"/>
          <w:sz w:val="14"/>
          <w:szCs w:val="14"/>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1" w:lineRule="exact"/>
        <w:rPr>
          <w:rFonts w:ascii="Arial" w:cs="Arial" w:eastAsia="Arial" w:hAnsi="Arial"/>
          <w:sz w:val="14"/>
          <w:szCs w:val="14"/>
          <w:color w:val="auto"/>
        </w:rPr>
      </w:pPr>
    </w:p>
    <w:p>
      <w:pPr>
        <w:ind w:right="20" w:firstLine="1188"/>
        <w:spacing w:after="0" w:line="288" w:lineRule="auto"/>
        <w:tabs>
          <w:tab w:leader="none" w:pos="1481" w:val="left"/>
        </w:tabs>
        <w:numPr>
          <w:ilvl w:val="1"/>
          <w:numId w:val="313"/>
        </w:numPr>
        <w:rPr>
          <w:rFonts w:ascii="Arial" w:cs="Arial" w:eastAsia="Arial" w:hAnsi="Arial"/>
          <w:sz w:val="14"/>
          <w:szCs w:val="14"/>
          <w:color w:val="auto"/>
        </w:rPr>
      </w:pPr>
      <w:r>
        <w:rPr>
          <w:rFonts w:ascii="Arial" w:cs="Arial" w:eastAsia="Arial" w:hAnsi="Arial"/>
          <w:sz w:val="14"/>
          <w:szCs w:val="14"/>
          <w:u w:val="single" w:color="auto"/>
          <w:color w:val="auto"/>
        </w:rPr>
        <w:t>Adjustments for Changes in Capital Structure</w:t>
      </w:r>
      <w:r>
        <w:rPr>
          <w:rFonts w:ascii="Arial" w:cs="Arial" w:eastAsia="Arial" w:hAnsi="Arial"/>
          <w:sz w:val="14"/>
          <w:szCs w:val="14"/>
          <w:color w:val="auto"/>
        </w:rPr>
        <w:t>. If, as a result of any reorganization, recapitalization, reincorporation, reclassification, stock dividend, stock split, reverse stock split or other similar change in the Common Stock, the outstanding shares of</w:t>
      </w:r>
    </w:p>
    <w:p>
      <w:pPr>
        <w:spacing w:after="0" w:line="304"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20955</wp:posOffset>
            </wp:positionV>
            <wp:extent cx="7159625"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60"/>
          </w:cols>
          <w:pgMar w:left="640" w:top="755" w:right="399" w:bottom="1440" w:gutter="0" w:footer="0" w:header="0"/>
        </w:sectPr>
      </w:pPr>
    </w:p>
    <w:bookmarkStart w:id="455" w:name="page456"/>
    <w:bookmarkEnd w:id="455"/>
    <w:p>
      <w:pPr>
        <w:jc w:val="both"/>
        <w:spacing w:after="0" w:line="273" w:lineRule="auto"/>
        <w:rPr>
          <w:sz w:val="20"/>
          <w:szCs w:val="20"/>
          <w:color w:val="auto"/>
        </w:rPr>
      </w:pPr>
      <w:r>
        <w:rPr>
          <w:rFonts w:ascii="Arial" w:cs="Arial" w:eastAsia="Arial" w:hAnsi="Arial"/>
          <w:sz w:val="14"/>
          <w:szCs w:val="14"/>
          <w:color w:val="auto"/>
        </w:rPr>
        <w:t>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41" w:lineRule="exact"/>
        <w:rPr>
          <w:sz w:val="20"/>
          <w:szCs w:val="20"/>
          <w:color w:val="auto"/>
        </w:rPr>
      </w:pPr>
    </w:p>
    <w:p>
      <w:pPr>
        <w:ind w:firstLine="1188"/>
        <w:spacing w:after="0" w:line="288" w:lineRule="auto"/>
        <w:tabs>
          <w:tab w:leader="none" w:pos="1473"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Change and Modifications</w:t>
      </w:r>
      <w:r>
        <w:rPr>
          <w:rFonts w:ascii="Arial" w:cs="Arial" w:eastAsia="Arial" w:hAnsi="Arial"/>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31" w:lineRule="exact"/>
        <w:rPr>
          <w:rFonts w:ascii="Arial" w:cs="Arial" w:eastAsia="Arial" w:hAnsi="Arial"/>
          <w:sz w:val="14"/>
          <w:szCs w:val="14"/>
          <w:color w:val="auto"/>
        </w:rPr>
      </w:pPr>
    </w:p>
    <w:p>
      <w:pPr>
        <w:jc w:val="both"/>
        <w:ind w:firstLine="1188"/>
        <w:spacing w:after="0" w:line="273" w:lineRule="auto"/>
        <w:tabs>
          <w:tab w:leader="none" w:pos="1492"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41" w:lineRule="exact"/>
        <w:rPr>
          <w:rFonts w:ascii="Arial" w:cs="Arial" w:eastAsia="Arial" w:hAnsi="Arial"/>
          <w:sz w:val="14"/>
          <w:szCs w:val="14"/>
          <w:color w:val="auto"/>
        </w:rPr>
      </w:pPr>
    </w:p>
    <w:p>
      <w:pPr>
        <w:ind w:firstLine="1188"/>
        <w:spacing w:after="0" w:line="288" w:lineRule="auto"/>
        <w:tabs>
          <w:tab w:leader="none" w:pos="1473"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131" w:lineRule="exact"/>
        <w:rPr>
          <w:rFonts w:ascii="Arial" w:cs="Arial" w:eastAsia="Arial" w:hAnsi="Arial"/>
          <w:sz w:val="14"/>
          <w:szCs w:val="14"/>
          <w:color w:val="auto"/>
        </w:rPr>
      </w:pPr>
    </w:p>
    <w:p>
      <w:pPr>
        <w:ind w:firstLine="1188"/>
        <w:spacing w:after="0" w:line="288" w:lineRule="auto"/>
        <w:tabs>
          <w:tab w:leader="none" w:pos="1457"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Saving Clause</w:t>
      </w:r>
      <w:r>
        <w:rPr>
          <w:rFonts w:ascii="Arial" w:cs="Arial" w:eastAsia="Arial" w:hAnsi="Arial"/>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31" w:lineRule="exact"/>
        <w:rPr>
          <w:rFonts w:ascii="Arial" w:cs="Arial" w:eastAsia="Arial" w:hAnsi="Arial"/>
          <w:sz w:val="14"/>
          <w:szCs w:val="14"/>
          <w:color w:val="auto"/>
        </w:rPr>
      </w:pPr>
    </w:p>
    <w:p>
      <w:pPr>
        <w:jc w:val="both"/>
        <w:ind w:firstLine="1188"/>
        <w:spacing w:after="0" w:line="273" w:lineRule="auto"/>
        <w:tabs>
          <w:tab w:leader="none" w:pos="1492"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151" w:lineRule="exact"/>
        <w:rPr>
          <w:rFonts w:ascii="Arial" w:cs="Arial" w:eastAsia="Arial" w:hAnsi="Arial"/>
          <w:sz w:val="14"/>
          <w:szCs w:val="14"/>
          <w:color w:val="auto"/>
        </w:rPr>
      </w:pPr>
    </w:p>
    <w:p>
      <w:pPr>
        <w:ind w:firstLine="1188"/>
        <w:spacing w:after="0" w:line="377" w:lineRule="auto"/>
        <w:tabs>
          <w:tab w:leader="none" w:pos="1481" w:val="left"/>
        </w:tabs>
        <w:numPr>
          <w:ilvl w:val="0"/>
          <w:numId w:val="314"/>
        </w:numPr>
        <w:rPr>
          <w:rFonts w:ascii="Arial" w:cs="Arial" w:eastAsia="Arial" w:hAnsi="Arial"/>
          <w:sz w:val="12"/>
          <w:szCs w:val="12"/>
          <w:color w:val="auto"/>
        </w:rPr>
      </w:pPr>
      <w:r>
        <w:rPr>
          <w:rFonts w:ascii="Arial" w:cs="Arial" w:eastAsia="Arial" w:hAnsi="Arial"/>
          <w:sz w:val="12"/>
          <w:szCs w:val="12"/>
          <w:u w:val="single" w:color="auto"/>
          <w:color w:val="auto"/>
        </w:rPr>
        <w:t>Benefit and Binding Effect</w:t>
      </w:r>
      <w:r>
        <w:rPr>
          <w:rFonts w:ascii="Arial" w:cs="Arial" w:eastAsia="Arial" w:hAnsi="Arial"/>
          <w:sz w:val="12"/>
          <w:szCs w:val="12"/>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84" w:lineRule="exact"/>
        <w:rPr>
          <w:rFonts w:ascii="Arial" w:cs="Arial" w:eastAsia="Arial" w:hAnsi="Arial"/>
          <w:sz w:val="12"/>
          <w:szCs w:val="12"/>
          <w:color w:val="auto"/>
        </w:rPr>
      </w:pPr>
    </w:p>
    <w:p>
      <w:pPr>
        <w:ind w:firstLine="1188"/>
        <w:spacing w:after="0" w:line="288" w:lineRule="auto"/>
        <w:tabs>
          <w:tab w:leader="none" w:pos="1449"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31" w:lineRule="exact"/>
        <w:rPr>
          <w:rFonts w:ascii="Arial" w:cs="Arial" w:eastAsia="Arial" w:hAnsi="Arial"/>
          <w:sz w:val="14"/>
          <w:szCs w:val="14"/>
          <w:color w:val="auto"/>
        </w:rPr>
      </w:pPr>
    </w:p>
    <w:p>
      <w:pPr>
        <w:ind w:firstLine="1188"/>
        <w:spacing w:after="0" w:line="288" w:lineRule="auto"/>
        <w:tabs>
          <w:tab w:leader="none" w:pos="1471" w:val="left"/>
        </w:tabs>
        <w:numPr>
          <w:ilvl w:val="0"/>
          <w:numId w:val="314"/>
        </w:numPr>
        <w:rPr>
          <w:rFonts w:ascii="Arial" w:cs="Arial" w:eastAsia="Arial" w:hAnsi="Arial"/>
          <w:sz w:val="14"/>
          <w:szCs w:val="14"/>
          <w:color w:val="auto"/>
        </w:rPr>
      </w:pPr>
      <w:r>
        <w:rPr>
          <w:rFonts w:ascii="Arial" w:cs="Arial" w:eastAsia="Arial" w:hAnsi="Arial"/>
          <w:sz w:val="14"/>
          <w:szCs w:val="14"/>
          <w:u w:val="single" w:color="auto"/>
          <w:color w:val="auto"/>
        </w:rPr>
        <w:t>Integration</w:t>
      </w:r>
      <w:r>
        <w:rPr>
          <w:rFonts w:ascii="Arial" w:cs="Arial" w:eastAsia="Arial" w:hAnsi="Arial"/>
          <w:sz w:val="14"/>
          <w:szCs w:val="14"/>
          <w:color w:val="auto"/>
        </w:rPr>
        <w:t>. This Agreement constitutes the entire agreement between the parties with respect to this Stock Option and supersedes all prior agreements and discussions between the parties concerning such subject matter.</w:t>
      </w:r>
    </w:p>
    <w:p>
      <w:pPr>
        <w:spacing w:after="0" w:line="304"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13970</wp:posOffset>
            </wp:positionV>
            <wp:extent cx="7159625"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40"/>
          </w:cols>
          <w:pgMar w:left="640" w:top="754" w:right="419" w:bottom="1440" w:gutter="0" w:footer="0" w:header="0"/>
        </w:sectPr>
      </w:pPr>
    </w:p>
    <w:bookmarkStart w:id="456" w:name="page457"/>
    <w:bookmarkEnd w:id="456"/>
    <w:p>
      <w:pPr>
        <w:ind w:left="1140" w:hanging="625"/>
        <w:spacing w:after="0"/>
        <w:tabs>
          <w:tab w:leader="none" w:pos="1140" w:val="left"/>
        </w:tabs>
        <w:numPr>
          <w:ilvl w:val="0"/>
          <w:numId w:val="315"/>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jc w:val="both"/>
        <w:ind w:firstLine="1188"/>
        <w:spacing w:after="0" w:line="267" w:lineRule="auto"/>
        <w:tabs>
          <w:tab w:leader="none" w:pos="1473" w:val="left"/>
        </w:tabs>
        <w:numPr>
          <w:ilvl w:val="1"/>
          <w:numId w:val="315"/>
        </w:numPr>
        <w:rPr>
          <w:rFonts w:ascii="Arial" w:cs="Arial" w:eastAsia="Arial" w:hAnsi="Arial"/>
          <w:sz w:val="14"/>
          <w:szCs w:val="14"/>
          <w:color w:val="auto"/>
        </w:rPr>
      </w:pPr>
      <w:r>
        <w:rPr>
          <w:rFonts w:ascii="Arial" w:cs="Arial" w:eastAsia="Arial" w:hAnsi="Arial"/>
          <w:sz w:val="14"/>
          <w:szCs w:val="14"/>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New York, New York.</w:t>
      </w:r>
    </w:p>
    <w:p>
      <w:pPr>
        <w:spacing w:after="0" w:line="146" w:lineRule="exact"/>
        <w:rPr>
          <w:rFonts w:ascii="Arial" w:cs="Arial" w:eastAsia="Arial" w:hAnsi="Arial"/>
          <w:sz w:val="14"/>
          <w:szCs w:val="14"/>
          <w:color w:val="auto"/>
        </w:rPr>
      </w:pPr>
    </w:p>
    <w:p>
      <w:pPr>
        <w:jc w:val="both"/>
        <w:ind w:firstLine="1188"/>
        <w:spacing w:after="0" w:line="284" w:lineRule="auto"/>
        <w:tabs>
          <w:tab w:leader="none" w:pos="1481"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38" w:lineRule="exact"/>
        <w:rPr>
          <w:rFonts w:ascii="Arial" w:cs="Arial" w:eastAsia="Arial" w:hAnsi="Arial"/>
          <w:sz w:val="13"/>
          <w:szCs w:val="13"/>
          <w:color w:val="auto"/>
        </w:rPr>
      </w:pPr>
    </w:p>
    <w:p>
      <w:pPr>
        <w:jc w:val="both"/>
        <w:ind w:firstLine="1188"/>
        <w:spacing w:after="0" w:line="303" w:lineRule="auto"/>
        <w:tabs>
          <w:tab w:leader="none" w:pos="1473"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24" w:lineRule="exact"/>
        <w:rPr>
          <w:rFonts w:ascii="Arial" w:cs="Arial" w:eastAsia="Arial" w:hAnsi="Arial"/>
          <w:sz w:val="13"/>
          <w:szCs w:val="13"/>
          <w:color w:val="auto"/>
        </w:rPr>
      </w:pPr>
    </w:p>
    <w:p>
      <w:pPr>
        <w:jc w:val="both"/>
        <w:ind w:firstLine="1188"/>
        <w:spacing w:after="0" w:line="262" w:lineRule="auto"/>
        <w:tabs>
          <w:tab w:leader="none" w:pos="1481" w:val="left"/>
        </w:tabs>
        <w:numPr>
          <w:ilvl w:val="1"/>
          <w:numId w:val="315"/>
        </w:numPr>
        <w:rPr>
          <w:rFonts w:ascii="Arial" w:cs="Arial" w:eastAsia="Arial" w:hAnsi="Arial"/>
          <w:sz w:val="14"/>
          <w:szCs w:val="14"/>
          <w:color w:val="auto"/>
        </w:rPr>
      </w:pPr>
      <w:r>
        <w:rPr>
          <w:rFonts w:ascii="Arial" w:cs="Arial" w:eastAsia="Arial" w:hAnsi="Arial"/>
          <w:sz w:val="14"/>
          <w:szCs w:val="14"/>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w:t>
      </w:r>
    </w:p>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13970</wp:posOffset>
            </wp:positionV>
            <wp:extent cx="715962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40"/>
          </w:cols>
          <w:pgMar w:left="640" w:top="798" w:right="419" w:bottom="1440" w:gutter="0" w:footer="0" w:header="0"/>
        </w:sectPr>
      </w:pPr>
    </w:p>
    <w:bookmarkStart w:id="457" w:name="page458"/>
    <w:bookmarkEnd w:id="457"/>
    <w:p>
      <w:pPr>
        <w:spacing w:after="0" w:line="329" w:lineRule="auto"/>
        <w:rPr>
          <w:sz w:val="20"/>
          <w:szCs w:val="20"/>
          <w:color w:val="auto"/>
        </w:rPr>
      </w:pPr>
      <w:r>
        <w:rPr>
          <w:rFonts w:ascii="Arial" w:cs="Arial" w:eastAsia="Arial" w:hAnsi="Arial"/>
          <w:sz w:val="13"/>
          <w:szCs w:val="13"/>
          <w:color w:val="auto"/>
        </w:rPr>
        <w:t>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08" w:lineRule="exact"/>
        <w:rPr>
          <w:sz w:val="20"/>
          <w:szCs w:val="20"/>
          <w:color w:val="auto"/>
        </w:rPr>
      </w:pPr>
    </w:p>
    <w:p>
      <w:pPr>
        <w:ind w:right="20" w:firstLine="515"/>
        <w:spacing w:after="0" w:line="283" w:lineRule="auto"/>
        <w:tabs>
          <w:tab w:leader="none" w:pos="1151" w:val="left"/>
        </w:tabs>
        <w:numPr>
          <w:ilvl w:val="0"/>
          <w:numId w:val="316"/>
        </w:numPr>
        <w:rPr>
          <w:rFonts w:ascii="Arial" w:cs="Arial" w:eastAsia="Arial" w:hAnsi="Arial"/>
          <w:sz w:val="13"/>
          <w:szCs w:val="13"/>
          <w:color w:val="auto"/>
        </w:rPr>
      </w:pPr>
      <w:r>
        <w:rPr>
          <w:rFonts w:ascii="Arial" w:cs="Arial" w:eastAsia="Arial" w:hAnsi="Arial"/>
          <w:sz w:val="13"/>
          <w:szCs w:val="13"/>
          <w:u w:val="single" w:color="auto"/>
          <w:color w:val="auto"/>
        </w:rPr>
        <w:t>Waiver of Statutory Information Rights</w:t>
      </w:r>
      <w:r>
        <w:rPr>
          <w:rFonts w:ascii="Arial" w:cs="Arial" w:eastAsia="Arial" w:hAnsi="Arial"/>
          <w:sz w:val="13"/>
          <w:szCs w:val="13"/>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[SIGNATURE PAGE FOLLOWS]</w:t>
      </w: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20955</wp:posOffset>
            </wp:positionV>
            <wp:extent cx="7159625"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40"/>
          </w:cols>
          <w:pgMar w:left="640" w:top="754" w:right="419" w:bottom="1440" w:gutter="0" w:footer="0" w:header="0"/>
        </w:sectPr>
      </w:pPr>
    </w:p>
    <w:bookmarkStart w:id="458" w:name="page459"/>
    <w:bookmarkEnd w:id="458"/>
    <w:p>
      <w:pPr>
        <w:ind w:left="260"/>
        <w:spacing w:after="0"/>
        <w:rPr>
          <w:sz w:val="20"/>
          <w:szCs w:val="20"/>
          <w:color w:val="auto"/>
        </w:rPr>
      </w:pPr>
      <w:r>
        <w:rPr>
          <w:rFonts w:ascii="Arial" w:cs="Arial" w:eastAsia="Arial" w:hAnsi="Arial"/>
          <w:sz w:val="14"/>
          <w:szCs w:val="14"/>
          <w:color w:val="auto"/>
        </w:rPr>
        <w:t>The foregoing Agreement is hereby accepted and the terms and conditions thereof hereby agreed to by the undersigned as of the date first above written.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Title: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260"/>
        <w:spacing w:after="0" w:line="267" w:lineRule="auto"/>
        <w:rPr>
          <w:sz w:val="20"/>
          <w:szCs w:val="20"/>
          <w:color w:val="auto"/>
        </w:rPr>
      </w:pPr>
      <w:r>
        <w:rPr>
          <w:rFonts w:ascii="Arial" w:cs="Arial" w:eastAsia="Arial" w:hAnsi="Arial"/>
          <w:sz w:val="14"/>
          <w:szCs w:val="14"/>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OPTIONEE:</w:t>
      </w:r>
    </w:p>
    <w:p>
      <w:pPr>
        <w:spacing w:after="0" w:line="3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Name:</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Address: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13970</wp:posOffset>
            </wp:positionV>
            <wp:extent cx="7159625"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20"/>
          </w:cols>
          <w:pgMar w:left="380" w:top="798" w:right="399" w:bottom="1440" w:gutter="0" w:footer="0" w:header="0"/>
        </w:sectPr>
      </w:pPr>
    </w:p>
    <w:bookmarkStart w:id="459" w:name="page460"/>
    <w:bookmarkEnd w:id="459"/>
    <w:p>
      <w:pPr>
        <w:jc w:val="center"/>
        <w:spacing w:after="0"/>
        <w:rPr>
          <w:sz w:val="20"/>
          <w:szCs w:val="20"/>
          <w:color w:val="auto"/>
        </w:rPr>
      </w:pPr>
      <w:r>
        <w:rPr>
          <w:rFonts w:ascii="Arial" w:cs="Arial" w:eastAsia="Arial" w:hAnsi="Arial"/>
          <w:sz w:val="14"/>
          <w:szCs w:val="14"/>
          <w:u w:val="single" w:color="auto"/>
          <w:color w:val="auto"/>
        </w:rPr>
        <w:t>Appendix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OPTION EXERCISE NOTICE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Attention: 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terms of the grant notice and stock option agreement between the undersigned and Century Therapeutics, Inc. (the “Company”) dated___________(the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“Agreement”) under the Century Therapeutics, Inc. 2018 Stock Option and Grant Plan, I, [Insert Name] ______________, hereby [Circle One] partially/fully exercise such option by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including herein payment in the amount of $ _________representing the purchase price for [Fill in number of Shares] _____________Shares. I have chosen the following form(s)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payment: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 w:type="dxa"/>
            <w:vAlign w:val="bottom"/>
          </w:tcPr>
          <w:p>
            <w:pPr>
              <w:jc w:val="right"/>
              <w:ind w:right="408"/>
              <w:spacing w:after="0"/>
              <w:rPr>
                <w:sz w:val="20"/>
                <w:szCs w:val="20"/>
                <w:color w:val="auto"/>
              </w:rPr>
            </w:pPr>
            <w:r>
              <w:rPr>
                <w:rFonts w:ascii="Arial" w:cs="Arial" w:eastAsia="Arial" w:hAnsi="Arial"/>
                <w:sz w:val="14"/>
                <w:szCs w:val="14"/>
                <w:color w:val="auto"/>
                <w:w w:val="85"/>
              </w:rPr>
              <w:t>[ ]</w:t>
            </w:r>
          </w:p>
        </w:tc>
        <w:tc>
          <w:tcPr>
            <w:tcW w:w="920" w:type="dxa"/>
            <w:vAlign w:val="bottom"/>
          </w:tcPr>
          <w:p>
            <w:pPr>
              <w:ind w:left="480"/>
              <w:spacing w:after="0"/>
              <w:rPr>
                <w:sz w:val="20"/>
                <w:szCs w:val="20"/>
                <w:color w:val="auto"/>
              </w:rPr>
            </w:pPr>
            <w:r>
              <w:rPr>
                <w:rFonts w:ascii="Arial" w:cs="Arial" w:eastAsia="Arial" w:hAnsi="Arial"/>
                <w:sz w:val="14"/>
                <w:szCs w:val="14"/>
                <w:color w:val="auto"/>
              </w:rPr>
              <w:t>1.</w:t>
            </w:r>
          </w:p>
        </w:tc>
        <w:tc>
          <w:tcPr>
            <w:tcW w:w="820" w:type="dxa"/>
            <w:vAlign w:val="bottom"/>
          </w:tcPr>
          <w:p>
            <w:pPr>
              <w:ind w:left="320"/>
              <w:spacing w:after="0"/>
              <w:rPr>
                <w:sz w:val="20"/>
                <w:szCs w:val="20"/>
                <w:color w:val="auto"/>
              </w:rPr>
            </w:pPr>
            <w:r>
              <w:rPr>
                <w:rFonts w:ascii="Arial" w:cs="Arial" w:eastAsia="Arial" w:hAnsi="Arial"/>
                <w:sz w:val="14"/>
                <w:szCs w:val="14"/>
                <w:color w:val="auto"/>
              </w:rPr>
              <w:t>Cash</w:t>
            </w:r>
          </w:p>
        </w:tc>
        <w:tc>
          <w:tcPr>
            <w:tcW w:w="4220" w:type="dxa"/>
            <w:vAlign w:val="bottom"/>
          </w:tcPr>
          <w:p>
            <w:pPr>
              <w:spacing w:after="0"/>
              <w:rPr>
                <w:sz w:val="15"/>
                <w:szCs w:val="15"/>
                <w:color w:val="auto"/>
              </w:rPr>
            </w:pPr>
          </w:p>
        </w:tc>
      </w:tr>
      <w:tr>
        <w:trPr>
          <w:trHeight w:val="173"/>
        </w:trPr>
        <w:tc>
          <w:tcPr>
            <w:tcW w:w="60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 ]</w:t>
            </w:r>
          </w:p>
        </w:tc>
        <w:tc>
          <w:tcPr>
            <w:tcW w:w="820" w:type="dxa"/>
            <w:vAlign w:val="bottom"/>
          </w:tcPr>
          <w:p>
            <w:pPr>
              <w:ind w:left="320"/>
              <w:spacing w:after="0"/>
              <w:rPr>
                <w:sz w:val="20"/>
                <w:szCs w:val="20"/>
                <w:color w:val="auto"/>
              </w:rPr>
            </w:pPr>
            <w:r>
              <w:rPr>
                <w:rFonts w:ascii="Arial" w:cs="Arial" w:eastAsia="Arial" w:hAnsi="Arial"/>
                <w:sz w:val="14"/>
                <w:szCs w:val="14"/>
                <w:color w:val="auto"/>
              </w:rPr>
              <w:t>2.</w:t>
            </w:r>
          </w:p>
        </w:tc>
        <w:tc>
          <w:tcPr>
            <w:tcW w:w="4220" w:type="dxa"/>
            <w:vAlign w:val="bottom"/>
          </w:tcPr>
          <w:p>
            <w:pPr>
              <w:ind w:left="240"/>
              <w:spacing w:after="0"/>
              <w:rPr>
                <w:sz w:val="20"/>
                <w:szCs w:val="20"/>
                <w:color w:val="auto"/>
              </w:rPr>
            </w:pPr>
            <w:r>
              <w:rPr>
                <w:rFonts w:ascii="Arial" w:cs="Arial" w:eastAsia="Arial" w:hAnsi="Arial"/>
                <w:sz w:val="14"/>
                <w:szCs w:val="14"/>
                <w:color w:val="auto"/>
                <w:w w:val="92"/>
              </w:rPr>
              <w:t>Certified or bank check payable to Gotham Therapeutics Corporation</w:t>
            </w:r>
          </w:p>
        </w:tc>
      </w:tr>
      <w:tr>
        <w:trPr>
          <w:trHeight w:val="173"/>
        </w:trPr>
        <w:tc>
          <w:tcPr>
            <w:tcW w:w="60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4"/>
                <w:szCs w:val="14"/>
                <w:color w:val="auto"/>
              </w:rPr>
              <w:t>[ ]</w:t>
            </w:r>
          </w:p>
        </w:tc>
        <w:tc>
          <w:tcPr>
            <w:tcW w:w="820" w:type="dxa"/>
            <w:vAlign w:val="bottom"/>
          </w:tcPr>
          <w:p>
            <w:pPr>
              <w:ind w:left="320"/>
              <w:spacing w:after="0"/>
              <w:rPr>
                <w:sz w:val="20"/>
                <w:szCs w:val="20"/>
                <w:color w:val="auto"/>
              </w:rPr>
            </w:pPr>
            <w:r>
              <w:rPr>
                <w:rFonts w:ascii="Arial" w:cs="Arial" w:eastAsia="Arial" w:hAnsi="Arial"/>
                <w:sz w:val="14"/>
                <w:szCs w:val="14"/>
                <w:color w:val="auto"/>
              </w:rPr>
              <w:t>3.</w:t>
            </w:r>
          </w:p>
        </w:tc>
        <w:tc>
          <w:tcPr>
            <w:tcW w:w="4220" w:type="dxa"/>
            <w:vAlign w:val="bottom"/>
          </w:tcPr>
          <w:p>
            <w:pPr>
              <w:ind w:left="240"/>
              <w:spacing w:after="0"/>
              <w:rPr>
                <w:sz w:val="20"/>
                <w:szCs w:val="20"/>
                <w:color w:val="auto"/>
              </w:rPr>
            </w:pPr>
            <w:r>
              <w:rPr>
                <w:rFonts w:ascii="Arial" w:cs="Arial" w:eastAsia="Arial" w:hAnsi="Arial"/>
                <w:sz w:val="14"/>
                <w:szCs w:val="14"/>
                <w:color w:val="auto"/>
                <w:w w:val="98"/>
              </w:rPr>
              <w:t>Other (as referenced in the Agreement and described in the Plan</w:t>
            </w:r>
          </w:p>
        </w:tc>
      </w:tr>
      <w:tr>
        <w:trPr>
          <w:trHeight w:val="182"/>
        </w:trPr>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(please describe))</w:t>
            </w:r>
          </w:p>
        </w:tc>
      </w:tr>
    </w:tbl>
    <w:p>
      <w:pPr>
        <w:ind w:left="75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8255</wp:posOffset>
            </wp:positionV>
            <wp:extent cx="319278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192780" cy="6985"/>
                    </a:xfrm>
                    <a:prstGeom prst="rect">
                      <a:avLst/>
                    </a:prstGeom>
                    <a:noFill/>
                  </pic:spPr>
                </pic:pic>
              </a:graphicData>
            </a:graphic>
          </wp:anchor>
        </w:drawing>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connection with my exercise of the option as set forth above, I hereby represent and warrant to the Company as follows:</w:t>
      </w:r>
    </w:p>
    <w:p>
      <w:pPr>
        <w:spacing w:after="0" w:line="184" w:lineRule="exact"/>
        <w:rPr>
          <w:sz w:val="20"/>
          <w:szCs w:val="20"/>
          <w:color w:val="auto"/>
        </w:rPr>
      </w:pPr>
    </w:p>
    <w:p>
      <w:pPr>
        <w:ind w:left="1920" w:hanging="369"/>
        <w:spacing w:after="0"/>
        <w:tabs>
          <w:tab w:leader="none" w:pos="1920" w:val="left"/>
        </w:tabs>
        <w:numPr>
          <w:ilvl w:val="0"/>
          <w:numId w:val="317"/>
        </w:numPr>
        <w:rPr>
          <w:rFonts w:ascii="Arial" w:cs="Arial" w:eastAsia="Arial" w:hAnsi="Arial"/>
          <w:sz w:val="14"/>
          <w:szCs w:val="14"/>
          <w:color w:val="auto"/>
        </w:rPr>
      </w:pPr>
      <w:r>
        <w:rPr>
          <w:rFonts w:ascii="Arial" w:cs="Arial" w:eastAsia="Arial" w:hAnsi="Arial"/>
          <w:sz w:val="14"/>
          <w:szCs w:val="14"/>
          <w:color w:val="auto"/>
        </w:rPr>
        <w:t>I am purchasing the Shares for my own account for investment only, and not for resale or with a view to the distribution thereof.</w:t>
      </w:r>
    </w:p>
    <w:p>
      <w:pPr>
        <w:spacing w:after="0" w:line="184" w:lineRule="exact"/>
        <w:rPr>
          <w:rFonts w:ascii="Arial" w:cs="Arial" w:eastAsia="Arial" w:hAnsi="Arial"/>
          <w:sz w:val="14"/>
          <w:szCs w:val="14"/>
          <w:color w:val="auto"/>
        </w:rPr>
      </w:pPr>
    </w:p>
    <w:p>
      <w:pPr>
        <w:ind w:left="520" w:firstLine="1031"/>
        <w:spacing w:after="0" w:line="288" w:lineRule="auto"/>
        <w:tabs>
          <w:tab w:leader="none" w:pos="1947" w:val="left"/>
        </w:tabs>
        <w:numPr>
          <w:ilvl w:val="0"/>
          <w:numId w:val="317"/>
        </w:numPr>
        <w:rPr>
          <w:rFonts w:ascii="Arial" w:cs="Arial" w:eastAsia="Arial" w:hAnsi="Arial"/>
          <w:sz w:val="14"/>
          <w:szCs w:val="14"/>
          <w:color w:val="auto"/>
        </w:rPr>
      </w:pPr>
      <w:r>
        <w:rPr>
          <w:rFonts w:ascii="Arial" w:cs="Arial" w:eastAsia="Arial" w:hAnsi="Arial"/>
          <w:sz w:val="14"/>
          <w:szCs w:val="14"/>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31" w:lineRule="exact"/>
        <w:rPr>
          <w:rFonts w:ascii="Arial" w:cs="Arial" w:eastAsia="Arial" w:hAnsi="Arial"/>
          <w:sz w:val="14"/>
          <w:szCs w:val="14"/>
          <w:color w:val="auto"/>
        </w:rPr>
      </w:pPr>
    </w:p>
    <w:p>
      <w:pPr>
        <w:ind w:left="520" w:firstLine="1031"/>
        <w:spacing w:after="0" w:line="288" w:lineRule="auto"/>
        <w:tabs>
          <w:tab w:leader="none" w:pos="1969" w:val="left"/>
        </w:tabs>
        <w:numPr>
          <w:ilvl w:val="0"/>
          <w:numId w:val="317"/>
        </w:numPr>
        <w:rPr>
          <w:rFonts w:ascii="Arial" w:cs="Arial" w:eastAsia="Arial" w:hAnsi="Arial"/>
          <w:sz w:val="14"/>
          <w:szCs w:val="14"/>
          <w:color w:val="auto"/>
        </w:rPr>
      </w:pPr>
      <w:r>
        <w:rPr>
          <w:rFonts w:ascii="Arial" w:cs="Arial" w:eastAsia="Arial" w:hAnsi="Arial"/>
          <w:sz w:val="14"/>
          <w:szCs w:val="14"/>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31" w:lineRule="exact"/>
        <w:rPr>
          <w:rFonts w:ascii="Arial" w:cs="Arial" w:eastAsia="Arial" w:hAnsi="Arial"/>
          <w:sz w:val="14"/>
          <w:szCs w:val="14"/>
          <w:color w:val="auto"/>
        </w:rPr>
      </w:pPr>
    </w:p>
    <w:p>
      <w:pPr>
        <w:ind w:left="1960" w:hanging="409"/>
        <w:spacing w:after="0"/>
        <w:tabs>
          <w:tab w:leader="none" w:pos="1960" w:val="left"/>
        </w:tabs>
        <w:numPr>
          <w:ilvl w:val="0"/>
          <w:numId w:val="317"/>
        </w:numPr>
        <w:rPr>
          <w:rFonts w:ascii="Arial" w:cs="Arial" w:eastAsia="Arial" w:hAnsi="Arial"/>
          <w:sz w:val="13"/>
          <w:szCs w:val="13"/>
          <w:color w:val="auto"/>
        </w:rPr>
      </w:pPr>
      <w:r>
        <w:rPr>
          <w:rFonts w:ascii="Arial" w:cs="Arial" w:eastAsia="Arial" w:hAnsi="Arial"/>
          <w:sz w:val="13"/>
          <w:szCs w:val="13"/>
          <w:color w:val="auto"/>
        </w:rPr>
        <w:t>I can afford a complete loss of the value of the Shares and am able to bear the economic risk of holding such Shares for an indefinite period of time.</w:t>
      </w:r>
    </w:p>
    <w:p>
      <w:pPr>
        <w:spacing w:after="0" w:line="195" w:lineRule="exact"/>
        <w:rPr>
          <w:rFonts w:ascii="Arial" w:cs="Arial" w:eastAsia="Arial" w:hAnsi="Arial"/>
          <w:sz w:val="13"/>
          <w:szCs w:val="13"/>
          <w:color w:val="auto"/>
        </w:rPr>
      </w:pPr>
    </w:p>
    <w:p>
      <w:pPr>
        <w:ind w:left="520" w:firstLine="1032"/>
        <w:spacing w:after="0" w:line="288" w:lineRule="auto"/>
        <w:tabs>
          <w:tab w:leader="none" w:pos="1939" w:val="left"/>
        </w:tabs>
        <w:numPr>
          <w:ilvl w:val="0"/>
          <w:numId w:val="317"/>
        </w:numPr>
        <w:rPr>
          <w:rFonts w:ascii="Arial" w:cs="Arial" w:eastAsia="Arial" w:hAnsi="Arial"/>
          <w:sz w:val="14"/>
          <w:szCs w:val="14"/>
          <w:color w:val="auto"/>
        </w:rPr>
      </w:pPr>
      <w:r>
        <w:rPr>
          <w:rFonts w:ascii="Arial" w:cs="Arial" w:eastAsia="Arial" w:hAnsi="Arial"/>
          <w:sz w:val="14"/>
          <w:szCs w:val="14"/>
          <w:color w:val="auto"/>
        </w:rPr>
        <w:t>I understand that the Shares may not be registered under the Securities Act of 1933 (it being understood that the Shares are being issued and sold in reliance on the exemption provided in Rule 701 thereunder) or any applicable state</w:t>
      </w:r>
    </w:p>
    <w:p>
      <w:pPr>
        <w:spacing w:after="0" w:line="304"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13970</wp:posOffset>
            </wp:positionV>
            <wp:extent cx="7159625"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40"/>
          </w:cols>
          <w:pgMar w:left="640" w:top="798" w:right="419" w:bottom="1440" w:gutter="0" w:footer="0" w:header="0"/>
        </w:sectPr>
      </w:pPr>
    </w:p>
    <w:bookmarkStart w:id="460" w:name="page461"/>
    <w:bookmarkEnd w:id="460"/>
    <w:p>
      <w:pPr>
        <w:jc w:val="both"/>
        <w:ind w:left="520"/>
        <w:spacing w:after="0" w:line="273" w:lineRule="auto"/>
        <w:rPr>
          <w:sz w:val="20"/>
          <w:szCs w:val="20"/>
          <w:color w:val="auto"/>
        </w:rPr>
      </w:pPr>
      <w:r>
        <w:rPr>
          <w:rFonts w:ascii="Arial" w:cs="Arial" w:eastAsia="Arial" w:hAnsi="Arial"/>
          <w:sz w:val="14"/>
          <w:szCs w:val="14"/>
          <w:color w:val="auto"/>
        </w:rPr>
        <w:t>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41" w:lineRule="exact"/>
        <w:rPr>
          <w:sz w:val="20"/>
          <w:szCs w:val="20"/>
          <w:color w:val="auto"/>
        </w:rPr>
      </w:pPr>
    </w:p>
    <w:p>
      <w:pPr>
        <w:ind w:left="520" w:firstLine="1031"/>
        <w:spacing w:after="0" w:line="288" w:lineRule="auto"/>
        <w:tabs>
          <w:tab w:leader="none" w:pos="1961"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31" w:lineRule="exact"/>
        <w:rPr>
          <w:rFonts w:ascii="Arial" w:cs="Arial" w:eastAsia="Arial" w:hAnsi="Arial"/>
          <w:sz w:val="14"/>
          <w:szCs w:val="14"/>
          <w:color w:val="auto"/>
        </w:rPr>
      </w:pPr>
    </w:p>
    <w:p>
      <w:pPr>
        <w:ind w:left="1980" w:hanging="429"/>
        <w:spacing w:after="0"/>
        <w:tabs>
          <w:tab w:leader="none" w:pos="198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 understand and agree that the Company has a right of first refusal with respect to the Shares pursuant to Section 9(b) of the Plan.</w:t>
      </w:r>
    </w:p>
    <w:p>
      <w:pPr>
        <w:spacing w:after="0" w:line="184" w:lineRule="exact"/>
        <w:rPr>
          <w:rFonts w:ascii="Arial" w:cs="Arial" w:eastAsia="Arial" w:hAnsi="Arial"/>
          <w:sz w:val="14"/>
          <w:szCs w:val="14"/>
          <w:color w:val="auto"/>
        </w:rPr>
      </w:pPr>
    </w:p>
    <w:p>
      <w:pPr>
        <w:ind w:left="2000" w:hanging="449"/>
        <w:spacing w:after="0"/>
        <w:tabs>
          <w:tab w:leader="none" w:pos="200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 understand and agree that the Company has certain repurchase rights with respect to the Shares pursuant to Section 9(c) of the Plan.</w:t>
      </w:r>
    </w:p>
    <w:p>
      <w:pPr>
        <w:spacing w:after="0" w:line="184" w:lineRule="exact"/>
        <w:rPr>
          <w:rFonts w:ascii="Arial" w:cs="Arial" w:eastAsia="Arial" w:hAnsi="Arial"/>
          <w:sz w:val="14"/>
          <w:szCs w:val="14"/>
          <w:color w:val="auto"/>
        </w:rPr>
      </w:pPr>
    </w:p>
    <w:p>
      <w:pPr>
        <w:ind w:left="520" w:right="20" w:firstLine="1031"/>
        <w:spacing w:after="0" w:line="288" w:lineRule="auto"/>
        <w:tabs>
          <w:tab w:leader="none" w:pos="1979"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 understand and agree that I may not sell or otherwise transfer or dispose of the Shares for a period of time following the effective date of a public offering by the Company as described in Section 9(f) of the Plan.</w:t>
      </w:r>
    </w:p>
    <w:p>
      <w:pPr>
        <w:spacing w:after="0" w:line="131" w:lineRule="exact"/>
        <w:rPr>
          <w:rFonts w:ascii="Arial" w:cs="Arial" w:eastAsia="Arial" w:hAnsi="Arial"/>
          <w:sz w:val="14"/>
          <w:szCs w:val="14"/>
          <w:color w:val="auto"/>
        </w:rPr>
      </w:pPr>
    </w:p>
    <w:p>
      <w:pPr>
        <w:ind w:left="1960" w:hanging="409"/>
        <w:spacing w:after="0"/>
        <w:tabs>
          <w:tab w:leader="none" w:pos="196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 understand and agree to the waiver of statutory information rights as set forth in Section 8 of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Sincerely yours,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35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13970</wp:posOffset>
            </wp:positionV>
            <wp:extent cx="7159625"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60"/>
          </w:cols>
          <w:pgMar w:left="640" w:top="755" w:right="399" w:bottom="1440" w:gutter="0" w:footer="0" w:header="0"/>
        </w:sectPr>
      </w:pPr>
    </w:p>
    <w:bookmarkStart w:id="461" w:name="page462"/>
    <w:bookmarkEnd w:id="461"/>
    <w:p>
      <w:pPr>
        <w:jc w:val="right"/>
        <w:spacing w:after="0"/>
        <w:rPr>
          <w:sz w:val="20"/>
          <w:szCs w:val="20"/>
          <w:color w:val="auto"/>
        </w:rPr>
      </w:pPr>
      <w:r>
        <w:rPr>
          <w:rFonts w:ascii="Arial" w:cs="Arial" w:eastAsia="Arial" w:hAnsi="Arial"/>
          <w:sz w:val="14"/>
          <w:szCs w:val="14"/>
          <w:b w:val="1"/>
          <w:bCs w:val="1"/>
          <w:color w:val="auto"/>
        </w:rPr>
        <w:t>Exhibit 10.12</w:t>
      </w:r>
    </w:p>
    <w:p>
      <w:pPr>
        <w:spacing w:after="0" w:line="19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INCENTIVE STOCK OPTION GRANT NOTICE</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UNDER THE CENTURY THERAPEUTICS,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2018 STOCK OPTION AND GRANT PLAN</w:t>
      </w:r>
    </w:p>
    <w:p>
      <w:pPr>
        <w:spacing w:after="0" w:line="293" w:lineRule="exact"/>
        <w:rPr>
          <w:sz w:val="20"/>
          <w:szCs w:val="20"/>
          <w:color w:val="auto"/>
        </w:rPr>
      </w:pPr>
    </w:p>
    <w:p>
      <w:pPr>
        <w:jc w:val="both"/>
        <w:ind w:right="80" w:firstLine="518"/>
        <w:spacing w:after="0" w:line="263" w:lineRule="auto"/>
        <w:rPr>
          <w:sz w:val="20"/>
          <w:szCs w:val="20"/>
          <w:color w:val="auto"/>
        </w:rPr>
      </w:pPr>
      <w:r>
        <w:rPr>
          <w:rFonts w:ascii="Arial" w:cs="Arial" w:eastAsia="Arial" w:hAnsi="Arial"/>
          <w:sz w:val="14"/>
          <w:szCs w:val="14"/>
          <w:color w:val="auto"/>
        </w:rPr>
        <w:t>Pursuant to the Century Therapeutics, Inc. 2018 Stock Option and Grant Plan (the “Plan”), Century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Pr>
          <w:p>
            <w:pPr>
              <w:ind w:left="80"/>
              <w:spacing w:after="0"/>
              <w:rPr>
                <w:sz w:val="20"/>
                <w:szCs w:val="20"/>
                <w:color w:val="auto"/>
              </w:rPr>
            </w:pPr>
            <w:r>
              <w:rPr>
                <w:rFonts w:ascii="Arial" w:cs="Arial" w:eastAsia="Arial" w:hAnsi="Arial"/>
                <w:sz w:val="14"/>
                <w:szCs w:val="14"/>
                <w:color w:val="auto"/>
              </w:rPr>
              <w:t>Name of Optionee:</w:t>
            </w:r>
          </w:p>
        </w:tc>
        <w:tc>
          <w:tcPr>
            <w:tcW w:w="8460" w:type="dxa"/>
            <w:vAlign w:val="bottom"/>
          </w:tcPr>
          <w:p>
            <w:pPr>
              <w:ind w:left="980"/>
              <w:spacing w:after="0"/>
              <w:rPr>
                <w:sz w:val="20"/>
                <w:szCs w:val="20"/>
                <w:color w:val="auto"/>
              </w:rPr>
            </w:pPr>
            <w:r>
              <w:rPr>
                <w:rFonts w:ascii="Arial" w:cs="Arial" w:eastAsia="Arial" w:hAnsi="Arial"/>
                <w:sz w:val="14"/>
                <w:szCs w:val="14"/>
                <w:color w:val="auto"/>
              </w:rPr>
              <w:t>______________________(the “Optionee”)</w:t>
            </w:r>
          </w:p>
        </w:tc>
      </w:tr>
      <w:tr>
        <w:trPr>
          <w:trHeight w:val="345"/>
        </w:trPr>
        <w:tc>
          <w:tcPr>
            <w:tcW w:w="2820" w:type="dxa"/>
            <w:vAlign w:val="bottom"/>
          </w:tcPr>
          <w:p>
            <w:pPr>
              <w:ind w:left="80"/>
              <w:spacing w:after="0"/>
              <w:rPr>
                <w:sz w:val="20"/>
                <w:szCs w:val="20"/>
                <w:color w:val="auto"/>
              </w:rPr>
            </w:pPr>
            <w:r>
              <w:rPr>
                <w:rFonts w:ascii="Arial" w:cs="Arial" w:eastAsia="Arial" w:hAnsi="Arial"/>
                <w:sz w:val="14"/>
                <w:szCs w:val="14"/>
                <w:color w:val="auto"/>
              </w:rPr>
              <w:t>No. of Shares:</w:t>
            </w:r>
          </w:p>
        </w:tc>
        <w:tc>
          <w:tcPr>
            <w:tcW w:w="8460" w:type="dxa"/>
            <w:vAlign w:val="bottom"/>
          </w:tcPr>
          <w:p>
            <w:pPr>
              <w:ind w:left="980"/>
              <w:spacing w:after="0"/>
              <w:rPr>
                <w:sz w:val="20"/>
                <w:szCs w:val="20"/>
                <w:color w:val="auto"/>
              </w:rPr>
            </w:pPr>
            <w:r>
              <w:rPr>
                <w:rFonts w:ascii="Arial" w:cs="Arial" w:eastAsia="Arial" w:hAnsi="Arial"/>
                <w:sz w:val="14"/>
                <w:szCs w:val="14"/>
                <w:color w:val="auto"/>
              </w:rPr>
              <w:t>_______________Shares of Common Stock</w:t>
            </w:r>
          </w:p>
        </w:tc>
      </w:tr>
      <w:tr>
        <w:trPr>
          <w:trHeight w:val="345"/>
        </w:trPr>
        <w:tc>
          <w:tcPr>
            <w:tcW w:w="2820" w:type="dxa"/>
            <w:vAlign w:val="bottom"/>
          </w:tcPr>
          <w:p>
            <w:pPr>
              <w:ind w:left="80"/>
              <w:spacing w:after="0"/>
              <w:rPr>
                <w:sz w:val="20"/>
                <w:szCs w:val="20"/>
                <w:color w:val="auto"/>
              </w:rPr>
            </w:pPr>
            <w:r>
              <w:rPr>
                <w:rFonts w:ascii="Arial" w:cs="Arial" w:eastAsia="Arial" w:hAnsi="Arial"/>
                <w:sz w:val="14"/>
                <w:szCs w:val="14"/>
                <w:color w:val="auto"/>
              </w:rPr>
              <w:t>Grant Date:</w:t>
            </w:r>
          </w:p>
        </w:tc>
        <w:tc>
          <w:tcPr>
            <w:tcW w:w="8460" w:type="dxa"/>
            <w:vAlign w:val="bottom"/>
          </w:tcPr>
          <w:p>
            <w:pPr>
              <w:ind w:left="980"/>
              <w:spacing w:after="0"/>
              <w:rPr>
                <w:sz w:val="20"/>
                <w:szCs w:val="20"/>
                <w:color w:val="auto"/>
              </w:rPr>
            </w:pPr>
            <w:r>
              <w:rPr>
                <w:rFonts w:ascii="Arial" w:cs="Arial" w:eastAsia="Arial" w:hAnsi="Arial"/>
                <w:sz w:val="14"/>
                <w:szCs w:val="14"/>
                <w:color w:val="auto"/>
              </w:rPr>
              <w:t>______________________</w:t>
            </w:r>
          </w:p>
        </w:tc>
      </w:tr>
      <w:tr>
        <w:trPr>
          <w:trHeight w:val="345"/>
        </w:trPr>
        <w:tc>
          <w:tcPr>
            <w:tcW w:w="2820" w:type="dxa"/>
            <w:vAlign w:val="bottom"/>
          </w:tcPr>
          <w:p>
            <w:pPr>
              <w:ind w:left="80"/>
              <w:spacing w:after="0"/>
              <w:rPr>
                <w:sz w:val="20"/>
                <w:szCs w:val="20"/>
                <w:color w:val="auto"/>
              </w:rPr>
            </w:pPr>
            <w:r>
              <w:rPr>
                <w:rFonts w:ascii="Arial" w:cs="Arial" w:eastAsia="Arial" w:hAnsi="Arial"/>
                <w:sz w:val="14"/>
                <w:szCs w:val="14"/>
                <w:color w:val="auto"/>
              </w:rPr>
              <w:t>Vesting Commencement Date:</w:t>
            </w:r>
          </w:p>
        </w:tc>
        <w:tc>
          <w:tcPr>
            <w:tcW w:w="8460" w:type="dxa"/>
            <w:vAlign w:val="bottom"/>
          </w:tcPr>
          <w:p>
            <w:pPr>
              <w:ind w:left="980"/>
              <w:spacing w:after="0"/>
              <w:rPr>
                <w:sz w:val="20"/>
                <w:szCs w:val="20"/>
                <w:color w:val="auto"/>
              </w:rPr>
            </w:pPr>
            <w:r>
              <w:rPr>
                <w:rFonts w:ascii="Arial" w:cs="Arial" w:eastAsia="Arial" w:hAnsi="Arial"/>
                <w:sz w:val="14"/>
                <w:szCs w:val="14"/>
                <w:color w:val="auto"/>
              </w:rPr>
              <w:t>______________________(the “Vesting Commencement Date”)</w:t>
            </w:r>
          </w:p>
        </w:tc>
      </w:tr>
      <w:tr>
        <w:trPr>
          <w:trHeight w:val="345"/>
        </w:trPr>
        <w:tc>
          <w:tcPr>
            <w:tcW w:w="2820" w:type="dxa"/>
            <w:vAlign w:val="bottom"/>
          </w:tcPr>
          <w:p>
            <w:pPr>
              <w:ind w:left="80"/>
              <w:spacing w:after="0"/>
              <w:rPr>
                <w:sz w:val="20"/>
                <w:szCs w:val="20"/>
                <w:color w:val="auto"/>
              </w:rPr>
            </w:pPr>
            <w:r>
              <w:rPr>
                <w:rFonts w:ascii="Arial" w:cs="Arial" w:eastAsia="Arial" w:hAnsi="Arial"/>
                <w:sz w:val="14"/>
                <w:szCs w:val="14"/>
                <w:color w:val="auto"/>
              </w:rPr>
              <w:t>Expiration Date:</w:t>
            </w:r>
          </w:p>
        </w:tc>
        <w:tc>
          <w:tcPr>
            <w:tcW w:w="8460" w:type="dxa"/>
            <w:vAlign w:val="bottom"/>
          </w:tcPr>
          <w:p>
            <w:pPr>
              <w:ind w:left="980"/>
              <w:spacing w:after="0"/>
              <w:rPr>
                <w:sz w:val="20"/>
                <w:szCs w:val="20"/>
                <w:color w:val="auto"/>
              </w:rPr>
            </w:pPr>
            <w:r>
              <w:rPr>
                <w:rFonts w:ascii="Arial" w:cs="Arial" w:eastAsia="Arial" w:hAnsi="Arial"/>
                <w:sz w:val="14"/>
                <w:szCs w:val="14"/>
                <w:color w:val="auto"/>
              </w:rPr>
              <w:t>______________________(the “Expiration Date”)</w:t>
            </w:r>
          </w:p>
        </w:tc>
      </w:tr>
      <w:tr>
        <w:trPr>
          <w:trHeight w:val="345"/>
        </w:trPr>
        <w:tc>
          <w:tcPr>
            <w:tcW w:w="2820" w:type="dxa"/>
            <w:vAlign w:val="bottom"/>
          </w:tcPr>
          <w:p>
            <w:pPr>
              <w:ind w:left="80"/>
              <w:spacing w:after="0"/>
              <w:rPr>
                <w:sz w:val="20"/>
                <w:szCs w:val="20"/>
                <w:color w:val="auto"/>
              </w:rPr>
            </w:pPr>
            <w:r>
              <w:rPr>
                <w:rFonts w:ascii="Arial" w:cs="Arial" w:eastAsia="Arial" w:hAnsi="Arial"/>
                <w:sz w:val="14"/>
                <w:szCs w:val="14"/>
                <w:color w:val="auto"/>
              </w:rPr>
              <w:t>Option Exercise Price/Share:</w:t>
            </w:r>
          </w:p>
        </w:tc>
        <w:tc>
          <w:tcPr>
            <w:tcW w:w="8460" w:type="dxa"/>
            <w:vAlign w:val="bottom"/>
          </w:tcPr>
          <w:p>
            <w:pPr>
              <w:ind w:left="980"/>
              <w:spacing w:after="0"/>
              <w:rPr>
                <w:sz w:val="20"/>
                <w:szCs w:val="20"/>
                <w:color w:val="auto"/>
              </w:rPr>
            </w:pPr>
            <w:r>
              <w:rPr>
                <w:rFonts w:ascii="Arial" w:cs="Arial" w:eastAsia="Arial" w:hAnsi="Arial"/>
                <w:sz w:val="14"/>
                <w:szCs w:val="14"/>
                <w:color w:val="auto"/>
              </w:rPr>
              <w:t>$_____________________(the “Option Exercise Price”)</w:t>
            </w:r>
          </w:p>
        </w:tc>
      </w:tr>
      <w:tr>
        <w:trPr>
          <w:trHeight w:val="336"/>
        </w:trPr>
        <w:tc>
          <w:tcPr>
            <w:tcW w:w="2820" w:type="dxa"/>
            <w:vAlign w:val="bottom"/>
          </w:tcPr>
          <w:p>
            <w:pPr>
              <w:ind w:left="80"/>
              <w:spacing w:after="0"/>
              <w:rPr>
                <w:sz w:val="20"/>
                <w:szCs w:val="20"/>
                <w:color w:val="auto"/>
              </w:rPr>
            </w:pPr>
            <w:r>
              <w:rPr>
                <w:rFonts w:ascii="Arial" w:cs="Arial" w:eastAsia="Arial" w:hAnsi="Arial"/>
                <w:sz w:val="14"/>
                <w:szCs w:val="14"/>
                <w:color w:val="auto"/>
              </w:rPr>
              <w:t>Vesting Schedule:</w:t>
            </w:r>
          </w:p>
        </w:tc>
        <w:tc>
          <w:tcPr>
            <w:tcW w:w="8460" w:type="dxa"/>
            <w:vAlign w:val="bottom"/>
          </w:tcPr>
          <w:p>
            <w:pPr>
              <w:ind w:left="980"/>
              <w:spacing w:after="0"/>
              <w:rPr>
                <w:sz w:val="20"/>
                <w:szCs w:val="20"/>
                <w:color w:val="auto"/>
              </w:rPr>
            </w:pPr>
            <w:r>
              <w:rPr>
                <w:rFonts w:ascii="Arial" w:cs="Arial" w:eastAsia="Arial" w:hAnsi="Arial"/>
                <w:sz w:val="14"/>
                <w:szCs w:val="14"/>
                <w:color w:val="auto"/>
                <w:w w:val="99"/>
              </w:rPr>
              <w:t>25 percent of the Shares shall vest and become exercisable on the first anniversary of the Vesting Commencement Date;</w:t>
            </w:r>
          </w:p>
        </w:tc>
      </w:tr>
      <w:tr>
        <w:trPr>
          <w:trHeight w:val="173"/>
        </w:trPr>
        <w:tc>
          <w:tcPr>
            <w:tcW w:w="2820" w:type="dxa"/>
            <w:vAlign w:val="bottom"/>
          </w:tcPr>
          <w:p>
            <w:pPr>
              <w:spacing w:after="0"/>
              <w:rPr>
                <w:sz w:val="15"/>
                <w:szCs w:val="15"/>
                <w:color w:val="auto"/>
              </w:rPr>
            </w:pPr>
          </w:p>
        </w:tc>
        <w:tc>
          <w:tcPr>
            <w:tcW w:w="8460" w:type="dxa"/>
            <w:vAlign w:val="bottom"/>
          </w:tcPr>
          <w:p>
            <w:pPr>
              <w:ind w:left="980"/>
              <w:spacing w:after="0"/>
              <w:rPr>
                <w:sz w:val="20"/>
                <w:szCs w:val="20"/>
                <w:color w:val="auto"/>
              </w:rPr>
            </w:pPr>
            <w:r>
              <w:rPr>
                <w:rFonts w:ascii="Arial" w:cs="Arial" w:eastAsia="Arial" w:hAnsi="Arial"/>
                <w:sz w:val="14"/>
                <w:szCs w:val="14"/>
                <w:color w:val="auto"/>
                <w:w w:val="95"/>
              </w:rPr>
              <w:t>provided that the Optionee continues to have a Service Relationship with the Company at such time. Thereafter, the remaining</w:t>
            </w:r>
          </w:p>
        </w:tc>
      </w:tr>
      <w:tr>
        <w:trPr>
          <w:trHeight w:val="173"/>
        </w:trPr>
        <w:tc>
          <w:tcPr>
            <w:tcW w:w="2820" w:type="dxa"/>
            <w:vAlign w:val="bottom"/>
          </w:tcPr>
          <w:p>
            <w:pPr>
              <w:spacing w:after="0"/>
              <w:rPr>
                <w:sz w:val="15"/>
                <w:szCs w:val="15"/>
                <w:color w:val="auto"/>
              </w:rPr>
            </w:pPr>
          </w:p>
        </w:tc>
        <w:tc>
          <w:tcPr>
            <w:tcW w:w="8460" w:type="dxa"/>
            <w:vAlign w:val="bottom"/>
          </w:tcPr>
          <w:p>
            <w:pPr>
              <w:ind w:left="980"/>
              <w:spacing w:after="0"/>
              <w:rPr>
                <w:sz w:val="20"/>
                <w:szCs w:val="20"/>
                <w:color w:val="auto"/>
              </w:rPr>
            </w:pPr>
            <w:r>
              <w:rPr>
                <w:rFonts w:ascii="Arial" w:cs="Arial" w:eastAsia="Arial" w:hAnsi="Arial"/>
                <w:sz w:val="14"/>
                <w:szCs w:val="14"/>
                <w:color w:val="auto"/>
                <w:w w:val="96"/>
              </w:rPr>
              <w:t>75 percent of the Shares shall vest and become exercisable in 36 equal monthly installments following the first anniversary of</w:t>
            </w:r>
          </w:p>
        </w:tc>
      </w:tr>
      <w:tr>
        <w:trPr>
          <w:trHeight w:val="173"/>
        </w:trPr>
        <w:tc>
          <w:tcPr>
            <w:tcW w:w="2820" w:type="dxa"/>
            <w:vAlign w:val="bottom"/>
          </w:tcPr>
          <w:p>
            <w:pPr>
              <w:spacing w:after="0"/>
              <w:rPr>
                <w:sz w:val="15"/>
                <w:szCs w:val="15"/>
                <w:color w:val="auto"/>
              </w:rPr>
            </w:pPr>
          </w:p>
        </w:tc>
        <w:tc>
          <w:tcPr>
            <w:tcW w:w="8460" w:type="dxa"/>
            <w:vAlign w:val="bottom"/>
          </w:tcPr>
          <w:p>
            <w:pPr>
              <w:ind w:left="980"/>
              <w:spacing w:after="0"/>
              <w:rPr>
                <w:sz w:val="20"/>
                <w:szCs w:val="20"/>
                <w:color w:val="auto"/>
              </w:rPr>
            </w:pPr>
            <w:r>
              <w:rPr>
                <w:rFonts w:ascii="Arial" w:cs="Arial" w:eastAsia="Arial" w:hAnsi="Arial"/>
                <w:sz w:val="14"/>
                <w:szCs w:val="14"/>
                <w:color w:val="auto"/>
                <w:w w:val="95"/>
              </w:rPr>
              <w:t>the Vesting Commencement Date, provided the Optionee continues to have a Service Relationship with the Company on each</w:t>
            </w:r>
          </w:p>
        </w:tc>
      </w:tr>
      <w:tr>
        <w:trPr>
          <w:trHeight w:val="169"/>
        </w:trPr>
        <w:tc>
          <w:tcPr>
            <w:tcW w:w="2820" w:type="dxa"/>
            <w:vAlign w:val="bottom"/>
          </w:tcPr>
          <w:p>
            <w:pPr>
              <w:spacing w:after="0"/>
              <w:rPr>
                <w:sz w:val="14"/>
                <w:szCs w:val="14"/>
                <w:color w:val="auto"/>
              </w:rPr>
            </w:pPr>
          </w:p>
        </w:tc>
        <w:tc>
          <w:tcPr>
            <w:tcW w:w="8460" w:type="dxa"/>
            <w:vAlign w:val="bottom"/>
          </w:tcPr>
          <w:p>
            <w:pPr>
              <w:ind w:left="980"/>
              <w:spacing w:after="0"/>
              <w:rPr>
                <w:sz w:val="20"/>
                <w:szCs w:val="20"/>
                <w:color w:val="auto"/>
              </w:rPr>
            </w:pPr>
            <w:r>
              <w:rPr>
                <w:rFonts w:ascii="Arial" w:cs="Arial" w:eastAsia="Arial" w:hAnsi="Arial"/>
                <w:sz w:val="14"/>
                <w:szCs w:val="14"/>
                <w:color w:val="auto"/>
                <w:w w:val="95"/>
              </w:rPr>
              <w:t>vesting date. Notwithstanding anything in the Agreement to the contrary, in the case of a Sale Event, this Stock Option and the</w:t>
            </w:r>
          </w:p>
        </w:tc>
      </w:tr>
      <w:tr>
        <w:trPr>
          <w:trHeight w:val="186"/>
        </w:trPr>
        <w:tc>
          <w:tcPr>
            <w:tcW w:w="2820" w:type="dxa"/>
            <w:vAlign w:val="bottom"/>
          </w:tcPr>
          <w:p>
            <w:pPr>
              <w:spacing w:after="0"/>
              <w:rPr>
                <w:sz w:val="16"/>
                <w:szCs w:val="16"/>
                <w:color w:val="auto"/>
              </w:rPr>
            </w:pPr>
          </w:p>
        </w:tc>
        <w:tc>
          <w:tcPr>
            <w:tcW w:w="8460" w:type="dxa"/>
            <w:vAlign w:val="bottom"/>
          </w:tcPr>
          <w:p>
            <w:pPr>
              <w:ind w:left="980"/>
              <w:spacing w:after="0"/>
              <w:rPr>
                <w:sz w:val="20"/>
                <w:szCs w:val="20"/>
                <w:color w:val="auto"/>
              </w:rPr>
            </w:pPr>
            <w:r>
              <w:rPr>
                <w:rFonts w:ascii="Arial" w:cs="Arial" w:eastAsia="Arial" w:hAnsi="Arial"/>
                <w:sz w:val="14"/>
                <w:szCs w:val="14"/>
                <w:color w:val="auto"/>
              </w:rPr>
              <w:t>Shares shall be treated as provided in Section 3(c) of the Plan</w:t>
            </w:r>
            <w:r>
              <w:rPr>
                <w:rFonts w:ascii="Arial" w:cs="Arial" w:eastAsia="Arial" w:hAnsi="Arial"/>
                <w:sz w:val="14"/>
                <w:szCs w:val="14"/>
                <w:b w:val="1"/>
                <w:bCs w:val="1"/>
                <w:color w:val="auto"/>
              </w:rPr>
              <w:t>.</w:t>
            </w:r>
          </w:p>
        </w:tc>
      </w:tr>
      <w:tr>
        <w:trPr>
          <w:trHeight w:val="638"/>
        </w:trPr>
        <w:tc>
          <w:tcPr>
            <w:tcW w:w="282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462" w:name="page463"/>
    <w:bookmarkEnd w:id="462"/>
    <w:p>
      <w:pPr>
        <w:jc w:val="center"/>
        <w:ind w:right="-99"/>
        <w:spacing w:after="0"/>
        <w:rPr>
          <w:sz w:val="20"/>
          <w:szCs w:val="20"/>
          <w:color w:val="auto"/>
        </w:rPr>
      </w:pPr>
      <w:r>
        <w:rPr>
          <w:rFonts w:ascii="Arial" w:cs="Arial" w:eastAsia="Arial" w:hAnsi="Arial"/>
          <w:sz w:val="14"/>
          <w:szCs w:val="14"/>
          <w:b w:val="1"/>
          <w:bCs w:val="1"/>
          <w:color w:val="auto"/>
        </w:rPr>
        <w:t>INCENTIVE STOCK OPTION AGREEMENT</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UNDER THE CENTURY THERAPEUTICS, INC.</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2018 STOCK OPTION AND GRANT PLAN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All capitalized terms used herein and not otherwise defined shall have the respective meanings set forth in the Grant Notice and the Plan.</w:t>
      </w:r>
    </w:p>
    <w:p>
      <w:pPr>
        <w:spacing w:after="0" w:line="184" w:lineRule="exact"/>
        <w:rPr>
          <w:sz w:val="20"/>
          <w:szCs w:val="20"/>
          <w:color w:val="auto"/>
        </w:rPr>
      </w:pPr>
    </w:p>
    <w:p>
      <w:pPr>
        <w:ind w:left="1040" w:hanging="516"/>
        <w:spacing w:after="0"/>
        <w:tabs>
          <w:tab w:leader="none" w:pos="1040" w:val="left"/>
        </w:tabs>
        <w:numPr>
          <w:ilvl w:val="0"/>
          <w:numId w:val="319"/>
        </w:numPr>
        <w:rPr>
          <w:rFonts w:ascii="Arial" w:cs="Arial" w:eastAsia="Arial" w:hAnsi="Arial"/>
          <w:sz w:val="14"/>
          <w:szCs w:val="14"/>
          <w:color w:val="auto"/>
        </w:rPr>
      </w:pPr>
      <w:r>
        <w:rPr>
          <w:rFonts w:ascii="Arial" w:cs="Arial" w:eastAsia="Arial" w:hAnsi="Arial"/>
          <w:sz w:val="14"/>
          <w:szCs w:val="14"/>
          <w:u w:val="single" w:color="auto"/>
          <w:color w:val="auto"/>
        </w:rPr>
        <w:t>Vesting, Exercisability and Termination</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ind w:left="1320" w:hanging="278"/>
        <w:spacing w:after="0"/>
        <w:tabs>
          <w:tab w:leader="none" w:pos="1320" w:val="left"/>
        </w:tabs>
        <w:numPr>
          <w:ilvl w:val="1"/>
          <w:numId w:val="319"/>
        </w:numPr>
        <w:rPr>
          <w:rFonts w:ascii="Arial" w:cs="Arial" w:eastAsia="Arial" w:hAnsi="Arial"/>
          <w:sz w:val="14"/>
          <w:szCs w:val="14"/>
          <w:color w:val="auto"/>
        </w:rPr>
      </w:pPr>
      <w:r>
        <w:rPr>
          <w:rFonts w:ascii="Arial" w:cs="Arial" w:eastAsia="Arial" w:hAnsi="Arial"/>
          <w:sz w:val="14"/>
          <w:szCs w:val="14"/>
          <w:color w:val="auto"/>
        </w:rPr>
        <w:t>No portion of this Stock Option may be exercised until such portion shall have vested and become exercisable.</w:t>
      </w:r>
    </w:p>
    <w:p>
      <w:pPr>
        <w:spacing w:after="0" w:line="184" w:lineRule="exact"/>
        <w:rPr>
          <w:rFonts w:ascii="Arial" w:cs="Arial" w:eastAsia="Arial" w:hAnsi="Arial"/>
          <w:sz w:val="14"/>
          <w:szCs w:val="14"/>
          <w:color w:val="auto"/>
        </w:rPr>
      </w:pPr>
    </w:p>
    <w:p>
      <w:pPr>
        <w:ind w:right="20" w:firstLine="1042"/>
        <w:spacing w:after="0" w:line="288" w:lineRule="auto"/>
        <w:tabs>
          <w:tab w:leader="none" w:pos="1326" w:val="left"/>
        </w:tabs>
        <w:numPr>
          <w:ilvl w:val="1"/>
          <w:numId w:val="319"/>
        </w:numPr>
        <w:rPr>
          <w:rFonts w:ascii="Arial" w:cs="Arial" w:eastAsia="Arial" w:hAnsi="Arial"/>
          <w:sz w:val="14"/>
          <w:szCs w:val="14"/>
          <w:color w:val="auto"/>
        </w:rPr>
      </w:pPr>
      <w:r>
        <w:rPr>
          <w:rFonts w:ascii="Arial" w:cs="Arial" w:eastAsia="Arial" w:hAnsi="Arial"/>
          <w:sz w:val="14"/>
          <w:szCs w:val="14"/>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131" w:lineRule="exact"/>
        <w:rPr>
          <w:rFonts w:ascii="Arial" w:cs="Arial" w:eastAsia="Arial" w:hAnsi="Arial"/>
          <w:sz w:val="14"/>
          <w:szCs w:val="14"/>
          <w:color w:val="auto"/>
        </w:rPr>
      </w:pPr>
    </w:p>
    <w:p>
      <w:pPr>
        <w:ind w:left="2040" w:hanging="635"/>
        <w:spacing w:after="0"/>
        <w:tabs>
          <w:tab w:leader="none" w:pos="2040" w:val="left"/>
        </w:tabs>
        <w:numPr>
          <w:ilvl w:val="2"/>
          <w:numId w:val="319"/>
        </w:numPr>
        <w:rPr>
          <w:rFonts w:ascii="Arial" w:cs="Arial" w:eastAsia="Arial" w:hAnsi="Arial"/>
          <w:sz w:val="14"/>
          <w:szCs w:val="14"/>
          <w:color w:val="auto"/>
        </w:rPr>
      </w:pPr>
      <w:r>
        <w:rPr>
          <w:rFonts w:ascii="Arial" w:cs="Arial" w:eastAsia="Arial" w:hAnsi="Arial"/>
          <w:sz w:val="14"/>
          <w:szCs w:val="14"/>
          <w:color w:val="auto"/>
        </w:rPr>
        <w:t>This Stock Option shall initially be unvested and unexercisable.</w:t>
      </w:r>
    </w:p>
    <w:p>
      <w:pPr>
        <w:spacing w:after="0" w:line="184" w:lineRule="exact"/>
        <w:rPr>
          <w:rFonts w:ascii="Arial" w:cs="Arial" w:eastAsia="Arial" w:hAnsi="Arial"/>
          <w:sz w:val="14"/>
          <w:szCs w:val="14"/>
          <w:color w:val="auto"/>
        </w:rPr>
      </w:pPr>
    </w:p>
    <w:p>
      <w:pPr>
        <w:ind w:left="2020" w:hanging="615"/>
        <w:spacing w:after="0"/>
        <w:tabs>
          <w:tab w:leader="none" w:pos="2020" w:val="left"/>
        </w:tabs>
        <w:numPr>
          <w:ilvl w:val="2"/>
          <w:numId w:val="319"/>
        </w:numPr>
        <w:rPr>
          <w:rFonts w:ascii="Arial" w:cs="Arial" w:eastAsia="Arial" w:hAnsi="Arial"/>
          <w:sz w:val="14"/>
          <w:szCs w:val="14"/>
          <w:color w:val="auto"/>
        </w:rPr>
      </w:pPr>
      <w:r>
        <w:rPr>
          <w:rFonts w:ascii="Arial" w:cs="Arial" w:eastAsia="Arial" w:hAnsi="Arial"/>
          <w:sz w:val="14"/>
          <w:szCs w:val="14"/>
          <w:color w:val="auto"/>
        </w:rPr>
        <w:t>This Stock Option shall vest and become exercisable in accordance with the Vesting Schedule set forth in the Grant Notice.</w:t>
      </w:r>
    </w:p>
    <w:p>
      <w:pPr>
        <w:spacing w:after="0" w:line="184" w:lineRule="exact"/>
        <w:rPr>
          <w:rFonts w:ascii="Arial" w:cs="Arial" w:eastAsia="Arial" w:hAnsi="Arial"/>
          <w:sz w:val="14"/>
          <w:szCs w:val="14"/>
          <w:color w:val="auto"/>
        </w:rPr>
      </w:pPr>
    </w:p>
    <w:p>
      <w:pPr>
        <w:ind w:firstLine="1042"/>
        <w:spacing w:after="0" w:line="329" w:lineRule="auto"/>
        <w:tabs>
          <w:tab w:leader="none" w:pos="1317" w:val="left"/>
        </w:tabs>
        <w:numPr>
          <w:ilvl w:val="1"/>
          <w:numId w:val="319"/>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118" w:lineRule="exact"/>
        <w:rPr>
          <w:rFonts w:ascii="Arial" w:cs="Arial" w:eastAsia="Arial" w:hAnsi="Arial"/>
          <w:sz w:val="13"/>
          <w:szCs w:val="13"/>
          <w:color w:val="auto"/>
        </w:rPr>
      </w:pPr>
    </w:p>
    <w:p>
      <w:pPr>
        <w:ind w:left="1040" w:right="120" w:firstLine="365"/>
        <w:spacing w:after="0" w:line="273" w:lineRule="auto"/>
        <w:tabs>
          <w:tab w:leader="none" w:pos="2034" w:val="left"/>
        </w:tabs>
        <w:numPr>
          <w:ilvl w:val="2"/>
          <w:numId w:val="319"/>
        </w:numPr>
        <w:rPr>
          <w:rFonts w:ascii="Arial" w:cs="Arial" w:eastAsia="Arial" w:hAnsi="Arial"/>
          <w:sz w:val="14"/>
          <w:szCs w:val="14"/>
          <w:color w:val="auto"/>
        </w:rPr>
      </w:pPr>
      <w:r>
        <w:rPr>
          <w:rFonts w:ascii="Arial" w:cs="Arial" w:eastAsia="Arial" w:hAnsi="Arial"/>
          <w:sz w:val="14"/>
          <w:szCs w:val="14"/>
          <w:u w:val="single" w:color="auto"/>
          <w:color w:val="auto"/>
        </w:rPr>
        <w:t>Termination Due to Death or Disability</w:t>
      </w:r>
      <w:r>
        <w:rPr>
          <w:rFonts w:ascii="Arial" w:cs="Arial" w:eastAsia="Arial" w:hAnsi="Arial"/>
          <w:sz w:val="14"/>
          <w:szCs w:val="14"/>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141" w:lineRule="exact"/>
        <w:rPr>
          <w:rFonts w:ascii="Arial" w:cs="Arial" w:eastAsia="Arial" w:hAnsi="Arial"/>
          <w:sz w:val="14"/>
          <w:szCs w:val="14"/>
          <w:color w:val="auto"/>
        </w:rPr>
      </w:pPr>
    </w:p>
    <w:p>
      <w:pPr>
        <w:ind w:left="1040" w:right="80" w:firstLine="365"/>
        <w:spacing w:after="0" w:line="267" w:lineRule="auto"/>
        <w:tabs>
          <w:tab w:leader="none" w:pos="2017" w:val="left"/>
        </w:tabs>
        <w:numPr>
          <w:ilvl w:val="2"/>
          <w:numId w:val="319"/>
        </w:numPr>
        <w:rPr>
          <w:rFonts w:ascii="Arial" w:cs="Arial" w:eastAsia="Arial" w:hAnsi="Arial"/>
          <w:sz w:val="14"/>
          <w:szCs w:val="14"/>
          <w:color w:val="auto"/>
        </w:rPr>
      </w:pPr>
      <w:r>
        <w:rPr>
          <w:rFonts w:ascii="Arial" w:cs="Arial" w:eastAsia="Arial" w:hAnsi="Arial"/>
          <w:sz w:val="14"/>
          <w:szCs w:val="14"/>
          <w:u w:val="single" w:color="auto"/>
          <w:color w:val="auto"/>
        </w:rPr>
        <w:t>Other Termination</w:t>
      </w:r>
      <w:r>
        <w:rPr>
          <w:rFonts w:ascii="Arial" w:cs="Arial" w:eastAsia="Arial" w:hAnsi="Arial"/>
          <w:sz w:val="14"/>
          <w:szCs w:val="14"/>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90 days from the date of termination or until the Expiration Date, if earlier; </w:t>
      </w:r>
      <w:r>
        <w:rPr>
          <w:rFonts w:ascii="Arial" w:cs="Arial" w:eastAsia="Arial" w:hAnsi="Arial"/>
          <w:sz w:val="14"/>
          <w:szCs w:val="14"/>
          <w:u w:val="single" w:color="auto"/>
          <w:color w:val="auto"/>
        </w:rPr>
        <w:t>provided however</w:t>
      </w:r>
      <w:r>
        <w:rPr>
          <w:rFonts w:ascii="Arial" w:cs="Arial" w:eastAsia="Arial" w:hAnsi="Arial"/>
          <w:sz w:val="14"/>
          <w:szCs w:val="14"/>
          <w:color w:val="auto"/>
        </w:rPr>
        <w:t>, if the Optionee’s Service Relationship is terminated for Cause, this Stock Option shall terminate immediately upon the date of such termination.</w:t>
      </w:r>
    </w:p>
    <w:p>
      <w:pPr>
        <w:spacing w:after="0" w:line="147"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492" w:right="399" w:bottom="1440" w:gutter="0" w:footer="0" w:header="0"/>
        </w:sectPr>
      </w:pPr>
    </w:p>
    <w:bookmarkStart w:id="463" w:name="page464"/>
    <w:bookmarkEnd w:id="463"/>
    <w:p>
      <w:pPr>
        <w:spacing w:after="0"/>
        <w:rPr>
          <w:sz w:val="20"/>
          <w:szCs w:val="20"/>
          <w:color w:val="auto"/>
        </w:rPr>
      </w:pPr>
      <w:r>
        <w:rPr>
          <w:rFonts w:ascii="Arial" w:cs="Arial" w:eastAsia="Arial" w:hAnsi="Arial"/>
          <w:sz w:val="14"/>
          <w:szCs w:val="14"/>
          <w:color w:val="auto"/>
        </w:rPr>
        <w:t>on the date of termination of the Service Relationship shall terminate immediately and be null and void.</w:t>
      </w:r>
    </w:p>
    <w:p>
      <w:pPr>
        <w:spacing w:after="0" w:line="76" w:lineRule="exact"/>
        <w:rPr>
          <w:sz w:val="20"/>
          <w:szCs w:val="20"/>
          <w:color w:val="auto"/>
        </w:rPr>
      </w:pPr>
    </w:p>
    <w:p>
      <w:pPr>
        <w:jc w:val="both"/>
        <w:ind w:firstLine="1042"/>
        <w:spacing w:after="0" w:line="284" w:lineRule="auto"/>
        <w:tabs>
          <w:tab w:leader="none" w:pos="1336" w:val="left"/>
        </w:tabs>
        <w:numPr>
          <w:ilvl w:val="1"/>
          <w:numId w:val="320"/>
        </w:numPr>
        <w:rPr>
          <w:rFonts w:ascii="Arial" w:cs="Arial" w:eastAsia="Arial" w:hAnsi="Arial"/>
          <w:sz w:val="13"/>
          <w:szCs w:val="13"/>
          <w:color w:val="auto"/>
        </w:rPr>
      </w:pPr>
      <w:r>
        <w:rPr>
          <w:rFonts w:ascii="Arial" w:cs="Arial" w:eastAsia="Arial" w:hAnsi="Arial"/>
          <w:sz w:val="13"/>
          <w:szCs w:val="13"/>
          <w:color w:val="auto"/>
        </w:rPr>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149" w:lineRule="exact"/>
        <w:rPr>
          <w:rFonts w:ascii="Arial" w:cs="Arial" w:eastAsia="Arial" w:hAnsi="Arial"/>
          <w:sz w:val="13"/>
          <w:szCs w:val="13"/>
          <w:color w:val="auto"/>
        </w:rPr>
      </w:pPr>
    </w:p>
    <w:p>
      <w:pPr>
        <w:ind w:left="1040" w:hanging="516"/>
        <w:spacing w:after="0"/>
        <w:tabs>
          <w:tab w:leader="none" w:pos="1040" w:val="left"/>
        </w:tabs>
        <w:numPr>
          <w:ilvl w:val="0"/>
          <w:numId w:val="321"/>
        </w:numPr>
        <w:rPr>
          <w:rFonts w:ascii="Arial" w:cs="Arial" w:eastAsia="Arial" w:hAnsi="Arial"/>
          <w:sz w:val="14"/>
          <w:szCs w:val="14"/>
          <w:color w:val="auto"/>
        </w:rPr>
      </w:pPr>
      <w:r>
        <w:rPr>
          <w:rFonts w:ascii="Arial" w:cs="Arial" w:eastAsia="Arial" w:hAnsi="Arial"/>
          <w:sz w:val="14"/>
          <w:szCs w:val="14"/>
          <w:u w:val="single" w:color="auto"/>
          <w:color w:val="auto"/>
        </w:rPr>
        <w:t>Exercise of Stock Option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1042"/>
        <w:spacing w:after="0" w:line="267" w:lineRule="auto"/>
        <w:tabs>
          <w:tab w:leader="none" w:pos="1328" w:val="left"/>
        </w:tabs>
        <w:numPr>
          <w:ilvl w:val="1"/>
          <w:numId w:val="321"/>
        </w:numPr>
        <w:rPr>
          <w:rFonts w:ascii="Arial" w:cs="Arial" w:eastAsia="Arial" w:hAnsi="Arial"/>
          <w:sz w:val="14"/>
          <w:szCs w:val="14"/>
          <w:color w:val="auto"/>
        </w:rPr>
      </w:pPr>
      <w:r>
        <w:rPr>
          <w:rFonts w:ascii="Arial" w:cs="Arial" w:eastAsia="Arial" w:hAnsi="Arial"/>
          <w:sz w:val="14"/>
          <w:szCs w:val="14"/>
          <w:color w:val="auto"/>
        </w:rPr>
        <w:t xml:space="preserve">The Optionee may exercise this Stock Option only in the following manner: Prior to the Expiration Date, the Optionee may deliver a Stock Option exercise notice (an “Exercise Notice”) in the form of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146" w:lineRule="exact"/>
        <w:rPr>
          <w:rFonts w:ascii="Arial" w:cs="Arial" w:eastAsia="Arial" w:hAnsi="Arial"/>
          <w:sz w:val="14"/>
          <w:szCs w:val="14"/>
          <w:color w:val="auto"/>
        </w:rPr>
      </w:pPr>
    </w:p>
    <w:p>
      <w:pPr>
        <w:ind w:left="1340" w:hanging="298"/>
        <w:spacing w:after="0"/>
        <w:tabs>
          <w:tab w:leader="none" w:pos="1340" w:val="left"/>
        </w:tabs>
        <w:numPr>
          <w:ilvl w:val="1"/>
          <w:numId w:val="321"/>
        </w:numPr>
        <w:rPr>
          <w:rFonts w:ascii="Arial" w:cs="Arial" w:eastAsia="Arial" w:hAnsi="Arial"/>
          <w:sz w:val="14"/>
          <w:szCs w:val="14"/>
          <w:color w:val="auto"/>
        </w:rPr>
      </w:pPr>
      <w:r>
        <w:rPr>
          <w:rFonts w:ascii="Arial" w:cs="Arial" w:eastAsia="Arial" w:hAnsi="Arial"/>
          <w:sz w:val="14"/>
          <w:szCs w:val="14"/>
          <w:color w:val="auto"/>
        </w:rPr>
        <w:t>Notwithstanding any other provision hereof or of the Plan, no portion of this Stock Option shall be exercisable after the Expiration Date.</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321"/>
        </w:numPr>
        <w:rPr>
          <w:rFonts w:ascii="Arial" w:cs="Arial" w:eastAsia="Arial" w:hAnsi="Arial"/>
          <w:sz w:val="13"/>
          <w:szCs w:val="13"/>
          <w:color w:val="auto"/>
        </w:rPr>
      </w:pPr>
      <w:r>
        <w:rPr>
          <w:rFonts w:ascii="Arial" w:cs="Arial" w:eastAsia="Arial" w:hAnsi="Arial"/>
          <w:sz w:val="13"/>
          <w:szCs w:val="13"/>
          <w:u w:val="single" w:color="auto"/>
          <w:color w:val="auto"/>
        </w:rPr>
        <w:t>Incorporation of Plan</w:t>
      </w:r>
      <w:r>
        <w:rPr>
          <w:rFonts w:ascii="Arial" w:cs="Arial" w:eastAsia="Arial" w:hAnsi="Arial"/>
          <w:sz w:val="13"/>
          <w:szCs w:val="13"/>
          <w:color w:val="auto"/>
        </w:rPr>
        <w:t>. Notwithstanding anything herein to the contrary, this Stock Option shall be subject to and governed by all the terms and conditions of the Plan.</w:t>
      </w:r>
    </w:p>
    <w:p>
      <w:pPr>
        <w:spacing w:after="0" w:line="195" w:lineRule="exact"/>
        <w:rPr>
          <w:rFonts w:ascii="Arial" w:cs="Arial" w:eastAsia="Arial" w:hAnsi="Arial"/>
          <w:sz w:val="13"/>
          <w:szCs w:val="13"/>
          <w:color w:val="auto"/>
        </w:rPr>
      </w:pPr>
    </w:p>
    <w:p>
      <w:pPr>
        <w:jc w:val="both"/>
        <w:ind w:firstLine="524"/>
        <w:spacing w:after="0" w:line="265" w:lineRule="auto"/>
        <w:tabs>
          <w:tab w:leader="none" w:pos="1028" w:val="left"/>
        </w:tabs>
        <w:numPr>
          <w:ilvl w:val="0"/>
          <w:numId w:val="321"/>
        </w:numPr>
        <w:rPr>
          <w:rFonts w:ascii="Arial" w:cs="Arial" w:eastAsia="Arial" w:hAnsi="Arial"/>
          <w:sz w:val="14"/>
          <w:szCs w:val="14"/>
          <w:color w:val="auto"/>
        </w:rPr>
      </w:pPr>
      <w:r>
        <w:rPr>
          <w:rFonts w:ascii="Arial" w:cs="Arial" w:eastAsia="Arial" w:hAnsi="Arial"/>
          <w:sz w:val="14"/>
          <w:szCs w:val="14"/>
          <w:u w:val="single" w:color="auto"/>
          <w:color w:val="auto"/>
        </w:rPr>
        <w:t>Transferability of Stock Option</w:t>
      </w:r>
      <w:r>
        <w:rPr>
          <w:rFonts w:ascii="Arial" w:cs="Arial" w:eastAsia="Arial" w:hAnsi="Arial"/>
          <w:sz w:val="14"/>
          <w:szCs w:val="14"/>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464" w:name="page465"/>
    <w:bookmarkEnd w:id="464"/>
    <w:p>
      <w:pPr>
        <w:spacing w:after="0"/>
        <w:rPr>
          <w:sz w:val="20"/>
          <w:szCs w:val="20"/>
          <w:color w:val="auto"/>
        </w:rPr>
      </w:pPr>
      <w:r>
        <w:rPr>
          <w:rFonts w:ascii="Arial" w:cs="Arial" w:eastAsia="Arial" w:hAnsi="Arial"/>
          <w:sz w:val="14"/>
          <w:szCs w:val="14"/>
          <w:color w:val="auto"/>
        </w:rPr>
        <w:t>beneficiary predeceases the Optionee, the legal representative of the Optionee may exercise this Stock Option to the extent provided herein in the event of the Optionee’s death.</w:t>
      </w:r>
    </w:p>
    <w:p>
      <w:pPr>
        <w:spacing w:after="0" w:line="227" w:lineRule="exact"/>
        <w:rPr>
          <w:sz w:val="20"/>
          <w:szCs w:val="20"/>
          <w:color w:val="auto"/>
        </w:rPr>
      </w:pPr>
    </w:p>
    <w:p>
      <w:pPr>
        <w:ind w:right="20" w:firstLine="524"/>
        <w:spacing w:after="0" w:line="288" w:lineRule="auto"/>
        <w:tabs>
          <w:tab w:leader="none" w:pos="1028" w:val="left"/>
        </w:tabs>
        <w:numPr>
          <w:ilvl w:val="0"/>
          <w:numId w:val="322"/>
        </w:numPr>
        <w:rPr>
          <w:rFonts w:ascii="Arial" w:cs="Arial" w:eastAsia="Arial" w:hAnsi="Arial"/>
          <w:sz w:val="14"/>
          <w:szCs w:val="14"/>
          <w:color w:val="auto"/>
        </w:rPr>
      </w:pPr>
      <w:r>
        <w:rPr>
          <w:rFonts w:ascii="Arial" w:cs="Arial" w:eastAsia="Arial" w:hAnsi="Arial"/>
          <w:sz w:val="14"/>
          <w:szCs w:val="14"/>
          <w:u w:val="single" w:color="auto"/>
          <w:color w:val="auto"/>
        </w:rPr>
        <w:t>Restrictions on Transfer of Shares</w:t>
      </w:r>
      <w:r>
        <w:rPr>
          <w:rFonts w:ascii="Arial" w:cs="Arial" w:eastAsia="Arial" w:hAnsi="Arial"/>
          <w:sz w:val="14"/>
          <w:szCs w:val="14"/>
          <w:color w:val="auto"/>
        </w:rPr>
        <w:t>. The Shares acquired upon exercise of the Stock Option shall be subject to certain transfer restrictions and other limitations including, without limitation, the provisions contained in Section 9 of the Plan.</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322"/>
        </w:numPr>
        <w:rPr>
          <w:rFonts w:ascii="Arial" w:cs="Arial" w:eastAsia="Arial" w:hAnsi="Arial"/>
          <w:sz w:val="14"/>
          <w:szCs w:val="14"/>
          <w:color w:val="auto"/>
        </w:rPr>
      </w:pPr>
      <w:r>
        <w:rPr>
          <w:rFonts w:ascii="Arial" w:cs="Arial" w:eastAsia="Arial" w:hAnsi="Arial"/>
          <w:sz w:val="14"/>
          <w:szCs w:val="14"/>
          <w:u w:val="single" w:color="auto"/>
          <w:color w:val="auto"/>
        </w:rPr>
        <w:t>Miscellaneous Provisions</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ind w:firstLine="1042"/>
        <w:spacing w:after="0" w:line="288" w:lineRule="auto"/>
        <w:tabs>
          <w:tab w:leader="none" w:pos="1339" w:val="left"/>
        </w:tabs>
        <w:numPr>
          <w:ilvl w:val="1"/>
          <w:numId w:val="322"/>
        </w:numPr>
        <w:rPr>
          <w:rFonts w:ascii="Arial" w:cs="Arial" w:eastAsia="Arial" w:hAnsi="Arial"/>
          <w:sz w:val="14"/>
          <w:szCs w:val="14"/>
          <w:color w:val="auto"/>
        </w:rPr>
      </w:pPr>
      <w:r>
        <w:rPr>
          <w:rFonts w:ascii="Arial" w:cs="Arial" w:eastAsia="Arial" w:hAnsi="Arial"/>
          <w:sz w:val="14"/>
          <w:szCs w:val="14"/>
          <w:u w:val="single" w:color="auto"/>
          <w:color w:val="auto"/>
        </w:rPr>
        <w:t>Equitable Relief</w:t>
      </w:r>
      <w:r>
        <w:rPr>
          <w:rFonts w:ascii="Arial" w:cs="Arial" w:eastAsia="Arial" w:hAnsi="Arial"/>
          <w:sz w:val="14"/>
          <w:szCs w:val="14"/>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131" w:lineRule="exact"/>
        <w:rPr>
          <w:rFonts w:ascii="Arial" w:cs="Arial" w:eastAsia="Arial" w:hAnsi="Arial"/>
          <w:sz w:val="14"/>
          <w:szCs w:val="14"/>
          <w:color w:val="auto"/>
        </w:rPr>
      </w:pPr>
    </w:p>
    <w:p>
      <w:pPr>
        <w:jc w:val="both"/>
        <w:ind w:firstLine="1042"/>
        <w:spacing w:after="0" w:line="267" w:lineRule="auto"/>
        <w:tabs>
          <w:tab w:leader="none" w:pos="1336" w:val="left"/>
        </w:tabs>
        <w:numPr>
          <w:ilvl w:val="1"/>
          <w:numId w:val="322"/>
        </w:numPr>
        <w:rPr>
          <w:rFonts w:ascii="Arial" w:cs="Arial" w:eastAsia="Arial" w:hAnsi="Arial"/>
          <w:sz w:val="14"/>
          <w:szCs w:val="14"/>
          <w:color w:val="auto"/>
        </w:rPr>
      </w:pPr>
      <w:r>
        <w:rPr>
          <w:rFonts w:ascii="Arial" w:cs="Arial" w:eastAsia="Arial" w:hAnsi="Arial"/>
          <w:sz w:val="14"/>
          <w:szCs w:val="14"/>
          <w:u w:val="single" w:color="auto"/>
          <w:color w:val="auto"/>
        </w:rPr>
        <w:t>Adjustments for Changes in Capital Structure</w:t>
      </w:r>
      <w:r>
        <w:rPr>
          <w:rFonts w:ascii="Arial" w:cs="Arial" w:eastAsia="Arial" w:hAnsi="Arial"/>
          <w:sz w:val="14"/>
          <w:szCs w:val="14"/>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46" w:lineRule="exact"/>
        <w:rPr>
          <w:rFonts w:ascii="Arial" w:cs="Arial" w:eastAsia="Arial" w:hAnsi="Arial"/>
          <w:sz w:val="14"/>
          <w:szCs w:val="14"/>
          <w:color w:val="auto"/>
        </w:rPr>
      </w:pPr>
    </w:p>
    <w:p>
      <w:pPr>
        <w:ind w:firstLine="1042"/>
        <w:spacing w:after="0" w:line="288" w:lineRule="auto"/>
        <w:tabs>
          <w:tab w:leader="none" w:pos="1317" w:val="left"/>
        </w:tabs>
        <w:numPr>
          <w:ilvl w:val="1"/>
          <w:numId w:val="322"/>
        </w:numPr>
        <w:rPr>
          <w:rFonts w:ascii="Arial" w:cs="Arial" w:eastAsia="Arial" w:hAnsi="Arial"/>
          <w:sz w:val="14"/>
          <w:szCs w:val="14"/>
          <w:color w:val="auto"/>
        </w:rPr>
      </w:pPr>
      <w:r>
        <w:rPr>
          <w:rFonts w:ascii="Arial" w:cs="Arial" w:eastAsia="Arial" w:hAnsi="Arial"/>
          <w:sz w:val="14"/>
          <w:szCs w:val="14"/>
          <w:u w:val="single" w:color="auto"/>
          <w:color w:val="auto"/>
        </w:rPr>
        <w:t>Change and Modifications</w:t>
      </w:r>
      <w:r>
        <w:rPr>
          <w:rFonts w:ascii="Arial" w:cs="Arial" w:eastAsia="Arial" w:hAnsi="Arial"/>
          <w:sz w:val="14"/>
          <w:szCs w:val="14"/>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326" w:val="left"/>
        </w:tabs>
        <w:numPr>
          <w:ilvl w:val="1"/>
          <w:numId w:val="322"/>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New York, without regard to conflict of law principles that would result in the application of any law other than the law of the State of New York.</w:t>
      </w:r>
    </w:p>
    <w:p>
      <w:pPr>
        <w:spacing w:after="0" w:line="141" w:lineRule="exact"/>
        <w:rPr>
          <w:rFonts w:ascii="Arial" w:cs="Arial" w:eastAsia="Arial" w:hAnsi="Arial"/>
          <w:sz w:val="14"/>
          <w:szCs w:val="14"/>
          <w:color w:val="auto"/>
        </w:rPr>
      </w:pPr>
    </w:p>
    <w:p>
      <w:pPr>
        <w:ind w:right="20" w:firstLine="1042"/>
        <w:spacing w:after="0" w:line="288" w:lineRule="auto"/>
        <w:tabs>
          <w:tab w:leader="none" w:pos="1317" w:val="left"/>
        </w:tabs>
        <w:numPr>
          <w:ilvl w:val="1"/>
          <w:numId w:val="322"/>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are intended only for convenience in finding the subject matter and do not constitute part of the text of this Agreement and shall not be considered in the interpretation of this Agreement.</w:t>
      </w:r>
    </w:p>
    <w:p>
      <w:pPr>
        <w:spacing w:after="0" w:line="131" w:lineRule="exact"/>
        <w:rPr>
          <w:rFonts w:ascii="Arial" w:cs="Arial" w:eastAsia="Arial" w:hAnsi="Arial"/>
          <w:sz w:val="14"/>
          <w:szCs w:val="14"/>
          <w:color w:val="auto"/>
        </w:rPr>
      </w:pPr>
    </w:p>
    <w:p>
      <w:pPr>
        <w:ind w:right="20" w:firstLine="1042"/>
        <w:spacing w:after="0" w:line="288" w:lineRule="auto"/>
        <w:tabs>
          <w:tab w:leader="none" w:pos="1312" w:val="left"/>
        </w:tabs>
        <w:numPr>
          <w:ilvl w:val="1"/>
          <w:numId w:val="322"/>
        </w:numPr>
        <w:rPr>
          <w:rFonts w:ascii="Arial" w:cs="Arial" w:eastAsia="Arial" w:hAnsi="Arial"/>
          <w:sz w:val="14"/>
          <w:szCs w:val="14"/>
          <w:color w:val="auto"/>
        </w:rPr>
      </w:pPr>
      <w:r>
        <w:rPr>
          <w:rFonts w:ascii="Arial" w:cs="Arial" w:eastAsia="Arial" w:hAnsi="Arial"/>
          <w:sz w:val="14"/>
          <w:szCs w:val="14"/>
          <w:u w:val="single" w:color="auto"/>
          <w:color w:val="auto"/>
        </w:rPr>
        <w:t>Saving Clause</w:t>
      </w:r>
      <w:r>
        <w:rPr>
          <w:rFonts w:ascii="Arial" w:cs="Arial" w:eastAsia="Arial" w:hAnsi="Arial"/>
          <w:sz w:val="14"/>
          <w:szCs w:val="14"/>
          <w:color w:val="auto"/>
        </w:rPr>
        <w:t>. If any provision(s) of this Agreement shall be determined to be illegal or unenforceable, such determination shall in no manner affect the legality or enforceability of any other provision hereof.</w:t>
      </w:r>
    </w:p>
    <w:p>
      <w:pPr>
        <w:spacing w:after="0" w:line="131" w:lineRule="exact"/>
        <w:rPr>
          <w:rFonts w:ascii="Arial" w:cs="Arial" w:eastAsia="Arial" w:hAnsi="Arial"/>
          <w:sz w:val="14"/>
          <w:szCs w:val="14"/>
          <w:color w:val="auto"/>
        </w:rPr>
      </w:pPr>
    </w:p>
    <w:p>
      <w:pPr>
        <w:ind w:right="20" w:firstLine="1042"/>
        <w:spacing w:after="0" w:line="329" w:lineRule="auto"/>
        <w:tabs>
          <w:tab w:leader="none" w:pos="1326" w:val="left"/>
        </w:tabs>
        <w:numPr>
          <w:ilvl w:val="1"/>
          <w:numId w:val="322"/>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465" w:name="page466"/>
    <w:bookmarkEnd w:id="465"/>
    <w:p>
      <w:pPr>
        <w:spacing w:after="0"/>
        <w:rPr>
          <w:sz w:val="20"/>
          <w:szCs w:val="20"/>
          <w:color w:val="auto"/>
        </w:rPr>
      </w:pPr>
      <w:r>
        <w:rPr>
          <w:rFonts w:ascii="Arial" w:cs="Arial" w:eastAsia="Arial" w:hAnsi="Arial"/>
          <w:sz w:val="14"/>
          <w:szCs w:val="14"/>
          <w:color w:val="auto"/>
        </w:rPr>
        <w:t>or to such other address or addresses as may have been furnished by such party in writing to the other.</w:t>
      </w:r>
    </w:p>
    <w:p>
      <w:pPr>
        <w:spacing w:after="0" w:line="76" w:lineRule="exact"/>
        <w:rPr>
          <w:sz w:val="20"/>
          <w:szCs w:val="20"/>
          <w:color w:val="auto"/>
        </w:rPr>
      </w:pPr>
    </w:p>
    <w:p>
      <w:pPr>
        <w:ind w:right="20" w:firstLine="1042"/>
        <w:spacing w:after="0" w:line="329" w:lineRule="auto"/>
        <w:tabs>
          <w:tab w:leader="none" w:pos="1336" w:val="left"/>
        </w:tabs>
        <w:numPr>
          <w:ilvl w:val="1"/>
          <w:numId w:val="323"/>
        </w:numPr>
        <w:rPr>
          <w:rFonts w:ascii="Arial" w:cs="Arial" w:eastAsia="Arial" w:hAnsi="Arial"/>
          <w:sz w:val="13"/>
          <w:szCs w:val="13"/>
          <w:color w:val="auto"/>
        </w:rPr>
      </w:pPr>
      <w:r>
        <w:rPr>
          <w:rFonts w:ascii="Arial" w:cs="Arial" w:eastAsia="Arial" w:hAnsi="Arial"/>
          <w:sz w:val="13"/>
          <w:szCs w:val="13"/>
          <w:u w:val="single" w:color="auto"/>
          <w:color w:val="auto"/>
        </w:rPr>
        <w:t>Benefit and Binding Effect</w:t>
      </w:r>
      <w:r>
        <w:rPr>
          <w:rFonts w:ascii="Arial" w:cs="Arial" w:eastAsia="Arial" w:hAnsi="Arial"/>
          <w:sz w:val="13"/>
          <w:szCs w:val="13"/>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rFonts w:ascii="Arial" w:cs="Arial" w:eastAsia="Arial" w:hAnsi="Arial"/>
          <w:sz w:val="13"/>
          <w:szCs w:val="13"/>
          <w:color w:val="auto"/>
        </w:rPr>
      </w:pPr>
    </w:p>
    <w:p>
      <w:pPr>
        <w:ind w:right="20" w:firstLine="1042"/>
        <w:spacing w:after="0" w:line="288" w:lineRule="auto"/>
        <w:tabs>
          <w:tab w:leader="none" w:pos="1294" w:val="left"/>
        </w:tabs>
        <w:numPr>
          <w:ilvl w:val="1"/>
          <w:numId w:val="323"/>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31" w:lineRule="exact"/>
        <w:rPr>
          <w:rFonts w:ascii="Arial" w:cs="Arial" w:eastAsia="Arial" w:hAnsi="Arial"/>
          <w:sz w:val="14"/>
          <w:szCs w:val="14"/>
          <w:color w:val="auto"/>
        </w:rPr>
      </w:pPr>
    </w:p>
    <w:p>
      <w:pPr>
        <w:ind w:firstLine="1042"/>
        <w:spacing w:after="0" w:line="288" w:lineRule="auto"/>
        <w:tabs>
          <w:tab w:leader="none" w:pos="1304" w:val="left"/>
        </w:tabs>
        <w:numPr>
          <w:ilvl w:val="1"/>
          <w:numId w:val="323"/>
        </w:numPr>
        <w:rPr>
          <w:rFonts w:ascii="Arial" w:cs="Arial" w:eastAsia="Arial" w:hAnsi="Arial"/>
          <w:sz w:val="14"/>
          <w:szCs w:val="14"/>
          <w:color w:val="auto"/>
        </w:rPr>
      </w:pPr>
      <w:r>
        <w:rPr>
          <w:rFonts w:ascii="Arial" w:cs="Arial" w:eastAsia="Arial" w:hAnsi="Arial"/>
          <w:sz w:val="14"/>
          <w:szCs w:val="14"/>
          <w:u w:val="single" w:color="auto"/>
          <w:color w:val="auto"/>
        </w:rPr>
        <w:t>Integration</w:t>
      </w:r>
      <w:r>
        <w:rPr>
          <w:rFonts w:ascii="Arial" w:cs="Arial" w:eastAsia="Arial" w:hAnsi="Arial"/>
          <w:sz w:val="14"/>
          <w:szCs w:val="14"/>
          <w:color w:val="auto"/>
        </w:rPr>
        <w:t>. This Agreement constitutes the entire agreement between the parties with respect to this Stock Option and supersedes all prior agreements and discussions between the parties concerning such subject matter.</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324"/>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w:t>
      </w:r>
    </w:p>
    <w:p>
      <w:pPr>
        <w:spacing w:after="0" w:line="195" w:lineRule="exact"/>
        <w:rPr>
          <w:rFonts w:ascii="Arial" w:cs="Arial" w:eastAsia="Arial" w:hAnsi="Arial"/>
          <w:sz w:val="14"/>
          <w:szCs w:val="14"/>
          <w:color w:val="auto"/>
        </w:rPr>
      </w:pPr>
    </w:p>
    <w:p>
      <w:pPr>
        <w:jc w:val="both"/>
        <w:ind w:firstLine="1042"/>
        <w:spacing w:after="0" w:line="262" w:lineRule="auto"/>
        <w:tabs>
          <w:tab w:leader="none" w:pos="1317" w:val="left"/>
        </w:tabs>
        <w:numPr>
          <w:ilvl w:val="1"/>
          <w:numId w:val="324"/>
        </w:numPr>
        <w:rPr>
          <w:rFonts w:ascii="Arial" w:cs="Arial" w:eastAsia="Arial" w:hAnsi="Arial"/>
          <w:sz w:val="14"/>
          <w:szCs w:val="14"/>
          <w:color w:val="auto"/>
        </w:rPr>
      </w:pPr>
      <w:r>
        <w:rPr>
          <w:rFonts w:ascii="Arial" w:cs="Arial" w:eastAsia="Arial" w:hAnsi="Arial"/>
          <w:sz w:val="14"/>
          <w:szCs w:val="14"/>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w:t>
      </w:r>
    </w:p>
    <w:p>
      <w:pPr>
        <w:spacing w:after="0"/>
        <w:rPr>
          <w:rFonts w:ascii="Arial" w:cs="Arial" w:eastAsia="Arial" w:hAnsi="Arial"/>
          <w:sz w:val="14"/>
          <w:szCs w:val="14"/>
          <w:color w:val="auto"/>
        </w:rPr>
      </w:pPr>
      <w:r>
        <w:rPr>
          <w:rFonts w:ascii="Arial" w:cs="Arial" w:eastAsia="Arial" w:hAnsi="Arial"/>
          <w:sz w:val="13"/>
          <w:szCs w:val="13"/>
          <w:color w:val="auto"/>
        </w:rPr>
        <w:t>U.S.C. Sections 1 16, and judgment upon the award rendered by the arbitrators may be entered by any court having jurisdiction thereof. The place of arbitration shall be New York, New York.</w:t>
      </w:r>
    </w:p>
    <w:p>
      <w:pPr>
        <w:spacing w:after="0" w:line="186" w:lineRule="exact"/>
        <w:rPr>
          <w:rFonts w:ascii="Arial" w:cs="Arial" w:eastAsia="Arial" w:hAnsi="Arial"/>
          <w:sz w:val="14"/>
          <w:szCs w:val="14"/>
          <w:color w:val="auto"/>
        </w:rPr>
      </w:pPr>
    </w:p>
    <w:p>
      <w:pPr>
        <w:jc w:val="both"/>
        <w:ind w:firstLine="1042"/>
        <w:spacing w:after="0" w:line="261" w:lineRule="auto"/>
        <w:tabs>
          <w:tab w:leader="none" w:pos="1336" w:val="left"/>
        </w:tabs>
        <w:numPr>
          <w:ilvl w:val="1"/>
          <w:numId w:val="324"/>
        </w:numPr>
        <w:rPr>
          <w:rFonts w:ascii="Arial" w:cs="Arial" w:eastAsia="Arial" w:hAnsi="Arial"/>
          <w:sz w:val="14"/>
          <w:szCs w:val="14"/>
          <w:color w:val="auto"/>
        </w:rPr>
      </w:pPr>
      <w:r>
        <w:rPr>
          <w:rFonts w:ascii="Arial" w:cs="Arial" w:eastAsia="Arial" w:hAnsi="Arial"/>
          <w:sz w:val="14"/>
          <w:szCs w:val="14"/>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217" w:lineRule="exact"/>
        <w:rPr>
          <w:rFonts w:ascii="Arial" w:cs="Arial" w:eastAsia="Arial" w:hAnsi="Arial"/>
          <w:sz w:val="14"/>
          <w:szCs w:val="14"/>
          <w:color w:val="auto"/>
        </w:rPr>
      </w:pPr>
    </w:p>
    <w:p>
      <w:pPr>
        <w:ind w:firstLine="1042"/>
        <w:spacing w:after="0" w:line="288" w:lineRule="auto"/>
        <w:tabs>
          <w:tab w:leader="none" w:pos="1317" w:val="left"/>
        </w:tabs>
        <w:numPr>
          <w:ilvl w:val="1"/>
          <w:numId w:val="324"/>
        </w:numPr>
        <w:rPr>
          <w:rFonts w:ascii="Arial" w:cs="Arial" w:eastAsia="Arial" w:hAnsi="Arial"/>
          <w:sz w:val="14"/>
          <w:szCs w:val="14"/>
          <w:color w:val="auto"/>
        </w:rPr>
      </w:pPr>
      <w:r>
        <w:rPr>
          <w:rFonts w:ascii="Arial" w:cs="Arial" w:eastAsia="Arial" w:hAnsi="Arial"/>
          <w:sz w:val="14"/>
          <w:szCs w:val="14"/>
          <w:color w:val="auto"/>
        </w:rPr>
        <w:t>The Company, the Optionee, each party to the Agreement and any other holder of Shares issued pursuant to this Agreement (each, a “Party”) covenants and agrees that such party will participate in the arbitration in good faith. This Section 7 applies equally to</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466" w:name="page467"/>
    <w:bookmarkEnd w:id="466"/>
    <w:p>
      <w:pPr>
        <w:ind w:right="20"/>
        <w:spacing w:after="0" w:line="288" w:lineRule="auto"/>
        <w:rPr>
          <w:sz w:val="20"/>
          <w:szCs w:val="20"/>
          <w:color w:val="auto"/>
        </w:rPr>
      </w:pPr>
      <w:r>
        <w:rPr>
          <w:rFonts w:ascii="Arial" w:cs="Arial" w:eastAsia="Arial" w:hAnsi="Arial"/>
          <w:sz w:val="14"/>
          <w:szCs w:val="14"/>
          <w:color w:val="auto"/>
        </w:rPr>
        <w:t>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2" w:lineRule="exact"/>
        <w:rPr>
          <w:sz w:val="20"/>
          <w:szCs w:val="20"/>
          <w:color w:val="auto"/>
        </w:rPr>
      </w:pPr>
    </w:p>
    <w:p>
      <w:pPr>
        <w:jc w:val="both"/>
        <w:ind w:firstLine="1042"/>
        <w:spacing w:after="0" w:line="284" w:lineRule="auto"/>
        <w:tabs>
          <w:tab w:leader="none" w:pos="1336" w:val="left"/>
        </w:tabs>
        <w:numPr>
          <w:ilvl w:val="1"/>
          <w:numId w:val="325"/>
        </w:numPr>
        <w:rPr>
          <w:rFonts w:ascii="Arial" w:cs="Arial" w:eastAsia="Arial" w:hAnsi="Arial"/>
          <w:sz w:val="13"/>
          <w:szCs w:val="13"/>
          <w:color w:val="auto"/>
        </w:rPr>
      </w:pPr>
      <w:r>
        <w:rPr>
          <w:rFonts w:ascii="Arial" w:cs="Arial" w:eastAsia="Arial" w:hAnsi="Arial"/>
          <w:sz w:val="13"/>
          <w:szCs w:val="13"/>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49" w:lineRule="exact"/>
        <w:rPr>
          <w:rFonts w:ascii="Arial" w:cs="Arial" w:eastAsia="Arial" w:hAnsi="Arial"/>
          <w:sz w:val="13"/>
          <w:szCs w:val="13"/>
          <w:color w:val="auto"/>
        </w:rPr>
      </w:pPr>
    </w:p>
    <w:p>
      <w:pPr>
        <w:jc w:val="both"/>
        <w:ind w:right="40" w:firstLine="524"/>
        <w:spacing w:after="0" w:line="283" w:lineRule="auto"/>
        <w:tabs>
          <w:tab w:leader="none" w:pos="1161" w:val="left"/>
        </w:tabs>
        <w:numPr>
          <w:ilvl w:val="0"/>
          <w:numId w:val="326"/>
        </w:numPr>
        <w:rPr>
          <w:rFonts w:ascii="Arial" w:cs="Arial" w:eastAsia="Arial" w:hAnsi="Arial"/>
          <w:sz w:val="13"/>
          <w:szCs w:val="13"/>
          <w:color w:val="auto"/>
        </w:rPr>
      </w:pPr>
      <w:r>
        <w:rPr>
          <w:rFonts w:ascii="Arial" w:cs="Arial" w:eastAsia="Arial" w:hAnsi="Arial"/>
          <w:sz w:val="13"/>
          <w:szCs w:val="13"/>
          <w:u w:val="single" w:color="auto"/>
          <w:color w:val="auto"/>
        </w:rPr>
        <w:t>Waiver of Statutory Information Rights</w:t>
      </w:r>
      <w:r>
        <w:rPr>
          <w:rFonts w:ascii="Arial" w:cs="Arial" w:eastAsia="Arial" w:hAnsi="Arial"/>
          <w:sz w:val="13"/>
          <w:szCs w:val="13"/>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[SIGNATURE PAGE FOLLOWS]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582" w:right="399" w:bottom="1440" w:gutter="0" w:footer="0" w:header="0"/>
        </w:sectPr>
      </w:pPr>
    </w:p>
    <w:bookmarkStart w:id="467" w:name="page468"/>
    <w:bookmarkEnd w:id="467"/>
    <w:p>
      <w:pPr>
        <w:ind w:left="1180"/>
        <w:spacing w:after="0"/>
        <w:rPr>
          <w:sz w:val="20"/>
          <w:szCs w:val="20"/>
          <w:color w:val="auto"/>
        </w:rPr>
      </w:pPr>
      <w:r>
        <w:rPr>
          <w:rFonts w:ascii="Arial" w:cs="Arial" w:eastAsia="Arial" w:hAnsi="Arial"/>
          <w:sz w:val="14"/>
          <w:szCs w:val="14"/>
          <w:color w:val="auto"/>
        </w:rPr>
        <w:t>The foregoing Agreement is hereby accepted and the terms and conditions thereof hereby agreed to by the undersigned as of the date first above written.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CENTURY THERAPEUTICS, INC.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Title:</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86" w:lineRule="exact"/>
        <w:rPr>
          <w:sz w:val="20"/>
          <w:szCs w:val="20"/>
          <w:color w:val="auto"/>
        </w:rPr>
      </w:pPr>
    </w:p>
    <w:p>
      <w:pPr>
        <w:jc w:val="both"/>
        <w:ind w:left="260"/>
        <w:spacing w:after="0" w:line="267" w:lineRule="auto"/>
        <w:rPr>
          <w:sz w:val="20"/>
          <w:szCs w:val="20"/>
          <w:color w:val="auto"/>
        </w:rPr>
      </w:pPr>
      <w:r>
        <w:rPr>
          <w:rFonts w:ascii="Arial" w:cs="Arial" w:eastAsia="Arial" w:hAnsi="Arial"/>
          <w:sz w:val="14"/>
          <w:szCs w:val="14"/>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OPTIONEE: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20955</wp:posOffset>
            </wp:positionV>
            <wp:extent cx="7159625"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20"/>
          </w:cols>
          <w:pgMar w:left="380" w:top="582" w:right="399" w:bottom="1440" w:gutter="0" w:footer="0" w:header="0"/>
        </w:sectPr>
      </w:pPr>
    </w:p>
    <w:bookmarkStart w:id="468" w:name="page469"/>
    <w:bookmarkEnd w:id="468"/>
    <w:p>
      <w:pPr>
        <w:jc w:val="center"/>
        <w:spacing w:after="0"/>
        <w:rPr>
          <w:sz w:val="20"/>
          <w:szCs w:val="20"/>
          <w:color w:val="auto"/>
        </w:rPr>
      </w:pPr>
      <w:r>
        <w:rPr>
          <w:rFonts w:ascii="Arial" w:cs="Arial" w:eastAsia="Arial" w:hAnsi="Arial"/>
          <w:sz w:val="14"/>
          <w:szCs w:val="14"/>
          <w:b w:val="1"/>
          <w:bCs w:val="1"/>
          <w:u w:val="single" w:color="auto"/>
          <w:color w:val="auto"/>
        </w:rPr>
        <w:t>Appendix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OPTION EXERCISE NOTICE</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Attention: __________</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terms of the grant notice and stock option agreement between the undersigned and Century Therapeutics, Inc. (the “Company”) dated</w:t>
      </w:r>
      <w:r>
        <w:rPr>
          <w:rFonts w:ascii="Arial" w:cs="Arial" w:eastAsia="Arial" w:hAnsi="Arial"/>
          <w:sz w:val="13"/>
          <w:szCs w:val="13"/>
          <w:u w:val="single" w:color="auto"/>
          <w:color w:val="auto"/>
        </w:rPr>
        <w:t>___________</w:t>
      </w:r>
      <w:r>
        <w:rPr>
          <w:rFonts w:ascii="Arial" w:cs="Arial" w:eastAsia="Arial" w:hAnsi="Arial"/>
          <w:sz w:val="13"/>
          <w:szCs w:val="13"/>
          <w:color w:val="auto"/>
        </w:rPr>
        <w:t>(the “Agreement”)</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under the Century Therapeutics, Inc. 2018 Stock Option and Grant Plan, I, [Insert Name]________</w:t>
      </w:r>
      <w:r>
        <w:rPr>
          <w:rFonts w:ascii="Arial" w:cs="Arial" w:eastAsia="Arial" w:hAnsi="Arial"/>
          <w:sz w:val="13"/>
          <w:szCs w:val="13"/>
          <w:u w:val="single" w:color="auto"/>
          <w:color w:val="auto"/>
        </w:rPr>
        <w:t>____</w:t>
      </w:r>
      <w:r>
        <w:rPr>
          <w:rFonts w:ascii="Arial" w:cs="Arial" w:eastAsia="Arial" w:hAnsi="Arial"/>
          <w:sz w:val="13"/>
          <w:szCs w:val="13"/>
          <w:color w:val="auto"/>
        </w:rPr>
        <w:t>, hereby [Circle One] partially/fully exercise such option by including herein payment in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amount of $_________ representing the purchase price for [Fill in number of Shares]______________Shares. I have chosen the following form(s)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-12065</wp:posOffset>
            </wp:positionV>
            <wp:extent cx="22860"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jc w:val="right"/>
              <w:ind w:right="548"/>
              <w:spacing w:after="0"/>
              <w:rPr>
                <w:sz w:val="20"/>
                <w:szCs w:val="20"/>
                <w:color w:val="auto"/>
              </w:rPr>
            </w:pPr>
            <w:r>
              <w:rPr>
                <w:rFonts w:ascii="Arial" w:cs="Arial" w:eastAsia="Arial" w:hAnsi="Arial"/>
                <w:sz w:val="14"/>
                <w:szCs w:val="14"/>
                <w:color w:val="auto"/>
              </w:rPr>
              <w:t>[ ]</w:t>
            </w:r>
          </w:p>
        </w:tc>
        <w:tc>
          <w:tcPr>
            <w:tcW w:w="1120" w:type="dxa"/>
            <w:vAlign w:val="bottom"/>
          </w:tcPr>
          <w:p>
            <w:pPr>
              <w:ind w:left="600"/>
              <w:spacing w:after="0"/>
              <w:rPr>
                <w:sz w:val="20"/>
                <w:szCs w:val="20"/>
                <w:color w:val="auto"/>
              </w:rPr>
            </w:pPr>
            <w:r>
              <w:rPr>
                <w:rFonts w:ascii="Arial" w:cs="Arial" w:eastAsia="Arial" w:hAnsi="Arial"/>
                <w:sz w:val="14"/>
                <w:szCs w:val="14"/>
                <w:color w:val="auto"/>
              </w:rPr>
              <w:t>1.</w:t>
            </w:r>
          </w:p>
        </w:tc>
        <w:tc>
          <w:tcPr>
            <w:tcW w:w="1100" w:type="dxa"/>
            <w:vAlign w:val="bottom"/>
          </w:tcPr>
          <w:p>
            <w:pPr>
              <w:ind w:left="400"/>
              <w:spacing w:after="0"/>
              <w:rPr>
                <w:sz w:val="20"/>
                <w:szCs w:val="20"/>
                <w:color w:val="auto"/>
              </w:rPr>
            </w:pPr>
            <w:r>
              <w:rPr>
                <w:rFonts w:ascii="Arial" w:cs="Arial" w:eastAsia="Arial" w:hAnsi="Arial"/>
                <w:sz w:val="14"/>
                <w:szCs w:val="14"/>
                <w:color w:val="auto"/>
              </w:rPr>
              <w:t>Cash</w:t>
            </w:r>
          </w:p>
        </w:tc>
        <w:tc>
          <w:tcPr>
            <w:tcW w:w="5160" w:type="dxa"/>
            <w:vAlign w:val="bottom"/>
          </w:tcPr>
          <w:p>
            <w:pPr>
              <w:spacing w:after="0"/>
              <w:rPr>
                <w:sz w:val="15"/>
                <w:szCs w:val="15"/>
                <w:color w:val="auto"/>
              </w:rPr>
            </w:pPr>
          </w:p>
        </w:tc>
      </w:tr>
      <w:tr>
        <w:trPr>
          <w:trHeight w:val="173"/>
        </w:trPr>
        <w:tc>
          <w:tcPr>
            <w:tcW w:w="760" w:type="dxa"/>
            <w:vAlign w:val="bottom"/>
          </w:tcPr>
          <w:p>
            <w:pPr>
              <w:spacing w:after="0"/>
              <w:rPr>
                <w:sz w:val="15"/>
                <w:szCs w:val="15"/>
                <w:color w:val="auto"/>
              </w:rPr>
            </w:pPr>
          </w:p>
        </w:tc>
        <w:tc>
          <w:tcPr>
            <w:tcW w:w="1120" w:type="dxa"/>
            <w:vAlign w:val="bottom"/>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ind w:left="400"/>
              <w:spacing w:after="0"/>
              <w:rPr>
                <w:sz w:val="20"/>
                <w:szCs w:val="20"/>
                <w:color w:val="auto"/>
              </w:rPr>
            </w:pPr>
            <w:r>
              <w:rPr>
                <w:rFonts w:ascii="Arial" w:cs="Arial" w:eastAsia="Arial" w:hAnsi="Arial"/>
                <w:sz w:val="14"/>
                <w:szCs w:val="14"/>
                <w:color w:val="auto"/>
              </w:rPr>
              <w:t>2.</w:t>
            </w:r>
          </w:p>
        </w:tc>
        <w:tc>
          <w:tcPr>
            <w:tcW w:w="5160" w:type="dxa"/>
            <w:vAlign w:val="bottom"/>
          </w:tcPr>
          <w:p>
            <w:pPr>
              <w:ind w:left="420"/>
              <w:spacing w:after="0"/>
              <w:rPr>
                <w:sz w:val="20"/>
                <w:szCs w:val="20"/>
                <w:color w:val="auto"/>
              </w:rPr>
            </w:pPr>
            <w:r>
              <w:rPr>
                <w:rFonts w:ascii="Arial" w:cs="Arial" w:eastAsia="Arial" w:hAnsi="Arial"/>
                <w:sz w:val="14"/>
                <w:szCs w:val="14"/>
                <w:color w:val="auto"/>
              </w:rPr>
              <w:t>Certified or bank check payable to Century Therapeutics, Inc</w:t>
            </w:r>
          </w:p>
        </w:tc>
      </w:tr>
      <w:tr>
        <w:trPr>
          <w:trHeight w:val="182"/>
        </w:trPr>
        <w:tc>
          <w:tcPr>
            <w:tcW w:w="760" w:type="dxa"/>
            <w:vAlign w:val="bottom"/>
          </w:tcPr>
          <w:p>
            <w:pPr>
              <w:spacing w:after="0"/>
              <w:rPr>
                <w:sz w:val="15"/>
                <w:szCs w:val="15"/>
                <w:color w:val="auto"/>
              </w:rPr>
            </w:pPr>
          </w:p>
        </w:tc>
        <w:tc>
          <w:tcPr>
            <w:tcW w:w="1120" w:type="dxa"/>
            <w:vAlign w:val="bottom"/>
          </w:tcPr>
          <w:p>
            <w:pPr>
              <w:ind w:left="600"/>
              <w:spacing w:after="0"/>
              <w:rPr>
                <w:sz w:val="20"/>
                <w:szCs w:val="20"/>
                <w:color w:val="auto"/>
              </w:rPr>
            </w:pPr>
            <w:r>
              <w:rPr>
                <w:rFonts w:ascii="Arial" w:cs="Arial" w:eastAsia="Arial" w:hAnsi="Arial"/>
                <w:sz w:val="14"/>
                <w:szCs w:val="14"/>
                <w:color w:val="auto"/>
              </w:rPr>
              <w:t>[ ]</w:t>
            </w:r>
          </w:p>
        </w:tc>
        <w:tc>
          <w:tcPr>
            <w:tcW w:w="1100" w:type="dxa"/>
            <w:vAlign w:val="bottom"/>
          </w:tcPr>
          <w:p>
            <w:pPr>
              <w:ind w:left="400"/>
              <w:spacing w:after="0"/>
              <w:rPr>
                <w:sz w:val="20"/>
                <w:szCs w:val="20"/>
                <w:color w:val="auto"/>
              </w:rPr>
            </w:pPr>
            <w:r>
              <w:rPr>
                <w:rFonts w:ascii="Arial" w:cs="Arial" w:eastAsia="Arial" w:hAnsi="Arial"/>
                <w:sz w:val="14"/>
                <w:szCs w:val="14"/>
                <w:color w:val="auto"/>
              </w:rPr>
              <w:t>3.</w:t>
            </w:r>
          </w:p>
        </w:tc>
        <w:tc>
          <w:tcPr>
            <w:tcW w:w="5160" w:type="dxa"/>
            <w:vAlign w:val="bottom"/>
          </w:tcPr>
          <w:p>
            <w:pPr>
              <w:ind w:left="420"/>
              <w:spacing w:after="0"/>
              <w:rPr>
                <w:sz w:val="20"/>
                <w:szCs w:val="20"/>
                <w:color w:val="auto"/>
              </w:rPr>
            </w:pPr>
            <w:r>
              <w:rPr>
                <w:rFonts w:ascii="Arial" w:cs="Arial" w:eastAsia="Arial" w:hAnsi="Arial"/>
                <w:sz w:val="14"/>
                <w:szCs w:val="14"/>
                <w:color w:val="auto"/>
                <w:w w:val="91"/>
              </w:rPr>
              <w:t>Other (as referenced in the Agreement and described in the Plan (please describe))</w:t>
            </w:r>
          </w:p>
        </w:tc>
      </w:tr>
    </w:tbl>
    <w:p>
      <w:pPr>
        <w:ind w:left="92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8255</wp:posOffset>
            </wp:positionV>
            <wp:extent cx="3720465"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720465" cy="6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connection with my exercise of the option as set forth above, I hereby represent and warrant to the Company as follows:</w:t>
      </w:r>
    </w:p>
    <w:p>
      <w:pPr>
        <w:spacing w:after="0" w:line="184" w:lineRule="exact"/>
        <w:rPr>
          <w:sz w:val="20"/>
          <w:szCs w:val="20"/>
          <w:color w:val="auto"/>
        </w:rPr>
      </w:pPr>
    </w:p>
    <w:p>
      <w:pPr>
        <w:ind w:left="2200" w:hanging="640"/>
        <w:spacing w:after="0"/>
        <w:tabs>
          <w:tab w:leader="none" w:pos="220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I am purchasing the Shares for my own account for investment only, and not for resale or with a view to the distribution thereof.</w:t>
      </w:r>
    </w:p>
    <w:p>
      <w:pPr>
        <w:spacing w:after="0" w:line="184" w:lineRule="exact"/>
        <w:rPr>
          <w:rFonts w:ascii="Arial" w:cs="Arial" w:eastAsia="Arial" w:hAnsi="Arial"/>
          <w:sz w:val="14"/>
          <w:szCs w:val="14"/>
          <w:color w:val="auto"/>
        </w:rPr>
      </w:pPr>
    </w:p>
    <w:p>
      <w:pPr>
        <w:ind w:left="520" w:firstLine="1040"/>
        <w:spacing w:after="0" w:line="288" w:lineRule="auto"/>
        <w:tabs>
          <w:tab w:leader="none" w:pos="2170" w:val="left"/>
        </w:tabs>
        <w:numPr>
          <w:ilvl w:val="0"/>
          <w:numId w:val="327"/>
        </w:numPr>
        <w:rPr>
          <w:rFonts w:ascii="Arial" w:cs="Arial" w:eastAsia="Arial" w:hAnsi="Arial"/>
          <w:sz w:val="14"/>
          <w:szCs w:val="14"/>
          <w:color w:val="auto"/>
        </w:rPr>
      </w:pPr>
      <w:r>
        <w:rPr>
          <w:rFonts w:ascii="Arial" w:cs="Arial" w:eastAsia="Arial" w:hAnsi="Arial"/>
          <w:sz w:val="14"/>
          <w:szCs w:val="14"/>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131" w:lineRule="exact"/>
        <w:rPr>
          <w:rFonts w:ascii="Arial" w:cs="Arial" w:eastAsia="Arial" w:hAnsi="Arial"/>
          <w:sz w:val="14"/>
          <w:szCs w:val="14"/>
          <w:color w:val="auto"/>
        </w:rPr>
      </w:pPr>
    </w:p>
    <w:p>
      <w:pPr>
        <w:ind w:left="520" w:firstLine="1040"/>
        <w:spacing w:after="0" w:line="288" w:lineRule="auto"/>
        <w:tabs>
          <w:tab w:leader="none" w:pos="2152" w:val="left"/>
        </w:tabs>
        <w:numPr>
          <w:ilvl w:val="0"/>
          <w:numId w:val="327"/>
        </w:numPr>
        <w:rPr>
          <w:rFonts w:ascii="Arial" w:cs="Arial" w:eastAsia="Arial" w:hAnsi="Arial"/>
          <w:sz w:val="14"/>
          <w:szCs w:val="14"/>
          <w:color w:val="auto"/>
        </w:rPr>
      </w:pPr>
      <w:r>
        <w:rPr>
          <w:rFonts w:ascii="Arial" w:cs="Arial" w:eastAsia="Arial" w:hAnsi="Arial"/>
          <w:sz w:val="14"/>
          <w:szCs w:val="14"/>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31" w:lineRule="exact"/>
        <w:rPr>
          <w:rFonts w:ascii="Arial" w:cs="Arial" w:eastAsia="Arial" w:hAnsi="Arial"/>
          <w:sz w:val="14"/>
          <w:szCs w:val="14"/>
          <w:color w:val="auto"/>
        </w:rPr>
      </w:pPr>
    </w:p>
    <w:p>
      <w:pPr>
        <w:ind w:left="2140" w:hanging="580"/>
        <w:spacing w:after="0"/>
        <w:tabs>
          <w:tab w:leader="none" w:pos="2140" w:val="left"/>
        </w:tabs>
        <w:numPr>
          <w:ilvl w:val="0"/>
          <w:numId w:val="327"/>
        </w:numPr>
        <w:rPr>
          <w:rFonts w:ascii="Arial" w:cs="Arial" w:eastAsia="Arial" w:hAnsi="Arial"/>
          <w:sz w:val="13"/>
          <w:szCs w:val="13"/>
          <w:color w:val="auto"/>
        </w:rPr>
      </w:pPr>
      <w:r>
        <w:rPr>
          <w:rFonts w:ascii="Arial" w:cs="Arial" w:eastAsia="Arial" w:hAnsi="Arial"/>
          <w:sz w:val="13"/>
          <w:szCs w:val="13"/>
          <w:color w:val="auto"/>
        </w:rPr>
        <w:t>I can afford a complete loss of the value of the Shares and am able to bear the economic risk of holding such Shares for an indefinite period of time.</w:t>
      </w:r>
    </w:p>
    <w:p>
      <w:pPr>
        <w:spacing w:after="0" w:line="195" w:lineRule="exact"/>
        <w:rPr>
          <w:rFonts w:ascii="Arial" w:cs="Arial" w:eastAsia="Arial" w:hAnsi="Arial"/>
          <w:sz w:val="13"/>
          <w:szCs w:val="13"/>
          <w:color w:val="auto"/>
        </w:rPr>
      </w:pPr>
    </w:p>
    <w:p>
      <w:pPr>
        <w:jc w:val="both"/>
        <w:ind w:left="520" w:firstLine="1040"/>
        <w:spacing w:after="0" w:line="273" w:lineRule="auto"/>
        <w:tabs>
          <w:tab w:leader="none" w:pos="2162" w:val="left"/>
        </w:tabs>
        <w:numPr>
          <w:ilvl w:val="0"/>
          <w:numId w:val="327"/>
        </w:numPr>
        <w:rPr>
          <w:rFonts w:ascii="Arial" w:cs="Arial" w:eastAsia="Arial" w:hAnsi="Arial"/>
          <w:sz w:val="14"/>
          <w:szCs w:val="14"/>
          <w:color w:val="auto"/>
        </w:rPr>
      </w:pPr>
      <w:r>
        <w:rPr>
          <w:rFonts w:ascii="Arial" w:cs="Arial" w:eastAsia="Arial" w:hAnsi="Arial"/>
          <w:sz w:val="14"/>
          <w:szCs w:val="14"/>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78" w:right="319" w:bottom="1440" w:gutter="0" w:footer="0" w:header="0"/>
        </w:sectPr>
      </w:pPr>
    </w:p>
    <w:bookmarkStart w:id="469" w:name="page470"/>
    <w:bookmarkEnd w:id="469"/>
    <w:p>
      <w:pPr>
        <w:ind w:left="520"/>
        <w:spacing w:after="0" w:line="288" w:lineRule="auto"/>
        <w:rPr>
          <w:sz w:val="20"/>
          <w:szCs w:val="20"/>
          <w:color w:val="auto"/>
        </w:rPr>
      </w:pPr>
      <w:r>
        <w:rPr>
          <w:rFonts w:ascii="Arial" w:cs="Arial" w:eastAsia="Arial" w:hAnsi="Arial"/>
          <w:sz w:val="14"/>
          <w:szCs w:val="14"/>
          <w:color w:val="auto"/>
        </w:rPr>
        <w:t>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75" w:lineRule="exact"/>
        <w:rPr>
          <w:sz w:val="20"/>
          <w:szCs w:val="20"/>
          <w:color w:val="auto"/>
        </w:rPr>
      </w:pPr>
    </w:p>
    <w:p>
      <w:pPr>
        <w:ind w:left="520" w:firstLine="1040"/>
        <w:spacing w:after="0" w:line="288" w:lineRule="auto"/>
        <w:tabs>
          <w:tab w:leader="none" w:pos="2166" w:val="left"/>
        </w:tabs>
        <w:numPr>
          <w:ilvl w:val="0"/>
          <w:numId w:val="328"/>
        </w:numPr>
        <w:rPr>
          <w:rFonts w:ascii="Arial" w:cs="Arial" w:eastAsia="Arial" w:hAnsi="Arial"/>
          <w:sz w:val="14"/>
          <w:szCs w:val="14"/>
          <w:color w:val="auto"/>
        </w:rPr>
      </w:pPr>
      <w:r>
        <w:rPr>
          <w:rFonts w:ascii="Arial" w:cs="Arial" w:eastAsia="Arial" w:hAnsi="Arial"/>
          <w:sz w:val="14"/>
          <w:szCs w:val="14"/>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131" w:lineRule="exact"/>
        <w:rPr>
          <w:rFonts w:ascii="Arial" w:cs="Arial" w:eastAsia="Arial" w:hAnsi="Arial"/>
          <w:sz w:val="14"/>
          <w:szCs w:val="14"/>
          <w:color w:val="auto"/>
        </w:rPr>
      </w:pPr>
    </w:p>
    <w:p>
      <w:pPr>
        <w:ind w:left="2140" w:hanging="580"/>
        <w:spacing w:after="0"/>
        <w:tabs>
          <w:tab w:leader="none" w:pos="2140" w:val="left"/>
        </w:tabs>
        <w:numPr>
          <w:ilvl w:val="0"/>
          <w:numId w:val="328"/>
        </w:numPr>
        <w:rPr>
          <w:rFonts w:ascii="Arial" w:cs="Arial" w:eastAsia="Arial" w:hAnsi="Arial"/>
          <w:sz w:val="14"/>
          <w:szCs w:val="14"/>
          <w:color w:val="auto"/>
        </w:rPr>
      </w:pPr>
      <w:r>
        <w:rPr>
          <w:rFonts w:ascii="Arial" w:cs="Arial" w:eastAsia="Arial" w:hAnsi="Arial"/>
          <w:sz w:val="14"/>
          <w:szCs w:val="14"/>
          <w:color w:val="auto"/>
        </w:rPr>
        <w:t>I understand and agree that the Company has a right of first refusal with respect to the Shares pursuant to Section 9(b) of the Plan.</w:t>
      </w:r>
    </w:p>
    <w:p>
      <w:pPr>
        <w:spacing w:after="0" w:line="184" w:lineRule="exact"/>
        <w:rPr>
          <w:rFonts w:ascii="Arial" w:cs="Arial" w:eastAsia="Arial" w:hAnsi="Arial"/>
          <w:sz w:val="14"/>
          <w:szCs w:val="14"/>
          <w:color w:val="auto"/>
        </w:rPr>
      </w:pPr>
    </w:p>
    <w:p>
      <w:pPr>
        <w:ind w:left="2120" w:hanging="560"/>
        <w:spacing w:after="0"/>
        <w:tabs>
          <w:tab w:leader="none" w:pos="2120" w:val="left"/>
        </w:tabs>
        <w:numPr>
          <w:ilvl w:val="0"/>
          <w:numId w:val="328"/>
        </w:numPr>
        <w:rPr>
          <w:rFonts w:ascii="Arial" w:cs="Arial" w:eastAsia="Arial" w:hAnsi="Arial"/>
          <w:sz w:val="14"/>
          <w:szCs w:val="14"/>
          <w:color w:val="auto"/>
        </w:rPr>
      </w:pPr>
      <w:r>
        <w:rPr>
          <w:rFonts w:ascii="Arial" w:cs="Arial" w:eastAsia="Arial" w:hAnsi="Arial"/>
          <w:sz w:val="14"/>
          <w:szCs w:val="14"/>
          <w:color w:val="auto"/>
        </w:rPr>
        <w:t>I understand and agree that the Company has certain repurchase rights with respect to the Shares pursuant to Section 9(c) of the Plan.</w:t>
      </w:r>
    </w:p>
    <w:p>
      <w:pPr>
        <w:spacing w:after="0" w:line="184" w:lineRule="exact"/>
        <w:rPr>
          <w:rFonts w:ascii="Arial" w:cs="Arial" w:eastAsia="Arial" w:hAnsi="Arial"/>
          <w:sz w:val="14"/>
          <w:szCs w:val="14"/>
          <w:color w:val="auto"/>
        </w:rPr>
      </w:pPr>
    </w:p>
    <w:p>
      <w:pPr>
        <w:ind w:left="520" w:firstLine="1040"/>
        <w:spacing w:after="0" w:line="288" w:lineRule="auto"/>
        <w:tabs>
          <w:tab w:leader="none" w:pos="2144" w:val="left"/>
        </w:tabs>
        <w:numPr>
          <w:ilvl w:val="0"/>
          <w:numId w:val="328"/>
        </w:numPr>
        <w:rPr>
          <w:rFonts w:ascii="Arial" w:cs="Arial" w:eastAsia="Arial" w:hAnsi="Arial"/>
          <w:sz w:val="14"/>
          <w:szCs w:val="14"/>
          <w:color w:val="auto"/>
        </w:rPr>
      </w:pPr>
      <w:r>
        <w:rPr>
          <w:rFonts w:ascii="Arial" w:cs="Arial" w:eastAsia="Arial" w:hAnsi="Arial"/>
          <w:sz w:val="14"/>
          <w:szCs w:val="14"/>
          <w:color w:val="auto"/>
        </w:rPr>
        <w:t>I understand and agree that I may not sell or otherwise transfer or dispose of the Shares for a period of time following the effective date of a public offering by the Company as described in Section 9(f) of the Plan.</w:t>
      </w:r>
    </w:p>
    <w:p>
      <w:pPr>
        <w:spacing w:after="0" w:line="131" w:lineRule="exact"/>
        <w:rPr>
          <w:rFonts w:ascii="Arial" w:cs="Arial" w:eastAsia="Arial" w:hAnsi="Arial"/>
          <w:sz w:val="14"/>
          <w:szCs w:val="14"/>
          <w:color w:val="auto"/>
        </w:rPr>
      </w:pPr>
    </w:p>
    <w:p>
      <w:pPr>
        <w:ind w:left="2160" w:hanging="600"/>
        <w:spacing w:after="0"/>
        <w:tabs>
          <w:tab w:leader="none" w:pos="2160" w:val="left"/>
        </w:tabs>
        <w:numPr>
          <w:ilvl w:val="0"/>
          <w:numId w:val="328"/>
        </w:numPr>
        <w:rPr>
          <w:rFonts w:ascii="Arial" w:cs="Arial" w:eastAsia="Arial" w:hAnsi="Arial"/>
          <w:sz w:val="14"/>
          <w:szCs w:val="14"/>
          <w:color w:val="auto"/>
        </w:rPr>
      </w:pPr>
      <w:r>
        <w:rPr>
          <w:rFonts w:ascii="Arial" w:cs="Arial" w:eastAsia="Arial" w:hAnsi="Arial"/>
          <w:sz w:val="14"/>
          <w:szCs w:val="14"/>
          <w:color w:val="auto"/>
        </w:rPr>
        <w:t>I understand and agree to the waiver of statutory information rights as set forth in Section 8 of the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Sincerely yours,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70" w:name="page471"/>
    <w:bookmarkEnd w:id="470"/>
    <w:p>
      <w:pPr>
        <w:jc w:val="right"/>
        <w:spacing w:after="0"/>
        <w:rPr>
          <w:sz w:val="20"/>
          <w:szCs w:val="20"/>
          <w:color w:val="auto"/>
        </w:rPr>
      </w:pPr>
      <w:r>
        <w:rPr>
          <w:rFonts w:ascii="Arial" w:cs="Arial" w:eastAsia="Arial" w:hAnsi="Arial"/>
          <w:sz w:val="17"/>
          <w:szCs w:val="17"/>
          <w:b w:val="1"/>
          <w:bCs w:val="1"/>
          <w:color w:val="auto"/>
        </w:rPr>
        <w:t>Exhibit 10.13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 2021 EQUITY INCENTIVE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OPTION GRANT NOTICE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AWARD AGREEMENT</w:t>
      </w:r>
    </w:p>
    <w:p>
      <w:pPr>
        <w:spacing w:after="0" w:line="175"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Century Therapeutics,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pursuant to its 2021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hereby grants to the individual listed below (“</w:t>
      </w:r>
      <w:r>
        <w:rPr>
          <w:rFonts w:ascii="Arial" w:cs="Arial" w:eastAsia="Arial" w:hAnsi="Arial"/>
          <w:sz w:val="14"/>
          <w:szCs w:val="14"/>
          <w:u w:val="single" w:color="auto"/>
          <w:color w:val="auto"/>
        </w:rPr>
        <w:t>Participant</w:t>
      </w:r>
      <w:r>
        <w:rPr>
          <w:rFonts w:ascii="Arial" w:cs="Arial" w:eastAsia="Arial" w:hAnsi="Arial"/>
          <w:sz w:val="14"/>
          <w:szCs w:val="14"/>
          <w:color w:val="auto"/>
        </w:rPr>
        <w:t>”) an option to purchase the number of Shares set forth below (the “</w:t>
      </w:r>
      <w:r>
        <w:rPr>
          <w:rFonts w:ascii="Arial" w:cs="Arial" w:eastAsia="Arial" w:hAnsi="Arial"/>
          <w:sz w:val="14"/>
          <w:szCs w:val="14"/>
          <w:u w:val="single" w:color="auto"/>
          <w:color w:val="auto"/>
        </w:rPr>
        <w:t>Option</w:t>
      </w:r>
      <w:r>
        <w:rPr>
          <w:rFonts w:ascii="Arial" w:cs="Arial" w:eastAsia="Arial" w:hAnsi="Arial"/>
          <w:sz w:val="14"/>
          <w:szCs w:val="14"/>
          <w:color w:val="auto"/>
        </w:rPr>
        <w:t>”). The Option described in this Stock Option Grant Notice (the “</w:t>
      </w:r>
      <w:r>
        <w:rPr>
          <w:rFonts w:ascii="Arial" w:cs="Arial" w:eastAsia="Arial" w:hAnsi="Arial"/>
          <w:sz w:val="14"/>
          <w:szCs w:val="14"/>
          <w:u w:val="single" w:color="auto"/>
          <w:color w:val="auto"/>
        </w:rPr>
        <w:t>Grant Notice</w:t>
      </w:r>
      <w:r>
        <w:rPr>
          <w:rFonts w:ascii="Arial" w:cs="Arial" w:eastAsia="Arial" w:hAnsi="Arial"/>
          <w:sz w:val="14"/>
          <w:szCs w:val="14"/>
          <w:color w:val="auto"/>
        </w:rPr>
        <w:t xml:space="preserve">”) is subject to the terms and conditions set forth in the Award Agreement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Agreement</w:t>
      </w:r>
      <w:r>
        <w:rPr>
          <w:rFonts w:ascii="Arial" w:cs="Arial" w:eastAsia="Arial" w:hAnsi="Arial"/>
          <w:sz w:val="14"/>
          <w:szCs w:val="14"/>
          <w:color w:val="auto"/>
        </w:rPr>
        <w:t>”) and the Plan, each of which is incorporated herein by reference. Unless otherwise defined herein, capitalized terms used in this Grant Notice and the Agreement will have the meanings defined in the Plan.</w:t>
      </w:r>
    </w:p>
    <w:p>
      <w:pPr>
        <w:sectPr>
          <w:pgSz w:w="11900" w:h="16838" w:orient="portrait"/>
          <w:cols w:equalWidth="0" w:num="1">
            <w:col w:w="11280"/>
          </w:cols>
          <w:pgMar w:left="300" w:top="311" w:right="31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192" w:lineRule="exact"/>
        <w:rPr>
          <w:sz w:val="20"/>
          <w:szCs w:val="20"/>
          <w:color w:val="auto"/>
        </w:rPr>
      </w:pPr>
    </w:p>
    <w:p>
      <w:pPr>
        <w:sectPr>
          <w:pgSz w:w="11900" w:h="16838" w:orient="portrait"/>
          <w:cols w:equalWidth="0" w:num="2">
            <w:col w:w="4920" w:space="720"/>
            <w:col w:w="5640"/>
          </w:cols>
          <w:pgMar w:left="300" w:top="311"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w:t>
      </w:r>
    </w:p>
    <w:p>
      <w:pPr>
        <w:spacing w:after="0" w:line="192" w:lineRule="exact"/>
        <w:rPr>
          <w:sz w:val="20"/>
          <w:szCs w:val="20"/>
          <w:color w:val="auto"/>
        </w:rPr>
      </w:pPr>
    </w:p>
    <w:p>
      <w:pPr>
        <w:sectPr>
          <w:pgSz w:w="11900" w:h="16838" w:orient="portrait"/>
          <w:cols w:equalWidth="0" w:num="2">
            <w:col w:w="4920" w:space="720"/>
            <w:col w:w="5640"/>
          </w:cols>
          <w:pgMar w:left="300" w:top="311"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w:t>
      </w:r>
    </w:p>
    <w:p>
      <w:pPr>
        <w:spacing w:after="0" w:line="192" w:lineRule="exact"/>
        <w:rPr>
          <w:sz w:val="20"/>
          <w:szCs w:val="20"/>
          <w:color w:val="auto"/>
        </w:rPr>
      </w:pPr>
    </w:p>
    <w:p>
      <w:pPr>
        <w:sectPr>
          <w:pgSz w:w="11900" w:h="16838" w:orient="portrait"/>
          <w:cols w:equalWidth="0" w:num="2">
            <w:col w:w="4920" w:space="720"/>
            <w:col w:w="5640"/>
          </w:cols>
          <w:pgMar w:left="300" w:top="311"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Total Number of Shares Subject to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w:t>
      </w:r>
    </w:p>
    <w:p>
      <w:pPr>
        <w:spacing w:after="0" w:line="192" w:lineRule="exact"/>
        <w:rPr>
          <w:sz w:val="20"/>
          <w:szCs w:val="20"/>
          <w:color w:val="auto"/>
        </w:rPr>
      </w:pPr>
    </w:p>
    <w:p>
      <w:pPr>
        <w:sectPr>
          <w:pgSz w:w="11900" w:h="16838" w:orient="portrait"/>
          <w:cols w:equalWidth="0" w:num="2">
            <w:col w:w="4920" w:space="720"/>
            <w:col w:w="5640"/>
          </w:cols>
          <w:pgMar w:left="300" w:top="311"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w:t>
      </w:r>
    </w:p>
    <w:p>
      <w:pPr>
        <w:spacing w:after="0" w:line="168" w:lineRule="exact"/>
        <w:rPr>
          <w:sz w:val="20"/>
          <w:szCs w:val="20"/>
          <w:color w:val="auto"/>
        </w:rPr>
      </w:pPr>
    </w:p>
    <w:p>
      <w:pPr>
        <w:sectPr>
          <w:pgSz w:w="11900" w:h="16838" w:orient="portrait"/>
          <w:cols w:equalWidth="0" w:num="2">
            <w:col w:w="4920" w:space="720"/>
            <w:col w:w="5640"/>
          </w:cols>
          <w:pgMar w:left="300" w:top="311" w:right="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Type of Option: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Incentive Stock Option (to the extent permitted by 422(d) of the Code)</w:t>
      </w:r>
    </w:p>
    <w:p>
      <w:pPr>
        <w:spacing w:after="0" w:line="195" w:lineRule="exact"/>
        <w:rPr>
          <w:sz w:val="20"/>
          <w:szCs w:val="20"/>
          <w:color w:val="auto"/>
        </w:rPr>
      </w:pPr>
    </w:p>
    <w:p>
      <w:pPr>
        <w:sectPr>
          <w:pgSz w:w="11900" w:h="16838" w:orient="portrait"/>
          <w:cols w:equalWidth="0" w:num="2">
            <w:col w:w="4920" w:space="720"/>
            <w:col w:w="5640"/>
          </w:cols>
          <w:pgMar w:left="300" w:top="311" w:right="319" w:bottom="1440" w:gutter="0" w:footer="0" w:header="0"/>
          <w:type w:val="continuous"/>
        </w:sectPr>
      </w:pPr>
    </w:p>
    <w:p>
      <w:pPr>
        <w:ind w:left="56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Non-Qualified Stock Option</w:t>
      </w:r>
    </w:p>
    <w:p>
      <w:pPr>
        <w:sectPr>
          <w:pgSz w:w="11900" w:h="16838" w:orient="portrait"/>
          <w:cols w:equalWidth="0" w:num="1">
            <w:col w:w="11280"/>
          </w:cols>
          <w:pgMar w:left="300" w:top="311" w:right="31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Vesting Schedule: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196" w:lineRule="exact"/>
        <w:rPr>
          <w:sz w:val="20"/>
          <w:szCs w:val="20"/>
          <w:color w:val="auto"/>
        </w:rPr>
      </w:pPr>
    </w:p>
    <w:p>
      <w:pPr>
        <w:sectPr>
          <w:pgSz w:w="11900" w:h="16838" w:orient="portrait"/>
          <w:cols w:equalWidth="0" w:num="2">
            <w:col w:w="4920" w:space="720"/>
            <w:col w:w="5640"/>
          </w:cols>
          <w:pgMar w:left="300" w:top="311" w:right="319" w:bottom="1440" w:gutter="0" w:footer="0" w:header="0"/>
          <w:type w:val="continuous"/>
        </w:sectPr>
      </w:pPr>
    </w:p>
    <w:p>
      <w:pPr>
        <w:spacing w:after="0" w:line="288" w:lineRule="auto"/>
        <w:rPr>
          <w:sz w:val="20"/>
          <w:szCs w:val="20"/>
          <w:color w:val="auto"/>
        </w:rPr>
      </w:pPr>
      <w:r>
        <w:rPr>
          <w:rFonts w:ascii="Arial" w:cs="Arial" w:eastAsia="Arial" w:hAnsi="Arial"/>
          <w:sz w:val="14"/>
          <w:szCs w:val="14"/>
          <w:color w:val="auto"/>
        </w:rPr>
        <w:t>By signing below, Participant agrees to be bound by the terms and conditions of the Plan, the Agreement and this Grant Notice. This document may be executed, including by electronic means, in multiple counterparts, each of which will be deemed an original, and all of which together will be deemed a single instrument.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INC.</w:t>
            </w:r>
          </w:p>
        </w:tc>
        <w:tc>
          <w:tcPr>
            <w:tcW w:w="3620" w:type="dxa"/>
            <w:vAlign w:val="bottom"/>
          </w:tcPr>
          <w:p>
            <w:pPr>
              <w:spacing w:after="0"/>
              <w:rPr>
                <w:sz w:val="20"/>
                <w:szCs w:val="20"/>
                <w:color w:val="auto"/>
              </w:rPr>
            </w:pPr>
            <w:r>
              <w:rPr>
                <w:rFonts w:ascii="Arial" w:cs="Arial" w:eastAsia="Arial" w:hAnsi="Arial"/>
                <w:sz w:val="14"/>
                <w:szCs w:val="14"/>
                <w:b w:val="1"/>
                <w:bCs w:val="1"/>
                <w:color w:val="auto"/>
              </w:rPr>
              <w:t>PARTICIPANT</w:t>
            </w:r>
          </w:p>
        </w:tc>
        <w:tc>
          <w:tcPr>
            <w:tcW w:w="1900" w:type="dxa"/>
            <w:vAlign w:val="bottom"/>
          </w:tcPr>
          <w:p>
            <w:pPr>
              <w:spacing w:after="0"/>
              <w:rPr>
                <w:sz w:val="16"/>
                <w:szCs w:val="16"/>
                <w:color w:val="auto"/>
              </w:rPr>
            </w:pPr>
          </w:p>
        </w:tc>
      </w:tr>
      <w:tr>
        <w:trPr>
          <w:trHeight w:val="346"/>
        </w:trPr>
        <w:tc>
          <w:tcPr>
            <w:tcW w:w="36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153"/>
        </w:trPr>
        <w:tc>
          <w:tcPr>
            <w:tcW w:w="3620" w:type="dxa"/>
            <w:vAlign w:val="bottom"/>
          </w:tcPr>
          <w:p>
            <w:pPr>
              <w:spacing w:after="0" w:line="153" w:lineRule="exact"/>
              <w:rPr>
                <w:sz w:val="20"/>
                <w:szCs w:val="20"/>
                <w:color w:val="auto"/>
              </w:rPr>
            </w:pPr>
            <w:r>
              <w:rPr>
                <w:rFonts w:ascii="Arial" w:cs="Arial" w:eastAsia="Arial" w:hAnsi="Arial"/>
                <w:sz w:val="14"/>
                <w:szCs w:val="14"/>
                <w:color w:val="auto"/>
              </w:rPr>
              <w:t>Name:</w:t>
            </w:r>
          </w:p>
        </w:tc>
        <w:tc>
          <w:tcPr>
            <w:tcW w:w="2140" w:type="dxa"/>
            <w:vAlign w:val="bottom"/>
          </w:tcPr>
          <w:p>
            <w:pPr>
              <w:spacing w:after="0"/>
              <w:rPr>
                <w:sz w:val="13"/>
                <w:szCs w:val="13"/>
                <w:color w:val="auto"/>
              </w:rPr>
            </w:pPr>
          </w:p>
        </w:tc>
        <w:tc>
          <w:tcPr>
            <w:tcW w:w="3620" w:type="dxa"/>
            <w:vAlign w:val="bottom"/>
          </w:tcPr>
          <w:p>
            <w:pPr>
              <w:spacing w:after="0" w:line="153" w:lineRule="exact"/>
              <w:rPr>
                <w:sz w:val="20"/>
                <w:szCs w:val="20"/>
                <w:color w:val="auto"/>
              </w:rPr>
            </w:pPr>
            <w:r>
              <w:rPr>
                <w:rFonts w:ascii="Arial" w:cs="Arial" w:eastAsia="Arial" w:hAnsi="Arial"/>
                <w:sz w:val="14"/>
                <w:szCs w:val="14"/>
                <w:color w:val="auto"/>
              </w:rPr>
              <w:t>Name:</w:t>
            </w:r>
          </w:p>
        </w:tc>
        <w:tc>
          <w:tcPr>
            <w:tcW w:w="1900" w:type="dxa"/>
            <w:vAlign w:val="bottom"/>
          </w:tcPr>
          <w:p>
            <w:pPr>
              <w:spacing w:after="0"/>
              <w:rPr>
                <w:sz w:val="13"/>
                <w:szCs w:val="13"/>
                <w:color w:val="auto"/>
              </w:rPr>
            </w:pPr>
          </w:p>
        </w:tc>
      </w:tr>
      <w:tr>
        <w:trPr>
          <w:trHeight w:val="182"/>
        </w:trPr>
        <w:tc>
          <w:tcPr>
            <w:tcW w:w="5760" w:type="dxa"/>
            <w:vAlign w:val="bottom"/>
            <w:gridSpan w:val="2"/>
          </w:tcPr>
          <w:p>
            <w:pPr>
              <w:spacing w:after="0"/>
              <w:rPr>
                <w:sz w:val="20"/>
                <w:szCs w:val="20"/>
                <w:color w:val="auto"/>
              </w:rPr>
            </w:pPr>
            <w:r>
              <w:rPr>
                <w:rFonts w:ascii="Arial" w:cs="Arial" w:eastAsia="Arial" w:hAnsi="Arial"/>
                <w:sz w:val="14"/>
                <w:szCs w:val="14"/>
                <w:color w:val="auto"/>
              </w:rPr>
              <w:t>Title:</w:t>
            </w:r>
          </w:p>
        </w:tc>
        <w:tc>
          <w:tcPr>
            <w:tcW w:w="36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541"/>
        </w:trPr>
        <w:tc>
          <w:tcPr>
            <w:tcW w:w="3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1" w:right="319" w:bottom="1440" w:gutter="0" w:footer="0" w:header="0"/>
          <w:type w:val="continuous"/>
        </w:sectPr>
      </w:pPr>
    </w:p>
    <w:bookmarkStart w:id="471" w:name="page472"/>
    <w:bookmarkEnd w:id="471"/>
    <w:p>
      <w:pPr>
        <w:jc w:val="center"/>
        <w:spacing w:after="0"/>
        <w:rPr>
          <w:sz w:val="20"/>
          <w:szCs w:val="20"/>
          <w:color w:val="auto"/>
        </w:rPr>
      </w:pPr>
      <w:r>
        <w:rPr>
          <w:rFonts w:ascii="Arial" w:cs="Arial" w:eastAsia="Arial" w:hAnsi="Arial"/>
          <w:sz w:val="14"/>
          <w:szCs w:val="14"/>
          <w:b w:val="1"/>
          <w:bCs w:val="1"/>
          <w:color w:val="auto"/>
        </w:rPr>
        <w:t>EXHIBIT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STOCK OPTION GRANT NOTICE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AWARD AGREEMENT</w:t>
      </w:r>
    </w:p>
    <w:p>
      <w:pPr>
        <w:spacing w:after="0" w:line="188" w:lineRule="exact"/>
        <w:rPr>
          <w:sz w:val="20"/>
          <w:szCs w:val="20"/>
          <w:color w:val="auto"/>
        </w:rPr>
      </w:pPr>
    </w:p>
    <w:p>
      <w:pPr>
        <w:ind w:firstLine="524"/>
        <w:spacing w:after="0" w:line="288" w:lineRule="auto"/>
        <w:tabs>
          <w:tab w:leader="none" w:pos="1104" w:val="left"/>
        </w:tabs>
        <w:numPr>
          <w:ilvl w:val="0"/>
          <w:numId w:val="329"/>
        </w:numPr>
        <w:rPr>
          <w:rFonts w:ascii="Arial" w:cs="Arial" w:eastAsia="Arial" w:hAnsi="Arial"/>
          <w:sz w:val="14"/>
          <w:szCs w:val="14"/>
          <w:color w:val="auto"/>
        </w:rPr>
      </w:pPr>
      <w:r>
        <w:rPr>
          <w:rFonts w:ascii="Arial" w:cs="Arial" w:eastAsia="Arial" w:hAnsi="Arial"/>
          <w:sz w:val="14"/>
          <w:szCs w:val="14"/>
          <w:u w:val="single" w:color="auto"/>
          <w:color w:val="auto"/>
        </w:rPr>
        <w:t>Award of Option</w:t>
      </w:r>
      <w:r>
        <w:rPr>
          <w:rFonts w:ascii="Arial" w:cs="Arial" w:eastAsia="Arial" w:hAnsi="Arial"/>
          <w:sz w:val="14"/>
          <w:szCs w:val="14"/>
          <w:color w:val="auto"/>
        </w:rPr>
        <w:t>. Effective as of the Grant Date set forth in the Grant Notice, the Company has granted to Participant the Option to purchase part or all of the aggregate number of Shares set forth in the Grant Notice, subject to the terms and conditions set forth in the Grant Notice, the Plan and this Agreement.</w:t>
      </w:r>
    </w:p>
    <w:p>
      <w:pPr>
        <w:spacing w:after="0" w:line="131" w:lineRule="exact"/>
        <w:rPr>
          <w:rFonts w:ascii="Arial" w:cs="Arial" w:eastAsia="Arial" w:hAnsi="Arial"/>
          <w:sz w:val="14"/>
          <w:szCs w:val="14"/>
          <w:color w:val="auto"/>
        </w:rPr>
      </w:pPr>
    </w:p>
    <w:p>
      <w:pPr>
        <w:ind w:left="1120" w:hanging="596"/>
        <w:spacing w:after="0"/>
        <w:tabs>
          <w:tab w:leader="none" w:pos="1120" w:val="left"/>
        </w:tabs>
        <w:numPr>
          <w:ilvl w:val="0"/>
          <w:numId w:val="329"/>
        </w:numPr>
        <w:rPr>
          <w:rFonts w:ascii="Arial" w:cs="Arial" w:eastAsia="Arial" w:hAnsi="Arial"/>
          <w:sz w:val="13"/>
          <w:szCs w:val="13"/>
          <w:color w:val="auto"/>
        </w:rPr>
      </w:pPr>
      <w:r>
        <w:rPr>
          <w:rFonts w:ascii="Arial" w:cs="Arial" w:eastAsia="Arial" w:hAnsi="Arial"/>
          <w:sz w:val="13"/>
          <w:szCs w:val="13"/>
          <w:u w:val="single" w:color="auto"/>
          <w:color w:val="auto"/>
        </w:rPr>
        <w:t>Term of Option</w:t>
      </w:r>
      <w:r>
        <w:rPr>
          <w:rFonts w:ascii="Arial" w:cs="Arial" w:eastAsia="Arial" w:hAnsi="Arial"/>
          <w:sz w:val="13"/>
          <w:szCs w:val="13"/>
          <w:color w:val="auto"/>
        </w:rPr>
        <w:t>. The Option may not be exercised later than the Expiration Date set forth in the Grant Notice, subject to earlier termination in accordance with the Plan and this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w:t>
      </w:r>
    </w:p>
    <w:p>
      <w:pPr>
        <w:spacing w:after="0" w:line="174" w:lineRule="exact"/>
        <w:rPr>
          <w:rFonts w:ascii="Arial" w:cs="Arial" w:eastAsia="Arial" w:hAnsi="Arial"/>
          <w:sz w:val="13"/>
          <w:szCs w:val="13"/>
          <w:color w:val="auto"/>
        </w:rPr>
      </w:pPr>
    </w:p>
    <w:p>
      <w:pPr>
        <w:ind w:left="1100" w:hanging="576"/>
        <w:spacing w:after="0"/>
        <w:tabs>
          <w:tab w:leader="none" w:pos="1100" w:val="left"/>
        </w:tabs>
        <w:numPr>
          <w:ilvl w:val="0"/>
          <w:numId w:val="329"/>
        </w:numPr>
        <w:rPr>
          <w:rFonts w:ascii="Arial" w:cs="Arial" w:eastAsia="Arial" w:hAnsi="Arial"/>
          <w:sz w:val="14"/>
          <w:szCs w:val="14"/>
          <w:color w:val="auto"/>
        </w:rPr>
      </w:pPr>
      <w:r>
        <w:rPr>
          <w:rFonts w:ascii="Arial" w:cs="Arial" w:eastAsia="Arial" w:hAnsi="Arial"/>
          <w:sz w:val="14"/>
          <w:szCs w:val="14"/>
          <w:u w:val="single" w:color="auto"/>
          <w:color w:val="auto"/>
        </w:rPr>
        <w:t>Option Exercise Price</w:t>
      </w:r>
      <w:r>
        <w:rPr>
          <w:rFonts w:ascii="Arial" w:cs="Arial" w:eastAsia="Arial" w:hAnsi="Arial"/>
          <w:sz w:val="14"/>
          <w:szCs w:val="14"/>
          <w:color w:val="auto"/>
        </w:rPr>
        <w:t>. The exercise price per Share of the Option (the “</w:t>
      </w:r>
      <w:r>
        <w:rPr>
          <w:rFonts w:ascii="Arial" w:cs="Arial" w:eastAsia="Arial" w:hAnsi="Arial"/>
          <w:sz w:val="14"/>
          <w:szCs w:val="14"/>
          <w:u w:val="single" w:color="auto"/>
          <w:color w:val="auto"/>
        </w:rPr>
        <w:t>Exercise Price</w:t>
      </w:r>
      <w:r>
        <w:rPr>
          <w:rFonts w:ascii="Arial" w:cs="Arial" w:eastAsia="Arial" w:hAnsi="Arial"/>
          <w:sz w:val="14"/>
          <w:szCs w:val="14"/>
          <w:color w:val="auto"/>
        </w:rPr>
        <w:t>”) is set forth in the Grant Notice.</w:t>
      </w:r>
    </w:p>
    <w:p>
      <w:pPr>
        <w:spacing w:after="0" w:line="184" w:lineRule="exact"/>
        <w:rPr>
          <w:rFonts w:ascii="Arial" w:cs="Arial" w:eastAsia="Arial" w:hAnsi="Arial"/>
          <w:sz w:val="14"/>
          <w:szCs w:val="14"/>
          <w:color w:val="auto"/>
        </w:rPr>
      </w:pPr>
    </w:p>
    <w:p>
      <w:pPr>
        <w:ind w:firstLine="524"/>
        <w:spacing w:after="0" w:line="288" w:lineRule="auto"/>
        <w:tabs>
          <w:tab w:leader="none" w:pos="1244" w:val="left"/>
        </w:tabs>
        <w:numPr>
          <w:ilvl w:val="0"/>
          <w:numId w:val="329"/>
        </w:numPr>
        <w:rPr>
          <w:rFonts w:ascii="Arial" w:cs="Arial" w:eastAsia="Arial" w:hAnsi="Arial"/>
          <w:sz w:val="14"/>
          <w:szCs w:val="14"/>
          <w:color w:val="auto"/>
        </w:rPr>
      </w:pPr>
      <w:r>
        <w:rPr>
          <w:rFonts w:ascii="Arial" w:cs="Arial" w:eastAsia="Arial" w:hAnsi="Arial"/>
          <w:sz w:val="14"/>
          <w:szCs w:val="14"/>
          <w:u w:val="single" w:color="auto"/>
          <w:color w:val="auto"/>
        </w:rPr>
        <w:t>Vesting and Exercise of Option</w:t>
      </w:r>
      <w:r>
        <w:rPr>
          <w:rFonts w:ascii="Arial" w:cs="Arial" w:eastAsia="Arial" w:hAnsi="Arial"/>
          <w:sz w:val="14"/>
          <w:szCs w:val="14"/>
          <w:color w:val="auto"/>
        </w:rPr>
        <w:t>. Subject to the continued service of Participant with the Company through the relevant vesting dates, the Option shall become vested and exercisable in such amounts and at such times as set forth in the Grant Notice. In addition:</w:t>
      </w:r>
    </w:p>
    <w:p>
      <w:pPr>
        <w:spacing w:after="0" w:line="131" w:lineRule="exact"/>
        <w:rPr>
          <w:rFonts w:ascii="Arial" w:cs="Arial" w:eastAsia="Arial" w:hAnsi="Arial"/>
          <w:sz w:val="14"/>
          <w:szCs w:val="14"/>
          <w:color w:val="auto"/>
        </w:rPr>
      </w:pPr>
    </w:p>
    <w:p>
      <w:pPr>
        <w:jc w:val="both"/>
        <w:ind w:firstLine="1042"/>
        <w:spacing w:after="0" w:line="290" w:lineRule="auto"/>
        <w:tabs>
          <w:tab w:leader="none" w:pos="1905" w:val="left"/>
        </w:tabs>
        <w:numPr>
          <w:ilvl w:val="1"/>
          <w:numId w:val="329"/>
        </w:numPr>
        <w:rPr>
          <w:rFonts w:ascii="Arial" w:cs="Arial" w:eastAsia="Arial" w:hAnsi="Arial"/>
          <w:sz w:val="13"/>
          <w:szCs w:val="13"/>
          <w:color w:val="auto"/>
        </w:rPr>
      </w:pPr>
      <w:r>
        <w:rPr>
          <w:rFonts w:ascii="Arial" w:cs="Arial" w:eastAsia="Arial" w:hAnsi="Arial"/>
          <w:sz w:val="13"/>
          <w:szCs w:val="13"/>
          <w:u w:val="single" w:color="auto"/>
          <w:color w:val="auto"/>
        </w:rPr>
        <w:t>Effect of Termination of Service due to Death on the Option</w:t>
      </w:r>
      <w:r>
        <w:rPr>
          <w:rFonts w:ascii="Arial" w:cs="Arial" w:eastAsia="Arial" w:hAnsi="Arial"/>
          <w:sz w:val="13"/>
          <w:szCs w:val="13"/>
          <w:color w:val="auto"/>
        </w:rPr>
        <w:t>. Upon Participant’s death during his or her continuous service with the Company, any portion of the Option that is outstanding and unvested immediately prior to Participant’s death will remain outstanding for ninety (90) days, during which time the Committee may, in its sole discretion, vest all or a portion of such Option. If the Committee decides to vest all or any portion of such Option under this Section 4.a, it may condition such vesting on the execution by Participant’s estate and/or beneficiaries of a general release of claims against the Company and its affiliates in such form as the Company may prescribe (each, a “</w:t>
      </w:r>
      <w:r>
        <w:rPr>
          <w:rFonts w:ascii="Arial" w:cs="Arial" w:eastAsia="Arial" w:hAnsi="Arial"/>
          <w:sz w:val="13"/>
          <w:szCs w:val="13"/>
          <w:u w:val="single" w:color="auto"/>
          <w:color w:val="auto"/>
        </w:rPr>
        <w:t>Release</w:t>
      </w:r>
      <w:r>
        <w:rPr>
          <w:rFonts w:ascii="Arial" w:cs="Arial" w:eastAsia="Arial" w:hAnsi="Arial"/>
          <w:sz w:val="13"/>
          <w:szCs w:val="13"/>
          <w:color w:val="auto"/>
        </w:rPr>
        <w:t>”). Upon the ninetieth (90th) day following Participant’s death, any portion of the unvested Option that the Committee has not determined to vest in accordance with this Section 4.a will be forfeited.</w:t>
      </w:r>
    </w:p>
    <w:p>
      <w:pPr>
        <w:spacing w:after="0" w:line="132" w:lineRule="exact"/>
        <w:rPr>
          <w:rFonts w:ascii="Arial" w:cs="Arial" w:eastAsia="Arial" w:hAnsi="Arial"/>
          <w:sz w:val="13"/>
          <w:szCs w:val="13"/>
          <w:color w:val="auto"/>
        </w:rPr>
      </w:pPr>
    </w:p>
    <w:p>
      <w:pPr>
        <w:ind w:firstLine="1042"/>
        <w:spacing w:after="0" w:line="288" w:lineRule="auto"/>
        <w:tabs>
          <w:tab w:leader="none" w:pos="1988" w:val="left"/>
        </w:tabs>
        <w:numPr>
          <w:ilvl w:val="1"/>
          <w:numId w:val="329"/>
        </w:numPr>
        <w:rPr>
          <w:rFonts w:ascii="Arial" w:cs="Arial" w:eastAsia="Arial" w:hAnsi="Arial"/>
          <w:sz w:val="14"/>
          <w:szCs w:val="14"/>
          <w:color w:val="auto"/>
        </w:rPr>
      </w:pPr>
      <w:r>
        <w:rPr>
          <w:rFonts w:ascii="Arial" w:cs="Arial" w:eastAsia="Arial" w:hAnsi="Arial"/>
          <w:sz w:val="14"/>
          <w:szCs w:val="14"/>
          <w:u w:val="single" w:color="auto"/>
          <w:color w:val="auto"/>
        </w:rPr>
        <w:t>Effect of Termination of Service on the Option</w:t>
      </w:r>
      <w:r>
        <w:rPr>
          <w:rFonts w:ascii="Arial" w:cs="Arial" w:eastAsia="Arial" w:hAnsi="Arial"/>
          <w:sz w:val="14"/>
          <w:szCs w:val="14"/>
          <w:color w:val="auto"/>
        </w:rPr>
        <w:t>. Unless otherwise provided in the Grant Notice, this Agreement or in Participant’s employment agreement, the termination or survival of the Option will be determined in accordance with Section 7 of the Plan.</w:t>
      </w:r>
    </w:p>
    <w:p>
      <w:pPr>
        <w:spacing w:after="0" w:line="131" w:lineRule="exact"/>
        <w:rPr>
          <w:rFonts w:ascii="Arial" w:cs="Arial" w:eastAsia="Arial" w:hAnsi="Arial"/>
          <w:sz w:val="14"/>
          <w:szCs w:val="14"/>
          <w:color w:val="auto"/>
        </w:rPr>
      </w:pPr>
    </w:p>
    <w:p>
      <w:pPr>
        <w:ind w:firstLine="1042"/>
        <w:spacing w:after="0" w:line="288" w:lineRule="auto"/>
        <w:tabs>
          <w:tab w:leader="none" w:pos="1883" w:val="left"/>
        </w:tabs>
        <w:numPr>
          <w:ilvl w:val="1"/>
          <w:numId w:val="329"/>
        </w:numPr>
        <w:rPr>
          <w:rFonts w:ascii="Arial" w:cs="Arial" w:eastAsia="Arial" w:hAnsi="Arial"/>
          <w:sz w:val="14"/>
          <w:szCs w:val="14"/>
          <w:color w:val="auto"/>
        </w:rPr>
      </w:pPr>
      <w:r>
        <w:rPr>
          <w:rFonts w:ascii="Arial" w:cs="Arial" w:eastAsia="Arial" w:hAnsi="Arial"/>
          <w:sz w:val="14"/>
          <w:szCs w:val="14"/>
          <w:u w:val="single" w:color="auto"/>
          <w:color w:val="auto"/>
        </w:rPr>
        <w:t>Service with Affiliates</w:t>
      </w:r>
      <w:r>
        <w:rPr>
          <w:rFonts w:ascii="Arial" w:cs="Arial" w:eastAsia="Arial" w:hAnsi="Arial"/>
          <w:sz w:val="14"/>
          <w:szCs w:val="14"/>
          <w:color w:val="auto"/>
        </w:rPr>
        <w:t>. Solely for purposes of this Agreement, service with the Company will be deemed to include service with an Affiliate of the Company (for only so long as such entity remains an Affiliate of the Company).</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880" w:val="left"/>
        </w:tabs>
        <w:numPr>
          <w:ilvl w:val="1"/>
          <w:numId w:val="329"/>
        </w:numPr>
        <w:rPr>
          <w:rFonts w:ascii="Arial" w:cs="Arial" w:eastAsia="Arial" w:hAnsi="Arial"/>
          <w:sz w:val="14"/>
          <w:szCs w:val="14"/>
          <w:color w:val="auto"/>
        </w:rPr>
      </w:pPr>
      <w:r>
        <w:rPr>
          <w:rFonts w:ascii="Arial" w:cs="Arial" w:eastAsia="Arial" w:hAnsi="Arial"/>
          <w:sz w:val="14"/>
          <w:szCs w:val="14"/>
          <w:u w:val="single" w:color="auto"/>
          <w:color w:val="auto"/>
        </w:rPr>
        <w:t>Method of Exercise</w:t>
      </w:r>
      <w:r>
        <w:rPr>
          <w:rFonts w:ascii="Arial" w:cs="Arial" w:eastAsia="Arial" w:hAnsi="Arial"/>
          <w:sz w:val="14"/>
          <w:szCs w:val="14"/>
          <w:color w:val="auto"/>
        </w:rPr>
        <w:t>. Participant may exercise the Option only to the extent it is vested. To exercise the Option, Participant must deliver a payment of the Exercise Price, any required tax withholding and written notice of exercise to the Company in accordance with Section 5(d) of the Plan. Such notice must also be accompanied by any further documents or instruments the Company deems necessary or desirable to carry out the purposes or intent of this Agreement.</w:t>
      </w:r>
    </w:p>
    <w:p>
      <w:pPr>
        <w:spacing w:after="0" w:line="141" w:lineRule="exact"/>
        <w:rPr>
          <w:rFonts w:ascii="Arial" w:cs="Arial" w:eastAsia="Arial" w:hAnsi="Arial"/>
          <w:sz w:val="14"/>
          <w:szCs w:val="14"/>
          <w:color w:val="auto"/>
        </w:rPr>
      </w:pPr>
    </w:p>
    <w:p>
      <w:pPr>
        <w:ind w:left="1820" w:hanging="778"/>
        <w:spacing w:after="0"/>
        <w:tabs>
          <w:tab w:leader="none" w:pos="1820" w:val="left"/>
        </w:tabs>
        <w:numPr>
          <w:ilvl w:val="1"/>
          <w:numId w:val="329"/>
        </w:numPr>
        <w:rPr>
          <w:rFonts w:ascii="Arial" w:cs="Arial" w:eastAsia="Arial" w:hAnsi="Arial"/>
          <w:sz w:val="14"/>
          <w:szCs w:val="14"/>
          <w:color w:val="auto"/>
        </w:rPr>
      </w:pPr>
      <w:r>
        <w:rPr>
          <w:rFonts w:ascii="Arial" w:cs="Arial" w:eastAsia="Arial" w:hAnsi="Arial"/>
          <w:sz w:val="14"/>
          <w:szCs w:val="14"/>
          <w:u w:val="single" w:color="auto"/>
          <w:color w:val="auto"/>
        </w:rPr>
        <w:t>Partial Exercise</w:t>
      </w:r>
      <w:r>
        <w:rPr>
          <w:rFonts w:ascii="Arial" w:cs="Arial" w:eastAsia="Arial" w:hAnsi="Arial"/>
          <w:sz w:val="14"/>
          <w:szCs w:val="14"/>
          <w:color w:val="auto"/>
        </w:rPr>
        <w:t>. The Option may be exercised in whole or in part, provided, however, that any exercise may apply only with a whole number of Shares.</w:t>
      </w:r>
    </w:p>
    <w:p>
      <w:pPr>
        <w:spacing w:after="0" w:line="184" w:lineRule="exact"/>
        <w:rPr>
          <w:rFonts w:ascii="Arial" w:cs="Arial" w:eastAsia="Arial" w:hAnsi="Arial"/>
          <w:sz w:val="14"/>
          <w:szCs w:val="14"/>
          <w:color w:val="auto"/>
        </w:rPr>
      </w:pPr>
    </w:p>
    <w:p>
      <w:pPr>
        <w:ind w:firstLine="1042"/>
        <w:spacing w:after="0" w:line="288" w:lineRule="auto"/>
        <w:tabs>
          <w:tab w:leader="none" w:pos="1839" w:val="left"/>
        </w:tabs>
        <w:numPr>
          <w:ilvl w:val="1"/>
          <w:numId w:val="329"/>
        </w:numPr>
        <w:rPr>
          <w:rFonts w:ascii="Arial" w:cs="Arial" w:eastAsia="Arial" w:hAnsi="Arial"/>
          <w:sz w:val="14"/>
          <w:szCs w:val="14"/>
          <w:color w:val="auto"/>
        </w:rPr>
      </w:pPr>
      <w:r>
        <w:rPr>
          <w:rFonts w:ascii="Arial" w:cs="Arial" w:eastAsia="Arial" w:hAnsi="Arial"/>
          <w:sz w:val="14"/>
          <w:szCs w:val="14"/>
          <w:u w:val="single" w:color="auto"/>
          <w:color w:val="auto"/>
        </w:rPr>
        <w:t>Restrictions on Exercise</w:t>
      </w:r>
      <w:r>
        <w:rPr>
          <w:rFonts w:ascii="Arial" w:cs="Arial" w:eastAsia="Arial" w:hAnsi="Arial"/>
          <w:sz w:val="14"/>
          <w:szCs w:val="14"/>
          <w:color w:val="auto"/>
        </w:rPr>
        <w:t>. The Option may not be exercised, and any purported exercise will be void, if the issuance of Shares upon such exercise would constitute a violation of any law, regulation or exchange listing requirement. The Committee may from time to time modify the terms of</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72" w:name="page473"/>
    <w:bookmarkEnd w:id="472"/>
    <w:p>
      <w:pPr>
        <w:spacing w:after="0"/>
        <w:rPr>
          <w:sz w:val="20"/>
          <w:szCs w:val="20"/>
          <w:color w:val="auto"/>
        </w:rPr>
      </w:pPr>
      <w:r>
        <w:rPr>
          <w:rFonts w:ascii="Arial" w:cs="Arial" w:eastAsia="Arial" w:hAnsi="Arial"/>
          <w:sz w:val="13"/>
          <w:szCs w:val="13"/>
          <w:color w:val="auto"/>
        </w:rPr>
        <w:t>the Option or impose additional conditions on the exercise of the Option as it deems necessary or appropriate to facilitate compliance with any law, regulation or exchange listing requirement.</w:t>
      </w:r>
    </w:p>
    <w:p>
      <w:pPr>
        <w:spacing w:after="0" w:line="196" w:lineRule="exact"/>
        <w:rPr>
          <w:sz w:val="20"/>
          <w:szCs w:val="20"/>
          <w:color w:val="auto"/>
        </w:rPr>
      </w:pPr>
    </w:p>
    <w:p>
      <w:pPr>
        <w:ind w:firstLine="1042"/>
        <w:spacing w:after="0" w:line="288" w:lineRule="auto"/>
        <w:tabs>
          <w:tab w:leader="none" w:pos="1888" w:val="left"/>
        </w:tabs>
        <w:numPr>
          <w:ilvl w:val="1"/>
          <w:numId w:val="330"/>
        </w:numPr>
        <w:rPr>
          <w:rFonts w:ascii="Arial" w:cs="Arial" w:eastAsia="Arial" w:hAnsi="Arial"/>
          <w:sz w:val="14"/>
          <w:szCs w:val="14"/>
          <w:color w:val="auto"/>
        </w:rPr>
      </w:pPr>
      <w:r>
        <w:rPr>
          <w:rFonts w:ascii="Arial" w:cs="Arial" w:eastAsia="Arial" w:hAnsi="Arial"/>
          <w:sz w:val="14"/>
          <w:szCs w:val="14"/>
          <w:u w:val="single" w:color="auto"/>
          <w:color w:val="auto"/>
        </w:rPr>
        <w:t>Rights as Stockholder</w:t>
      </w:r>
      <w:r>
        <w:rPr>
          <w:rFonts w:ascii="Arial" w:cs="Arial" w:eastAsia="Arial" w:hAnsi="Arial"/>
          <w:sz w:val="14"/>
          <w:szCs w:val="14"/>
          <w:color w:val="auto"/>
        </w:rPr>
        <w:t>. The Option will not confer upon Participant any of the rights or privileges of a stockholder in the Company unless and until Participant is issued Shares following Participant’s exercise of the Option.</w:t>
      </w:r>
    </w:p>
    <w:p>
      <w:pPr>
        <w:spacing w:after="0" w:line="131" w:lineRule="exact"/>
        <w:rPr>
          <w:rFonts w:ascii="Arial" w:cs="Arial" w:eastAsia="Arial" w:hAnsi="Arial"/>
          <w:sz w:val="14"/>
          <w:szCs w:val="14"/>
          <w:color w:val="auto"/>
        </w:rPr>
      </w:pPr>
    </w:p>
    <w:p>
      <w:pPr>
        <w:ind w:firstLine="524"/>
        <w:spacing w:after="0" w:line="288" w:lineRule="auto"/>
        <w:tabs>
          <w:tab w:leader="none" w:pos="1042"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Non-Transferability of Option</w:t>
      </w:r>
      <w:r>
        <w:rPr>
          <w:rFonts w:ascii="Arial" w:cs="Arial" w:eastAsia="Arial" w:hAnsi="Arial"/>
          <w:sz w:val="14"/>
          <w:szCs w:val="14"/>
          <w:color w:val="auto"/>
        </w:rPr>
        <w:t>. The Option may not be sold, pledged, assigned, hypothecated, gifted, transferred or disposed of in any manner, either voluntarily or involuntarily, other than by will or by the laws of descent and distribution.</w:t>
      </w:r>
    </w:p>
    <w:p>
      <w:pPr>
        <w:spacing w:after="0" w:line="131" w:lineRule="exact"/>
        <w:rPr>
          <w:rFonts w:ascii="Arial" w:cs="Arial" w:eastAsia="Arial" w:hAnsi="Arial"/>
          <w:sz w:val="14"/>
          <w:szCs w:val="14"/>
          <w:color w:val="auto"/>
        </w:rPr>
      </w:pPr>
    </w:p>
    <w:p>
      <w:pPr>
        <w:ind w:left="1100" w:hanging="576"/>
        <w:spacing w:after="0"/>
        <w:tabs>
          <w:tab w:leader="none" w:pos="1100" w:val="left"/>
        </w:tabs>
        <w:numPr>
          <w:ilvl w:val="0"/>
          <w:numId w:val="331"/>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The Exercise Price, as well as the number and kind of shares subject to the Option, are subject to adjustment in accordance with Section 3(e) of the Plan.</w:t>
      </w:r>
    </w:p>
    <w:p>
      <w:pPr>
        <w:spacing w:after="0" w:line="195" w:lineRule="exact"/>
        <w:rPr>
          <w:rFonts w:ascii="Arial" w:cs="Arial" w:eastAsia="Arial" w:hAnsi="Arial"/>
          <w:sz w:val="13"/>
          <w:szCs w:val="13"/>
          <w:color w:val="auto"/>
        </w:rPr>
      </w:pPr>
    </w:p>
    <w:p>
      <w:pPr>
        <w:ind w:firstLine="524"/>
        <w:spacing w:after="0" w:line="288" w:lineRule="auto"/>
        <w:tabs>
          <w:tab w:leader="none" w:pos="1111"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No Continuation of Service</w:t>
      </w:r>
      <w:r>
        <w:rPr>
          <w:rFonts w:ascii="Arial" w:cs="Arial" w:eastAsia="Arial" w:hAnsi="Arial"/>
          <w:sz w:val="14"/>
          <w:szCs w:val="14"/>
          <w:color w:val="auto"/>
        </w:rPr>
        <w:t>. Neither the Plan nor this Agreement will confer upon Participant any right to continue in the employment or service of the Company or any of its Affiliates, or limit in any respect the right of the Company or its Affiliates to discharge Participant at any time, for any reason.</w:t>
      </w:r>
    </w:p>
    <w:p>
      <w:pPr>
        <w:spacing w:after="0" w:line="131" w:lineRule="exact"/>
        <w:rPr>
          <w:rFonts w:ascii="Arial" w:cs="Arial" w:eastAsia="Arial" w:hAnsi="Arial"/>
          <w:sz w:val="14"/>
          <w:szCs w:val="14"/>
          <w:color w:val="auto"/>
        </w:rPr>
      </w:pPr>
    </w:p>
    <w:p>
      <w:pPr>
        <w:jc w:val="both"/>
        <w:ind w:firstLine="524"/>
        <w:spacing w:after="0" w:line="273" w:lineRule="auto"/>
        <w:tabs>
          <w:tab w:leader="none" w:pos="1154"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Withholding</w:t>
      </w:r>
      <w:r>
        <w:rPr>
          <w:rFonts w:ascii="Arial" w:cs="Arial" w:eastAsia="Arial" w:hAnsi="Arial"/>
          <w:sz w:val="14"/>
          <w:szCs w:val="14"/>
          <w:color w:val="auto"/>
        </w:rPr>
        <w:t>. Participant acknowledges that the exercise of the Option will give rise to taxable income subject to required withholding. In accordance with Section 15 of the Plan, the obligations of the Company hereunder are conditioned on Participant timely paying, or otherwise making arrangements satisfactory to the Company regarding the timely satisfaction of, such required withholding.</w:t>
      </w:r>
    </w:p>
    <w:p>
      <w:pPr>
        <w:spacing w:after="0" w:line="141" w:lineRule="exact"/>
        <w:rPr>
          <w:rFonts w:ascii="Arial" w:cs="Arial" w:eastAsia="Arial" w:hAnsi="Arial"/>
          <w:sz w:val="14"/>
          <w:szCs w:val="14"/>
          <w:color w:val="auto"/>
        </w:rPr>
      </w:pPr>
    </w:p>
    <w:p>
      <w:pPr>
        <w:jc w:val="both"/>
        <w:ind w:firstLine="524"/>
        <w:spacing w:after="0" w:line="303" w:lineRule="auto"/>
        <w:tabs>
          <w:tab w:leader="none" w:pos="1147" w:val="left"/>
        </w:tabs>
        <w:numPr>
          <w:ilvl w:val="0"/>
          <w:numId w:val="331"/>
        </w:numPr>
        <w:rPr>
          <w:rFonts w:ascii="Arial" w:cs="Arial" w:eastAsia="Arial" w:hAnsi="Arial"/>
          <w:sz w:val="13"/>
          <w:szCs w:val="13"/>
          <w:color w:val="auto"/>
        </w:rPr>
      </w:pPr>
      <w:r>
        <w:rPr>
          <w:rFonts w:ascii="Arial" w:cs="Arial" w:eastAsia="Arial" w:hAnsi="Arial"/>
          <w:sz w:val="13"/>
          <w:szCs w:val="13"/>
          <w:u w:val="single" w:color="auto"/>
          <w:color w:val="auto"/>
        </w:rPr>
        <w:t>The Plan</w:t>
      </w:r>
      <w:r>
        <w:rPr>
          <w:rFonts w:ascii="Arial" w:cs="Arial" w:eastAsia="Arial" w:hAnsi="Arial"/>
          <w:sz w:val="13"/>
          <w:szCs w:val="13"/>
          <w:color w:val="auto"/>
        </w:rPr>
        <w:t>. Participant has received a copy of the Plan, has read the Plan and is familiar with its terms, and hereby accepts the Option subject to the terms and provisions of the Plan. Pursuant to the Plan, the Committee is authorized to interpret the Plan and to adopt rules and regulations not inconsistent with the Plan as it deems appropriate. Participant hereby agrees to accept as binding, conclusive and final all decisions or interpretations of the Committee with respect to questions arising under the Plan, the Grant Notice or this Agreement.</w:t>
      </w:r>
    </w:p>
    <w:p>
      <w:pPr>
        <w:spacing w:after="0" w:line="124" w:lineRule="exact"/>
        <w:rPr>
          <w:rFonts w:ascii="Arial" w:cs="Arial" w:eastAsia="Arial" w:hAnsi="Arial"/>
          <w:sz w:val="13"/>
          <w:szCs w:val="13"/>
          <w:color w:val="auto"/>
        </w:rPr>
      </w:pPr>
    </w:p>
    <w:p>
      <w:pPr>
        <w:ind w:firstLine="524"/>
        <w:spacing w:after="0" w:line="329" w:lineRule="auto"/>
        <w:tabs>
          <w:tab w:leader="none" w:pos="1104" w:val="left"/>
        </w:tabs>
        <w:numPr>
          <w:ilvl w:val="0"/>
          <w:numId w:val="331"/>
        </w:numPr>
        <w:rPr>
          <w:rFonts w:ascii="Arial" w:cs="Arial" w:eastAsia="Arial" w:hAnsi="Arial"/>
          <w:sz w:val="13"/>
          <w:szCs w:val="13"/>
          <w:color w:val="auto"/>
        </w:rPr>
      </w:pPr>
      <w:r>
        <w:rPr>
          <w:rFonts w:ascii="Arial" w:cs="Arial" w:eastAsia="Arial" w:hAnsi="Arial"/>
          <w:sz w:val="13"/>
          <w:szCs w:val="13"/>
          <w:u w:val="single" w:color="auto"/>
          <w:color w:val="auto"/>
        </w:rPr>
        <w:t>Company Policies</w:t>
      </w:r>
      <w:r>
        <w:rPr>
          <w:rFonts w:ascii="Arial" w:cs="Arial" w:eastAsia="Arial" w:hAnsi="Arial"/>
          <w:sz w:val="13"/>
          <w:szCs w:val="13"/>
          <w:color w:val="auto"/>
        </w:rPr>
        <w:t>. Participant agrees, in consideration for the grant of the Restricted Stock, to be subject to any policies of the Company and its Affiliates regarding clawbacks, securities trading, and hedging or pledging of securities that may be in effect from time to time, or as may otherwise be required by applicable law, regulation or exchange listing standard.</w:t>
      </w:r>
    </w:p>
    <w:p>
      <w:pPr>
        <w:spacing w:after="0" w:line="108" w:lineRule="exact"/>
        <w:rPr>
          <w:rFonts w:ascii="Arial" w:cs="Arial" w:eastAsia="Arial" w:hAnsi="Arial"/>
          <w:sz w:val="13"/>
          <w:szCs w:val="13"/>
          <w:color w:val="auto"/>
        </w:rPr>
      </w:pPr>
    </w:p>
    <w:p>
      <w:pPr>
        <w:ind w:firstLine="524"/>
        <w:spacing w:after="0" w:line="288" w:lineRule="auto"/>
        <w:tabs>
          <w:tab w:leader="none" w:pos="1062"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The Grant Notice and this Agreement, together with the Plan, represent the entire agreement between the parties with respect to the subject matter hereof and supersede any prior agreement, written or otherwise, relating to the subject matter hereof.</w:t>
      </w:r>
    </w:p>
    <w:p>
      <w:pPr>
        <w:spacing w:after="0" w:line="131" w:lineRule="exact"/>
        <w:rPr>
          <w:rFonts w:ascii="Arial" w:cs="Arial" w:eastAsia="Arial" w:hAnsi="Arial"/>
          <w:sz w:val="14"/>
          <w:szCs w:val="14"/>
          <w:color w:val="auto"/>
        </w:rPr>
      </w:pPr>
    </w:p>
    <w:p>
      <w:pPr>
        <w:ind w:firstLine="524"/>
        <w:spacing w:after="0" w:line="288" w:lineRule="auto"/>
        <w:tabs>
          <w:tab w:leader="none" w:pos="1276"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only be amended by a writing signed by each of the parties hereto; provided that the Company may amend this Agreement without Participant’s consent, if the amendment does not materially impair Participant’s rights hereunder or as otherwise permitted in Section 4(f), above.</w:t>
      </w:r>
    </w:p>
    <w:p>
      <w:pPr>
        <w:spacing w:after="0" w:line="131" w:lineRule="exact"/>
        <w:rPr>
          <w:rFonts w:ascii="Arial" w:cs="Arial" w:eastAsia="Arial" w:hAnsi="Arial"/>
          <w:sz w:val="14"/>
          <w:szCs w:val="14"/>
          <w:color w:val="auto"/>
        </w:rPr>
      </w:pPr>
    </w:p>
    <w:p>
      <w:pPr>
        <w:ind w:firstLine="524"/>
        <w:spacing w:after="0" w:line="288" w:lineRule="auto"/>
        <w:tabs>
          <w:tab w:leader="none" w:pos="1266"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will be construed in accordance with the laws and judicial decisions of the State of Delaware, without regard to the application of the principles of conflicts of laws.</w:t>
      </w:r>
    </w:p>
    <w:p>
      <w:pPr>
        <w:spacing w:after="0" w:line="131" w:lineRule="exact"/>
        <w:rPr>
          <w:rFonts w:ascii="Arial" w:cs="Arial" w:eastAsia="Arial" w:hAnsi="Arial"/>
          <w:sz w:val="14"/>
          <w:szCs w:val="14"/>
          <w:color w:val="auto"/>
        </w:rPr>
      </w:pPr>
    </w:p>
    <w:p>
      <w:pPr>
        <w:ind w:left="1100" w:hanging="576"/>
        <w:spacing w:after="0"/>
        <w:tabs>
          <w:tab w:leader="none" w:pos="1100" w:val="left"/>
        </w:tabs>
        <w:numPr>
          <w:ilvl w:val="0"/>
          <w:numId w:val="331"/>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in this Agreement are for convenience only. They form no part of the Agreement and will not affect its interpretation.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473" w:name="page474"/>
    <w:bookmarkEnd w:id="473"/>
    <w:p>
      <w:pPr>
        <w:ind w:left="1060" w:hanging="536"/>
        <w:spacing w:after="0"/>
        <w:tabs>
          <w:tab w:leader="none" w:pos="1060" w:val="left"/>
        </w:tabs>
        <w:numPr>
          <w:ilvl w:val="0"/>
          <w:numId w:val="332"/>
        </w:numPr>
        <w:rPr>
          <w:rFonts w:ascii="Arial" w:cs="Arial" w:eastAsia="Arial" w:hAnsi="Arial"/>
          <w:sz w:val="14"/>
          <w:szCs w:val="14"/>
          <w:color w:val="auto"/>
        </w:rPr>
      </w:pPr>
      <w:r>
        <w:rPr>
          <w:rFonts w:ascii="Arial" w:cs="Arial" w:eastAsia="Arial" w:hAnsi="Arial"/>
          <w:sz w:val="14"/>
          <w:szCs w:val="14"/>
          <w:u w:val="single" w:color="auto"/>
          <w:color w:val="auto"/>
        </w:rPr>
        <w:t>Incentive Stock Options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jc w:val="both"/>
        <w:ind w:firstLine="1042"/>
        <w:spacing w:after="0" w:line="267" w:lineRule="auto"/>
        <w:tabs>
          <w:tab w:leader="none" w:pos="2002" w:val="left"/>
        </w:tabs>
        <w:numPr>
          <w:ilvl w:val="1"/>
          <w:numId w:val="332"/>
        </w:numPr>
        <w:rPr>
          <w:rFonts w:ascii="Arial" w:cs="Arial" w:eastAsia="Arial" w:hAnsi="Arial"/>
          <w:sz w:val="14"/>
          <w:szCs w:val="14"/>
          <w:color w:val="auto"/>
        </w:rPr>
      </w:pPr>
      <w:r>
        <w:rPr>
          <w:rFonts w:ascii="Arial" w:cs="Arial" w:eastAsia="Arial" w:hAnsi="Arial"/>
          <w:sz w:val="14"/>
          <w:szCs w:val="14"/>
          <w:color w:val="auto"/>
        </w:rPr>
        <w:t>If the Option is designated as an Incentive Stock Option, Participant acknowledges that nonetheless a portion of the Option may not qualify (or may cease to qualify) as an “incentive stock option” under the Code due to limitations set forth in Section 422(d) of the Code or otherwise. To the extent the Option does not qualify for treatment as an “incentive stock option” under the Code, it will be treated as a non-qualified stock option. The Company does not guarantee any particular tax treatment for the Option or the Shares subject to the Option.</w:t>
      </w:r>
    </w:p>
    <w:p>
      <w:pPr>
        <w:spacing w:after="0" w:line="146" w:lineRule="exact"/>
        <w:rPr>
          <w:rFonts w:ascii="Arial" w:cs="Arial" w:eastAsia="Arial" w:hAnsi="Arial"/>
          <w:sz w:val="14"/>
          <w:szCs w:val="14"/>
          <w:color w:val="auto"/>
        </w:rPr>
      </w:pPr>
    </w:p>
    <w:p>
      <w:pPr>
        <w:jc w:val="both"/>
        <w:ind w:firstLine="1042"/>
        <w:spacing w:after="0" w:line="267" w:lineRule="auto"/>
        <w:tabs>
          <w:tab w:leader="none" w:pos="1934" w:val="left"/>
        </w:tabs>
        <w:numPr>
          <w:ilvl w:val="1"/>
          <w:numId w:val="332"/>
        </w:numPr>
        <w:rPr>
          <w:rFonts w:ascii="Arial" w:cs="Arial" w:eastAsia="Arial" w:hAnsi="Arial"/>
          <w:sz w:val="14"/>
          <w:szCs w:val="14"/>
          <w:color w:val="auto"/>
        </w:rPr>
      </w:pPr>
      <w:r>
        <w:rPr>
          <w:rFonts w:ascii="Arial" w:cs="Arial" w:eastAsia="Arial" w:hAnsi="Arial"/>
          <w:sz w:val="14"/>
          <w:szCs w:val="14"/>
          <w:color w:val="auto"/>
        </w:rPr>
        <w:t>If the Option is designated as an Incentive Stock Option, Participant shall give prompt written notice to the Company of any disposition or other transfer of any Shares acquired under the Option, if such disposition or transfer is made (i) within two years from the Grant Date, or (ii) within one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46" w:lineRule="exact"/>
        <w:rPr>
          <w:rFonts w:ascii="Arial" w:cs="Arial" w:eastAsia="Arial" w:hAnsi="Arial"/>
          <w:sz w:val="14"/>
          <w:szCs w:val="14"/>
          <w:color w:val="auto"/>
        </w:rPr>
      </w:pPr>
    </w:p>
    <w:p>
      <w:pPr>
        <w:ind w:right="20" w:firstLine="524"/>
        <w:spacing w:after="0" w:line="290" w:lineRule="auto"/>
        <w:tabs>
          <w:tab w:leader="none" w:pos="1093" w:val="left"/>
        </w:tabs>
        <w:numPr>
          <w:ilvl w:val="0"/>
          <w:numId w:val="332"/>
        </w:numPr>
        <w:rPr>
          <w:rFonts w:ascii="Arial" w:cs="Arial" w:eastAsia="Arial" w:hAnsi="Arial"/>
          <w:sz w:val="13"/>
          <w:szCs w:val="13"/>
          <w:color w:val="auto"/>
        </w:rPr>
      </w:pPr>
      <w:r>
        <w:rPr>
          <w:rFonts w:ascii="Arial" w:cs="Arial" w:eastAsia="Arial" w:hAnsi="Arial"/>
          <w:sz w:val="13"/>
          <w:szCs w:val="13"/>
          <w:u w:val="single" w:color="auto"/>
          <w:color w:val="auto"/>
        </w:rPr>
        <w:t>Electronic Delivery of Documents</w:t>
      </w:r>
      <w:r>
        <w:rPr>
          <w:rFonts w:ascii="Arial" w:cs="Arial" w:eastAsia="Arial" w:hAnsi="Arial"/>
          <w:sz w:val="13"/>
          <w:szCs w:val="13"/>
          <w:color w:val="auto"/>
        </w:rPr>
        <w:t>.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Participant a paper copy of any document also delivered to Participant electronically. The authorization described in this paragraph may be revoked by Participant at any time by written notice to the Company.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74" w:name="page475"/>
    <w:bookmarkEnd w:id="474"/>
    <w:p>
      <w:pPr>
        <w:jc w:val="right"/>
        <w:spacing w:after="0"/>
        <w:rPr>
          <w:sz w:val="20"/>
          <w:szCs w:val="20"/>
          <w:color w:val="auto"/>
        </w:rPr>
      </w:pPr>
      <w:r>
        <w:rPr>
          <w:rFonts w:ascii="Arial" w:cs="Arial" w:eastAsia="Arial" w:hAnsi="Arial"/>
          <w:sz w:val="17"/>
          <w:szCs w:val="17"/>
          <w:b w:val="1"/>
          <w:bCs w:val="1"/>
          <w:color w:val="auto"/>
        </w:rPr>
        <w:t>Exhibit 10.14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 2021 EQUITY INCENTIVE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UNIT GRANT NOTICE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AWARD AGREEMENT</w:t>
      </w:r>
    </w:p>
    <w:p>
      <w:pPr>
        <w:spacing w:after="0" w:line="175"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Century Therapeutics,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pursuant to its 2021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hereby grants to the individual listed below (“</w:t>
      </w:r>
      <w:r>
        <w:rPr>
          <w:rFonts w:ascii="Arial" w:cs="Arial" w:eastAsia="Arial" w:hAnsi="Arial"/>
          <w:sz w:val="14"/>
          <w:szCs w:val="14"/>
          <w:u w:val="single" w:color="auto"/>
          <w:color w:val="auto"/>
        </w:rPr>
        <w:t>Participant</w:t>
      </w:r>
      <w:r>
        <w:rPr>
          <w:rFonts w:ascii="Arial" w:cs="Arial" w:eastAsia="Arial" w:hAnsi="Arial"/>
          <w:sz w:val="14"/>
          <w:szCs w:val="14"/>
          <w:color w:val="auto"/>
        </w:rPr>
        <w:t>”) the number of restricted stock units set forth below (the “</w:t>
      </w:r>
      <w:r>
        <w:rPr>
          <w:rFonts w:ascii="Arial" w:cs="Arial" w:eastAsia="Arial" w:hAnsi="Arial"/>
          <w:sz w:val="14"/>
          <w:szCs w:val="14"/>
          <w:u w:val="single" w:color="auto"/>
          <w:color w:val="auto"/>
        </w:rPr>
        <w:t>Restricted Stock Units</w:t>
      </w:r>
      <w:r>
        <w:rPr>
          <w:rFonts w:ascii="Arial" w:cs="Arial" w:eastAsia="Arial" w:hAnsi="Arial"/>
          <w:sz w:val="14"/>
          <w:szCs w:val="14"/>
          <w:color w:val="auto"/>
        </w:rPr>
        <w:t>”). The Restricted Stock Units described in this Restricted Stock Unit Grant Notice (the “</w:t>
      </w:r>
      <w:r>
        <w:rPr>
          <w:rFonts w:ascii="Arial" w:cs="Arial" w:eastAsia="Arial" w:hAnsi="Arial"/>
          <w:sz w:val="14"/>
          <w:szCs w:val="14"/>
          <w:u w:val="single" w:color="auto"/>
          <w:color w:val="auto"/>
        </w:rPr>
        <w:t>Grant Notice</w:t>
      </w:r>
      <w:r>
        <w:rPr>
          <w:rFonts w:ascii="Arial" w:cs="Arial" w:eastAsia="Arial" w:hAnsi="Arial"/>
          <w:sz w:val="14"/>
          <w:szCs w:val="14"/>
          <w:color w:val="auto"/>
        </w:rPr>
        <w:t xml:space="preserve">”) are subject to the terms and conditions set forth in the Award Agreement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Agreement</w:t>
      </w:r>
      <w:r>
        <w:rPr>
          <w:rFonts w:ascii="Arial" w:cs="Arial" w:eastAsia="Arial" w:hAnsi="Arial"/>
          <w:sz w:val="14"/>
          <w:szCs w:val="14"/>
          <w:color w:val="auto"/>
        </w:rPr>
        <w:t>”) and the Plan, each of which is incorporated herein by reference. Unless otherwise defined herein, capitalized terms used in this Grant Notice and the Agreement will have the meanings defined in the Plan.</w:t>
      </w:r>
    </w:p>
    <w:p>
      <w:pPr>
        <w:sectPr>
          <w:pgSz w:w="11900" w:h="16838" w:orient="portrait"/>
          <w:cols w:equalWidth="0" w:num="1">
            <w:col w:w="11280"/>
          </w:cols>
          <w:pgMar w:left="300" w:top="311" w:right="31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[_________]</w:t>
      </w:r>
    </w:p>
    <w:p>
      <w:pPr>
        <w:spacing w:after="0" w:line="192" w:lineRule="exact"/>
        <w:rPr>
          <w:sz w:val="20"/>
          <w:szCs w:val="20"/>
          <w:color w:val="auto"/>
        </w:rPr>
      </w:pPr>
    </w:p>
    <w:p>
      <w:pPr>
        <w:sectPr>
          <w:pgSz w:w="11900" w:h="16838" w:orient="portrait"/>
          <w:cols w:equalWidth="0" w:num="2">
            <w:col w:w="5940" w:space="720"/>
            <w:col w:w="4620"/>
          </w:cols>
          <w:pgMar w:left="300" w:top="311"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w:t>
      </w:r>
    </w:p>
    <w:p>
      <w:pPr>
        <w:spacing w:after="0" w:line="192" w:lineRule="exact"/>
        <w:rPr>
          <w:sz w:val="20"/>
          <w:szCs w:val="20"/>
          <w:color w:val="auto"/>
        </w:rPr>
      </w:pPr>
    </w:p>
    <w:p>
      <w:pPr>
        <w:sectPr>
          <w:pgSz w:w="11900" w:h="16838" w:orient="portrait"/>
          <w:cols w:equalWidth="0" w:num="2">
            <w:col w:w="5940" w:space="720"/>
            <w:col w:w="4620"/>
          </w:cols>
          <w:pgMar w:left="300" w:top="311"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Total Number of Restricted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w:t>
      </w:r>
    </w:p>
    <w:p>
      <w:pPr>
        <w:spacing w:after="0" w:line="192" w:lineRule="exact"/>
        <w:rPr>
          <w:sz w:val="20"/>
          <w:szCs w:val="20"/>
          <w:color w:val="auto"/>
        </w:rPr>
      </w:pPr>
    </w:p>
    <w:p>
      <w:pPr>
        <w:sectPr>
          <w:pgSz w:w="11900" w:h="16838" w:orient="portrait"/>
          <w:cols w:equalWidth="0" w:num="2">
            <w:col w:w="5940" w:space="720"/>
            <w:col w:w="4620"/>
          </w:cols>
          <w:pgMar w:left="300" w:top="311"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[_________]</w:t>
      </w:r>
    </w:p>
    <w:p>
      <w:pPr>
        <w:spacing w:after="0" w:line="196" w:lineRule="exact"/>
        <w:rPr>
          <w:sz w:val="20"/>
          <w:szCs w:val="20"/>
          <w:color w:val="auto"/>
        </w:rPr>
      </w:pPr>
    </w:p>
    <w:p>
      <w:pPr>
        <w:sectPr>
          <w:pgSz w:w="11900" w:h="16838" w:orient="portrait"/>
          <w:cols w:equalWidth="0" w:num="2">
            <w:col w:w="5940" w:space="720"/>
            <w:col w:w="4620"/>
          </w:cols>
          <w:pgMar w:left="300" w:top="311" w:right="319" w:bottom="1440" w:gutter="0" w:footer="0" w:header="0"/>
          <w:type w:val="continuous"/>
        </w:sectPr>
      </w:pPr>
    </w:p>
    <w:p>
      <w:pPr>
        <w:spacing w:after="0" w:line="288" w:lineRule="auto"/>
        <w:rPr>
          <w:sz w:val="20"/>
          <w:szCs w:val="20"/>
          <w:color w:val="auto"/>
        </w:rPr>
      </w:pPr>
      <w:r>
        <w:rPr>
          <w:rFonts w:ascii="Arial" w:cs="Arial" w:eastAsia="Arial" w:hAnsi="Arial"/>
          <w:sz w:val="14"/>
          <w:szCs w:val="14"/>
          <w:color w:val="auto"/>
        </w:rPr>
        <w:t>By signing below, Participant agrees to be bound by the terms and conditions of the Plan, the Agreement and this Grant Notice. This document may be executed, including by electronic means, in multiple counterparts, each of which will be deemed an original, and all of which together will be deemed a single instrument.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INC.</w:t>
            </w:r>
          </w:p>
        </w:tc>
        <w:tc>
          <w:tcPr>
            <w:tcW w:w="3620" w:type="dxa"/>
            <w:vAlign w:val="bottom"/>
          </w:tcPr>
          <w:p>
            <w:pPr>
              <w:spacing w:after="0"/>
              <w:rPr>
                <w:sz w:val="20"/>
                <w:szCs w:val="20"/>
                <w:color w:val="auto"/>
              </w:rPr>
            </w:pPr>
            <w:r>
              <w:rPr>
                <w:rFonts w:ascii="Arial" w:cs="Arial" w:eastAsia="Arial" w:hAnsi="Arial"/>
                <w:sz w:val="14"/>
                <w:szCs w:val="14"/>
                <w:b w:val="1"/>
                <w:bCs w:val="1"/>
                <w:color w:val="auto"/>
              </w:rPr>
              <w:t>PARTICIPANT</w:t>
            </w:r>
          </w:p>
        </w:tc>
        <w:tc>
          <w:tcPr>
            <w:tcW w:w="1900" w:type="dxa"/>
            <w:vAlign w:val="bottom"/>
          </w:tcPr>
          <w:p>
            <w:pPr>
              <w:spacing w:after="0"/>
              <w:rPr>
                <w:sz w:val="16"/>
                <w:szCs w:val="16"/>
                <w:color w:val="auto"/>
              </w:rPr>
            </w:pPr>
          </w:p>
        </w:tc>
      </w:tr>
      <w:tr>
        <w:trPr>
          <w:trHeight w:val="346"/>
        </w:trPr>
        <w:tc>
          <w:tcPr>
            <w:tcW w:w="362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153"/>
        </w:trPr>
        <w:tc>
          <w:tcPr>
            <w:tcW w:w="3620" w:type="dxa"/>
            <w:vAlign w:val="bottom"/>
          </w:tcPr>
          <w:p>
            <w:pPr>
              <w:spacing w:after="0" w:line="153" w:lineRule="exact"/>
              <w:rPr>
                <w:sz w:val="20"/>
                <w:szCs w:val="20"/>
                <w:color w:val="auto"/>
              </w:rPr>
            </w:pPr>
            <w:r>
              <w:rPr>
                <w:rFonts w:ascii="Arial" w:cs="Arial" w:eastAsia="Arial" w:hAnsi="Arial"/>
                <w:sz w:val="14"/>
                <w:szCs w:val="14"/>
                <w:color w:val="auto"/>
              </w:rPr>
              <w:t>Name:</w:t>
            </w:r>
          </w:p>
        </w:tc>
        <w:tc>
          <w:tcPr>
            <w:tcW w:w="2140" w:type="dxa"/>
            <w:vAlign w:val="bottom"/>
          </w:tcPr>
          <w:p>
            <w:pPr>
              <w:spacing w:after="0"/>
              <w:rPr>
                <w:sz w:val="13"/>
                <w:szCs w:val="13"/>
                <w:color w:val="auto"/>
              </w:rPr>
            </w:pPr>
          </w:p>
        </w:tc>
        <w:tc>
          <w:tcPr>
            <w:tcW w:w="3620" w:type="dxa"/>
            <w:vAlign w:val="bottom"/>
          </w:tcPr>
          <w:p>
            <w:pPr>
              <w:spacing w:after="0" w:line="153" w:lineRule="exact"/>
              <w:rPr>
                <w:sz w:val="20"/>
                <w:szCs w:val="20"/>
                <w:color w:val="auto"/>
              </w:rPr>
            </w:pPr>
            <w:r>
              <w:rPr>
                <w:rFonts w:ascii="Arial" w:cs="Arial" w:eastAsia="Arial" w:hAnsi="Arial"/>
                <w:sz w:val="14"/>
                <w:szCs w:val="14"/>
                <w:color w:val="auto"/>
              </w:rPr>
              <w:t>Name:</w:t>
            </w:r>
          </w:p>
        </w:tc>
        <w:tc>
          <w:tcPr>
            <w:tcW w:w="1900" w:type="dxa"/>
            <w:vAlign w:val="bottom"/>
          </w:tcPr>
          <w:p>
            <w:pPr>
              <w:spacing w:after="0"/>
              <w:rPr>
                <w:sz w:val="13"/>
                <w:szCs w:val="13"/>
                <w:color w:val="auto"/>
              </w:rPr>
            </w:pPr>
          </w:p>
        </w:tc>
      </w:tr>
      <w:tr>
        <w:trPr>
          <w:trHeight w:val="182"/>
        </w:trPr>
        <w:tc>
          <w:tcPr>
            <w:tcW w:w="5760" w:type="dxa"/>
            <w:vAlign w:val="bottom"/>
            <w:gridSpan w:val="2"/>
          </w:tcPr>
          <w:p>
            <w:pPr>
              <w:spacing w:after="0"/>
              <w:rPr>
                <w:sz w:val="20"/>
                <w:szCs w:val="20"/>
                <w:color w:val="auto"/>
              </w:rPr>
            </w:pPr>
            <w:r>
              <w:rPr>
                <w:rFonts w:ascii="Arial" w:cs="Arial" w:eastAsia="Arial" w:hAnsi="Arial"/>
                <w:sz w:val="14"/>
                <w:szCs w:val="14"/>
                <w:color w:val="auto"/>
              </w:rPr>
              <w:t>Title:</w:t>
            </w:r>
          </w:p>
        </w:tc>
        <w:tc>
          <w:tcPr>
            <w:tcW w:w="36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46"/>
        </w:trPr>
        <w:tc>
          <w:tcPr>
            <w:tcW w:w="3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1" w:right="319" w:bottom="1440" w:gutter="0" w:footer="0" w:header="0"/>
          <w:type w:val="continuous"/>
        </w:sectPr>
      </w:pPr>
    </w:p>
    <w:bookmarkStart w:id="475" w:name="page476"/>
    <w:bookmarkEnd w:id="475"/>
    <w:p>
      <w:pPr>
        <w:jc w:val="center"/>
        <w:spacing w:after="0"/>
        <w:rPr>
          <w:sz w:val="20"/>
          <w:szCs w:val="20"/>
          <w:color w:val="auto"/>
        </w:rPr>
      </w:pPr>
      <w:r>
        <w:rPr>
          <w:rFonts w:ascii="Arial" w:cs="Arial" w:eastAsia="Arial" w:hAnsi="Arial"/>
          <w:sz w:val="14"/>
          <w:szCs w:val="14"/>
          <w:b w:val="1"/>
          <w:bCs w:val="1"/>
          <w:color w:val="auto"/>
        </w:rPr>
        <w:t>EXHIBIT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RESTRICTED STOCK UNIT GRANT NOTICE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AWARD AGREEMENT</w:t>
      </w:r>
    </w:p>
    <w:p>
      <w:pPr>
        <w:spacing w:after="0" w:line="188" w:lineRule="exact"/>
        <w:rPr>
          <w:sz w:val="20"/>
          <w:szCs w:val="20"/>
          <w:color w:val="auto"/>
        </w:rPr>
      </w:pPr>
    </w:p>
    <w:p>
      <w:pPr>
        <w:jc w:val="both"/>
        <w:ind w:firstLine="524"/>
        <w:spacing w:after="0" w:line="273" w:lineRule="auto"/>
        <w:tabs>
          <w:tab w:leader="none" w:pos="931" w:val="left"/>
        </w:tabs>
        <w:numPr>
          <w:ilvl w:val="0"/>
          <w:numId w:val="333"/>
        </w:numPr>
        <w:rPr>
          <w:rFonts w:ascii="Arial" w:cs="Arial" w:eastAsia="Arial" w:hAnsi="Arial"/>
          <w:sz w:val="14"/>
          <w:szCs w:val="14"/>
          <w:color w:val="auto"/>
        </w:rPr>
      </w:pPr>
      <w:r>
        <w:rPr>
          <w:rFonts w:ascii="Arial" w:cs="Arial" w:eastAsia="Arial" w:hAnsi="Arial"/>
          <w:sz w:val="14"/>
          <w:szCs w:val="14"/>
          <w:u w:val="single" w:color="auto"/>
          <w:color w:val="auto"/>
        </w:rPr>
        <w:t>Award of Restricted Stock Units</w:t>
      </w:r>
      <w:r>
        <w:rPr>
          <w:rFonts w:ascii="Arial" w:cs="Arial" w:eastAsia="Arial" w:hAnsi="Arial"/>
          <w:sz w:val="14"/>
          <w:szCs w:val="14"/>
          <w:color w:val="auto"/>
        </w:rPr>
        <w:t>. Effective as of the Grant Date set forth in the Grant Notice, the Company has granted to Participant the number of Restricted Stock Units set forth in the Grant Notice, subject to the restrictions and on the terms and conditions set forth in the Grant Notice, the Plan and this Agreement. Each Restricted Stock Unit represents the right to receive one Share at the times and subject to the conditions set forth herein.</w:t>
      </w:r>
    </w:p>
    <w:p>
      <w:pPr>
        <w:spacing w:after="0" w:line="141" w:lineRule="exact"/>
        <w:rPr>
          <w:rFonts w:ascii="Arial" w:cs="Arial" w:eastAsia="Arial" w:hAnsi="Arial"/>
          <w:sz w:val="14"/>
          <w:szCs w:val="14"/>
          <w:color w:val="auto"/>
        </w:rPr>
      </w:pPr>
    </w:p>
    <w:p>
      <w:pPr>
        <w:ind w:left="940" w:hanging="416"/>
        <w:spacing w:after="0"/>
        <w:tabs>
          <w:tab w:leader="none" w:pos="940" w:val="left"/>
        </w:tabs>
        <w:numPr>
          <w:ilvl w:val="0"/>
          <w:numId w:val="333"/>
        </w:numPr>
        <w:rPr>
          <w:rFonts w:ascii="Arial" w:cs="Arial" w:eastAsia="Arial" w:hAnsi="Arial"/>
          <w:sz w:val="14"/>
          <w:szCs w:val="14"/>
          <w:color w:val="auto"/>
        </w:rPr>
      </w:pPr>
      <w:r>
        <w:rPr>
          <w:rFonts w:ascii="Arial" w:cs="Arial" w:eastAsia="Arial" w:hAnsi="Arial"/>
          <w:sz w:val="14"/>
          <w:szCs w:val="14"/>
          <w:u w:val="single" w:color="auto"/>
          <w:color w:val="auto"/>
        </w:rPr>
        <w:t>Vesting of Restricted Stock Units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1042"/>
        <w:spacing w:after="0" w:line="288" w:lineRule="auto"/>
        <w:tabs>
          <w:tab w:leader="none" w:pos="1675" w:val="left"/>
        </w:tabs>
        <w:numPr>
          <w:ilvl w:val="1"/>
          <w:numId w:val="333"/>
        </w:numPr>
        <w:rPr>
          <w:rFonts w:ascii="Arial" w:cs="Arial" w:eastAsia="Arial" w:hAnsi="Arial"/>
          <w:sz w:val="14"/>
          <w:szCs w:val="14"/>
          <w:color w:val="auto"/>
        </w:rPr>
      </w:pPr>
      <w:r>
        <w:rPr>
          <w:rFonts w:ascii="Arial" w:cs="Arial" w:eastAsia="Arial" w:hAnsi="Arial"/>
          <w:sz w:val="14"/>
          <w:szCs w:val="14"/>
          <w:color w:val="auto"/>
        </w:rPr>
        <w:t>Subject to the continued service of Participant with the Company through the relevant vesting dates, the Restricted Stock Units will become vested in such amounts and at such times as set forth in the Grant Notice.</w:t>
      </w:r>
    </w:p>
    <w:p>
      <w:pPr>
        <w:spacing w:after="0" w:line="131" w:lineRule="exact"/>
        <w:rPr>
          <w:rFonts w:ascii="Arial" w:cs="Arial" w:eastAsia="Arial" w:hAnsi="Arial"/>
          <w:sz w:val="14"/>
          <w:szCs w:val="14"/>
          <w:color w:val="auto"/>
        </w:rPr>
      </w:pPr>
    </w:p>
    <w:p>
      <w:pPr>
        <w:ind w:firstLine="1042"/>
        <w:spacing w:after="0" w:line="288" w:lineRule="auto"/>
        <w:tabs>
          <w:tab w:leader="none" w:pos="1625" w:val="left"/>
        </w:tabs>
        <w:numPr>
          <w:ilvl w:val="1"/>
          <w:numId w:val="333"/>
        </w:numPr>
        <w:rPr>
          <w:rFonts w:ascii="Arial" w:cs="Arial" w:eastAsia="Arial" w:hAnsi="Arial"/>
          <w:sz w:val="14"/>
          <w:szCs w:val="14"/>
          <w:color w:val="auto"/>
        </w:rPr>
      </w:pPr>
      <w:r>
        <w:rPr>
          <w:rFonts w:ascii="Arial" w:cs="Arial" w:eastAsia="Arial" w:hAnsi="Arial"/>
          <w:sz w:val="14"/>
          <w:szCs w:val="14"/>
          <w:color w:val="auto"/>
        </w:rPr>
        <w:t>Solely for purposes of this Agreement, service with the Company will be deemed to include service with an Affiliate of the Company (for only so long as such entity remains an Affiliate of the Company).</w:t>
      </w:r>
    </w:p>
    <w:p>
      <w:pPr>
        <w:spacing w:after="0" w:line="131" w:lineRule="exact"/>
        <w:rPr>
          <w:rFonts w:ascii="Arial" w:cs="Arial" w:eastAsia="Arial" w:hAnsi="Arial"/>
          <w:sz w:val="14"/>
          <w:szCs w:val="14"/>
          <w:color w:val="auto"/>
        </w:rPr>
      </w:pPr>
    </w:p>
    <w:p>
      <w:pPr>
        <w:jc w:val="both"/>
        <w:ind w:firstLine="1042"/>
        <w:spacing w:after="0" w:line="265" w:lineRule="auto"/>
        <w:tabs>
          <w:tab w:leader="none" w:pos="1685" w:val="left"/>
        </w:tabs>
        <w:numPr>
          <w:ilvl w:val="1"/>
          <w:numId w:val="333"/>
        </w:numPr>
        <w:rPr>
          <w:rFonts w:ascii="Arial" w:cs="Arial" w:eastAsia="Arial" w:hAnsi="Arial"/>
          <w:sz w:val="14"/>
          <w:szCs w:val="14"/>
          <w:color w:val="auto"/>
        </w:rPr>
      </w:pPr>
      <w:r>
        <w:rPr>
          <w:rFonts w:ascii="Arial" w:cs="Arial" w:eastAsia="Arial" w:hAnsi="Arial"/>
          <w:sz w:val="14"/>
          <w:szCs w:val="14"/>
          <w:color w:val="auto"/>
        </w:rPr>
        <w:t>Upon Participant’s death during his or her continuous service with the Company, any Restricted Stock Units that are outstanding and unvested immediately prior to Participant’s death will remain outstanding for ninety (90) days, during which time the Committee may, in its sole discretion, vest all or a portion of such Restricted Stock Units. If the Committee decides to vest any Restricted Stock Units under this Section 2.c it may condition such vesting on the execution by the Participant’s estate and/or beneficiaries of a general release of claims against the Company and its affiliates, in such form as the Company may prescribe (a “</w:t>
      </w:r>
      <w:r>
        <w:rPr>
          <w:rFonts w:ascii="Arial" w:cs="Arial" w:eastAsia="Arial" w:hAnsi="Arial"/>
          <w:sz w:val="14"/>
          <w:szCs w:val="14"/>
          <w:u w:val="single" w:color="auto"/>
          <w:color w:val="auto"/>
        </w:rPr>
        <w:t>Release</w:t>
      </w:r>
      <w:r>
        <w:rPr>
          <w:rFonts w:ascii="Arial" w:cs="Arial" w:eastAsia="Arial" w:hAnsi="Arial"/>
          <w:sz w:val="14"/>
          <w:szCs w:val="14"/>
          <w:color w:val="auto"/>
        </w:rPr>
        <w:t>”). Upon the ninetieth (90th) day following Participant’s death, any portion of the unvested Restricted Stock Units that the Committee has not determined to vest in accordance with this Section 2.c will be forfeited.</w:t>
      </w:r>
    </w:p>
    <w:p>
      <w:pPr>
        <w:spacing w:after="0" w:line="147" w:lineRule="exact"/>
        <w:rPr>
          <w:rFonts w:ascii="Arial" w:cs="Arial" w:eastAsia="Arial" w:hAnsi="Arial"/>
          <w:sz w:val="14"/>
          <w:szCs w:val="14"/>
          <w:color w:val="auto"/>
        </w:rPr>
      </w:pPr>
    </w:p>
    <w:p>
      <w:pPr>
        <w:ind w:firstLine="1042"/>
        <w:spacing w:after="0" w:line="288" w:lineRule="auto"/>
        <w:tabs>
          <w:tab w:leader="none" w:pos="1614" w:val="left"/>
        </w:tabs>
        <w:numPr>
          <w:ilvl w:val="1"/>
          <w:numId w:val="333"/>
        </w:numPr>
        <w:rPr>
          <w:rFonts w:ascii="Arial" w:cs="Arial" w:eastAsia="Arial" w:hAnsi="Arial"/>
          <w:sz w:val="14"/>
          <w:szCs w:val="14"/>
          <w:color w:val="auto"/>
        </w:rPr>
      </w:pPr>
      <w:r>
        <w:rPr>
          <w:rFonts w:ascii="Arial" w:cs="Arial" w:eastAsia="Arial" w:hAnsi="Arial"/>
          <w:sz w:val="14"/>
          <w:szCs w:val="14"/>
          <w:color w:val="auto"/>
        </w:rPr>
        <w:t>Unless otherwise provided in the Grant Notice or in Participant’s employment agreement, upon the cessation of Participant’s service with the Company for any reason other than as described in Section 2.c above, any unvested Restricted Stock Units will be forfeited automatically.</w:t>
      </w:r>
    </w:p>
    <w:p>
      <w:pPr>
        <w:spacing w:after="0" w:line="131" w:lineRule="exact"/>
        <w:rPr>
          <w:rFonts w:ascii="Arial" w:cs="Arial" w:eastAsia="Arial" w:hAnsi="Arial"/>
          <w:sz w:val="14"/>
          <w:szCs w:val="14"/>
          <w:color w:val="auto"/>
        </w:rPr>
      </w:pPr>
    </w:p>
    <w:p>
      <w:pPr>
        <w:ind w:left="940" w:hanging="416"/>
        <w:spacing w:after="0"/>
        <w:tabs>
          <w:tab w:leader="none" w:pos="940" w:val="left"/>
        </w:tabs>
        <w:numPr>
          <w:ilvl w:val="0"/>
          <w:numId w:val="333"/>
        </w:numPr>
        <w:rPr>
          <w:rFonts w:ascii="Arial" w:cs="Arial" w:eastAsia="Arial" w:hAnsi="Arial"/>
          <w:sz w:val="14"/>
          <w:szCs w:val="14"/>
          <w:color w:val="auto"/>
        </w:rPr>
      </w:pPr>
      <w:r>
        <w:rPr>
          <w:rFonts w:ascii="Arial" w:cs="Arial" w:eastAsia="Arial" w:hAnsi="Arial"/>
          <w:sz w:val="14"/>
          <w:szCs w:val="14"/>
          <w:u w:val="single" w:color="auto"/>
          <w:color w:val="auto"/>
        </w:rPr>
        <w:t>Settlement</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1042"/>
        <w:spacing w:after="0" w:line="288" w:lineRule="auto"/>
        <w:tabs>
          <w:tab w:leader="none" w:pos="1423" w:val="left"/>
        </w:tabs>
        <w:numPr>
          <w:ilvl w:val="1"/>
          <w:numId w:val="333"/>
        </w:numPr>
        <w:rPr>
          <w:rFonts w:ascii="Arial" w:cs="Arial" w:eastAsia="Arial" w:hAnsi="Arial"/>
          <w:sz w:val="14"/>
          <w:szCs w:val="14"/>
          <w:color w:val="auto"/>
        </w:rPr>
      </w:pPr>
      <w:r>
        <w:rPr>
          <w:rFonts w:ascii="Arial" w:cs="Arial" w:eastAsia="Arial" w:hAnsi="Arial"/>
          <w:sz w:val="14"/>
          <w:szCs w:val="14"/>
          <w:color w:val="auto"/>
        </w:rPr>
        <w:t>Shares will be issued in respect of vested Restricted Stock Units within sixty (60) days following the applicable vesting date or event. For avoidance of doubt, this settlement timing is intended to comply with the “short-term deferral” exemption from Section 409A of the Code.</w:t>
      </w:r>
    </w:p>
    <w:p>
      <w:pPr>
        <w:spacing w:after="0" w:line="131" w:lineRule="exact"/>
        <w:rPr>
          <w:rFonts w:ascii="Arial" w:cs="Arial" w:eastAsia="Arial" w:hAnsi="Arial"/>
          <w:sz w:val="14"/>
          <w:szCs w:val="14"/>
          <w:color w:val="auto"/>
        </w:rPr>
      </w:pPr>
    </w:p>
    <w:p>
      <w:pPr>
        <w:ind w:left="1420" w:hanging="378"/>
        <w:spacing w:after="0"/>
        <w:tabs>
          <w:tab w:leader="none" w:pos="1420" w:val="left"/>
        </w:tabs>
        <w:numPr>
          <w:ilvl w:val="1"/>
          <w:numId w:val="333"/>
        </w:numPr>
        <w:rPr>
          <w:rFonts w:ascii="Arial" w:cs="Arial" w:eastAsia="Arial" w:hAnsi="Arial"/>
          <w:sz w:val="13"/>
          <w:szCs w:val="13"/>
          <w:color w:val="auto"/>
        </w:rPr>
      </w:pPr>
      <w:r>
        <w:rPr>
          <w:rFonts w:ascii="Arial" w:cs="Arial" w:eastAsia="Arial" w:hAnsi="Arial"/>
          <w:sz w:val="13"/>
          <w:szCs w:val="13"/>
          <w:color w:val="auto"/>
        </w:rPr>
        <w:t>The Restricted Stock Units will not confer on Participant any rights as a stockholder of the Company until Shares are actually issued in settlement of such Restricted Stock</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Units.</w:t>
      </w:r>
    </w:p>
    <w:p>
      <w:pPr>
        <w:spacing w:after="0" w:line="174" w:lineRule="exact"/>
        <w:rPr>
          <w:rFonts w:ascii="Arial" w:cs="Arial" w:eastAsia="Arial" w:hAnsi="Arial"/>
          <w:sz w:val="13"/>
          <w:szCs w:val="13"/>
          <w:color w:val="auto"/>
        </w:rPr>
      </w:pPr>
    </w:p>
    <w:p>
      <w:pPr>
        <w:ind w:firstLine="1042"/>
        <w:spacing w:after="0" w:line="288" w:lineRule="auto"/>
        <w:tabs>
          <w:tab w:leader="none" w:pos="1405" w:val="left"/>
        </w:tabs>
        <w:numPr>
          <w:ilvl w:val="1"/>
          <w:numId w:val="333"/>
        </w:numPr>
        <w:rPr>
          <w:rFonts w:ascii="Arial" w:cs="Arial" w:eastAsia="Arial" w:hAnsi="Arial"/>
          <w:sz w:val="14"/>
          <w:szCs w:val="14"/>
          <w:color w:val="auto"/>
        </w:rPr>
      </w:pPr>
      <w:r>
        <w:rPr>
          <w:rFonts w:ascii="Arial" w:cs="Arial" w:eastAsia="Arial" w:hAnsi="Arial"/>
          <w:sz w:val="14"/>
          <w:szCs w:val="14"/>
          <w:color w:val="auto"/>
        </w:rPr>
        <w:t>Notwithstanding the foregoing, to the extent provided in Prop. Treas. Reg. § 1.409A-1(b)(4)(ii) or any successor provision, the Company may delay settlement of Restricted Stock Units if it reasonably determines that such settlement would violate federal securities laws or any other applicable law.</w:t>
      </w:r>
    </w:p>
    <w:p>
      <w:pPr>
        <w:spacing w:after="0" w:line="131" w:lineRule="exact"/>
        <w:rPr>
          <w:rFonts w:ascii="Arial" w:cs="Arial" w:eastAsia="Arial" w:hAnsi="Arial"/>
          <w:sz w:val="14"/>
          <w:szCs w:val="14"/>
          <w:color w:val="auto"/>
        </w:rPr>
      </w:pPr>
    </w:p>
    <w:p>
      <w:pPr>
        <w:ind w:firstLine="524"/>
        <w:spacing w:after="0" w:line="288" w:lineRule="auto"/>
        <w:tabs>
          <w:tab w:leader="none" w:pos="928" w:val="left"/>
        </w:tabs>
        <w:numPr>
          <w:ilvl w:val="0"/>
          <w:numId w:val="333"/>
        </w:numPr>
        <w:rPr>
          <w:rFonts w:ascii="Arial" w:cs="Arial" w:eastAsia="Arial" w:hAnsi="Arial"/>
          <w:sz w:val="14"/>
          <w:szCs w:val="14"/>
          <w:color w:val="auto"/>
        </w:rPr>
      </w:pPr>
      <w:r>
        <w:rPr>
          <w:rFonts w:ascii="Arial" w:cs="Arial" w:eastAsia="Arial" w:hAnsi="Arial"/>
          <w:sz w:val="14"/>
          <w:szCs w:val="14"/>
          <w:u w:val="single" w:color="auto"/>
          <w:color w:val="auto"/>
        </w:rPr>
        <w:t>Non-Transferability of Restricted Stock Units</w:t>
      </w:r>
      <w:r>
        <w:rPr>
          <w:rFonts w:ascii="Arial" w:cs="Arial" w:eastAsia="Arial" w:hAnsi="Arial"/>
          <w:sz w:val="14"/>
          <w:szCs w:val="14"/>
          <w:color w:val="auto"/>
        </w:rPr>
        <w:t>. Restricted Stock Units may not be sold, pledged, assigned, hypothecated, gifted, transferred or disposed of in any manner, either voluntarily or involuntarily, other than by will or by the laws of descent and distribution.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76" w:name="page477"/>
    <w:bookmarkEnd w:id="476"/>
    <w:p>
      <w:pPr>
        <w:ind w:firstLine="524"/>
        <w:spacing w:after="0" w:line="288" w:lineRule="auto"/>
        <w:tabs>
          <w:tab w:leader="none" w:pos="895"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 The grant of Restricted Stock Units is intended to be exempt from Section 409A of the Code and should be interpreted accordingly. Nonetheless, the Company does not guarantee the tax treatment of the Restricted Stock Units.</w:t>
      </w:r>
    </w:p>
    <w:p>
      <w:pPr>
        <w:spacing w:after="0" w:line="131" w:lineRule="exact"/>
        <w:rPr>
          <w:rFonts w:ascii="Arial" w:cs="Arial" w:eastAsia="Arial" w:hAnsi="Arial"/>
          <w:sz w:val="14"/>
          <w:szCs w:val="14"/>
          <w:color w:val="auto"/>
        </w:rPr>
      </w:pPr>
    </w:p>
    <w:p>
      <w:pPr>
        <w:ind w:firstLine="524"/>
        <w:spacing w:after="0" w:line="288" w:lineRule="auto"/>
        <w:tabs>
          <w:tab w:leader="none" w:pos="963"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No Continuation of Service</w:t>
      </w:r>
      <w:r>
        <w:rPr>
          <w:rFonts w:ascii="Arial" w:cs="Arial" w:eastAsia="Arial" w:hAnsi="Arial"/>
          <w:sz w:val="14"/>
          <w:szCs w:val="14"/>
          <w:color w:val="auto"/>
        </w:rPr>
        <w:t>. Neither the Plan nor this Agreement will confer upon Participant any right to continue in the employment or service of the Company or any of its Affiliates, or limit in any respect the right of the Company or its Affiliates to discharge Participant at any time, for any reason.</w:t>
      </w:r>
    </w:p>
    <w:p>
      <w:pPr>
        <w:spacing w:after="0" w:line="131" w:lineRule="exact"/>
        <w:rPr>
          <w:rFonts w:ascii="Arial" w:cs="Arial" w:eastAsia="Arial" w:hAnsi="Arial"/>
          <w:sz w:val="14"/>
          <w:szCs w:val="14"/>
          <w:color w:val="auto"/>
        </w:rPr>
      </w:pPr>
    </w:p>
    <w:p>
      <w:pPr>
        <w:jc w:val="both"/>
        <w:ind w:firstLine="524"/>
        <w:spacing w:after="0" w:line="303" w:lineRule="auto"/>
        <w:tabs>
          <w:tab w:leader="none" w:pos="931" w:val="left"/>
        </w:tabs>
        <w:numPr>
          <w:ilvl w:val="0"/>
          <w:numId w:val="334"/>
        </w:numPr>
        <w:rPr>
          <w:rFonts w:ascii="Arial" w:cs="Arial" w:eastAsia="Arial" w:hAnsi="Arial"/>
          <w:sz w:val="13"/>
          <w:szCs w:val="13"/>
          <w:color w:val="auto"/>
        </w:rPr>
      </w:pPr>
      <w:r>
        <w:rPr>
          <w:rFonts w:ascii="Arial" w:cs="Arial" w:eastAsia="Arial" w:hAnsi="Arial"/>
          <w:sz w:val="13"/>
          <w:szCs w:val="13"/>
          <w:u w:val="single" w:color="auto"/>
          <w:color w:val="auto"/>
        </w:rPr>
        <w:t>The Plan</w:t>
      </w:r>
      <w:r>
        <w:rPr>
          <w:rFonts w:ascii="Arial" w:cs="Arial" w:eastAsia="Arial" w:hAnsi="Arial"/>
          <w:sz w:val="13"/>
          <w:szCs w:val="13"/>
          <w:color w:val="auto"/>
        </w:rPr>
        <w:t>. Participant has received a copy of the Plan, has read the Plan and is familiar with its terms, and hereby accepts the Award subject to the terms and provisions of the Plan. Pursuant to the Plan, the Committee is authorized to interpret the Plan and to adopt rules and regulations not inconsistent with the Plan as it deems appropriate. Participant hereby agrees to accept as binding, conclusive and final all decisions or interpretations of the Committee with respect to questions arising under the Plan, the Grant Notice or this Agreement.</w:t>
      </w:r>
    </w:p>
    <w:p>
      <w:pPr>
        <w:spacing w:after="0" w:line="124" w:lineRule="exact"/>
        <w:rPr>
          <w:rFonts w:ascii="Arial" w:cs="Arial" w:eastAsia="Arial" w:hAnsi="Arial"/>
          <w:sz w:val="13"/>
          <w:szCs w:val="13"/>
          <w:color w:val="auto"/>
        </w:rPr>
      </w:pPr>
    </w:p>
    <w:p>
      <w:pPr>
        <w:jc w:val="both"/>
        <w:ind w:firstLine="524"/>
        <w:spacing w:after="0" w:line="273" w:lineRule="auto"/>
        <w:tabs>
          <w:tab w:leader="none" w:pos="899"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Company Policies</w:t>
      </w:r>
      <w:r>
        <w:rPr>
          <w:rFonts w:ascii="Arial" w:cs="Arial" w:eastAsia="Arial" w:hAnsi="Arial"/>
          <w:sz w:val="14"/>
          <w:szCs w:val="14"/>
          <w:color w:val="auto"/>
        </w:rPr>
        <w:t>. Participant agrees, in consideration for the grant of the Restricted Stock Units, to be subject to any policies of the Company and its Affiliates regarding clawbacks, securities trading, and hedging or pledging of securities that may be in effect from time to time, or as may otherwise be required by applicable law, regulation or exchange listing standard.</w:t>
      </w:r>
    </w:p>
    <w:p>
      <w:pPr>
        <w:spacing w:after="0" w:line="141" w:lineRule="exact"/>
        <w:rPr>
          <w:rFonts w:ascii="Arial" w:cs="Arial" w:eastAsia="Arial" w:hAnsi="Arial"/>
          <w:sz w:val="14"/>
          <w:szCs w:val="14"/>
          <w:color w:val="auto"/>
        </w:rPr>
      </w:pPr>
    </w:p>
    <w:p>
      <w:pPr>
        <w:ind w:firstLine="524"/>
        <w:spacing w:after="0" w:line="288" w:lineRule="auto"/>
        <w:tabs>
          <w:tab w:leader="none" w:pos="877"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The Grant Notice and this Agreement, together with the Plan, represent the entire agreement between the parties with respect to the subject matter hereof and supersede any prior agreement, written or otherwise, relating to the subject matter hereof.</w:t>
      </w:r>
    </w:p>
    <w:p>
      <w:pPr>
        <w:spacing w:after="0" w:line="131" w:lineRule="exact"/>
        <w:rPr>
          <w:rFonts w:ascii="Arial" w:cs="Arial" w:eastAsia="Arial" w:hAnsi="Arial"/>
          <w:sz w:val="14"/>
          <w:szCs w:val="14"/>
          <w:color w:val="auto"/>
        </w:rPr>
      </w:pPr>
    </w:p>
    <w:p>
      <w:pPr>
        <w:ind w:firstLine="524"/>
        <w:spacing w:after="0" w:line="288" w:lineRule="auto"/>
        <w:tabs>
          <w:tab w:leader="none" w:pos="895"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only be amended by a writing signed by each of the parties hereto; provided that the Company may amend this Agreement without Participant’s consent, if the amendment does not materially impair Participant’s rights hereunder.</w:t>
      </w:r>
    </w:p>
    <w:p>
      <w:pPr>
        <w:spacing w:after="0" w:line="131" w:lineRule="exact"/>
        <w:rPr>
          <w:rFonts w:ascii="Arial" w:cs="Arial" w:eastAsia="Arial" w:hAnsi="Arial"/>
          <w:sz w:val="14"/>
          <w:szCs w:val="14"/>
          <w:color w:val="auto"/>
        </w:rPr>
      </w:pPr>
    </w:p>
    <w:p>
      <w:pPr>
        <w:ind w:left="940" w:hanging="416"/>
        <w:spacing w:after="0"/>
        <w:tabs>
          <w:tab w:leader="none" w:pos="940" w:val="left"/>
        </w:tabs>
        <w:numPr>
          <w:ilvl w:val="0"/>
          <w:numId w:val="334"/>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will be construed in accordance with the laws of the State of Delaware, without regard to the application of the principles of conflicts of laws.</w:t>
      </w:r>
    </w:p>
    <w:p>
      <w:pPr>
        <w:spacing w:after="0" w:line="195" w:lineRule="exact"/>
        <w:rPr>
          <w:rFonts w:ascii="Arial" w:cs="Arial" w:eastAsia="Arial" w:hAnsi="Arial"/>
          <w:sz w:val="13"/>
          <w:szCs w:val="13"/>
          <w:color w:val="auto"/>
        </w:rPr>
      </w:pPr>
    </w:p>
    <w:p>
      <w:pPr>
        <w:ind w:left="940" w:hanging="416"/>
        <w:spacing w:after="0"/>
        <w:tabs>
          <w:tab w:leader="none" w:pos="940"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in this Agreement are for convenience only. They form no part of the Agreement and will not affect its interpretation.</w:t>
      </w:r>
    </w:p>
    <w:p>
      <w:pPr>
        <w:spacing w:after="0" w:line="184" w:lineRule="exact"/>
        <w:rPr>
          <w:rFonts w:ascii="Arial" w:cs="Arial" w:eastAsia="Arial" w:hAnsi="Arial"/>
          <w:sz w:val="14"/>
          <w:szCs w:val="14"/>
          <w:color w:val="auto"/>
        </w:rPr>
      </w:pPr>
    </w:p>
    <w:p>
      <w:pPr>
        <w:jc w:val="both"/>
        <w:ind w:firstLine="524"/>
        <w:spacing w:after="0" w:line="273" w:lineRule="auto"/>
        <w:tabs>
          <w:tab w:leader="none" w:pos="895" w:val="left"/>
        </w:tabs>
        <w:numPr>
          <w:ilvl w:val="0"/>
          <w:numId w:val="334"/>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Participant acknowledges that the issuance of Shares hereunder will give rise to taxable income subject to required withholding. In accordance with Section 15 of the Plan, the obligations of the Company hereunder are conditioned on the Participant timely paying, or otherwise making arrangements satisfactory to the Company regarding the timely satisfaction of, such required withholding.</w:t>
      </w:r>
    </w:p>
    <w:p>
      <w:pPr>
        <w:spacing w:after="0" w:line="141"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3"/>
          <w:szCs w:val="13"/>
          <w:color w:val="auto"/>
        </w:rPr>
        <w:t>If the Company has not elected to settle such required withholding through the withholding of Shares and other arrangements acceptable to the Company have not been made, the Company may require that Participant sell Shares issuable hereunder to satisfy the required withholding. Accordingly, Participant hereby irrevocably authorizes the Company to (a) sell on Participant’s behalf such number of Shares issuable hereunder as the Company determines to be appropriate to generate cash proceeds sufficient to satisfy the required withholding, and (b) to remit proceeds equal to the required withholding to the applicable tax authorities (or to retain proceeds equal to the required withholding, to the extent the Company has already deposited such amount with the applicable tax authorities). To the extent the proceeds of such sale exceed the required withholding, the excess proceeds will be paid to Participant. Participant acknowledges that he or she will be responsible for all broker’s fees and other costs of such sale and that the Company is under no obligation to arrange for such sale at any particular price.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477" w:name="page478"/>
    <w:bookmarkEnd w:id="477"/>
    <w:p>
      <w:pPr>
        <w:spacing w:after="0"/>
        <w:rPr>
          <w:sz w:val="20"/>
          <w:szCs w:val="20"/>
          <w:color w:val="auto"/>
        </w:rPr>
      </w:pPr>
      <w:r>
        <w:rPr>
          <w:rFonts w:ascii="Arial" w:cs="Arial" w:eastAsia="Arial" w:hAnsi="Arial"/>
          <w:sz w:val="14"/>
          <w:szCs w:val="14"/>
          <w:color w:val="auto"/>
        </w:rPr>
        <w:t>Participant further agrees to execute such additional documents as may be reasonably necessary to facilitate such transactions.</w:t>
      </w:r>
    </w:p>
    <w:p>
      <w:pPr>
        <w:spacing w:after="0" w:line="184" w:lineRule="exact"/>
        <w:rPr>
          <w:sz w:val="20"/>
          <w:szCs w:val="20"/>
          <w:color w:val="auto"/>
        </w:rPr>
      </w:pPr>
    </w:p>
    <w:p>
      <w:pPr>
        <w:jc w:val="both"/>
        <w:ind w:firstLine="524"/>
        <w:spacing w:after="0" w:line="290" w:lineRule="auto"/>
        <w:tabs>
          <w:tab w:leader="none" w:pos="906" w:val="left"/>
        </w:tabs>
        <w:numPr>
          <w:ilvl w:val="0"/>
          <w:numId w:val="335"/>
        </w:numPr>
        <w:rPr>
          <w:rFonts w:ascii="Arial" w:cs="Arial" w:eastAsia="Arial" w:hAnsi="Arial"/>
          <w:sz w:val="13"/>
          <w:szCs w:val="13"/>
          <w:color w:val="auto"/>
        </w:rPr>
      </w:pPr>
      <w:r>
        <w:rPr>
          <w:rFonts w:ascii="Arial" w:cs="Arial" w:eastAsia="Arial" w:hAnsi="Arial"/>
          <w:sz w:val="13"/>
          <w:szCs w:val="13"/>
          <w:u w:val="single" w:color="auto"/>
          <w:color w:val="auto"/>
        </w:rPr>
        <w:t>Electronic Delivery of Documents</w:t>
      </w:r>
      <w:r>
        <w:rPr>
          <w:rFonts w:ascii="Arial" w:cs="Arial" w:eastAsia="Arial" w:hAnsi="Arial"/>
          <w:sz w:val="13"/>
          <w:szCs w:val="13"/>
          <w:color w:val="auto"/>
        </w:rPr>
        <w:t>.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Participant a paper copy of any document also delivered to Participant electronically. The authorization described in this paragraph may be revoked by Participant at any time by written notice to the Company.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478" w:name="page479"/>
    <w:bookmarkEnd w:id="478"/>
    <w:p>
      <w:pPr>
        <w:jc w:val="right"/>
        <w:spacing w:after="0"/>
        <w:rPr>
          <w:sz w:val="20"/>
          <w:szCs w:val="20"/>
          <w:color w:val="auto"/>
        </w:rPr>
      </w:pPr>
      <w:r>
        <w:rPr>
          <w:rFonts w:ascii="Arial" w:cs="Arial" w:eastAsia="Arial" w:hAnsi="Arial"/>
          <w:sz w:val="17"/>
          <w:szCs w:val="17"/>
          <w:b w:val="1"/>
          <w:bCs w:val="1"/>
          <w:color w:val="auto"/>
        </w:rPr>
        <w:t>Exhibit 10.15</w:t>
      </w:r>
    </w:p>
    <w:p>
      <w:pPr>
        <w:spacing w:after="0" w:line="205" w:lineRule="exact"/>
        <w:rPr>
          <w:sz w:val="20"/>
          <w:szCs w:val="20"/>
          <w:color w:val="auto"/>
        </w:rPr>
      </w:pPr>
    </w:p>
    <w:p>
      <w:pPr>
        <w:jc w:val="center"/>
        <w:ind w:left="4640" w:right="60" w:hanging="4631"/>
        <w:spacing w:after="0" w:line="288" w:lineRule="auto"/>
        <w:tabs>
          <w:tab w:leader="none" w:pos="365" w:val="left"/>
        </w:tabs>
        <w:numPr>
          <w:ilvl w:val="0"/>
          <w:numId w:val="336"/>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28"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CONFIDENTIAL DOCUMENT</w:t>
      </w:r>
    </w:p>
    <w:p>
      <w:pPr>
        <w:spacing w:after="0" w:line="25" w:lineRule="exact"/>
        <w:rPr>
          <w:sz w:val="20"/>
          <w:szCs w:val="20"/>
          <w:color w:val="auto"/>
        </w:rPr>
      </w:pPr>
    </w:p>
    <w:p>
      <w:pPr>
        <w:jc w:val="right"/>
        <w:ind w:right="120"/>
        <w:spacing w:after="0"/>
        <w:rPr>
          <w:sz w:val="20"/>
          <w:szCs w:val="20"/>
          <w:color w:val="auto"/>
        </w:rPr>
      </w:pPr>
      <w:r>
        <w:rPr>
          <w:rFonts w:ascii="Arial" w:cs="Arial" w:eastAsia="Arial" w:hAnsi="Arial"/>
          <w:sz w:val="14"/>
          <w:szCs w:val="14"/>
          <w:b w:val="1"/>
          <w:bCs w:val="1"/>
          <w:color w:val="auto"/>
        </w:rPr>
        <w:t>Execution Version</w:t>
      </w:r>
    </w:p>
    <w:p>
      <w:pPr>
        <w:spacing w:after="0" w:line="171"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AMENDED AND RESTATED</w:t>
      </w:r>
    </w:p>
    <w:p>
      <w:pPr>
        <w:spacing w:after="0" w:line="25"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OPTION AGREEMENT</w:t>
      </w:r>
    </w:p>
    <w:p>
      <w:pPr>
        <w:spacing w:after="0" w:line="175" w:lineRule="exact"/>
        <w:rPr>
          <w:sz w:val="20"/>
          <w:szCs w:val="20"/>
          <w:color w:val="auto"/>
        </w:rPr>
      </w:pPr>
    </w:p>
    <w:p>
      <w:pPr>
        <w:jc w:val="both"/>
        <w:ind w:left="800" w:right="120" w:firstLine="531"/>
        <w:spacing w:after="0" w:line="273" w:lineRule="auto"/>
        <w:rPr>
          <w:sz w:val="20"/>
          <w:szCs w:val="20"/>
          <w:color w:val="auto"/>
        </w:rPr>
      </w:pPr>
      <w:r>
        <w:rPr>
          <w:rFonts w:ascii="Arial" w:cs="Arial" w:eastAsia="Arial" w:hAnsi="Arial"/>
          <w:sz w:val="14"/>
          <w:szCs w:val="14"/>
          <w:color w:val="auto"/>
        </w:rPr>
        <w:t>This Amended and Restated Option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and entered into as of February 25, 2021 (the “</w:t>
      </w:r>
      <w:r>
        <w:rPr>
          <w:rFonts w:ascii="Arial" w:cs="Arial" w:eastAsia="Arial" w:hAnsi="Arial"/>
          <w:sz w:val="14"/>
          <w:szCs w:val="14"/>
          <w:u w:val="single" w:color="auto"/>
          <w:color w:val="auto"/>
        </w:rPr>
        <w:t>Effective Date</w:t>
      </w:r>
      <w:r>
        <w:rPr>
          <w:rFonts w:ascii="Arial" w:cs="Arial" w:eastAsia="Arial" w:hAnsi="Arial"/>
          <w:sz w:val="14"/>
          <w:szCs w:val="14"/>
          <w:color w:val="auto"/>
        </w:rPr>
        <w:t>”), by and between Century Therapeutics, Inc., a Delaware corporation (f/k/a Century Therapeutics, LLC, a Delaware limited liability company) (the “</w:t>
      </w:r>
      <w:r>
        <w:rPr>
          <w:rFonts w:ascii="Arial" w:cs="Arial" w:eastAsia="Arial" w:hAnsi="Arial"/>
          <w:sz w:val="14"/>
          <w:szCs w:val="14"/>
          <w:u w:val="single" w:color="auto"/>
          <w:color w:val="auto"/>
        </w:rPr>
        <w:t>Company</w:t>
      </w:r>
      <w:r>
        <w:rPr>
          <w:rFonts w:ascii="Arial" w:cs="Arial" w:eastAsia="Arial" w:hAnsi="Arial"/>
          <w:sz w:val="14"/>
          <w:szCs w:val="14"/>
          <w:color w:val="auto"/>
        </w:rPr>
        <w:t>”) and Bayer HealthCare LLC, a Delaware limited liability company (“</w:t>
      </w:r>
      <w:r>
        <w:rPr>
          <w:rFonts w:ascii="Arial" w:cs="Arial" w:eastAsia="Arial" w:hAnsi="Arial"/>
          <w:sz w:val="14"/>
          <w:szCs w:val="14"/>
          <w:u w:val="single" w:color="auto"/>
          <w:color w:val="auto"/>
        </w:rPr>
        <w:t>Bayer</w:t>
      </w:r>
      <w:r>
        <w:rPr>
          <w:rFonts w:ascii="Arial" w:cs="Arial" w:eastAsia="Arial" w:hAnsi="Arial"/>
          <w:sz w:val="14"/>
          <w:szCs w:val="14"/>
          <w:color w:val="auto"/>
        </w:rPr>
        <w:t>”) (Bayer and the Company, collectively the “</w:t>
      </w:r>
      <w:r>
        <w:rPr>
          <w:rFonts w:ascii="Arial" w:cs="Arial" w:eastAsia="Arial" w:hAnsi="Arial"/>
          <w:sz w:val="14"/>
          <w:szCs w:val="14"/>
          <w:u w:val="single" w:color="auto"/>
          <w:color w:val="auto"/>
        </w:rPr>
        <w:t>Parties</w:t>
      </w:r>
      <w:r>
        <w:rPr>
          <w:rFonts w:ascii="Arial" w:cs="Arial" w:eastAsia="Arial" w:hAnsi="Arial"/>
          <w:sz w:val="14"/>
          <w:szCs w:val="14"/>
          <w:color w:val="auto"/>
        </w:rPr>
        <w:t>” and each individually, a “</w:t>
      </w:r>
      <w:r>
        <w:rPr>
          <w:rFonts w:ascii="Arial" w:cs="Arial" w:eastAsia="Arial" w:hAnsi="Arial"/>
          <w:sz w:val="14"/>
          <w:szCs w:val="14"/>
          <w:u w:val="single" w:color="auto"/>
          <w:color w:val="auto"/>
        </w:rPr>
        <w:t>Party</w:t>
      </w:r>
      <w:r>
        <w:rPr>
          <w:rFonts w:ascii="Arial" w:cs="Arial" w:eastAsia="Arial" w:hAnsi="Arial"/>
          <w:sz w:val="14"/>
          <w:szCs w:val="14"/>
          <w:color w:val="auto"/>
        </w:rPr>
        <w:t>”).</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RECITALS</w:t>
      </w:r>
    </w:p>
    <w:p>
      <w:pPr>
        <w:spacing w:after="0" w:line="184" w:lineRule="exact"/>
        <w:rPr>
          <w:sz w:val="20"/>
          <w:szCs w:val="20"/>
          <w:color w:val="auto"/>
        </w:rPr>
      </w:pPr>
    </w:p>
    <w:p>
      <w:pPr>
        <w:jc w:val="both"/>
        <w:ind w:left="800" w:right="120" w:firstLine="532"/>
        <w:spacing w:after="0" w:line="26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connection with the formation and operation of the Company, the Company, Bayer and Century Therapeutics, Inc., a Delaware corporation (“</w:t>
      </w:r>
      <w:r>
        <w:rPr>
          <w:rFonts w:ascii="Arial" w:cs="Arial" w:eastAsia="Arial" w:hAnsi="Arial"/>
          <w:sz w:val="14"/>
          <w:szCs w:val="14"/>
          <w:u w:val="single" w:color="auto"/>
          <w:color w:val="auto"/>
        </w:rPr>
        <w:t>Century</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entered into that certain Commitment Agreement, dated as of June 21, 2019 (as amended, restated and/or otherwise modified from time to time, the “</w:t>
      </w:r>
      <w:r>
        <w:rPr>
          <w:rFonts w:ascii="Arial" w:cs="Arial" w:eastAsia="Arial" w:hAnsi="Arial"/>
          <w:sz w:val="14"/>
          <w:szCs w:val="14"/>
          <w:u w:val="single" w:color="auto"/>
          <w:color w:val="auto"/>
        </w:rPr>
        <w:t>Commitment Agreement</w:t>
      </w:r>
      <w:r>
        <w:rPr>
          <w:rFonts w:ascii="Arial" w:cs="Arial" w:eastAsia="Arial" w:hAnsi="Arial"/>
          <w:sz w:val="14"/>
          <w:szCs w:val="14"/>
          <w:color w:val="auto"/>
        </w:rPr>
        <w:t>”), and that certain Amended and Restated Limited Liability Company Agreement of Century Therapeutics, LLC, a Delaware limited liability company (as amended, restated, supplemented and/or otherwise modified from time to time, the “</w:t>
      </w:r>
      <w:r>
        <w:rPr>
          <w:rFonts w:ascii="Arial" w:cs="Arial" w:eastAsia="Arial" w:hAnsi="Arial"/>
          <w:sz w:val="14"/>
          <w:szCs w:val="14"/>
          <w:u w:val="single" w:color="auto"/>
          <w:color w:val="auto"/>
        </w:rPr>
        <w:t>LLC Agreement</w:t>
      </w:r>
      <w:r>
        <w:rPr>
          <w:rFonts w:ascii="Arial" w:cs="Arial" w:eastAsia="Arial" w:hAnsi="Arial"/>
          <w:sz w:val="14"/>
          <w:szCs w:val="14"/>
          <w:color w:val="auto"/>
        </w:rPr>
        <w:t>”);</w:t>
      </w:r>
    </w:p>
    <w:p>
      <w:pPr>
        <w:spacing w:after="0" w:line="141" w:lineRule="exact"/>
        <w:rPr>
          <w:sz w:val="20"/>
          <w:szCs w:val="20"/>
          <w:color w:val="auto"/>
        </w:rPr>
      </w:pPr>
    </w:p>
    <w:p>
      <w:pPr>
        <w:jc w:val="both"/>
        <w:ind w:left="800" w:right="120" w:firstLine="532"/>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connection with the entry into the Commitment Agreement and the LLC Agreement, the Company, Bayer and Century entered into that certain Option</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dated as of June 21, 2019 (the “</w:t>
      </w:r>
      <w:r>
        <w:rPr>
          <w:rFonts w:ascii="Arial" w:cs="Arial" w:eastAsia="Arial" w:hAnsi="Arial"/>
          <w:sz w:val="14"/>
          <w:szCs w:val="14"/>
          <w:u w:val="single" w:color="auto"/>
          <w:color w:val="auto"/>
        </w:rPr>
        <w:t>Original Agreement</w:t>
      </w:r>
      <w:r>
        <w:rPr>
          <w:rFonts w:ascii="Arial" w:cs="Arial" w:eastAsia="Arial" w:hAnsi="Arial"/>
          <w:sz w:val="14"/>
          <w:szCs w:val="14"/>
          <w:color w:val="auto"/>
        </w:rPr>
        <w:t>”), which provided certain procedures for, and preferential rights relating to, the Transfer of certain Products researched and developed by the Company to Bayer;</w:t>
      </w:r>
    </w:p>
    <w:p>
      <w:pPr>
        <w:spacing w:after="0" w:line="135" w:lineRule="exact"/>
        <w:rPr>
          <w:sz w:val="20"/>
          <w:szCs w:val="20"/>
          <w:color w:val="auto"/>
        </w:rPr>
      </w:pPr>
    </w:p>
    <w:p>
      <w:pPr>
        <w:jc w:val="both"/>
        <w:ind w:left="800" w:right="140" w:firstLine="532"/>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prior to the effectiveness of this Agreement, the Company converted from a Delaware limited liability company into a Delaware corporation, pursuant to a</w:t>
      </w:r>
      <w:r>
        <w:rPr>
          <w:rFonts w:ascii="Arial" w:cs="Arial" w:eastAsia="Arial" w:hAnsi="Arial"/>
          <w:sz w:val="14"/>
          <w:szCs w:val="14"/>
          <w:b w:val="1"/>
          <w:bCs w:val="1"/>
          <w:color w:val="auto"/>
        </w:rPr>
        <w:t xml:space="preserve"> </w:t>
      </w:r>
      <w:r>
        <w:rPr>
          <w:rFonts w:ascii="Arial" w:cs="Arial" w:eastAsia="Arial" w:hAnsi="Arial"/>
          <w:sz w:val="14"/>
          <w:szCs w:val="14"/>
          <w:color w:val="auto"/>
        </w:rPr>
        <w:t>Certificate of Conversion filed with the Secretary of State of the State of Delaware (the “</w:t>
      </w:r>
      <w:r>
        <w:rPr>
          <w:rFonts w:ascii="Arial" w:cs="Arial" w:eastAsia="Arial" w:hAnsi="Arial"/>
          <w:sz w:val="14"/>
          <w:szCs w:val="14"/>
          <w:u w:val="single" w:color="auto"/>
          <w:color w:val="auto"/>
        </w:rPr>
        <w:t>Conversion</w:t>
      </w:r>
      <w:r>
        <w:rPr>
          <w:rFonts w:ascii="Arial" w:cs="Arial" w:eastAsia="Arial" w:hAnsi="Arial"/>
          <w:sz w:val="14"/>
          <w:szCs w:val="14"/>
          <w:color w:val="auto"/>
        </w:rPr>
        <w:t>”) and Century merged with and into the Company, with the Company as the surviving corporation (the “</w:t>
      </w:r>
      <w:r>
        <w:rPr>
          <w:rFonts w:ascii="Arial" w:cs="Arial" w:eastAsia="Arial" w:hAnsi="Arial"/>
          <w:sz w:val="14"/>
          <w:szCs w:val="14"/>
          <w:u w:val="single" w:color="auto"/>
          <w:color w:val="auto"/>
        </w:rPr>
        <w:t>Merger</w:t>
      </w:r>
      <w:r>
        <w:rPr>
          <w:rFonts w:ascii="Arial" w:cs="Arial" w:eastAsia="Arial" w:hAnsi="Arial"/>
          <w:sz w:val="14"/>
          <w:szCs w:val="14"/>
          <w:color w:val="auto"/>
        </w:rPr>
        <w:t>”);</w:t>
      </w:r>
    </w:p>
    <w:p>
      <w:pPr>
        <w:spacing w:after="0" w:line="135" w:lineRule="exact"/>
        <w:rPr>
          <w:sz w:val="20"/>
          <w:szCs w:val="20"/>
          <w:color w:val="auto"/>
        </w:rPr>
      </w:pPr>
    </w:p>
    <w:p>
      <w:pPr>
        <w:jc w:val="both"/>
        <w:ind w:left="800" w:right="120" w:firstLine="531"/>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as a result of the Conversion, the Commitment Agreement and the LLC Agreement were terminated, and in connection with the Merger, equityholders in</w:t>
      </w:r>
      <w:r>
        <w:rPr>
          <w:rFonts w:ascii="Arial" w:cs="Arial" w:eastAsia="Arial" w:hAnsi="Arial"/>
          <w:sz w:val="14"/>
          <w:szCs w:val="14"/>
          <w:b w:val="1"/>
          <w:bCs w:val="1"/>
          <w:color w:val="auto"/>
        </w:rPr>
        <w:t xml:space="preserve"> </w:t>
      </w:r>
      <w:r>
        <w:rPr>
          <w:rFonts w:ascii="Arial" w:cs="Arial" w:eastAsia="Arial" w:hAnsi="Arial"/>
          <w:sz w:val="14"/>
          <w:szCs w:val="14"/>
          <w:color w:val="auto"/>
        </w:rPr>
        <w:t>Century received Capital Stock directly in the Company; and</w:t>
      </w:r>
    </w:p>
    <w:p>
      <w:pPr>
        <w:spacing w:after="0" w:line="123" w:lineRule="exact"/>
        <w:rPr>
          <w:sz w:val="20"/>
          <w:szCs w:val="20"/>
          <w:color w:val="auto"/>
        </w:rPr>
      </w:pPr>
    </w:p>
    <w:p>
      <w:pPr>
        <w:jc w:val="both"/>
        <w:ind w:left="800" w:right="120" w:firstLine="531"/>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accordance with Section 5.6 of the Original Agreement, the Parties desire to amend and restate the Original Agreement in its entirety and as set forth</w:t>
      </w:r>
      <w:r>
        <w:rPr>
          <w:rFonts w:ascii="Arial" w:cs="Arial" w:eastAsia="Arial" w:hAnsi="Arial"/>
          <w:sz w:val="14"/>
          <w:szCs w:val="14"/>
          <w:b w:val="1"/>
          <w:bCs w:val="1"/>
          <w:color w:val="auto"/>
        </w:rPr>
        <w:t xml:space="preserve"> </w:t>
      </w:r>
      <w:r>
        <w:rPr>
          <w:rFonts w:ascii="Arial" w:cs="Arial" w:eastAsia="Arial" w:hAnsi="Arial"/>
          <w:sz w:val="14"/>
          <w:szCs w:val="14"/>
          <w:color w:val="auto"/>
        </w:rPr>
        <w:t>herein to, among other things, account for the Conversion and the Merger (including the termination of the Commitment Agreement and the LLC Agreement).</w:t>
      </w:r>
    </w:p>
    <w:p>
      <w:pPr>
        <w:spacing w:after="0" w:line="123" w:lineRule="exact"/>
        <w:rPr>
          <w:sz w:val="20"/>
          <w:szCs w:val="20"/>
          <w:color w:val="auto"/>
        </w:rPr>
      </w:pPr>
    </w:p>
    <w:p>
      <w:pPr>
        <w:jc w:val="both"/>
        <w:ind w:left="800" w:right="120" w:firstLine="531"/>
        <w:spacing w:after="0" w:line="294"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mutual covenants contained herein and other good and valuable consideration, the receipt and sufficiency of which are</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acknowledged, the Parties, intending to be legally bound, hereby agree as follows:</w:t>
      </w:r>
    </w:p>
    <w:p>
      <w:pPr>
        <w:spacing w:after="0" w:line="123"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ARTICLE I</w:t>
      </w:r>
    </w:p>
    <w:p>
      <w:pPr>
        <w:spacing w:after="0" w:line="25"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DEFINITIONS</w:t>
      </w:r>
    </w:p>
    <w:p>
      <w:pPr>
        <w:spacing w:after="0" w:line="12"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The following terms will have the following meanings:</w:t>
      </w:r>
    </w:p>
    <w:p>
      <w:pPr>
        <w:spacing w:after="0" w:line="175" w:lineRule="exact"/>
        <w:rPr>
          <w:sz w:val="20"/>
          <w:szCs w:val="20"/>
          <w:color w:val="auto"/>
        </w:rPr>
      </w:pPr>
    </w:p>
    <w:p>
      <w:pPr>
        <w:ind w:left="1400"/>
        <w:spacing w:after="0"/>
        <w:tabs>
          <w:tab w:leader="none" w:pos="17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u w:val="single" w:color="auto"/>
          <w:color w:val="auto"/>
        </w:rPr>
        <w:t>Certain Definitions</w:t>
      </w:r>
      <w:r>
        <w:rPr>
          <w:rFonts w:ascii="Arial" w:cs="Arial" w:eastAsia="Arial" w:hAnsi="Arial"/>
          <w:sz w:val="13"/>
          <w:szCs w:val="13"/>
          <w:color w:val="auto"/>
        </w:rPr>
        <w:t>. For purposes of this Agreement, the following terms will have the meanings set forth in this</w:t>
      </w:r>
      <w:r>
        <w:rPr>
          <w:rFonts w:ascii="Arial" w:cs="Arial" w:eastAsia="Arial" w:hAnsi="Arial"/>
          <w:sz w:val="13"/>
          <w:szCs w:val="13"/>
          <w:u w:val="single" w:color="auto"/>
          <w:color w:val="auto"/>
        </w:rPr>
        <w:t xml:space="preserve"> Article I</w:t>
      </w:r>
      <w:r>
        <w:rPr>
          <w:rFonts w:ascii="Arial" w:cs="Arial" w:eastAsia="Arial" w:hAnsi="Arial"/>
          <w:sz w:val="13"/>
          <w:szCs w:val="13"/>
          <w:color w:val="auto"/>
        </w:rPr>
        <w:t>.</w:t>
      </w:r>
    </w:p>
    <w:p>
      <w:pPr>
        <w:spacing w:after="0" w:line="184" w:lineRule="exact"/>
        <w:rPr>
          <w:sz w:val="20"/>
          <w:szCs w:val="20"/>
          <w:color w:val="auto"/>
        </w:rPr>
      </w:pPr>
    </w:p>
    <w:p>
      <w:pPr>
        <w:jc w:val="both"/>
        <w:ind w:left="800" w:right="140"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any other Person who, directly or indirectly (including through one or more intermediaries), controls, is controlled by, or is under common control with such Person. For purposes of this definition, “control,” when used with respect to any specified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323215</wp:posOffset>
            </wp:positionV>
            <wp:extent cx="7159625"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20"/>
          </w:cols>
          <w:pgMar w:left="360" w:top="311" w:right="319" w:bottom="1440" w:gutter="0" w:footer="0" w:header="0"/>
        </w:sectPr>
      </w:pPr>
    </w:p>
    <w:bookmarkStart w:id="479" w:name="page480"/>
    <w:bookmarkEnd w:id="479"/>
    <w:p>
      <w:pPr>
        <w:jc w:val="both"/>
        <w:ind w:right="60"/>
        <w:spacing w:after="0" w:line="273" w:lineRule="auto"/>
        <w:rPr>
          <w:sz w:val="20"/>
          <w:szCs w:val="20"/>
          <w:color w:val="auto"/>
        </w:rPr>
      </w:pPr>
      <w:r>
        <w:rPr>
          <w:rFonts w:ascii="Arial" w:cs="Arial" w:eastAsia="Arial" w:hAnsi="Arial"/>
          <w:sz w:val="14"/>
          <w:szCs w:val="14"/>
          <w:color w:val="auto"/>
        </w:rPr>
        <w:t>means the power, direct or indirect, to direct or cause the direction of the management and policies of such Person, whether through ownership of voting securities or partnership or other ownership interests, by contract or otherwise; and the terms “controlling” and “controlled” will have correlative meanings. For purposes of this Agreement, the parties hereto agree that neither Bayer nor any of its Affiliates will be deemed an Affiliate of the Company or any of its Subsidiaries.</w:t>
      </w:r>
    </w:p>
    <w:p>
      <w:pPr>
        <w:spacing w:after="0" w:line="141" w:lineRule="exact"/>
        <w:rPr>
          <w:sz w:val="20"/>
          <w:szCs w:val="20"/>
          <w:color w:val="auto"/>
        </w:rPr>
      </w:pPr>
    </w:p>
    <w:p>
      <w:pPr>
        <w:jc w:val="both"/>
        <w:ind w:right="60" w:firstLine="531"/>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Law</w:t>
      </w:r>
      <w:r>
        <w:rPr>
          <w:rFonts w:ascii="Arial" w:cs="Arial" w:eastAsia="Arial" w:hAnsi="Arial"/>
          <w:sz w:val="14"/>
          <w:szCs w:val="14"/>
          <w:color w:val="auto"/>
        </w:rPr>
        <w:t>” means any applicable provisions of the following: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spacing w:after="0" w:line="141" w:lineRule="exact"/>
        <w:rPr>
          <w:sz w:val="20"/>
          <w:szCs w:val="20"/>
          <w:color w:val="auto"/>
        </w:rPr>
      </w:pPr>
    </w:p>
    <w:p>
      <w:pPr>
        <w:jc w:val="both"/>
        <w:ind w:right="60" w:firstLine="532"/>
        <w:spacing w:after="0" w:line="29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Directors</w:t>
      </w:r>
      <w:r>
        <w:rPr>
          <w:rFonts w:ascii="Arial" w:cs="Arial" w:eastAsia="Arial" w:hAnsi="Arial"/>
          <w:sz w:val="13"/>
          <w:szCs w:val="13"/>
          <w:color w:val="auto"/>
        </w:rPr>
        <w:t xml:space="preserve">” means: (a) if Bayer is a Bidding Party, a majority of the Directors other than the Bidding Party Director (in which case, the Bidding Party Director will be deemed an interested director for purposes of the applicable Product Transfer, and except as otherwise required by Applicable Law, the Bidding Party Director may be excluded from any meeting of the Board or any portion thereof relating to such Product Transfer, or if not excluded, will not be included for purposes of determining whether a quorum is present);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Bidding Party Director will no longer be deemed a an interested director (and the Bidding Party will thereafter be deemed a Non-Bidding Party) following the Bidding Party’s Formal Withdrawal with respect to such Product Transfer; or (b) if Bayer is a Non-Bidding Party, a majority of all of the Directors.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Baseball Arbitration</w:t>
      </w:r>
      <w:r>
        <w:rPr>
          <w:rFonts w:ascii="Arial" w:cs="Arial" w:eastAsia="Arial" w:hAnsi="Arial"/>
          <w:sz w:val="14"/>
          <w:szCs w:val="14"/>
          <w:color w:val="auto"/>
        </w:rPr>
        <w:t xml:space="preserve">” means the arbitration procedures for resolving a dispute as provided for in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Bid</w:t>
      </w:r>
      <w:r>
        <w:rPr>
          <w:rFonts w:ascii="Arial" w:cs="Arial" w:eastAsia="Arial" w:hAnsi="Arial"/>
          <w:sz w:val="14"/>
          <w:szCs w:val="14"/>
          <w:color w:val="auto"/>
        </w:rPr>
        <w:t>” means a Solicited Bid or an Unsolicited Bid, as applicable. A Bid will also include any amended Bid provided by a Person from time to time.</w:t>
      </w:r>
    </w:p>
    <w:p>
      <w:pPr>
        <w:spacing w:after="0" w:line="184" w:lineRule="exact"/>
        <w:rPr>
          <w:sz w:val="20"/>
          <w:szCs w:val="20"/>
          <w:color w:val="auto"/>
        </w:rPr>
      </w:pPr>
    </w:p>
    <w:p>
      <w:pPr>
        <w:jc w:val="both"/>
        <w:ind w:right="60"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Bidding Party</w:t>
      </w:r>
      <w:r>
        <w:rPr>
          <w:rFonts w:ascii="Arial" w:cs="Arial" w:eastAsia="Arial" w:hAnsi="Arial"/>
          <w:sz w:val="14"/>
          <w:szCs w:val="14"/>
          <w:color w:val="auto"/>
        </w:rPr>
        <w:t xml:space="preserve">” means Bayer if it or one of its Affiliates has provided a Bid for a Product;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Bayer will no longer be considered a Bidding Party following its delivery of a Formal Withdrawal.</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Bidding Party Director</w:t>
      </w:r>
      <w:r>
        <w:rPr>
          <w:rFonts w:ascii="Arial" w:cs="Arial" w:eastAsia="Arial" w:hAnsi="Arial"/>
          <w:sz w:val="14"/>
          <w:szCs w:val="14"/>
          <w:color w:val="auto"/>
        </w:rPr>
        <w:t>” means the Director designated by the Bidding Party.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Bidding Process</w:t>
      </w:r>
      <w:r>
        <w:rPr>
          <w:rFonts w:ascii="Arial" w:cs="Arial" w:eastAsia="Arial" w:hAnsi="Arial"/>
          <w:sz w:val="14"/>
          <w:szCs w:val="14"/>
          <w:color w:val="auto"/>
        </w:rPr>
        <w:t xml:space="preserve">” means the bidding process for a Product Transfer as contemplated by </w:t>
      </w:r>
      <w:r>
        <w:rPr>
          <w:rFonts w:ascii="Arial" w:cs="Arial" w:eastAsia="Arial" w:hAnsi="Arial"/>
          <w:sz w:val="14"/>
          <w:szCs w:val="14"/>
          <w:u w:val="single" w:color="auto"/>
          <w:color w:val="auto"/>
        </w:rPr>
        <w:t>Section 2.5</w:t>
      </w:r>
      <w:r>
        <w:rPr>
          <w:rFonts w:ascii="Arial" w:cs="Arial" w:eastAsia="Arial" w:hAnsi="Arial"/>
          <w:sz w:val="14"/>
          <w:szCs w:val="14"/>
          <w:color w:val="auto"/>
        </w:rPr>
        <w: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means the Board of Directors of the Company.</w:t>
      </w:r>
    </w:p>
    <w:p>
      <w:pPr>
        <w:spacing w:after="0" w:line="184" w:lineRule="exact"/>
        <w:rPr>
          <w:sz w:val="20"/>
          <w:szCs w:val="20"/>
          <w:color w:val="auto"/>
        </w:rPr>
      </w:pPr>
    </w:p>
    <w:p>
      <w:pPr>
        <w:ind w:left="540"/>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 day other than a Saturday, Sunday or other day on which commercial banks in any of (a) Philadelphia, Pennsylvania or (b) Leverkusen, Germany are authorized or required to close.</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Bylaws</w:t>
      </w:r>
      <w:r>
        <w:rPr>
          <w:rFonts w:ascii="Arial" w:cs="Arial" w:eastAsia="Arial" w:hAnsi="Arial"/>
          <w:sz w:val="14"/>
          <w:szCs w:val="14"/>
          <w:color w:val="auto"/>
        </w:rPr>
        <w:t>” means the Bylaws of the Company (as the same may be amended and/or restated from time to time).</w:t>
      </w:r>
    </w:p>
    <w:p>
      <w:pPr>
        <w:spacing w:after="0" w:line="184" w:lineRule="exact"/>
        <w:rPr>
          <w:sz w:val="20"/>
          <w:szCs w:val="20"/>
          <w:color w:val="auto"/>
        </w:rPr>
      </w:pPr>
    </w:p>
    <w:p>
      <w:pPr>
        <w:ind w:right="80"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Stock</w:t>
      </w:r>
      <w:r>
        <w:rPr>
          <w:rFonts w:ascii="Arial" w:cs="Arial" w:eastAsia="Arial" w:hAnsi="Arial"/>
          <w:sz w:val="14"/>
          <w:szCs w:val="14"/>
          <w:color w:val="auto"/>
        </w:rPr>
        <w:t>” means shares of Common Stock and Preferred Stock (as defined in the Certificate of Incorporation) and any other class or series of capital stock or other equity securities of the Company, whether authorized as of or after the Effective Date.</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Certificate of Incorporation</w:t>
      </w:r>
      <w:r>
        <w:rPr>
          <w:rFonts w:ascii="Arial" w:cs="Arial" w:eastAsia="Arial" w:hAnsi="Arial"/>
          <w:sz w:val="14"/>
          <w:szCs w:val="14"/>
          <w:color w:val="auto"/>
        </w:rPr>
        <w:t>” means the Company’s Certificate of Incorporation (as it may be amended and/or restated from time to time).</w:t>
      </w:r>
    </w:p>
    <w:p>
      <w:pPr>
        <w:spacing w:after="0" w:line="357"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60"/>
          </w:cols>
          <w:pgMar w:left="1160" w:top="755" w:right="379" w:bottom="1440" w:gutter="0" w:footer="0" w:header="0"/>
        </w:sectPr>
      </w:pPr>
    </w:p>
    <w:bookmarkStart w:id="480" w:name="page481"/>
    <w:bookmarkEnd w:id="480"/>
    <w:p>
      <w:pPr>
        <w:jc w:val="both"/>
        <w:ind w:firstLine="532"/>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w:t>
      </w:r>
      <w:r>
        <w:rPr>
          <w:rFonts w:ascii="Arial" w:cs="Arial" w:eastAsia="Arial" w:hAnsi="Arial"/>
          <w:sz w:val="13"/>
          <w:szCs w:val="13"/>
          <w:color w:val="auto"/>
        </w:rPr>
        <w:t>” means, whether occurring through one transaction or a series of related transactions, any of the following: (a) a merger or consolidation of the Company the effect of which is that the stockholders of the Company (together with their respective Affiliates) as of immediately prior to such transaction or series of related transactions are no longer, in the aggregate, the beneficial owners, directly or indirectly, of a majority of the Capital Stock of the Company on a Fully Diluted Basis (or the equity of the surviving entity) (or if such surviving entity is a Subsidiary of another Person, the ultimate parent entity) after giving effect to such transaction or series of related transactions; (b) any sale, transfer or similar disposition by the Company or its Subsidiaries of all or substantially all of their assets on a consolidated basis to a third Person or a group of third Persons acting in concert; (c) any purchase by any Person (or group of affiliated Persons), of Capital Stock (either through a negotiated purchase or a tender offer), the effect of which is that the stockholders of the Company as of immediately prior to such transaction or series of related transactions are no longer, in the aggregate, the beneficial owners, directly or indirectly, of a majority of the Capital Stock of the Company on a Fully Diluted Basis; or (d) any other transaction pursuant to which Bayer (together with its Affiliates) owns at least [***] of the Capital Stock of the Company on a Fully Diluted Basis after giving effect to such transaction or series of related transactions; provided, however, a merger with a special purpose acquisition company, a reverse merger with a publicly traded shell company or other similar transaction, immediately following which the Company’s securities become publicly traded on a national securities exchange, will not constitute a Change of Control; provided, further, that the Initial Public Offering (and any transactions effectuated in connection therewith), any subsequent Public Offering or any other capital raising event, or a merger effected solely to change the Company’s domicile, will not constitute a Change of Control (unless otherwise determined by the Parties); provided, further, that any merger or consolidation involving the Company or one of its Subsidiaries in which the equity ownership of the Company outstanding immediately prior to such merger or consolidation continue to represent, or are converted into or exchanged for equity securities that represent, immediately following such merger or consolidation, a majority, by voting power, of the equity ownership of (i) the surviving or resulting entity, or (ii) if the surviving or resulting entity is a wholly-owned Subsidiary of another entity immediately following such merger or consolidation, the parent entity of such surviving or resulting entity, will not constitute a Change of Control; provided, further, that a Single Asset Sale will not constitute a Change of Control unless (x) otherwise determined by the Board with the Requisite Approval, or (y) at the time of such Single Asset Sale, (A) the Company and its Subsidiaries are not researching, developing, manufacturing or commercializing at least one Product in addition to the Product that is the subject of such Single Asset Sale and (B) there remain no material commercial rights to the Product that is the subject of such Single Asset Sale retained by the Company.</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Chief Executive Officer</w:t>
      </w:r>
      <w:r>
        <w:rPr>
          <w:rFonts w:ascii="Arial" w:cs="Arial" w:eastAsia="Arial" w:hAnsi="Arial"/>
          <w:sz w:val="14"/>
          <w:szCs w:val="14"/>
          <w:color w:val="auto"/>
        </w:rPr>
        <w:t>” means the Chief Executive Officer of the Company.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Subsidiary</w:t>
      </w:r>
      <w:r>
        <w:rPr>
          <w:rFonts w:ascii="Arial" w:cs="Arial" w:eastAsia="Arial" w:hAnsi="Arial"/>
          <w:sz w:val="14"/>
          <w:szCs w:val="14"/>
          <w:color w:val="auto"/>
        </w:rPr>
        <w:t>” means any Subsidiary of the Company.</w:t>
      </w:r>
    </w:p>
    <w:p>
      <w:pPr>
        <w:spacing w:after="0" w:line="184" w:lineRule="exact"/>
        <w:rPr>
          <w:sz w:val="20"/>
          <w:szCs w:val="20"/>
          <w:color w:val="auto"/>
        </w:rPr>
      </w:pPr>
    </w:p>
    <w:p>
      <w:pPr>
        <w:jc w:val="both"/>
        <w:ind w:right="20"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CTA</w:t>
      </w:r>
      <w:r>
        <w:rPr>
          <w:rFonts w:ascii="Arial" w:cs="Arial" w:eastAsia="Arial" w:hAnsi="Arial"/>
          <w:sz w:val="14"/>
          <w:szCs w:val="14"/>
          <w:color w:val="auto"/>
        </w:rPr>
        <w:t>” means a Clinical Trial Authorisation filed with the MHRA or EMA with respect to a Product, as described in the MHRA or EMA regulations, including all amendments and supplements to the application.</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Director</w:t>
      </w:r>
      <w:r>
        <w:rPr>
          <w:rFonts w:ascii="Arial" w:cs="Arial" w:eastAsia="Arial" w:hAnsi="Arial"/>
          <w:sz w:val="14"/>
          <w:szCs w:val="14"/>
          <w:color w:val="auto"/>
        </w:rPr>
        <w:t>” means an individual appointed by the requisite stockholders of the Company to serve as a member of the Board.</w:t>
      </w:r>
    </w:p>
    <w:p>
      <w:pPr>
        <w:spacing w:after="0" w:line="184" w:lineRule="exact"/>
        <w:rPr>
          <w:sz w:val="20"/>
          <w:szCs w:val="20"/>
          <w:color w:val="auto"/>
        </w:rPr>
      </w:pPr>
    </w:p>
    <w:p>
      <w:pPr>
        <w:jc w:val="both"/>
        <w:ind w:right="20"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Electronic Transmission</w:t>
      </w:r>
      <w:r>
        <w:rPr>
          <w:rFonts w:ascii="Arial" w:cs="Arial" w:eastAsia="Arial" w:hAnsi="Arial"/>
          <w:sz w:val="14"/>
          <w:szCs w:val="14"/>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EMA</w:t>
      </w:r>
      <w:r>
        <w:rPr>
          <w:rFonts w:ascii="Arial" w:cs="Arial" w:eastAsia="Arial" w:hAnsi="Arial"/>
          <w:sz w:val="14"/>
          <w:szCs w:val="14"/>
          <w:color w:val="auto"/>
        </w:rPr>
        <w:t>” means the European Medicines Agency and any successor agency thereto.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FDA</w:t>
      </w:r>
      <w:r>
        <w:rPr>
          <w:rFonts w:ascii="Arial" w:cs="Arial" w:eastAsia="Arial" w:hAnsi="Arial"/>
          <w:sz w:val="14"/>
          <w:szCs w:val="14"/>
          <w:color w:val="auto"/>
        </w:rPr>
        <w:t>” means the U.S. Food and Drug Administration and any successor agency thereto.</w:t>
      </w:r>
    </w:p>
    <w:p>
      <w:pPr>
        <w:spacing w:after="0" w:line="357"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00"/>
          </w:cols>
          <w:pgMar w:left="1160" w:top="755" w:right="439" w:bottom="1440" w:gutter="0" w:footer="0" w:header="0"/>
        </w:sectPr>
      </w:pPr>
    </w:p>
    <w:bookmarkStart w:id="481" w:name="page482"/>
    <w:bookmarkEnd w:id="481"/>
    <w:p>
      <w:pPr>
        <w:jc w:val="both"/>
        <w:ind w:firstLine="531"/>
        <w:spacing w:after="0" w:line="32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Formal Withdrawal</w:t>
      </w:r>
      <w:r>
        <w:rPr>
          <w:rFonts w:ascii="Arial" w:cs="Arial" w:eastAsia="Arial" w:hAnsi="Arial"/>
          <w:sz w:val="13"/>
          <w:szCs w:val="13"/>
          <w:color w:val="auto"/>
        </w:rPr>
        <w:t>” means, with respect to a Product Transfer, written notification to the Company signed by an authorized Representative of the Bidding Party which certifies that the Bidding Party no longer has any intent to participate in such Product Transfer process and withdraws from such Product Transfer process in its entirety.</w:t>
      </w:r>
    </w:p>
    <w:p>
      <w:pPr>
        <w:spacing w:after="0" w:line="108"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Fully Diluted Basis</w:t>
      </w:r>
      <w:r>
        <w:rPr>
          <w:rFonts w:ascii="Arial" w:cs="Arial" w:eastAsia="Arial" w:hAnsi="Arial"/>
          <w:sz w:val="14"/>
          <w:szCs w:val="14"/>
          <w:color w:val="auto"/>
        </w:rPr>
        <w:t>” means, as of any date of determination, all issued and outstanding Capital Stock and all Capital Stock issuable upon the exercise of any outstanding Stock Equivalents as of such date, whether or not such Stock Equivalent is at the time exercisable.</w:t>
      </w:r>
    </w:p>
    <w:p>
      <w:pPr>
        <w:spacing w:after="0" w:line="132" w:lineRule="exact"/>
        <w:rPr>
          <w:sz w:val="20"/>
          <w:szCs w:val="20"/>
          <w:color w:val="auto"/>
        </w:rPr>
      </w:pPr>
    </w:p>
    <w:p>
      <w:pPr>
        <w:jc w:val="both"/>
        <w:ind w:firstLine="531"/>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41"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w:t>
      </w:r>
      <w:r>
        <w:rPr>
          <w:rFonts w:ascii="Arial" w:cs="Arial" w:eastAsia="Arial" w:hAnsi="Arial"/>
          <w:sz w:val="14"/>
          <w:szCs w:val="14"/>
          <w:color w:val="auto"/>
        </w:rPr>
        <w:t>” means an Investigational New Drug Application filed with the FDA with respect to a Product, as described in the FDA regulations, including all amendments and supplements to the application.</w:t>
      </w:r>
    </w:p>
    <w:p>
      <w:pPr>
        <w:spacing w:after="0" w:line="132" w:lineRule="exact"/>
        <w:rPr>
          <w:sz w:val="20"/>
          <w:szCs w:val="20"/>
          <w:color w:val="auto"/>
        </w:rPr>
      </w:pPr>
    </w:p>
    <w:p>
      <w:pPr>
        <w:jc w:val="both"/>
        <w:ind w:firstLine="531"/>
        <w:spacing w:after="0" w:line="32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 Acceptance</w:t>
      </w:r>
      <w:r>
        <w:rPr>
          <w:rFonts w:ascii="Arial" w:cs="Arial" w:eastAsia="Arial" w:hAnsi="Arial"/>
          <w:sz w:val="13"/>
          <w:szCs w:val="13"/>
          <w:color w:val="auto"/>
        </w:rPr>
        <w:t>” means, with respect to a Product, that the IND or the CTA for such Product has been accepted by the applicable Governmental Authority, or absent any such acceptance, such Governmental Authority has allowed any time periods for review to pass without the imposition of a clinical hold on the contemplated clinical study.</w:t>
      </w:r>
    </w:p>
    <w:p>
      <w:pPr>
        <w:spacing w:after="0" w:line="108" w:lineRule="exact"/>
        <w:rPr>
          <w:sz w:val="20"/>
          <w:szCs w:val="20"/>
          <w:color w:val="auto"/>
        </w:rPr>
      </w:pPr>
    </w:p>
    <w:p>
      <w:pPr>
        <w:jc w:val="both"/>
        <w:ind w:right="20" w:firstLine="5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 Candidate Criteria</w:t>
      </w:r>
      <w:r>
        <w:rPr>
          <w:rFonts w:ascii="Arial" w:cs="Arial" w:eastAsia="Arial" w:hAnsi="Arial"/>
          <w:sz w:val="14"/>
          <w:szCs w:val="14"/>
          <w:color w:val="auto"/>
        </w:rPr>
        <w:t>” means, on a Research Program-by-Research Program basis, the criteria approved by the Board for such Research Program to determine if a given Research Product under such Research Program has demonstrated adequate preclinical efficacy and manufacturability that warrants initiation of GMP manufacturing and other IND-enabling activities, as such criteria may be modified from time to time by the Board.</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Public Offering</w:t>
      </w:r>
      <w:r>
        <w:rPr>
          <w:rFonts w:ascii="Arial" w:cs="Arial" w:eastAsia="Arial" w:hAnsi="Arial"/>
          <w:sz w:val="14"/>
          <w:szCs w:val="14"/>
          <w:color w:val="auto"/>
        </w:rPr>
        <w:t>” means the initial public offering by the Company (or any successor thereto).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Initial Research Plan</w:t>
      </w:r>
      <w:r>
        <w:rPr>
          <w:rFonts w:ascii="Arial" w:cs="Arial" w:eastAsia="Arial" w:hAnsi="Arial"/>
          <w:sz w:val="14"/>
          <w:szCs w:val="14"/>
          <w:color w:val="auto"/>
        </w:rPr>
        <w:t>” means the initial research plan of the Company.</w:t>
      </w:r>
    </w:p>
    <w:p>
      <w:pPr>
        <w:spacing w:after="0" w:line="184" w:lineRule="exact"/>
        <w:rPr>
          <w:sz w:val="20"/>
          <w:szCs w:val="20"/>
          <w:color w:val="auto"/>
        </w:rPr>
      </w:pPr>
    </w:p>
    <w:p>
      <w:pPr>
        <w:jc w:val="both"/>
        <w:ind w:right="20"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Investors’ Rights Agreement</w:t>
      </w:r>
      <w:r>
        <w:rPr>
          <w:rFonts w:ascii="Arial" w:cs="Arial" w:eastAsia="Arial" w:hAnsi="Arial"/>
          <w:sz w:val="14"/>
          <w:szCs w:val="14"/>
          <w:color w:val="auto"/>
        </w:rPr>
        <w:t>” means that certain Investors’ Rights Agreement dated as of the date hereof among the Company and certain stockholders of the Company, as amended, restated, supplemented and/or otherwise modified from time to time.</w:t>
      </w:r>
    </w:p>
    <w:p>
      <w:pPr>
        <w:spacing w:after="0" w:line="132" w:lineRule="exact"/>
        <w:rPr>
          <w:sz w:val="20"/>
          <w:szCs w:val="20"/>
          <w:color w:val="auto"/>
        </w:rPr>
      </w:pPr>
    </w:p>
    <w:p>
      <w:pPr>
        <w:jc w:val="both"/>
        <w:ind w:firstLine="531"/>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Last Topping Right</w:t>
      </w:r>
      <w:r>
        <w:rPr>
          <w:rFonts w:ascii="Arial" w:cs="Arial" w:eastAsia="Arial" w:hAnsi="Arial"/>
          <w:sz w:val="14"/>
          <w:szCs w:val="14"/>
          <w:color w:val="auto"/>
        </w:rPr>
        <w:t>” means the right of the Bidding Party to submit a final Bid within [***] after delivery of the Superior Bid Notice for a Superior Bid, which final Bid is required to (a) exceed the up-front and milestone payment components of such Superior Bid by at least [***], (b) include other payments terms, such as royalties, with potential value at least equal to, and substantially similar conditionality as, such Superior Bid, and (c) otherwise be on substantially equivalent terms and include substantially equivalent diligence obligations as such Superior Bid.</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MHRA</w:t>
      </w:r>
      <w:r>
        <w:rPr>
          <w:rFonts w:ascii="Arial" w:cs="Arial" w:eastAsia="Arial" w:hAnsi="Arial"/>
          <w:sz w:val="14"/>
          <w:szCs w:val="14"/>
          <w:color w:val="auto"/>
        </w:rPr>
        <w:t>” means the Medicines and Healthcare products Regulatory Agency in the United Kingdom and any successor agency thereto.</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Non-Bidding Party</w:t>
      </w:r>
      <w:r>
        <w:rPr>
          <w:rFonts w:ascii="Arial" w:cs="Arial" w:eastAsia="Arial" w:hAnsi="Arial"/>
          <w:sz w:val="14"/>
          <w:szCs w:val="14"/>
          <w:color w:val="auto"/>
        </w:rPr>
        <w:t>” means Bayer if it has not provided a Bid for a Product.</w:t>
      </w:r>
    </w:p>
    <w:p>
      <w:pPr>
        <w:spacing w:after="0" w:line="184" w:lineRule="exact"/>
        <w:rPr>
          <w:sz w:val="20"/>
          <w:szCs w:val="20"/>
          <w:color w:val="auto"/>
        </w:rPr>
      </w:pPr>
    </w:p>
    <w:p>
      <w:pPr>
        <w:jc w:val="both"/>
        <w:ind w:right="20"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corporation, partnership, joint venture, limited liability company, Governmental Authority, unincorporated organization, trust, association or other entity.</w:t>
      </w:r>
    </w:p>
    <w:p>
      <w:pPr>
        <w:spacing w:after="0" w:line="304"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00"/>
          </w:cols>
          <w:pgMar w:left="1160" w:top="755" w:right="439" w:bottom="1440" w:gutter="0" w:footer="0" w:header="0"/>
        </w:sectPr>
      </w:pPr>
    </w:p>
    <w:bookmarkStart w:id="482" w:name="page483"/>
    <w:bookmarkEnd w:id="482"/>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Product</w:t>
      </w:r>
      <w:r>
        <w:rPr>
          <w:rFonts w:ascii="Arial" w:cs="Arial" w:eastAsia="Arial" w:hAnsi="Arial"/>
          <w:sz w:val="14"/>
          <w:szCs w:val="14"/>
          <w:color w:val="auto"/>
        </w:rPr>
        <w:t>” means a Research Product for which an IND Submission has been made by the Company or a Company Subsidiary.</w:t>
      </w:r>
    </w:p>
    <w:p>
      <w:pPr>
        <w:spacing w:after="0" w:line="184"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Product Transfer</w:t>
      </w:r>
      <w:r>
        <w:rPr>
          <w:rFonts w:ascii="Arial" w:cs="Arial" w:eastAsia="Arial" w:hAnsi="Arial"/>
          <w:sz w:val="14"/>
          <w:szCs w:val="14"/>
          <w:color w:val="auto"/>
        </w:rPr>
        <w:t>” means a transaction pursuant to which a Product is (or would be) Transferred to a Person (other than to the Company or to a Company Subsidiary) (a “</w:t>
      </w:r>
      <w:r>
        <w:rPr>
          <w:rFonts w:ascii="Arial" w:cs="Arial" w:eastAsia="Arial" w:hAnsi="Arial"/>
          <w:sz w:val="14"/>
          <w:szCs w:val="14"/>
          <w:u w:val="single" w:color="auto"/>
          <w:color w:val="auto"/>
        </w:rPr>
        <w:t>Product Transferee</w:t>
      </w:r>
      <w:r>
        <w:rPr>
          <w:rFonts w:ascii="Arial" w:cs="Arial" w:eastAsia="Arial" w:hAnsi="Arial"/>
          <w:sz w:val="14"/>
          <w:szCs w:val="14"/>
          <w:color w:val="auto"/>
        </w:rPr>
        <w:t>”).</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Product Transfer Agreement</w:t>
      </w:r>
      <w:r>
        <w:rPr>
          <w:rFonts w:ascii="Arial" w:cs="Arial" w:eastAsia="Arial" w:hAnsi="Arial"/>
          <w:sz w:val="14"/>
          <w:szCs w:val="14"/>
          <w:color w:val="auto"/>
        </w:rPr>
        <w:t>” means the agreement between the Company and a Product Transferee to effect a Product Transfer.</w:t>
      </w:r>
    </w:p>
    <w:p>
      <w:pPr>
        <w:spacing w:after="0" w:line="184"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Program Rights</w:t>
      </w:r>
      <w:r>
        <w:rPr>
          <w:rFonts w:ascii="Arial" w:cs="Arial" w:eastAsia="Arial" w:hAnsi="Arial"/>
          <w:sz w:val="14"/>
          <w:szCs w:val="14"/>
          <w:color w:val="auto"/>
        </w:rPr>
        <w:t>” means Bayer’s preferential rights with respect to Product Transfers of certain Products as provided for in this Agreement. For the avoidance of doubt, in no event will Bayer have Program Rights on Products that are not ROFR Products.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Public Offering</w:t>
      </w:r>
      <w:r>
        <w:rPr>
          <w:rFonts w:ascii="Arial" w:cs="Arial" w:eastAsia="Arial" w:hAnsi="Arial"/>
          <w:sz w:val="14"/>
          <w:szCs w:val="14"/>
          <w:color w:val="auto"/>
        </w:rPr>
        <w:t>” means any underwritten public offering pursuant to a registration statement filed in accordance with the Securities Act.</w:t>
      </w:r>
    </w:p>
    <w:p>
      <w:pPr>
        <w:spacing w:after="0" w:line="184" w:lineRule="exact"/>
        <w:rPr>
          <w:sz w:val="20"/>
          <w:szCs w:val="20"/>
          <w:color w:val="auto"/>
        </w:rPr>
      </w:pPr>
    </w:p>
    <w:p>
      <w:pPr>
        <w:jc w:val="both"/>
        <w:ind w:firstLine="531"/>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Relevant Experience</w:t>
      </w:r>
      <w:r>
        <w:rPr>
          <w:rFonts w:ascii="Arial" w:cs="Arial" w:eastAsia="Arial" w:hAnsi="Arial"/>
          <w:sz w:val="14"/>
          <w:szCs w:val="14"/>
          <w:color w:val="auto"/>
        </w:rPr>
        <w:t>” means experience with valuing biopharmaceutical products and licensing transactions involving biopharmaceutical products, which may include experience relevant to the determination of risks and costs associated with the research, development and commercialization of biopharmaceuticals.</w:t>
      </w:r>
    </w:p>
    <w:p>
      <w:pPr>
        <w:spacing w:after="0" w:line="132" w:lineRule="exact"/>
        <w:rPr>
          <w:sz w:val="20"/>
          <w:szCs w:val="20"/>
          <w:color w:val="auto"/>
        </w:rPr>
      </w:pPr>
    </w:p>
    <w:p>
      <w:pPr>
        <w:jc w:val="both"/>
        <w:ind w:firstLine="546"/>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Representative</w:t>
      </w:r>
      <w:r>
        <w:rPr>
          <w:rFonts w:ascii="Arial" w:cs="Arial" w:eastAsia="Arial" w:hAnsi="Arial"/>
          <w:sz w:val="14"/>
          <w:szCs w:val="14"/>
          <w:color w:val="auto"/>
        </w:rPr>
        <w:t>” means, with respect to any Person, any director, manager, officer, employee, independent contractor, consultant, advisor (including any financial advisor, counsel or accountant) and other agent of such Person.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Research Plan</w:t>
      </w:r>
      <w:r>
        <w:rPr>
          <w:rFonts w:ascii="Arial" w:cs="Arial" w:eastAsia="Arial" w:hAnsi="Arial"/>
          <w:sz w:val="14"/>
          <w:szCs w:val="14"/>
          <w:color w:val="auto"/>
        </w:rPr>
        <w:t>” means the Initial Research Plan, as amended from time to time.</w:t>
      </w:r>
    </w:p>
    <w:p>
      <w:pPr>
        <w:spacing w:after="0" w:line="184" w:lineRule="exact"/>
        <w:rPr>
          <w:sz w:val="20"/>
          <w:szCs w:val="20"/>
          <w:color w:val="auto"/>
        </w:rPr>
      </w:pPr>
    </w:p>
    <w:p>
      <w:pPr>
        <w:jc w:val="both"/>
        <w:ind w:firstLine="547"/>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Requisite Approval</w:t>
      </w:r>
      <w:r>
        <w:rPr>
          <w:rFonts w:ascii="Arial" w:cs="Arial" w:eastAsia="Arial" w:hAnsi="Arial"/>
          <w:sz w:val="14"/>
          <w:szCs w:val="14"/>
          <w:color w:val="auto"/>
        </w:rPr>
        <w:t>” means the affirmative approval of a majority of the Directors on the Board, which shall include, if applicable, (i) the approval of the Series B Director (so long as there are shares of Series B Preferred Stock outstanding) and (ii) at least one Series A Director (so long as there are shares of Series A Preferred Stock outstanding).</w:t>
      </w:r>
    </w:p>
    <w:p>
      <w:pPr>
        <w:spacing w:after="0" w:line="141" w:lineRule="exact"/>
        <w:rPr>
          <w:sz w:val="20"/>
          <w:szCs w:val="20"/>
          <w:color w:val="auto"/>
        </w:rPr>
      </w:pPr>
    </w:p>
    <w:p>
      <w:pPr>
        <w:jc w:val="both"/>
        <w:ind w:firstLine="546"/>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Research Product</w:t>
      </w:r>
      <w:r>
        <w:rPr>
          <w:rFonts w:ascii="Arial" w:cs="Arial" w:eastAsia="Arial" w:hAnsi="Arial"/>
          <w:sz w:val="14"/>
          <w:szCs w:val="14"/>
          <w:color w:val="auto"/>
        </w:rPr>
        <w:t>” means any compound, molecule or product being researched and developed by the Company or any Company Subsidiary under a Research Program that comprises allogenic iPSC- derived natural killer cells, macrophages or dendritic cells.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Research Program</w:t>
      </w:r>
      <w:r>
        <w:rPr>
          <w:rFonts w:ascii="Arial" w:cs="Arial" w:eastAsia="Arial" w:hAnsi="Arial"/>
          <w:sz w:val="14"/>
          <w:szCs w:val="14"/>
          <w:color w:val="auto"/>
        </w:rPr>
        <w:t>” means the activities conducted by or on behalf of the Company under the Research Plan.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ROFR Product</w:t>
      </w:r>
      <w:r>
        <w:rPr>
          <w:rFonts w:ascii="Arial" w:cs="Arial" w:eastAsia="Arial" w:hAnsi="Arial"/>
          <w:sz w:val="14"/>
          <w:szCs w:val="14"/>
          <w:color w:val="auto"/>
        </w:rPr>
        <w:t xml:space="preserve">” means any Product subject to the Program Rights as provided for in </w:t>
      </w:r>
      <w:r>
        <w:rPr>
          <w:rFonts w:ascii="Arial" w:cs="Arial" w:eastAsia="Arial" w:hAnsi="Arial"/>
          <w:sz w:val="14"/>
          <w:szCs w:val="14"/>
          <w:u w:val="single" w:color="auto"/>
          <w:color w:val="auto"/>
        </w:rPr>
        <w:t>Section 2.1(b).</w:t>
      </w:r>
    </w:p>
    <w:p>
      <w:pPr>
        <w:spacing w:after="0" w:line="184" w:lineRule="exact"/>
        <w:rPr>
          <w:sz w:val="20"/>
          <w:szCs w:val="20"/>
          <w:color w:val="auto"/>
        </w:rPr>
      </w:pPr>
    </w:p>
    <w:p>
      <w:pPr>
        <w:ind w:left="560" w:right="180"/>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amended, or any successor federal statute, and the rules and regulations thereunder, which will be in effect at the time.</w:t>
      </w:r>
    </w:p>
    <w:p>
      <w:pPr>
        <w:spacing w:after="0" w:line="132" w:lineRule="exact"/>
        <w:rPr>
          <w:sz w:val="20"/>
          <w:szCs w:val="20"/>
          <w:color w:val="auto"/>
        </w:rPr>
      </w:pPr>
    </w:p>
    <w:p>
      <w:pPr>
        <w:ind w:right="20" w:firstLine="54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A Directors</w:t>
      </w:r>
      <w:r>
        <w:rPr>
          <w:rFonts w:ascii="Arial" w:cs="Arial" w:eastAsia="Arial" w:hAnsi="Arial"/>
          <w:sz w:val="14"/>
          <w:szCs w:val="14"/>
          <w:color w:val="auto"/>
        </w:rPr>
        <w:t>” means, for so long as any shares of Series A Preferred Stock are outstanding, any Director of the Company that the holders of record of the Series A Preferred Stock are entitled to elect pursuant to the Certificate of Incorporation.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A Preferred Stock</w:t>
      </w:r>
      <w:r>
        <w:rPr>
          <w:rFonts w:ascii="Arial" w:cs="Arial" w:eastAsia="Arial" w:hAnsi="Arial"/>
          <w:sz w:val="14"/>
          <w:szCs w:val="14"/>
          <w:color w:val="auto"/>
        </w:rPr>
        <w:t>” means shares of the Company’s Series A Preferred Stock, par value $0.0001 per share.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B Director</w:t>
      </w:r>
      <w:r>
        <w:rPr>
          <w:rFonts w:ascii="Arial" w:cs="Arial" w:eastAsia="Arial" w:hAnsi="Arial"/>
          <w:sz w:val="14"/>
          <w:szCs w:val="14"/>
          <w:color w:val="auto"/>
        </w:rPr>
        <w:t>” means, for so long as any shares of Series B Preferred Stock are outstanding,</w:t>
      </w:r>
    </w:p>
    <w:p>
      <w:pPr>
        <w:spacing w:after="0" w:line="357"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00"/>
          </w:cols>
          <w:pgMar w:left="1160" w:top="755" w:right="439" w:bottom="1440" w:gutter="0" w:footer="0" w:header="0"/>
        </w:sectPr>
      </w:pPr>
    </w:p>
    <w:bookmarkStart w:id="483" w:name="page484"/>
    <w:bookmarkEnd w:id="483"/>
    <w:p>
      <w:pPr>
        <w:ind w:left="860"/>
        <w:spacing w:after="0"/>
        <w:rPr>
          <w:sz w:val="20"/>
          <w:szCs w:val="20"/>
          <w:color w:val="auto"/>
        </w:rPr>
      </w:pPr>
      <w:r>
        <w:rPr>
          <w:rFonts w:ascii="Arial" w:cs="Arial" w:eastAsia="Arial" w:hAnsi="Arial"/>
          <w:sz w:val="14"/>
          <w:szCs w:val="14"/>
          <w:color w:val="auto"/>
        </w:rPr>
        <w:t>any Director of the Company that the holders of record of the Series B Preferred Stock are entitled to elect pursuant to the Certificate of Incorporation.</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B Preferred Stock</w:t>
      </w:r>
      <w:r>
        <w:rPr>
          <w:rFonts w:ascii="Arial" w:cs="Arial" w:eastAsia="Arial" w:hAnsi="Arial"/>
          <w:sz w:val="14"/>
          <w:szCs w:val="14"/>
          <w:color w:val="auto"/>
        </w:rPr>
        <w:t>” means shares of the Company’s Series B Preferred Stock, par value $0.0001 per share.</w:t>
      </w:r>
    </w:p>
    <w:p>
      <w:pPr>
        <w:spacing w:after="0" w:line="184" w:lineRule="exact"/>
        <w:rPr>
          <w:sz w:val="20"/>
          <w:szCs w:val="20"/>
          <w:color w:val="auto"/>
        </w:rPr>
      </w:pPr>
    </w:p>
    <w:p>
      <w:pPr>
        <w:jc w:val="both"/>
        <w:ind w:left="860" w:right="120" w:firstLine="546"/>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Single Asset Sale</w:t>
      </w:r>
      <w:r>
        <w:rPr>
          <w:rFonts w:ascii="Arial" w:cs="Arial" w:eastAsia="Arial" w:hAnsi="Arial"/>
          <w:sz w:val="14"/>
          <w:szCs w:val="14"/>
          <w:color w:val="auto"/>
        </w:rPr>
        <w:t>” means the transfer (whether by way of a license or otherwise) by the Company or a Company Subsidiary of a Product to a Party or a third-party, including as contemplated by this Agreement.</w:t>
      </w:r>
    </w:p>
    <w:p>
      <w:pPr>
        <w:spacing w:after="0" w:line="13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Solicited Bid</w:t>
      </w:r>
      <w:r>
        <w:rPr>
          <w:rFonts w:ascii="Arial" w:cs="Arial" w:eastAsia="Arial" w:hAnsi="Arial"/>
          <w:sz w:val="14"/>
          <w:szCs w:val="14"/>
          <w:color w:val="auto"/>
        </w:rPr>
        <w:t xml:space="preserve">” means a bid by a Person in connection with a Bidding Process for a Product or pursuant to the exercise of Bayer’s rights under </w:t>
      </w:r>
      <w:r>
        <w:rPr>
          <w:rFonts w:ascii="Arial" w:cs="Arial" w:eastAsia="Arial" w:hAnsi="Arial"/>
          <w:sz w:val="14"/>
          <w:szCs w:val="14"/>
          <w:u w:val="single" w:color="auto"/>
          <w:color w:val="auto"/>
        </w:rPr>
        <w:t>Section 2.4</w:t>
      </w:r>
      <w:r>
        <w:rPr>
          <w:rFonts w:ascii="Arial" w:cs="Arial" w:eastAsia="Arial" w:hAnsi="Arial"/>
          <w:sz w:val="14"/>
          <w:szCs w:val="14"/>
          <w:color w:val="auto"/>
        </w:rPr>
        <w:t>.</w:t>
      </w:r>
    </w:p>
    <w:p>
      <w:pPr>
        <w:spacing w:after="0" w:line="184" w:lineRule="exact"/>
        <w:rPr>
          <w:sz w:val="20"/>
          <w:szCs w:val="20"/>
          <w:color w:val="auto"/>
        </w:rPr>
      </w:pPr>
    </w:p>
    <w:p>
      <w:pPr>
        <w:jc w:val="both"/>
        <w:ind w:left="860" w:right="140" w:firstLine="546"/>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Equivalents</w:t>
      </w:r>
      <w:r>
        <w:rPr>
          <w:rFonts w:ascii="Arial" w:cs="Arial" w:eastAsia="Arial" w:hAnsi="Arial"/>
          <w:sz w:val="14"/>
          <w:szCs w:val="14"/>
          <w:color w:val="auto"/>
        </w:rPr>
        <w:t>” means any security or obligation that is by its terms, directly or indirectly, convertible into or exchangeable or exercisable for Capital Stock, and any option, warrant or other right to subscribe for, purchase or acquire Capital Stock.</w:t>
      </w:r>
    </w:p>
    <w:p>
      <w:pPr>
        <w:spacing w:after="0" w:line="13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Superior Bid</w:t>
      </w:r>
      <w:r>
        <w:rPr>
          <w:rFonts w:ascii="Arial" w:cs="Arial" w:eastAsia="Arial" w:hAnsi="Arial"/>
          <w:sz w:val="14"/>
          <w:szCs w:val="14"/>
          <w:color w:val="auto"/>
        </w:rPr>
        <w:t>” means the Bid for a Product that provides the most advantageous terms to the Company as determined by the Applicable Directors.</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Superior Bid Notice</w:t>
      </w:r>
      <w:r>
        <w:rPr>
          <w:rFonts w:ascii="Arial" w:cs="Arial" w:eastAsia="Arial" w:hAnsi="Arial"/>
          <w:sz w:val="14"/>
          <w:szCs w:val="14"/>
          <w:color w:val="auto"/>
        </w:rPr>
        <w:t>” means a written notice of the determination of the Superior Bid for a Product, together with the material terms of such Superior Bid.</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Third Party</w:t>
      </w:r>
      <w:r>
        <w:rPr>
          <w:rFonts w:ascii="Arial" w:cs="Arial" w:eastAsia="Arial" w:hAnsi="Arial"/>
          <w:sz w:val="14"/>
          <w:szCs w:val="14"/>
          <w:color w:val="auto"/>
        </w:rPr>
        <w:t>” means any Person other than the Company, Bayer or any of their respective Affiliates.</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w:t>
      </w:r>
      <w:r>
        <w:rPr>
          <w:rFonts w:ascii="Arial" w:cs="Arial" w:eastAsia="Arial" w:hAnsi="Arial"/>
          <w:sz w:val="14"/>
          <w:szCs w:val="14"/>
          <w:color w:val="auto"/>
        </w:rPr>
        <w:t>” means a license, sale, assignment or other transfer of the right to develop and commercialize, as applicable, a Product.</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Unsolicited Bid</w:t>
      </w:r>
      <w:r>
        <w:rPr>
          <w:rFonts w:ascii="Arial" w:cs="Arial" w:eastAsia="Arial" w:hAnsi="Arial"/>
          <w:sz w:val="14"/>
          <w:szCs w:val="14"/>
          <w:color w:val="auto"/>
        </w:rPr>
        <w:t>” means a bid for a Product that is not a Solicited Bid.</w:t>
      </w:r>
    </w:p>
    <w:p>
      <w:pPr>
        <w:spacing w:after="0" w:line="184" w:lineRule="exact"/>
        <w:rPr>
          <w:sz w:val="20"/>
          <w:szCs w:val="20"/>
          <w:color w:val="auto"/>
        </w:rPr>
      </w:pPr>
    </w:p>
    <w:p>
      <w:pPr>
        <w:jc w:val="both"/>
        <w:ind w:left="860" w:right="120" w:firstLine="546"/>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Valuation Firm</w:t>
      </w:r>
      <w:r>
        <w:rPr>
          <w:rFonts w:ascii="Arial" w:cs="Arial" w:eastAsia="Arial" w:hAnsi="Arial"/>
          <w:sz w:val="14"/>
          <w:szCs w:val="14"/>
          <w:color w:val="auto"/>
        </w:rPr>
        <w:t>” means a reputable investment banking firm (or a Person with expertise in providing valuations) with the Relevant Experience to the extent reasonably practicable. The Valuation Firm will be selected by the Applicable Directors and is required to be independent from any Party and/or any of its Affiliates unless otherwise approved by the Board (including the Requisite Approval).</w:t>
      </w:r>
    </w:p>
    <w:p>
      <w:pPr>
        <w:spacing w:after="0" w:line="14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Winning Bid</w:t>
      </w:r>
      <w:r>
        <w:rPr>
          <w:rFonts w:ascii="Arial" w:cs="Arial" w:eastAsia="Arial" w:hAnsi="Arial"/>
          <w:sz w:val="14"/>
          <w:szCs w:val="14"/>
          <w:color w:val="auto"/>
        </w:rPr>
        <w:t>” means the Superior Bid for a Product Transfer that is finally determined to be accepted by the Applicable Directors.</w:t>
      </w:r>
    </w:p>
    <w:p>
      <w:pPr>
        <w:spacing w:after="0" w:line="184" w:lineRule="exact"/>
        <w:rPr>
          <w:sz w:val="20"/>
          <w:szCs w:val="20"/>
          <w:color w:val="auto"/>
        </w:rPr>
      </w:pPr>
    </w:p>
    <w:p>
      <w:pPr>
        <w:jc w:val="both"/>
        <w:ind w:left="860" w:right="140" w:firstLine="546"/>
        <w:spacing w:after="0" w:line="288" w:lineRule="auto"/>
        <w:rPr>
          <w:sz w:val="20"/>
          <w:szCs w:val="20"/>
          <w:color w:val="auto"/>
        </w:rPr>
      </w:pPr>
      <w:r>
        <w:rPr>
          <w:rFonts w:ascii="Arial" w:cs="Arial" w:eastAsia="Arial" w:hAnsi="Arial"/>
          <w:sz w:val="14"/>
          <w:szCs w:val="14"/>
          <w:color w:val="auto"/>
        </w:rPr>
        <w:t>The following terms will have the meanings defined in the Section or Exhibit indicated. Unless otherwise noted, the indicated Section or Exhibit refers to the appropriate Section or Exhibit of this Agreement.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54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Additional Information</w:t>
            </w:r>
          </w:p>
        </w:tc>
        <w:tc>
          <w:tcPr>
            <w:tcW w:w="58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2.4(a)</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Agreement</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Introduction</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Antitrust Authority</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B</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Antitrust Approval</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B</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Antitrust Condition</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B</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Antitrust Filing</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B</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Antitrust Law</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B</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Baseball Expert</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A</w:t>
            </w:r>
          </w:p>
        </w:tc>
      </w:tr>
      <w:tr>
        <w:trPr>
          <w:trHeight w:val="163"/>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Bayer</w:t>
            </w: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Introduction</w:t>
            </w:r>
          </w:p>
        </w:tc>
      </w:tr>
      <w:tr>
        <w:trPr>
          <w:trHeight w:val="508"/>
        </w:trPr>
        <w:tc>
          <w:tcPr>
            <w:tcW w:w="54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280"/>
          </w:cols>
          <w:pgMar w:left="300" w:top="755" w:right="319" w:bottom="1440" w:gutter="0" w:footer="0" w:header="0"/>
        </w:sectPr>
      </w:pPr>
    </w:p>
    <w:bookmarkStart w:id="484" w:name="page485"/>
    <w:bookmarkEnd w:id="4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900" w:type="dxa"/>
            <w:vAlign w:val="bottom"/>
            <w:tcBorders>
              <w:top w:val="single" w:sz="8" w:color="auto"/>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Bayer Solicited Bid Notice</w:t>
            </w:r>
          </w:p>
        </w:tc>
        <w:tc>
          <w:tcPr>
            <w:tcW w:w="24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right w:val="single" w:sz="8" w:color="auto"/>
            </w:tcBorders>
          </w:tcPr>
          <w:p>
            <w:pPr>
              <w:spacing w:after="0"/>
              <w:rPr>
                <w:sz w:val="15"/>
                <w:szCs w:val="15"/>
                <w:color w:val="auto"/>
              </w:rPr>
            </w:pPr>
          </w:p>
        </w:tc>
        <w:tc>
          <w:tcPr>
            <w:tcW w:w="58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Bayer Unsolicited Bid Notice</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2.3</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Century</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Recitals</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Commitment Agreement</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Recitals</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Company</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Introduction</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Conversion</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Recitals</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Counterparty</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B</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Data Package</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Effective Date</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Introduction</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Exclusive Field</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2.7(a)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Filing Party</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B</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First Offer Period</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FMV</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2.4(b)(i)(A)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FMV Bid Period</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2.4(b)(i)(A)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FMV Report</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2.4(b)(i)(A)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IND Submission</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JAMS</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Exhibit 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LLC Agreement</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Recitals</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LM Superior Bid</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2.5(c)</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Merger</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Recitals</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Minimum Offer Terms</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2.2</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Product Closing</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2.6</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Party or Parties</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Introduction</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Original Agreement</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Recitals</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QOFMV</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2.4(b)(i)(A)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Qualifying Offer</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2.2</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Required FMV Terms</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2.4(b)(i)(A)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Revised FMV Bid</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2.4(b)(i)(A)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ROFR Election Notice</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2.1(b)</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ROFR Product Cap</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2.1(b)</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Submission Date</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2.5(a)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Third Party Valuation</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2.4(b)(i)(A)</w:t>
            </w:r>
          </w:p>
        </w:tc>
      </w:tr>
      <w:tr>
        <w:trPr>
          <w:trHeight w:val="163"/>
        </w:trPr>
        <w:tc>
          <w:tcPr>
            <w:tcW w:w="19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Winning Bidder</w:t>
            </w:r>
          </w:p>
        </w:tc>
        <w:tc>
          <w:tcPr>
            <w:tcW w:w="24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Section 2.6</w:t>
            </w:r>
          </w:p>
        </w:tc>
      </w:tr>
      <w:tr>
        <w:trPr>
          <w:trHeight w:val="325"/>
        </w:trPr>
        <w:tc>
          <w:tcPr>
            <w:tcW w:w="1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60" w:type="dxa"/>
            <w:vAlign w:val="bottom"/>
          </w:tcPr>
          <w:p>
            <w:pPr>
              <w:ind w:left="180"/>
              <w:spacing w:after="0"/>
              <w:rPr>
                <w:sz w:val="20"/>
                <w:szCs w:val="20"/>
                <w:color w:val="auto"/>
              </w:rPr>
            </w:pPr>
            <w:r>
              <w:rPr>
                <w:rFonts w:ascii="Arial" w:cs="Arial" w:eastAsia="Arial" w:hAnsi="Arial"/>
                <w:sz w:val="14"/>
                <w:szCs w:val="14"/>
                <w:b w:val="1"/>
                <w:bCs w:val="1"/>
                <w:color w:val="auto"/>
              </w:rPr>
              <w:t>ARTICLE II</w:t>
            </w:r>
          </w:p>
        </w:tc>
      </w:tr>
      <w:tr>
        <w:trPr>
          <w:trHeight w:val="151"/>
        </w:trPr>
        <w:tc>
          <w:tcPr>
            <w:tcW w:w="1900" w:type="dxa"/>
            <w:vAlign w:val="bottom"/>
          </w:tcPr>
          <w:p>
            <w:pPr>
              <w:ind w:left="1460"/>
              <w:spacing w:after="0" w:line="151" w:lineRule="exact"/>
              <w:rPr>
                <w:sz w:val="20"/>
                <w:szCs w:val="20"/>
                <w:color w:val="auto"/>
              </w:rPr>
            </w:pPr>
            <w:r>
              <w:rPr>
                <w:rFonts w:ascii="Arial" w:cs="Arial" w:eastAsia="Arial" w:hAnsi="Arial"/>
                <w:sz w:val="14"/>
                <w:szCs w:val="14"/>
                <w:color w:val="auto"/>
              </w:rPr>
              <w:t>2.1</w:t>
            </w:r>
          </w:p>
        </w:tc>
        <w:tc>
          <w:tcPr>
            <w:tcW w:w="9400" w:type="dxa"/>
            <w:vAlign w:val="bottom"/>
            <w:gridSpan w:val="3"/>
          </w:tcPr>
          <w:p>
            <w:pPr>
              <w:spacing w:after="0" w:line="151" w:lineRule="exact"/>
              <w:rPr>
                <w:sz w:val="20"/>
                <w:szCs w:val="20"/>
                <w:color w:val="auto"/>
              </w:rPr>
            </w:pPr>
            <w:r>
              <w:rPr>
                <w:rFonts w:ascii="Arial" w:cs="Arial" w:eastAsia="Arial" w:hAnsi="Arial"/>
                <w:sz w:val="14"/>
                <w:szCs w:val="14"/>
                <w:color w:val="auto"/>
              </w:rPr>
              <w:t>Approval of Products and ROFR Products.</w:t>
            </w:r>
          </w:p>
        </w:tc>
      </w:tr>
      <w:tr>
        <w:trPr>
          <w:trHeight w:val="20"/>
        </w:trPr>
        <w:tc>
          <w:tcPr>
            <w:tcW w:w="19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860" w:right="120" w:firstLine="1044"/>
        <w:spacing w:after="0" w:line="285" w:lineRule="auto"/>
        <w:tabs>
          <w:tab w:leader="none" w:pos="2252" w:val="left"/>
        </w:tabs>
        <w:numPr>
          <w:ilvl w:val="0"/>
          <w:numId w:val="337"/>
        </w:numPr>
        <w:rPr>
          <w:rFonts w:ascii="Arial" w:cs="Arial" w:eastAsia="Arial" w:hAnsi="Arial"/>
          <w:sz w:val="13"/>
          <w:szCs w:val="13"/>
          <w:color w:val="auto"/>
        </w:rPr>
      </w:pPr>
      <w:r>
        <w:rPr>
          <w:rFonts w:ascii="Arial" w:cs="Arial" w:eastAsia="Arial" w:hAnsi="Arial"/>
          <w:sz w:val="13"/>
          <w:szCs w:val="13"/>
          <w:color w:val="auto"/>
        </w:rPr>
        <w:t>On a Research Program-by-Research Program basis, the Company will promptly notify the Board of any Research Product that the Company reasonably believes satisfies the IND Candidate Criteria for such Research Program. In connection with such notification, the Company will provide the Board with a complete set of supporting data related to such Research Product that the Company has identified as a potential Product deriving from such Research Program. The Board will determine whether such Research Product satisfies the IND Candidate Criteria for such Research Program. If the Board does not believe that such Research Product satisfies the IND Candidate Criteria, then the Company will continue to conduct additional research and development activities with respect to such Research Program and resubmit an IND Candidate Nomination Package for such Research Program as and to the extent applicable. If the Board does believe that such Research Product satisfies the IND Candidate Criteria for such Research Program, then the Board may determine to (i) continue IND-enabling activities for such Research Product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485" w:name="page486"/>
    <w:bookmarkEnd w:id="485"/>
    <w:p>
      <w:pPr>
        <w:ind w:right="20"/>
        <w:spacing w:after="0" w:line="288" w:lineRule="auto"/>
        <w:rPr>
          <w:sz w:val="20"/>
          <w:szCs w:val="20"/>
          <w:color w:val="auto"/>
        </w:rPr>
      </w:pPr>
      <w:r>
        <w:rPr>
          <w:rFonts w:ascii="Arial" w:cs="Arial" w:eastAsia="Arial" w:hAnsi="Arial"/>
          <w:sz w:val="14"/>
          <w:szCs w:val="14"/>
          <w:color w:val="auto"/>
        </w:rPr>
        <w:t>and, ultimately, to approve the Company or a Company Subsidiary making an IND Submission for such Research Product, or (ii) abandon further IND-enabling activities for such Research Product.</w:t>
      </w:r>
    </w:p>
    <w:p>
      <w:pPr>
        <w:spacing w:after="0" w:line="132" w:lineRule="exact"/>
        <w:rPr>
          <w:sz w:val="20"/>
          <w:szCs w:val="20"/>
          <w:color w:val="auto"/>
        </w:rPr>
      </w:pPr>
    </w:p>
    <w:p>
      <w:pPr>
        <w:jc w:val="both"/>
        <w:ind w:firstLine="1044"/>
        <w:spacing w:after="0" w:line="280" w:lineRule="auto"/>
        <w:tabs>
          <w:tab w:leader="none" w:pos="1401" w:val="left"/>
        </w:tabs>
        <w:numPr>
          <w:ilvl w:val="0"/>
          <w:numId w:val="338"/>
        </w:numPr>
        <w:rPr>
          <w:rFonts w:ascii="Arial" w:cs="Arial" w:eastAsia="Arial" w:hAnsi="Arial"/>
          <w:sz w:val="13"/>
          <w:szCs w:val="13"/>
          <w:color w:val="auto"/>
        </w:rPr>
      </w:pPr>
      <w:r>
        <w:rPr>
          <w:rFonts w:ascii="Arial" w:cs="Arial" w:eastAsia="Arial" w:hAnsi="Arial"/>
          <w:sz w:val="13"/>
          <w:szCs w:val="13"/>
          <w:color w:val="auto"/>
        </w:rPr>
        <w:t>Unless otherwise determined by the Board (including the Requisite Approval), a Research Product for which an IND Submission is made will be subject to the Program Rights (and therefore, a ROFR Product) if Bayer delivers to the Company a notice within [***] of Bayer’s receipt of an IND Submission from the Company (a “</w:t>
      </w:r>
      <w:r>
        <w:rPr>
          <w:rFonts w:ascii="Arial" w:cs="Arial" w:eastAsia="Arial" w:hAnsi="Arial"/>
          <w:sz w:val="13"/>
          <w:szCs w:val="13"/>
          <w:u w:val="single" w:color="auto"/>
          <w:color w:val="auto"/>
        </w:rPr>
        <w:t>ROFR Election Notice</w:t>
      </w:r>
      <w:r>
        <w:rPr>
          <w:rFonts w:ascii="Arial" w:cs="Arial" w:eastAsia="Arial" w:hAnsi="Arial"/>
          <w:sz w:val="13"/>
          <w:szCs w:val="13"/>
          <w:color w:val="auto"/>
        </w:rPr>
        <w:t xml:space="preserve">”), and, subject to the remainder of this </w:t>
      </w:r>
      <w:r>
        <w:rPr>
          <w:rFonts w:ascii="Arial" w:cs="Arial" w:eastAsia="Arial" w:hAnsi="Arial"/>
          <w:sz w:val="13"/>
          <w:szCs w:val="13"/>
          <w:u w:val="single" w:color="auto"/>
          <w:color w:val="auto"/>
        </w:rPr>
        <w:t>Section 2.1(b)</w:t>
      </w:r>
      <w:r>
        <w:rPr>
          <w:rFonts w:ascii="Arial" w:cs="Arial" w:eastAsia="Arial" w:hAnsi="Arial"/>
          <w:sz w:val="13"/>
          <w:szCs w:val="13"/>
          <w:color w:val="auto"/>
        </w:rPr>
        <w:t xml:space="preserve">, the subsequent Research Product for which an IND Submission is made will not be subject to the Program Rights (and therefore, not a ROFR Product);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Bayer’s right to designate a Research Product as a ROFR Product shall only apply to the first ten IND Submissions from the Company, and the Program Rights will terminate with respect to any subsequent Product after ten IND Submissions have been made. Thereafter, whether or not a Product is subject to Program Rights will be determined based on whether Bayer exercised its Program Rights by delivering a ROFR Election Notice with respect to the previous IND Submission being made for such Research Product (for example, if Bayer delivers a ROFR Election Notice for the first Research Product, Bayer may not deliver a ROFR Election Notice for the second Research Product, but Bayer may deliver a ROFR Election Notice for the third Research Product or the fourth Research Product (if Bayer did not deliver a ROFR Election Notice for the third Research Product)). For the avoidance of doubt, Bayer may not deliver a ROFR Election Notice for a Research Product if Bayer delivered a ROFR Election Notice for the immediately preceding Research Product for which an IND Submission was made, subject to the remainder of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2.1(b)</w:t>
      </w:r>
      <w:r>
        <w:rPr>
          <w:rFonts w:ascii="Arial" w:cs="Arial" w:eastAsia="Arial" w:hAnsi="Arial"/>
          <w:sz w:val="13"/>
          <w:szCs w:val="13"/>
          <w:color w:val="auto"/>
        </w:rPr>
        <w:t>. In no event will there by more than four ROFR Products (the “</w:t>
      </w:r>
      <w:r>
        <w:rPr>
          <w:rFonts w:ascii="Arial" w:cs="Arial" w:eastAsia="Arial" w:hAnsi="Arial"/>
          <w:sz w:val="13"/>
          <w:szCs w:val="13"/>
          <w:u w:val="single" w:color="auto"/>
          <w:color w:val="auto"/>
        </w:rPr>
        <w:t>ROFR Product Cap</w:t>
      </w:r>
      <w:r>
        <w:rPr>
          <w:rFonts w:ascii="Arial" w:cs="Arial" w:eastAsia="Arial" w:hAnsi="Arial"/>
          <w:sz w:val="13"/>
          <w:szCs w:val="13"/>
          <w:color w:val="auto"/>
        </w:rPr>
        <w:t xml:space="preserve">”), including as provided for in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2.4(c)</w:t>
      </w:r>
      <w:r>
        <w:rPr>
          <w:rFonts w:ascii="Arial" w:cs="Arial" w:eastAsia="Arial" w:hAnsi="Arial"/>
          <w:sz w:val="13"/>
          <w:szCs w:val="13"/>
          <w:color w:val="auto"/>
        </w:rPr>
        <w:t xml:space="preserve">, and the Program Rights will terminate with respect to any subsequent Product once the ROFR Product Cap has been reached. Notwithstanding the foregoing, if Bayer designates [***] of the [***] IND Submissions, then Bayer may designate [***] of the [***] IND Submissions as ROFR Products, sequentially or otherwise;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if Bayer does not designate any, or designates only one, of the [***] IND Submissions, then Bayer may only designate [***] IND Submissions, and such designations will be made on a non-sequential basis (for example, if Bayer designates the [***] IND Submissions, then Bayer may designate [***] IND Submissions, but if Bayer does not designate [***] IND Submissions, Bayer may only designate the [***], or the [***] IND Submissions).</w:t>
      </w:r>
    </w:p>
    <w:p>
      <w:pPr>
        <w:spacing w:after="0" w:line="144" w:lineRule="exact"/>
        <w:rPr>
          <w:sz w:val="20"/>
          <w:szCs w:val="20"/>
          <w:color w:val="auto"/>
        </w:rPr>
      </w:pPr>
    </w:p>
    <w:p>
      <w:pPr>
        <w:jc w:val="both"/>
        <w:ind w:left="80" w:firstLine="518"/>
        <w:spacing w:after="0" w:line="261"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Minimum Offer Terms; Qualifying Offers</w:t>
      </w:r>
      <w:r>
        <w:rPr>
          <w:rFonts w:ascii="Arial" w:cs="Arial" w:eastAsia="Arial" w:hAnsi="Arial"/>
          <w:sz w:val="14"/>
          <w:szCs w:val="14"/>
          <w:color w:val="auto"/>
        </w:rPr>
        <w:t>. Bayer agrees to only make Bids in good faith and all Bids will be in writing addressed to the Company. To the extent reasonably practicable prior to any Solicited Bid (or, with the approval of the Applicable Directors, following any Unsolicited Bid), the Company will provide Bayer with the Company’s current, minimum offer terms with respect to a potential Product Transfer (“</w:t>
      </w:r>
      <w:r>
        <w:rPr>
          <w:rFonts w:ascii="Arial" w:cs="Arial" w:eastAsia="Arial" w:hAnsi="Arial"/>
          <w:sz w:val="14"/>
          <w:szCs w:val="14"/>
          <w:u w:val="single" w:color="auto"/>
          <w:color w:val="auto"/>
        </w:rPr>
        <w:t>Minimum Offer Terms</w:t>
      </w:r>
      <w:r>
        <w:rPr>
          <w:rFonts w:ascii="Arial" w:cs="Arial" w:eastAsia="Arial" w:hAnsi="Arial"/>
          <w:sz w:val="14"/>
          <w:szCs w:val="14"/>
          <w:color w:val="auto"/>
        </w:rPr>
        <w:t>”), which will be adopted by the Applicable Directors from time to time and will include, at a minimum, (a) a good faith determination of the minimum amount of up-front cash proceeds to be received by the Company in such Product Transfer and (b) any other term if and to the extent applicable to a sublicense of any relevant intellectual property under a license (or sublicense) to which the Company or any of its Affiliates is a party (including the License Agreement (differentiation), dated September 18, 2018, between FCDI and the Company, as amended from time to time). A Bid from Bayer or a Third Party which is made in good faith and meets the Minimum Offer Terms in all material respects will be a “</w:t>
      </w:r>
      <w:r>
        <w:rPr>
          <w:rFonts w:ascii="Arial" w:cs="Arial" w:eastAsia="Arial" w:hAnsi="Arial"/>
          <w:sz w:val="14"/>
          <w:szCs w:val="14"/>
          <w:u w:val="single" w:color="auto"/>
          <w:color w:val="auto"/>
        </w:rPr>
        <w:t>Qualifying Offer</w:t>
      </w:r>
      <w:r>
        <w:rPr>
          <w:rFonts w:ascii="Arial" w:cs="Arial" w:eastAsia="Arial" w:hAnsi="Arial"/>
          <w:sz w:val="14"/>
          <w:szCs w:val="14"/>
          <w:color w:val="auto"/>
        </w:rPr>
        <w:t>”. The Applicable Directors will consider and evaluate any Bid in good faith and in the best interests of the Company.</w:t>
      </w:r>
    </w:p>
    <w:p>
      <w:pPr>
        <w:spacing w:after="0" w:line="153" w:lineRule="exact"/>
        <w:rPr>
          <w:sz w:val="20"/>
          <w:szCs w:val="20"/>
          <w:color w:val="auto"/>
        </w:rPr>
      </w:pPr>
    </w:p>
    <w:p>
      <w:pPr>
        <w:jc w:val="both"/>
        <w:ind w:left="80" w:firstLine="518"/>
        <w:spacing w:after="0" w:line="267"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Unsolicited Bids by a Third Party</w:t>
      </w:r>
      <w:r>
        <w:rPr>
          <w:rFonts w:ascii="Arial" w:cs="Arial" w:eastAsia="Arial" w:hAnsi="Arial"/>
          <w:sz w:val="14"/>
          <w:szCs w:val="14"/>
          <w:color w:val="auto"/>
        </w:rPr>
        <w:t>. If a Third Party makes an Unsolicited Bid for a Research Product prior to the IND Submission for such Research Product, the Company will promptly (and in any event, within [***] Business Days) provide the Directors and Bayer with written notice of such Unsolicited Bid including all documents, data and information related to the Unsolicited Bid received by the Third Party in tangible form. As promptly as practicable thereafter, the Board (with the Requisite Approval) will determine whether (a) such Bid is a Qualifying Offer for such Research Product, (b) to negotiate the terms</w:t>
      </w:r>
    </w:p>
    <w:p>
      <w:pPr>
        <w:spacing w:after="0" w:line="319"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00"/>
          </w:cols>
          <w:pgMar w:left="1160" w:top="755" w:right="439" w:bottom="1440" w:gutter="0" w:footer="0" w:header="0"/>
        </w:sectPr>
      </w:pPr>
    </w:p>
    <w:bookmarkStart w:id="486" w:name="page487"/>
    <w:bookmarkEnd w:id="486"/>
    <w:p>
      <w:pPr>
        <w:jc w:val="both"/>
        <w:spacing w:after="0" w:line="280" w:lineRule="auto"/>
        <w:rPr>
          <w:sz w:val="20"/>
          <w:szCs w:val="20"/>
          <w:color w:val="auto"/>
        </w:rPr>
      </w:pPr>
      <w:r>
        <w:rPr>
          <w:rFonts w:ascii="Arial" w:cs="Arial" w:eastAsia="Arial" w:hAnsi="Arial"/>
          <w:sz w:val="13"/>
          <w:szCs w:val="13"/>
          <w:color w:val="auto"/>
        </w:rPr>
        <w:t xml:space="preserve">of such Product Transfer with such Third Party (including, if it is determined that the terms of the Bid is not a Qualifying Offer, to negotiate such terms so that the Bid is a Qualifying Offer), (c) to accept or reject the Bid of such Third Party and/or (d) to begin a Bidding Process; </w:t>
      </w:r>
      <w:r>
        <w:rPr>
          <w:rFonts w:ascii="Arial" w:cs="Arial" w:eastAsia="Arial" w:hAnsi="Arial"/>
          <w:sz w:val="13"/>
          <w:szCs w:val="13"/>
          <w:u w:val="single" w:color="auto"/>
          <w:color w:val="auto"/>
        </w:rPr>
        <w:t>provided</w:t>
      </w:r>
      <w:r>
        <w:rPr>
          <w:rFonts w:ascii="Arial" w:cs="Arial" w:eastAsia="Arial" w:hAnsi="Arial"/>
          <w:sz w:val="13"/>
          <w:szCs w:val="13"/>
          <w:color w:val="auto"/>
        </w:rPr>
        <w:t>, that, if, during the [***] following the Company’s receipt of the Unsolicited Bid, Bayer makes a Bid for the same Research Product that Bayer believes in good faith to be at least as favorable to the Company as such Third Party’s Bid, (i) Bayer will provide an Unsolicited Bid for such Research Product (which will include the material terms of the Product Transfer for such Research Product, together with a certification letter signed by an authorized Representative of Bayer that certifies that such Bid is a Qualifying Offer for such Research Product (a “</w:t>
      </w:r>
      <w:r>
        <w:rPr>
          <w:rFonts w:ascii="Arial" w:cs="Arial" w:eastAsia="Arial" w:hAnsi="Arial"/>
          <w:sz w:val="13"/>
          <w:szCs w:val="13"/>
          <w:u w:val="single" w:color="auto"/>
          <w:color w:val="auto"/>
        </w:rPr>
        <w:t>Bayer Unsolicited Bid</w:t>
      </w:r>
      <w:r>
        <w:rPr>
          <w:rFonts w:ascii="Arial" w:cs="Arial" w:eastAsia="Arial" w:hAnsi="Arial"/>
          <w:sz w:val="13"/>
          <w:szCs w:val="13"/>
          <w:color w:val="auto"/>
        </w:rPr>
        <w:t xml:space="preserve"> </w:t>
      </w:r>
      <w:r>
        <w:rPr>
          <w:rFonts w:ascii="Arial" w:cs="Arial" w:eastAsia="Arial" w:hAnsi="Arial"/>
          <w:sz w:val="13"/>
          <w:szCs w:val="13"/>
          <w:u w:val="single" w:color="auto"/>
          <w:color w:val="auto"/>
        </w:rPr>
        <w:t>Notice</w:t>
      </w:r>
      <w:r>
        <w:rPr>
          <w:rFonts w:ascii="Arial" w:cs="Arial" w:eastAsia="Arial" w:hAnsi="Arial"/>
          <w:sz w:val="13"/>
          <w:szCs w:val="13"/>
          <w:color w:val="auto"/>
        </w:rPr>
        <w:t xml:space="preserve">”)) to the Company, (ii) following receipt of such Bayer Unsolicited Bid Notice, Bayer will be considered a Bidding Party, and (iii) the Applicable Directors will have the sole discretion to (w) negotiate the terms of such Product Transfer with Bayer (including, if it is determined that the terms of the Bid is not a Qualifying Offer, to negotiate such terms so that the Bid is a Qualifying Offer), (x) accept or reject the Bid of Bayer, (y) begin a Bidding Process (which will provide Bayer with a Last Topping Right for such Bidding Process so long as Bayer had not provided a Formal Withdrawal with respect to such Product Transfer, but will otherwise be determined in the sole discretion of the Applicable Directors (including the Minimum Offer Terms) and the Applicable Directors will be under no obligation to accept any Bid), and/or (z) take no action with respect to such Bid of Bayer for such Research Product. Notwithstanding anything to the contrary in the Certificate of Incorporation, Bylaws or Investors’ Rights Agreement, only the approval of the Applicable Directors will be required for the Company to undertake any such Product Transfer, and if Bayer is a Bidding Party, neither Bayer’s nor the Bidding Party Director’s approval, vote or consent will be required for any stockholder or Board approval required for such Product Transfer (including the Requisite Approval). If Bayer submits a Bayer Unsolicited Bid Notice and the applicable Research Product is Transferred in a Product Transfer to Bayer or one of its Affiliates, such Research Product will count towards reaching the ROFR Product Cap as if it was a ROFR Product. This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will not apply to any Product following the IND Submission for such Product.</w:t>
      </w:r>
    </w:p>
    <w:p>
      <w:pPr>
        <w:spacing w:after="0" w:line="146"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3"/>
          <w:szCs w:val="13"/>
          <w:u w:val="single" w:color="auto"/>
          <w:color w:val="auto"/>
        </w:rPr>
        <w:t>Right of First Offer</w:t>
      </w:r>
      <w:r>
        <w:rPr>
          <w:rFonts w:ascii="Arial" w:cs="Arial" w:eastAsia="Arial" w:hAnsi="Arial"/>
          <w:sz w:val="13"/>
          <w:szCs w:val="13"/>
          <w:color w:val="auto"/>
        </w:rPr>
        <w:t>.</w:t>
      </w:r>
    </w:p>
    <w:p>
      <w:pPr>
        <w:spacing w:after="0" w:line="184" w:lineRule="exact"/>
        <w:rPr>
          <w:sz w:val="20"/>
          <w:szCs w:val="20"/>
          <w:color w:val="auto"/>
        </w:rPr>
      </w:pPr>
    </w:p>
    <w:p>
      <w:pPr>
        <w:jc w:val="both"/>
        <w:ind w:left="-80" w:firstLine="1044"/>
        <w:spacing w:after="0" w:line="282" w:lineRule="auto"/>
        <w:tabs>
          <w:tab w:leader="none" w:pos="1313" w:val="left"/>
        </w:tabs>
        <w:numPr>
          <w:ilvl w:val="0"/>
          <w:numId w:val="339"/>
        </w:numPr>
        <w:rPr>
          <w:rFonts w:ascii="Arial" w:cs="Arial" w:eastAsia="Arial" w:hAnsi="Arial"/>
          <w:sz w:val="13"/>
          <w:szCs w:val="13"/>
          <w:color w:val="auto"/>
        </w:rPr>
      </w:pPr>
      <w:r>
        <w:rPr>
          <w:rFonts w:ascii="Arial" w:cs="Arial" w:eastAsia="Arial" w:hAnsi="Arial"/>
          <w:sz w:val="13"/>
          <w:szCs w:val="13"/>
          <w:color w:val="auto"/>
        </w:rPr>
        <w:t>Unless otherwise determined by the Board (including the Requisite Approval), within [***] after the Company submits an IND or CTA to the applicable Governmental Authority for a Product, the Company will provide to Bayer such IND or CTA submission for such Product (including all data, exhibits and related correspondence with the FDA) (the “</w:t>
      </w:r>
      <w:r>
        <w:rPr>
          <w:rFonts w:ascii="Arial" w:cs="Arial" w:eastAsia="Arial" w:hAnsi="Arial"/>
          <w:sz w:val="13"/>
          <w:szCs w:val="13"/>
          <w:u w:val="single" w:color="auto"/>
          <w:color w:val="auto"/>
        </w:rPr>
        <w:t>IND Submission</w:t>
      </w:r>
      <w:r>
        <w:rPr>
          <w:rFonts w:ascii="Arial" w:cs="Arial" w:eastAsia="Arial" w:hAnsi="Arial"/>
          <w:sz w:val="13"/>
          <w:szCs w:val="13"/>
          <w:color w:val="auto"/>
        </w:rPr>
        <w:t>” for such Product), and if Bayer subsequently delivers a ROFR Election Notice (and therefore, such Product is a ROFR Product), the Company will promptly provide to Bayer the applicable Minimum Offer Terms for the Product Transfer for such ROFR Product and the other data and information reasonably necessary to evaluate the advisability of, and the preparation of, a Qualifying Offer for such Product (such terms, data and information for such ROFR Product, the “</w:t>
      </w:r>
      <w:r>
        <w:rPr>
          <w:rFonts w:ascii="Arial" w:cs="Arial" w:eastAsia="Arial" w:hAnsi="Arial"/>
          <w:sz w:val="13"/>
          <w:szCs w:val="13"/>
          <w:u w:val="single" w:color="auto"/>
          <w:color w:val="auto"/>
        </w:rPr>
        <w:t>Additional</w:t>
      </w:r>
      <w:r>
        <w:rPr>
          <w:rFonts w:ascii="Arial" w:cs="Arial" w:eastAsia="Arial" w:hAnsi="Arial"/>
          <w:sz w:val="13"/>
          <w:szCs w:val="13"/>
          <w:color w:val="auto"/>
        </w:rPr>
        <w:t xml:space="preserve"> </w:t>
      </w:r>
      <w:r>
        <w:rPr>
          <w:rFonts w:ascii="Arial" w:cs="Arial" w:eastAsia="Arial" w:hAnsi="Arial"/>
          <w:sz w:val="13"/>
          <w:szCs w:val="13"/>
          <w:u w:val="single" w:color="auto"/>
          <w:color w:val="auto"/>
        </w:rPr>
        <w:t>Information</w:t>
      </w:r>
      <w:r>
        <w:rPr>
          <w:rFonts w:ascii="Arial" w:cs="Arial" w:eastAsia="Arial" w:hAnsi="Arial"/>
          <w:sz w:val="13"/>
          <w:szCs w:val="13"/>
          <w:color w:val="auto"/>
        </w:rPr>
        <w:t>” and together with the IND Submission for such Product, the “</w:t>
      </w:r>
      <w:r>
        <w:rPr>
          <w:rFonts w:ascii="Arial" w:cs="Arial" w:eastAsia="Arial" w:hAnsi="Arial"/>
          <w:sz w:val="13"/>
          <w:szCs w:val="13"/>
          <w:u w:val="single" w:color="auto"/>
          <w:color w:val="auto"/>
        </w:rPr>
        <w:t>Data Package</w:t>
      </w:r>
      <w:r>
        <w:rPr>
          <w:rFonts w:ascii="Arial" w:cs="Arial" w:eastAsia="Arial" w:hAnsi="Arial"/>
          <w:sz w:val="13"/>
          <w:szCs w:val="13"/>
          <w:color w:val="auto"/>
        </w:rPr>
        <w:t>”). Following the Company’s delivery of a Data Package for a ROFR Product to Bayer, Bayer may request in writing that the Company provide specific additional background information and data (although not including raw data) to further clarify the contents of such Data Package, which information and data the Company will promptly make available to Bayer to the extent that such request is commercially reasonable and to the extent and in such form as such information and data are in the Company’s possession and control. The Company and the Company Subsidiaries will not have any obligation to conduct any additional studies or undertake any further analysis of any data or information in accordance with the preceding sentence.</w:t>
      </w:r>
    </w:p>
    <w:p>
      <w:pPr>
        <w:spacing w:after="0" w:line="142" w:lineRule="exact"/>
        <w:rPr>
          <w:rFonts w:ascii="Arial" w:cs="Arial" w:eastAsia="Arial" w:hAnsi="Arial"/>
          <w:sz w:val="13"/>
          <w:szCs w:val="13"/>
          <w:color w:val="auto"/>
        </w:rPr>
      </w:pPr>
    </w:p>
    <w:p>
      <w:pPr>
        <w:jc w:val="both"/>
        <w:ind w:left="-80" w:firstLine="1044"/>
        <w:spacing w:after="0" w:line="273" w:lineRule="auto"/>
        <w:tabs>
          <w:tab w:leader="none" w:pos="1321" w:val="left"/>
        </w:tabs>
        <w:numPr>
          <w:ilvl w:val="0"/>
          <w:numId w:val="339"/>
        </w:numPr>
        <w:rPr>
          <w:rFonts w:ascii="Arial" w:cs="Arial" w:eastAsia="Arial" w:hAnsi="Arial"/>
          <w:sz w:val="14"/>
          <w:szCs w:val="14"/>
          <w:color w:val="auto"/>
        </w:rPr>
      </w:pPr>
      <w:r>
        <w:rPr>
          <w:rFonts w:ascii="Arial" w:cs="Arial" w:eastAsia="Arial" w:hAnsi="Arial"/>
          <w:sz w:val="14"/>
          <w:szCs w:val="14"/>
          <w:color w:val="auto"/>
        </w:rPr>
        <w:t>During the period starting on the date of delivery of the Data Package for a ROFR Product and ending on the earlier of (i) [***] following such delivery date and (ii) [***] following IND Acceptance for such ROFR Product (the “</w:t>
      </w:r>
      <w:r>
        <w:rPr>
          <w:rFonts w:ascii="Arial" w:cs="Arial" w:eastAsia="Arial" w:hAnsi="Arial"/>
          <w:sz w:val="14"/>
          <w:szCs w:val="14"/>
          <w:u w:val="single" w:color="auto"/>
          <w:color w:val="auto"/>
        </w:rPr>
        <w:t>First Offer Period</w:t>
      </w:r>
      <w:r>
        <w:rPr>
          <w:rFonts w:ascii="Arial" w:cs="Arial" w:eastAsia="Arial" w:hAnsi="Arial"/>
          <w:sz w:val="14"/>
          <w:szCs w:val="14"/>
          <w:color w:val="auto"/>
        </w:rPr>
        <w:t>”), Bayer will have the exclusive right to review the Data Package to make a Bid for such ROFR Product and to submit a Qualifying Offer for such ROFR</w:t>
      </w:r>
    </w:p>
    <w:p>
      <w:pPr>
        <w:spacing w:after="0" w:line="31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13970</wp:posOffset>
            </wp:positionV>
            <wp:extent cx="7159625"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220"/>
          </w:cols>
          <w:pgMar w:left="1240" w:top="755" w:right="439" w:bottom="1440" w:gutter="0" w:footer="0" w:header="0"/>
        </w:sectPr>
      </w:pPr>
    </w:p>
    <w:bookmarkStart w:id="487" w:name="page488"/>
    <w:bookmarkEnd w:id="487"/>
    <w:p>
      <w:pPr>
        <w:jc w:val="both"/>
        <w:spacing w:after="0" w:line="303" w:lineRule="auto"/>
        <w:rPr>
          <w:sz w:val="20"/>
          <w:szCs w:val="20"/>
          <w:color w:val="auto"/>
        </w:rPr>
      </w:pPr>
      <w:r>
        <w:rPr>
          <w:rFonts w:ascii="Arial" w:cs="Arial" w:eastAsia="Arial" w:hAnsi="Arial"/>
          <w:sz w:val="13"/>
          <w:szCs w:val="13"/>
          <w:color w:val="auto"/>
        </w:rPr>
        <w:t>Product. To exercise such right for a ROFR Product, Bayer will be required to provide to the Company (prior to the expiration of the First Offer Period for such ROFR Product) a Bid for such ROFR Product which will include the material terms of the applicable Product Transfer (a “</w:t>
      </w:r>
      <w:r>
        <w:rPr>
          <w:rFonts w:ascii="Arial" w:cs="Arial" w:eastAsia="Arial" w:hAnsi="Arial"/>
          <w:sz w:val="13"/>
          <w:szCs w:val="13"/>
          <w:u w:val="single" w:color="auto"/>
          <w:color w:val="auto"/>
        </w:rPr>
        <w:t>Bayer Solicited Bid Notice</w:t>
      </w:r>
      <w:r>
        <w:rPr>
          <w:rFonts w:ascii="Arial" w:cs="Arial" w:eastAsia="Arial" w:hAnsi="Arial"/>
          <w:sz w:val="13"/>
          <w:szCs w:val="13"/>
          <w:color w:val="auto"/>
        </w:rPr>
        <w:t>”). The timing of the First Offer Period for a ROFR Product may be delayed until a mutually agreed, subsequent time period with the written consent of all Parties prior to the start of such First Offer Period.</w:t>
      </w:r>
    </w:p>
    <w:p>
      <w:pPr>
        <w:spacing w:after="0" w:line="124" w:lineRule="exact"/>
        <w:rPr>
          <w:sz w:val="20"/>
          <w:szCs w:val="20"/>
          <w:color w:val="auto"/>
        </w:rPr>
      </w:pPr>
    </w:p>
    <w:p>
      <w:pPr>
        <w:jc w:val="both"/>
        <w:ind w:firstLine="1563"/>
        <w:spacing w:after="0" w:line="261" w:lineRule="auto"/>
        <w:tabs>
          <w:tab w:leader="none" w:pos="1923" w:val="left"/>
        </w:tabs>
        <w:numPr>
          <w:ilvl w:val="1"/>
          <w:numId w:val="340"/>
        </w:numPr>
        <w:rPr>
          <w:rFonts w:ascii="Arial" w:cs="Arial" w:eastAsia="Arial" w:hAnsi="Arial"/>
          <w:sz w:val="14"/>
          <w:szCs w:val="14"/>
          <w:color w:val="auto"/>
        </w:rPr>
      </w:pPr>
      <w:r>
        <w:rPr>
          <w:rFonts w:ascii="Arial" w:cs="Arial" w:eastAsia="Arial" w:hAnsi="Arial"/>
          <w:sz w:val="14"/>
          <w:szCs w:val="14"/>
          <w:color w:val="auto"/>
        </w:rPr>
        <w:t xml:space="preserve">If Bayer delivers a Bayer Solicited Bid Notice for such ROFR Product to the Company during the First Offer Period for such ROFR Product, Bayer will be considered a Bidding Party. Notwithstanding anything to the contrary contained in the Certificate of Incorporation, Bylaws or Investors’ Rights Agreement, only the approval of the Applicable Directors will be required for the Company to undertake any Product Transfer for such ROFR Product, and the Bidding Party’s and the Bidding Party Director’s approval, vote or consent will not be required for any stockholder or Board approval required for such Product Transfer (including the Requisite Approval). Subject to compliance with the remainder of this </w:t>
      </w:r>
      <w:r>
        <w:rPr>
          <w:rFonts w:ascii="Arial" w:cs="Arial" w:eastAsia="Arial" w:hAnsi="Arial"/>
          <w:sz w:val="14"/>
          <w:szCs w:val="14"/>
          <w:u w:val="single" w:color="auto"/>
          <w:color w:val="auto"/>
        </w:rPr>
        <w:t>Section 2.4(b)(i)</w:t>
      </w:r>
      <w:r>
        <w:rPr>
          <w:rFonts w:ascii="Arial" w:cs="Arial" w:eastAsia="Arial" w:hAnsi="Arial"/>
          <w:sz w:val="14"/>
          <w:szCs w:val="14"/>
          <w:color w:val="auto"/>
        </w:rPr>
        <w:t xml:space="preserve">, the Applicable Directors will determine in good faith whether Bayer’s Bid in such Bayer Solicited Bid Notice is a Qualifying Offer for such ROFR Product. If there is any dispute with respect to whether Bayer’s Bid in such Bayer Solicited Bid Notice is a Qualifying Offer for such ROFR Product, such dispute will be escalated in accordance with the procedures set forth in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attached 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if such dispute is not resolved within the 30-day period set forth therein, then such dispute will be referred to Baseball Arbitration.</w:t>
      </w:r>
    </w:p>
    <w:p>
      <w:pPr>
        <w:spacing w:after="0" w:line="153" w:lineRule="exact"/>
        <w:rPr>
          <w:rFonts w:ascii="Arial" w:cs="Arial" w:eastAsia="Arial" w:hAnsi="Arial"/>
          <w:sz w:val="14"/>
          <w:szCs w:val="14"/>
          <w:color w:val="auto"/>
        </w:rPr>
      </w:pPr>
    </w:p>
    <w:p>
      <w:pPr>
        <w:jc w:val="both"/>
        <w:ind w:firstLine="2080"/>
        <w:spacing w:after="0" w:line="278" w:lineRule="auto"/>
        <w:tabs>
          <w:tab w:leader="none" w:pos="2577" w:val="left"/>
        </w:tabs>
        <w:numPr>
          <w:ilvl w:val="2"/>
          <w:numId w:val="340"/>
        </w:numPr>
        <w:rPr>
          <w:rFonts w:ascii="Arial" w:cs="Arial" w:eastAsia="Arial" w:hAnsi="Arial"/>
          <w:sz w:val="13"/>
          <w:szCs w:val="13"/>
          <w:color w:val="auto"/>
        </w:rPr>
      </w:pPr>
      <w:r>
        <w:rPr>
          <w:rFonts w:ascii="Arial" w:cs="Arial" w:eastAsia="Arial" w:hAnsi="Arial"/>
          <w:sz w:val="13"/>
          <w:szCs w:val="13"/>
          <w:color w:val="auto"/>
        </w:rPr>
        <w:t>If such Bid is a Qualifying Offer, then the Applicable Directors may, in their discretion, accept such Bid or negotiate the terms of such Product Transfer with Bayer. If Bayer and the Applicable Directors are unable to agree to terms of such Product Transfer within ten Business Days following the Company’s receipt of such Bayer Solicited Bid Notice, then the Company may, at the instruction of the Applicable Directors, seek an independent valuation of such ROFR Product from a Valuation Firm (a “</w:t>
      </w:r>
      <w:r>
        <w:rPr>
          <w:rFonts w:ascii="Arial" w:cs="Arial" w:eastAsia="Arial" w:hAnsi="Arial"/>
          <w:sz w:val="13"/>
          <w:szCs w:val="13"/>
          <w:u w:val="single" w:color="auto"/>
          <w:color w:val="auto"/>
        </w:rPr>
        <w:t>Third Party Valuation</w:t>
      </w:r>
      <w:r>
        <w:rPr>
          <w:rFonts w:ascii="Arial" w:cs="Arial" w:eastAsia="Arial" w:hAnsi="Arial"/>
          <w:sz w:val="13"/>
          <w:szCs w:val="13"/>
          <w:color w:val="auto"/>
        </w:rPr>
        <w:t>”) to determine the fair market value of such ROFR Product (assuming the Minimum Offer Terms for such Product Transfer, as adjusted by the terms in such Qualifying Offer that the Applicable Directors have accepted in principle) (the “</w:t>
      </w:r>
      <w:r>
        <w:rPr>
          <w:rFonts w:ascii="Arial" w:cs="Arial" w:eastAsia="Arial" w:hAnsi="Arial"/>
          <w:sz w:val="13"/>
          <w:szCs w:val="13"/>
          <w:u w:val="single" w:color="auto"/>
          <w:color w:val="auto"/>
        </w:rPr>
        <w:t>FMV</w:t>
      </w:r>
      <w:r>
        <w:rPr>
          <w:rFonts w:ascii="Arial" w:cs="Arial" w:eastAsia="Arial" w:hAnsi="Arial"/>
          <w:sz w:val="13"/>
          <w:szCs w:val="13"/>
          <w:color w:val="auto"/>
        </w:rPr>
        <w:t>”) and the fair market value of such Qualifying Offer (“</w:t>
      </w:r>
      <w:r>
        <w:rPr>
          <w:rFonts w:ascii="Arial" w:cs="Arial" w:eastAsia="Arial" w:hAnsi="Arial"/>
          <w:sz w:val="13"/>
          <w:szCs w:val="13"/>
          <w:u w:val="single" w:color="auto"/>
          <w:color w:val="auto"/>
        </w:rPr>
        <w:t>QOFMV</w:t>
      </w:r>
      <w:r>
        <w:rPr>
          <w:rFonts w:ascii="Arial" w:cs="Arial" w:eastAsia="Arial" w:hAnsi="Arial"/>
          <w:sz w:val="13"/>
          <w:szCs w:val="13"/>
          <w:color w:val="auto"/>
        </w:rPr>
        <w:t>”). The Valuation Firm will prepare and deliver to the Company a written report which provides the FMV and QOFMV for such ROFR Product, with reasonable supporting detail (the “</w:t>
      </w:r>
      <w:r>
        <w:rPr>
          <w:rFonts w:ascii="Arial" w:cs="Arial" w:eastAsia="Arial" w:hAnsi="Arial"/>
          <w:sz w:val="13"/>
          <w:szCs w:val="13"/>
          <w:u w:val="single" w:color="auto"/>
          <w:color w:val="auto"/>
        </w:rPr>
        <w:t>FMV Report</w:t>
      </w:r>
      <w:r>
        <w:rPr>
          <w:rFonts w:ascii="Arial" w:cs="Arial" w:eastAsia="Arial" w:hAnsi="Arial"/>
          <w:sz w:val="13"/>
          <w:szCs w:val="13"/>
          <w:color w:val="auto"/>
        </w:rPr>
        <w:t>”), within [***] of its engagement by the Company for such Third Party Valuation. The FMV Report will be delivered to the Company, Bayer and the Applicable Directors within [***] Business Days of it being completed. If the FMV is determined to be higher than the QOFMV for such ROFR Product, Bayer will have a right to provide a revised Bid (which Bid will be binding) to the Company (the “</w:t>
      </w:r>
      <w:r>
        <w:rPr>
          <w:rFonts w:ascii="Arial" w:cs="Arial" w:eastAsia="Arial" w:hAnsi="Arial"/>
          <w:sz w:val="13"/>
          <w:szCs w:val="13"/>
          <w:u w:val="single" w:color="auto"/>
          <w:color w:val="auto"/>
        </w:rPr>
        <w:t>Revised FMV Bid</w:t>
      </w:r>
      <w:r>
        <w:rPr>
          <w:rFonts w:ascii="Arial" w:cs="Arial" w:eastAsia="Arial" w:hAnsi="Arial"/>
          <w:sz w:val="13"/>
          <w:szCs w:val="13"/>
          <w:color w:val="auto"/>
        </w:rPr>
        <w:t>”) that includes terms that provide for a fair market value of such ROFR Product equal to [***] of the FMV (the “</w:t>
      </w:r>
      <w:r>
        <w:rPr>
          <w:rFonts w:ascii="Arial" w:cs="Arial" w:eastAsia="Arial" w:hAnsi="Arial"/>
          <w:sz w:val="13"/>
          <w:szCs w:val="13"/>
          <w:u w:val="single" w:color="auto"/>
          <w:color w:val="auto"/>
        </w:rPr>
        <w:t>Required FMV Terms</w:t>
      </w:r>
      <w:r>
        <w:rPr>
          <w:rFonts w:ascii="Arial" w:cs="Arial" w:eastAsia="Arial" w:hAnsi="Arial"/>
          <w:sz w:val="13"/>
          <w:szCs w:val="13"/>
          <w:color w:val="auto"/>
        </w:rPr>
        <w:t>”). Such right to provide a revised Bid is required to be exercised by Bayer by submitting a Revised FMV Bid to the Company within</w:t>
      </w:r>
    </w:p>
    <w:p>
      <w:pPr>
        <w:spacing w:after="0" w:line="4" w:lineRule="exact"/>
        <w:rPr>
          <w:rFonts w:ascii="Arial" w:cs="Arial" w:eastAsia="Arial" w:hAnsi="Arial"/>
          <w:sz w:val="13"/>
          <w:szCs w:val="13"/>
          <w:color w:val="auto"/>
        </w:rPr>
      </w:pPr>
    </w:p>
    <w:p>
      <w:pPr>
        <w:jc w:val="both"/>
        <w:ind w:firstLine="9"/>
        <w:spacing w:after="0" w:line="259" w:lineRule="auto"/>
        <w:tabs>
          <w:tab w:leader="none" w:pos="354" w:val="left"/>
        </w:tabs>
        <w:numPr>
          <w:ilvl w:val="0"/>
          <w:numId w:val="340"/>
        </w:numPr>
        <w:rPr>
          <w:rFonts w:ascii="Arial" w:cs="Arial" w:eastAsia="Arial" w:hAnsi="Arial"/>
          <w:sz w:val="14"/>
          <w:szCs w:val="14"/>
          <w:color w:val="auto"/>
        </w:rPr>
      </w:pPr>
      <w:r>
        <w:rPr>
          <w:rFonts w:ascii="Arial" w:cs="Arial" w:eastAsia="Arial" w:hAnsi="Arial"/>
          <w:sz w:val="14"/>
          <w:szCs w:val="14"/>
          <w:color w:val="auto"/>
        </w:rPr>
        <w:t>of delivery of the FMV Report (the “</w:t>
      </w:r>
      <w:r>
        <w:rPr>
          <w:rFonts w:ascii="Arial" w:cs="Arial" w:eastAsia="Arial" w:hAnsi="Arial"/>
          <w:sz w:val="14"/>
          <w:szCs w:val="14"/>
          <w:u w:val="single" w:color="auto"/>
          <w:color w:val="auto"/>
        </w:rPr>
        <w:t>FMV Bid Period</w:t>
      </w:r>
      <w:r>
        <w:rPr>
          <w:rFonts w:ascii="Arial" w:cs="Arial" w:eastAsia="Arial" w:hAnsi="Arial"/>
          <w:sz w:val="14"/>
          <w:szCs w:val="14"/>
          <w:color w:val="auto"/>
        </w:rPr>
        <w:t xml:space="preserve">”). If there is any dispute with respect to whether such Revised FMV Bid satisfies such Required FMV Terms, such dispute will be referred to Baseball Arbitration. The Superior Bid will be: (x) such Qualifying Offer if the Company does not seek a Third Party Valuation or the QOFMV is determined to be higher than the FMV; (y) the Revised FMV Bid if it satisfies the Required FMV Terms; or (z) any Bid agreed to by Bayer and approved by the Applicable Directors;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there will be no Superior Bid if Bayer does not provide a Revised FMV Bid during the FMV Bid Period or the Revised FMV Bid does not satisfy the Required FMV Terms, and thereafter the Company may take any action with respect to such ROFR Product free and clear of any Program Rights and Last Topping Rights for such ROFR Product;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Bayer will maintain its Last Topping Right in connection with any subsequent Bidding Process for such Company Product if the terms and conditions of the Superior Bid (as determined by the Applicable Directors) in such subsequent Bidding Process are not at least as favorable to the Company as those detailed in the FMV Report. If there is a Superior Bid as determined in accordance with this </w:t>
      </w:r>
      <w:r>
        <w:rPr>
          <w:rFonts w:ascii="Arial" w:cs="Arial" w:eastAsia="Arial" w:hAnsi="Arial"/>
          <w:sz w:val="14"/>
          <w:szCs w:val="14"/>
          <w:u w:val="single" w:color="auto"/>
          <w:color w:val="auto"/>
        </w:rPr>
        <w:t>Section 2.4(b)(i)(A)</w:t>
      </w:r>
      <w:r>
        <w:rPr>
          <w:rFonts w:ascii="Arial" w:cs="Arial" w:eastAsia="Arial" w:hAnsi="Arial"/>
          <w:sz w:val="14"/>
          <w:szCs w:val="14"/>
          <w:color w:val="auto"/>
        </w:rPr>
        <w:t>, the Company will be required to accept the Superior Bid as a Winning Bid.</w:t>
      </w:r>
    </w:p>
    <w:p>
      <w:pPr>
        <w:spacing w:after="0" w:line="326"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00"/>
          </w:cols>
          <w:pgMar w:left="1160" w:top="755" w:right="439" w:bottom="1440" w:gutter="0" w:footer="0" w:header="0"/>
        </w:sectPr>
      </w:pPr>
    </w:p>
    <w:bookmarkStart w:id="488" w:name="page489"/>
    <w:bookmarkEnd w:id="488"/>
    <w:p>
      <w:pPr>
        <w:jc w:val="both"/>
        <w:ind w:left="-280" w:firstLine="2080"/>
        <w:spacing w:after="0" w:line="290" w:lineRule="auto"/>
        <w:tabs>
          <w:tab w:leader="none" w:pos="2307" w:val="left"/>
        </w:tabs>
        <w:numPr>
          <w:ilvl w:val="2"/>
          <w:numId w:val="341"/>
        </w:numPr>
        <w:rPr>
          <w:rFonts w:ascii="Arial" w:cs="Arial" w:eastAsia="Arial" w:hAnsi="Arial"/>
          <w:sz w:val="13"/>
          <w:szCs w:val="13"/>
          <w:color w:val="auto"/>
        </w:rPr>
      </w:pPr>
      <w:r>
        <w:rPr>
          <w:rFonts w:ascii="Arial" w:cs="Arial" w:eastAsia="Arial" w:hAnsi="Arial"/>
          <w:sz w:val="13"/>
          <w:szCs w:val="13"/>
          <w:color w:val="auto"/>
        </w:rPr>
        <w:t xml:space="preserve">If such Bid is not a Qualifying Offer, then the Applicable Directors may, in their sole discretion, take any of the following actions with respect to such ROFR Product: (w) accept or reject such Bid; (x) negotiate the terms of such Product Transfer with Bayer; (y) begin a Bidding Process as provided for in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(which will provide Bayer with a Last Topping Right for such Bidding Process so long as Bayer had not provided a Formal Withdrawal with respect to such Product Transfer and such Bid was made by Bayer in good faith); or (z) have the Company continue to further develop the applicable ROFR Product free and clear of any Program Rights;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Bayer will maintain Last Topping Rights for such ROFR Product if such Bid was made by Bayer in good faith.</w:t>
      </w:r>
    </w:p>
    <w:p>
      <w:pPr>
        <w:spacing w:after="0" w:line="132" w:lineRule="exact"/>
        <w:rPr>
          <w:rFonts w:ascii="Arial" w:cs="Arial" w:eastAsia="Arial" w:hAnsi="Arial"/>
          <w:sz w:val="13"/>
          <w:szCs w:val="13"/>
          <w:color w:val="auto"/>
        </w:rPr>
      </w:pPr>
    </w:p>
    <w:p>
      <w:pPr>
        <w:jc w:val="both"/>
        <w:ind w:left="-280" w:firstLine="1562"/>
        <w:spacing w:after="0" w:line="273" w:lineRule="auto"/>
        <w:tabs>
          <w:tab w:leader="none" w:pos="1665" w:val="left"/>
        </w:tabs>
        <w:numPr>
          <w:ilvl w:val="1"/>
          <w:numId w:val="342"/>
        </w:numPr>
        <w:rPr>
          <w:rFonts w:ascii="Arial" w:cs="Arial" w:eastAsia="Arial" w:hAnsi="Arial"/>
          <w:sz w:val="14"/>
          <w:szCs w:val="14"/>
          <w:color w:val="auto"/>
        </w:rPr>
      </w:pPr>
      <w:r>
        <w:rPr>
          <w:rFonts w:ascii="Arial" w:cs="Arial" w:eastAsia="Arial" w:hAnsi="Arial"/>
          <w:sz w:val="14"/>
          <w:szCs w:val="14"/>
          <w:color w:val="auto"/>
        </w:rPr>
        <w:t>If Bayer does not deliver a Bayer Solicited Bid Notice for such ROFR Product to the Company during the First Offer Period or Bayer otherwise provides written notice to the Company that it does not intend to make a Bid for such ROFR Product, the Company may take any action with respect to such ROFR Product free and clear of any Program Rights and Last Topping Rights for such ROFR Product.</w:t>
      </w:r>
    </w:p>
    <w:p>
      <w:pPr>
        <w:spacing w:after="0" w:line="141" w:lineRule="exact"/>
        <w:rPr>
          <w:rFonts w:ascii="Arial" w:cs="Arial" w:eastAsia="Arial" w:hAnsi="Arial"/>
          <w:sz w:val="14"/>
          <w:szCs w:val="14"/>
          <w:color w:val="auto"/>
        </w:rPr>
      </w:pPr>
    </w:p>
    <w:p>
      <w:pPr>
        <w:jc w:val="both"/>
        <w:ind w:left="-280" w:firstLine="1044"/>
        <w:spacing w:after="0" w:line="273" w:lineRule="auto"/>
        <w:tabs>
          <w:tab w:leader="none" w:pos="960" w:val="left"/>
        </w:tabs>
        <w:numPr>
          <w:ilvl w:val="0"/>
          <w:numId w:val="343"/>
        </w:numPr>
        <w:rPr>
          <w:rFonts w:ascii="Arial" w:cs="Arial" w:eastAsia="Arial" w:hAnsi="Arial"/>
          <w:sz w:val="14"/>
          <w:szCs w:val="14"/>
          <w:color w:val="auto"/>
        </w:rPr>
      </w:pPr>
      <w:r>
        <w:rPr>
          <w:rFonts w:ascii="Arial" w:cs="Arial" w:eastAsia="Arial" w:hAnsi="Arial"/>
          <w:sz w:val="14"/>
          <w:szCs w:val="14"/>
          <w:color w:val="auto"/>
        </w:rPr>
        <w:t xml:space="preserve">If Bayer makes an Unsolicited Bid for any Product prior to the delivery of the Data Package for such Product, except as expressly provided for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2.3</w:t>
      </w:r>
      <w:r>
        <w:rPr>
          <w:rFonts w:ascii="Arial" w:cs="Arial" w:eastAsia="Arial" w:hAnsi="Arial"/>
          <w:sz w:val="14"/>
          <w:szCs w:val="14"/>
          <w:color w:val="auto"/>
        </w:rPr>
        <w:t xml:space="preserve">, Bayer will not have any Program Rights for such Product (even if such Product would have otherwise been a ROFR Product as provided for in </w:t>
      </w:r>
      <w:r>
        <w:rPr>
          <w:rFonts w:ascii="Arial" w:cs="Arial" w:eastAsia="Arial" w:hAnsi="Arial"/>
          <w:sz w:val="14"/>
          <w:szCs w:val="14"/>
          <w:u w:val="single" w:color="auto"/>
          <w:color w:val="auto"/>
        </w:rPr>
        <w:t>Section 2.1(b)</w:t>
      </w:r>
      <w:r>
        <w:rPr>
          <w:rFonts w:ascii="Arial" w:cs="Arial" w:eastAsia="Arial" w:hAnsi="Arial"/>
          <w:sz w:val="14"/>
          <w:szCs w:val="14"/>
          <w:color w:val="auto"/>
        </w:rPr>
        <w:t>). If such Product is Transferred to Bayer or one of its Affiliates, any such Product will count towards reaching the ROFR Product Cap.</w:t>
      </w:r>
    </w:p>
    <w:p>
      <w:pPr>
        <w:spacing w:after="0" w:line="14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3"/>
          <w:szCs w:val="13"/>
          <w:u w:val="single" w:color="auto"/>
          <w:color w:val="auto"/>
        </w:rPr>
        <w:t>Bidding Process</w:t>
      </w:r>
      <w:r>
        <w:rPr>
          <w:rFonts w:ascii="Arial" w:cs="Arial" w:eastAsia="Arial" w:hAnsi="Arial"/>
          <w:sz w:val="13"/>
          <w:szCs w:val="13"/>
          <w:color w:val="auto"/>
        </w:rPr>
        <w:t>.</w:t>
      </w:r>
    </w:p>
    <w:p>
      <w:pPr>
        <w:spacing w:after="0" w:line="184" w:lineRule="exact"/>
        <w:rPr>
          <w:sz w:val="20"/>
          <w:szCs w:val="20"/>
          <w:color w:val="auto"/>
        </w:rPr>
      </w:pPr>
    </w:p>
    <w:p>
      <w:pPr>
        <w:jc w:val="both"/>
        <w:ind w:left="-280" w:firstLine="1044"/>
        <w:spacing w:after="0" w:line="260" w:lineRule="auto"/>
        <w:tabs>
          <w:tab w:leader="none" w:pos="1113" w:val="left"/>
        </w:tabs>
        <w:numPr>
          <w:ilvl w:val="0"/>
          <w:numId w:val="344"/>
        </w:numPr>
        <w:rPr>
          <w:rFonts w:ascii="Arial" w:cs="Arial" w:eastAsia="Arial" w:hAnsi="Arial"/>
          <w:sz w:val="14"/>
          <w:szCs w:val="14"/>
          <w:color w:val="auto"/>
        </w:rPr>
      </w:pPr>
      <w:r>
        <w:rPr>
          <w:rFonts w:ascii="Arial" w:cs="Arial" w:eastAsia="Arial" w:hAnsi="Arial"/>
          <w:sz w:val="14"/>
          <w:szCs w:val="14"/>
          <w:color w:val="auto"/>
        </w:rPr>
        <w:t xml:space="preserve">If a Bidding Process for a Product is to be initiated by the Company as provided for in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2.4(b)(i)(B)</w:t>
      </w:r>
      <w:r>
        <w:rPr>
          <w:rFonts w:ascii="Arial" w:cs="Arial" w:eastAsia="Arial" w:hAnsi="Arial"/>
          <w:sz w:val="14"/>
          <w:szCs w:val="14"/>
          <w:color w:val="auto"/>
        </w:rPr>
        <w:t xml:space="preserve">, the Applicable Directors (in consultation with the Chief Executive Officer) will identify the appropriate Third Parties from whom to solicit Bids, and may engage an investment banker to assist with identifying bidders and the Bidding Process generally, in each case with the goal of including as many bidders that are reasonably capable of providing Qualifying Offers in the Bidding Process as reasonably practicable. The Company will take such commercially reasonable efforts to ensure that the Bidding Process is robust and that identified Third Party bidders participate in such Bidding Process. The Applicable Directors will determine in their reasonable discretion the timing and process for the solicitation of Bids for the Product from Third Parties (and Bayer, as applicable), which (i) will include providing the applicable Data Package (including the Minimum Offer Terms for such Product) to the identified Third Party bidders that have expressed interest in providing a Bid and (ii) may include providing access to specific additional background information and data (although not including raw data) to further clarify the contents of the Bid Package to the extent provided to Bayer under </w:t>
      </w:r>
      <w:r>
        <w:rPr>
          <w:rFonts w:ascii="Arial" w:cs="Arial" w:eastAsia="Arial" w:hAnsi="Arial"/>
          <w:sz w:val="14"/>
          <w:szCs w:val="14"/>
          <w:u w:val="single" w:color="auto"/>
          <w:color w:val="auto"/>
        </w:rPr>
        <w:t>Section 2.4(a)</w:t>
      </w:r>
      <w:r>
        <w:rPr>
          <w:rFonts w:ascii="Arial" w:cs="Arial" w:eastAsia="Arial" w:hAnsi="Arial"/>
          <w:sz w:val="14"/>
          <w:szCs w:val="14"/>
          <w:color w:val="auto"/>
        </w:rPr>
        <w:t>. A copy of each Qualifying Offer received from any bidder will be promptly delivered to the Applicable Directors upon receipt by the Company. Upon receipt of all Qualifying Offers or on the expiration of the submission time for the Bidding Process (the “</w:t>
      </w:r>
      <w:r>
        <w:rPr>
          <w:rFonts w:ascii="Arial" w:cs="Arial" w:eastAsia="Arial" w:hAnsi="Arial"/>
          <w:sz w:val="14"/>
          <w:szCs w:val="14"/>
          <w:u w:val="single" w:color="auto"/>
          <w:color w:val="auto"/>
        </w:rPr>
        <w:t>Submission Date</w:t>
      </w:r>
      <w:r>
        <w:rPr>
          <w:rFonts w:ascii="Arial" w:cs="Arial" w:eastAsia="Arial" w:hAnsi="Arial"/>
          <w:sz w:val="14"/>
          <w:szCs w:val="14"/>
          <w:color w:val="auto"/>
        </w:rPr>
        <w:t>”), the Applicable Directors will evaluate the Qualifying Offers and determine which is the Superior Bid and the Winning Bid, if any.</w:t>
      </w:r>
    </w:p>
    <w:p>
      <w:pPr>
        <w:spacing w:after="0" w:line="153" w:lineRule="exact"/>
        <w:rPr>
          <w:rFonts w:ascii="Arial" w:cs="Arial" w:eastAsia="Arial" w:hAnsi="Arial"/>
          <w:sz w:val="14"/>
          <w:szCs w:val="14"/>
          <w:color w:val="auto"/>
        </w:rPr>
      </w:pPr>
    </w:p>
    <w:p>
      <w:pPr>
        <w:jc w:val="both"/>
        <w:ind w:left="-280" w:firstLine="1044"/>
        <w:spacing w:after="0" w:line="273" w:lineRule="auto"/>
        <w:tabs>
          <w:tab w:leader="none" w:pos="1121" w:val="left"/>
        </w:tabs>
        <w:numPr>
          <w:ilvl w:val="0"/>
          <w:numId w:val="344"/>
        </w:numPr>
        <w:rPr>
          <w:rFonts w:ascii="Arial" w:cs="Arial" w:eastAsia="Arial" w:hAnsi="Arial"/>
          <w:sz w:val="14"/>
          <w:szCs w:val="14"/>
          <w:color w:val="auto"/>
        </w:rPr>
      </w:pPr>
      <w:r>
        <w:rPr>
          <w:rFonts w:ascii="Arial" w:cs="Arial" w:eastAsia="Arial" w:hAnsi="Arial"/>
          <w:sz w:val="14"/>
          <w:szCs w:val="14"/>
          <w:color w:val="auto"/>
        </w:rPr>
        <w:t>If no Qualifying Offers are submitted to the Company and outstanding as of the Submission Date with respect to such Product, the Applicable Directors will terminate the Bidding Process and the Board will determine appropriate next steps with respect to such Product, which will be to further research, develop and commercialize the applicable Product (unless otherwise agreed by the Board with the Requisite Approval).</w:t>
      </w:r>
    </w:p>
    <w:p>
      <w:pPr>
        <w:spacing w:after="0" w:line="141" w:lineRule="exact"/>
        <w:rPr>
          <w:rFonts w:ascii="Arial" w:cs="Arial" w:eastAsia="Arial" w:hAnsi="Arial"/>
          <w:sz w:val="14"/>
          <w:szCs w:val="14"/>
          <w:color w:val="auto"/>
        </w:rPr>
      </w:pPr>
    </w:p>
    <w:p>
      <w:pPr>
        <w:jc w:val="both"/>
        <w:ind w:left="-280" w:firstLine="1044"/>
        <w:spacing w:after="0" w:line="267" w:lineRule="auto"/>
        <w:tabs>
          <w:tab w:leader="none" w:pos="1113" w:val="left"/>
        </w:tabs>
        <w:numPr>
          <w:ilvl w:val="0"/>
          <w:numId w:val="344"/>
        </w:numPr>
        <w:rPr>
          <w:rFonts w:ascii="Arial" w:cs="Arial" w:eastAsia="Arial" w:hAnsi="Arial"/>
          <w:sz w:val="14"/>
          <w:szCs w:val="14"/>
          <w:color w:val="auto"/>
        </w:rPr>
      </w:pPr>
      <w:r>
        <w:rPr>
          <w:rFonts w:ascii="Arial" w:cs="Arial" w:eastAsia="Arial" w:hAnsi="Arial"/>
          <w:sz w:val="14"/>
          <w:szCs w:val="14"/>
          <w:color w:val="auto"/>
        </w:rPr>
        <w:t xml:space="preserve">If more than one Qualifying Offer is submitted to the Company and outstanding as of the Submission Date with respect to such Product (and one such Qualifying Offer is submitted by Bayer or one of its Affiliates), if Bayer’s Qualifying Offer is not determined to be the Superior Bid and (A) Bayer has a Last Topping Right with respect to such Product Transfer as provided for in </w:t>
      </w:r>
      <w:r>
        <w:rPr>
          <w:rFonts w:ascii="Arial" w:cs="Arial" w:eastAsia="Arial" w:hAnsi="Arial"/>
          <w:sz w:val="14"/>
          <w:szCs w:val="14"/>
          <w:u w:val="single" w:color="auto"/>
          <w:color w:val="auto"/>
        </w:rPr>
        <w:t>Section 2.3(c)(iii)(y)</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2.4(b)(i)(B),</w:t>
      </w:r>
      <w:r>
        <w:rPr>
          <w:rFonts w:ascii="Arial" w:cs="Arial" w:eastAsia="Arial" w:hAnsi="Arial"/>
          <w:sz w:val="14"/>
          <w:szCs w:val="14"/>
          <w:color w:val="auto"/>
        </w:rPr>
        <w:t xml:space="preserve"> then the Company will provide Bayer the Superior Bid Notice and Bayer may exercise</w:t>
      </w:r>
    </w:p>
    <w:p>
      <w:pPr>
        <w:spacing w:after="0" w:line="319" w:lineRule="exact"/>
        <w:rPr>
          <w:sz w:val="20"/>
          <w:szCs w:val="20"/>
          <w:color w:val="auto"/>
        </w:rPr>
      </w:pPr>
    </w:p>
    <w:p>
      <w:pPr>
        <w:ind w:left="440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13970</wp:posOffset>
            </wp:positionV>
            <wp:extent cx="7159625"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20"/>
          </w:cols>
          <w:pgMar w:left="1440" w:top="755" w:right="439" w:bottom="1440" w:gutter="0" w:footer="0" w:header="0"/>
        </w:sectPr>
      </w:pPr>
    </w:p>
    <w:bookmarkStart w:id="489" w:name="page490"/>
    <w:bookmarkEnd w:id="489"/>
    <w:p>
      <w:pPr>
        <w:jc w:val="both"/>
        <w:spacing w:after="0" w:line="265" w:lineRule="auto"/>
        <w:rPr>
          <w:sz w:val="20"/>
          <w:szCs w:val="20"/>
          <w:color w:val="auto"/>
        </w:rPr>
      </w:pPr>
      <w:r>
        <w:rPr>
          <w:rFonts w:ascii="Arial" w:cs="Arial" w:eastAsia="Arial" w:hAnsi="Arial"/>
          <w:sz w:val="14"/>
          <w:szCs w:val="14"/>
          <w:color w:val="auto"/>
        </w:rPr>
        <w:t>its Last Topping Right with respect to such Product Transfer and, if properly exercised, Bayer’s revised Bid (which Bid will be binding), will thereafter be the Superior Bid (the “</w:t>
      </w:r>
      <w:r>
        <w:rPr>
          <w:rFonts w:ascii="Arial" w:cs="Arial" w:eastAsia="Arial" w:hAnsi="Arial"/>
          <w:sz w:val="14"/>
          <w:szCs w:val="14"/>
          <w:u w:val="single" w:color="auto"/>
          <w:color w:val="auto"/>
        </w:rPr>
        <w:t>LM Superior Bid</w:t>
      </w:r>
      <w:r>
        <w:rPr>
          <w:rFonts w:ascii="Arial" w:cs="Arial" w:eastAsia="Arial" w:hAnsi="Arial"/>
          <w:sz w:val="14"/>
          <w:szCs w:val="14"/>
          <w:color w:val="auto"/>
        </w:rPr>
        <w:t xml:space="preserve">”), or (B) otherwise (including if Bayer does not properly exercise any applicable Last Topping Right in the [***] period), Bayer will have no further rights to make a revised Bid;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Bayer will maintain any applicable Last Topping Right with respect to such Product in connection with such Bidding Process if the terms and conditions of such Product Transfer change in such a manner that such terms and conditions are no longer at least as favorable to the Company as those detailed in the Superior Bid Notice.</w:t>
      </w:r>
    </w:p>
    <w:p>
      <w:pPr>
        <w:spacing w:after="0" w:line="147" w:lineRule="exact"/>
        <w:rPr>
          <w:sz w:val="20"/>
          <w:szCs w:val="20"/>
          <w:color w:val="auto"/>
        </w:rPr>
      </w:pPr>
    </w:p>
    <w:p>
      <w:pPr>
        <w:jc w:val="both"/>
        <w:ind w:firstLine="1044"/>
        <w:spacing w:after="0" w:line="282" w:lineRule="auto"/>
        <w:tabs>
          <w:tab w:leader="none" w:pos="1401" w:val="left"/>
        </w:tabs>
        <w:numPr>
          <w:ilvl w:val="0"/>
          <w:numId w:val="345"/>
        </w:numPr>
        <w:rPr>
          <w:rFonts w:ascii="Arial" w:cs="Arial" w:eastAsia="Arial" w:hAnsi="Arial"/>
          <w:sz w:val="13"/>
          <w:szCs w:val="13"/>
          <w:color w:val="auto"/>
        </w:rPr>
      </w:pPr>
      <w:r>
        <w:rPr>
          <w:rFonts w:ascii="Arial" w:cs="Arial" w:eastAsia="Arial" w:hAnsi="Arial"/>
          <w:sz w:val="13"/>
          <w:szCs w:val="13"/>
          <w:color w:val="auto"/>
        </w:rPr>
        <w:t>If the only Qualifying Offer submitted to the Company and outstanding as of the Submission Date with respect to such Product is from Bayer or one of its Affiliates, then the Company may, at the instruction of the Applicable Directors, seek a Third Party Valuation to determine the FMV and the QOFMV. The Valuation Firm will prepare and deliver to the Company a FMV Report within [***] of its engagement by the Company for such Third Party Valuation. The FMV Report will be delivered to the Company, Bayer and the Applicable Directors within [***] Business Days of it being completed. If the FMV is determined to be higher than the QOFMV for such Product, Bayer will have a right to provide a Revised FMV Bid that includes terms that provide for the Required FMV Terms. Such right to provide a revised Bid is required to be exercised by Bayer by submitting a Revised FMV Bid to the Company within the FMV Bid Period. If there is any dispute with respect to whether such Revised FMV Bid satisfies such Required FMV Terms, such dispute will be referred to Baseball Arbitration. The Superior Bid will be: (i) such Qualifying Offer if the Company does not seek a Third Party Valuation or the QOFMV is determined to be higher than the FMV; or (ii) the Revised FMV Bid if it satisfies the Required FMV Terms. Notwithstanding the foregoing, there will be no Superior Bid if Bayer does not provide a Revised FMV Bid during the FMV Bid Period or the Revised FMV Bid does not satisfy the Required FMV Terms, in which case the Applicable Directors will terminate the Bidding Process and the Board will determine appropriate next steps with respect to such Product, which will be to further research, develop and commercialize the applicable Product (unless otherwise agreed by the Board with the Requisite Approval).</w:t>
      </w:r>
    </w:p>
    <w:p>
      <w:pPr>
        <w:spacing w:after="0" w:line="139" w:lineRule="exact"/>
        <w:rPr>
          <w:rFonts w:ascii="Arial" w:cs="Arial" w:eastAsia="Arial" w:hAnsi="Arial"/>
          <w:sz w:val="13"/>
          <w:szCs w:val="13"/>
          <w:color w:val="auto"/>
        </w:rPr>
      </w:pPr>
    </w:p>
    <w:p>
      <w:pPr>
        <w:jc w:val="both"/>
        <w:ind w:firstLine="1044"/>
        <w:spacing w:after="0" w:line="273" w:lineRule="auto"/>
        <w:tabs>
          <w:tab w:leader="none" w:pos="1393" w:val="left"/>
        </w:tabs>
        <w:numPr>
          <w:ilvl w:val="0"/>
          <w:numId w:val="345"/>
        </w:numPr>
        <w:rPr>
          <w:rFonts w:ascii="Arial" w:cs="Arial" w:eastAsia="Arial" w:hAnsi="Arial"/>
          <w:sz w:val="14"/>
          <w:szCs w:val="14"/>
          <w:color w:val="auto"/>
        </w:rPr>
      </w:pPr>
      <w:r>
        <w:rPr>
          <w:rFonts w:ascii="Arial" w:cs="Arial" w:eastAsia="Arial" w:hAnsi="Arial"/>
          <w:sz w:val="14"/>
          <w:szCs w:val="14"/>
          <w:color w:val="auto"/>
        </w:rPr>
        <w:t>If at least one Qualifying Offer is submitted to the Company and outstanding as of the Submission Date with respect to such Product (and no such Qualifying Offer is submitted by Bayer or one or one of its Affiliates), Bayer will have no further rights to make a Bid and no Last Topping Right with respect to such Product Transfer, and the Superior Bid will be determined by the Board (including the Requisite Approval).</w:t>
      </w:r>
    </w:p>
    <w:p>
      <w:pPr>
        <w:spacing w:after="0" w:line="141" w:lineRule="exact"/>
        <w:rPr>
          <w:rFonts w:ascii="Arial" w:cs="Arial" w:eastAsia="Arial" w:hAnsi="Arial"/>
          <w:sz w:val="14"/>
          <w:szCs w:val="14"/>
          <w:color w:val="auto"/>
        </w:rPr>
      </w:pPr>
    </w:p>
    <w:p>
      <w:pPr>
        <w:jc w:val="both"/>
        <w:ind w:firstLine="1044"/>
        <w:spacing w:after="0" w:line="294" w:lineRule="auto"/>
        <w:tabs>
          <w:tab w:leader="none" w:pos="1393" w:val="left"/>
        </w:tabs>
        <w:numPr>
          <w:ilvl w:val="0"/>
          <w:numId w:val="345"/>
        </w:numPr>
        <w:rPr>
          <w:rFonts w:ascii="Arial" w:cs="Arial" w:eastAsia="Arial" w:hAnsi="Arial"/>
          <w:sz w:val="13"/>
          <w:szCs w:val="13"/>
          <w:color w:val="auto"/>
        </w:rPr>
      </w:pPr>
      <w:r>
        <w:rPr>
          <w:rFonts w:ascii="Arial" w:cs="Arial" w:eastAsia="Arial" w:hAnsi="Arial"/>
          <w:sz w:val="13"/>
          <w:szCs w:val="13"/>
          <w:color w:val="auto"/>
        </w:rPr>
        <w:t xml:space="preserve">The Company may accept the Superior Bid in a Bidding Process as the Winning Bid, but acceptance will not be required; </w:t>
      </w:r>
      <w:r>
        <w:rPr>
          <w:rFonts w:ascii="Arial" w:cs="Arial" w:eastAsia="Arial" w:hAnsi="Arial"/>
          <w:sz w:val="13"/>
          <w:szCs w:val="13"/>
          <w:u w:val="single" w:color="auto"/>
          <w:color w:val="auto"/>
        </w:rPr>
        <w:t>provided, however,</w:t>
      </w:r>
      <w:r>
        <w:rPr>
          <w:rFonts w:ascii="Arial" w:cs="Arial" w:eastAsia="Arial" w:hAnsi="Arial"/>
          <w:sz w:val="13"/>
          <w:szCs w:val="13"/>
          <w:color w:val="auto"/>
        </w:rPr>
        <w:t xml:space="preserve"> that the Company must accept an LM Superior Bid submitted by Bayer or one of its Affiliates or a Superior Bid submitted by Bayer or one of its Affiliates pursuant to </w:t>
      </w:r>
      <w:r>
        <w:rPr>
          <w:rFonts w:ascii="Arial" w:cs="Arial" w:eastAsia="Arial" w:hAnsi="Arial"/>
          <w:sz w:val="13"/>
          <w:szCs w:val="13"/>
          <w:u w:val="single" w:color="auto"/>
          <w:color w:val="auto"/>
        </w:rPr>
        <w:t>Section 2.5(d)</w:t>
      </w:r>
      <w:r>
        <w:rPr>
          <w:rFonts w:ascii="Arial" w:cs="Arial" w:eastAsia="Arial" w:hAnsi="Arial"/>
          <w:sz w:val="13"/>
          <w:szCs w:val="13"/>
          <w:color w:val="auto"/>
        </w:rPr>
        <w:t>. Any acceptance of a Superior Bid hereunder will not be a breach of fiduciary duties so long as such Superior Bid is a Qualifying Offer (and in no event if the Winning Bid is from Bayer or one of its Affiliates) and no rejection of a Superior Bid hereunder will be a breach of fiduciary duties if such Superior Bid is not a Qualifying Offer.</w:t>
      </w:r>
    </w:p>
    <w:p>
      <w:pPr>
        <w:spacing w:after="0" w:line="130" w:lineRule="exact"/>
        <w:rPr>
          <w:rFonts w:ascii="Arial" w:cs="Arial" w:eastAsia="Arial" w:hAnsi="Arial"/>
          <w:sz w:val="13"/>
          <w:szCs w:val="13"/>
          <w:color w:val="auto"/>
        </w:rPr>
      </w:pPr>
    </w:p>
    <w:p>
      <w:pPr>
        <w:ind w:firstLine="1044"/>
        <w:spacing w:after="0" w:line="288" w:lineRule="auto"/>
        <w:tabs>
          <w:tab w:leader="none" w:pos="1401" w:val="left"/>
        </w:tabs>
        <w:numPr>
          <w:ilvl w:val="0"/>
          <w:numId w:val="345"/>
        </w:numPr>
        <w:rPr>
          <w:rFonts w:ascii="Arial" w:cs="Arial" w:eastAsia="Arial" w:hAnsi="Arial"/>
          <w:sz w:val="14"/>
          <w:szCs w:val="14"/>
          <w:color w:val="auto"/>
        </w:rPr>
      </w:pPr>
      <w:r>
        <w:rPr>
          <w:rFonts w:ascii="Arial" w:cs="Arial" w:eastAsia="Arial" w:hAnsi="Arial"/>
          <w:sz w:val="14"/>
          <w:szCs w:val="14"/>
          <w:color w:val="auto"/>
        </w:rPr>
        <w:t>Following the acceptance of a Superior Bid (or the LM Superior Bid) as the Winning Bid, the Company will provide written notice of such Winning Bid to Bayer within two Business Days of acceptance.</w:t>
      </w:r>
    </w:p>
    <w:p>
      <w:pPr>
        <w:spacing w:after="0" w:line="132" w:lineRule="exact"/>
        <w:rPr>
          <w:sz w:val="20"/>
          <w:szCs w:val="20"/>
          <w:color w:val="auto"/>
        </w:rPr>
      </w:pPr>
    </w:p>
    <w:p>
      <w:pPr>
        <w:jc w:val="both"/>
        <w:ind w:left="80" w:firstLine="518"/>
        <w:spacing w:after="0" w:line="303"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Winning Bid</w:t>
      </w:r>
      <w:r>
        <w:rPr>
          <w:rFonts w:ascii="Arial" w:cs="Arial" w:eastAsia="Arial" w:hAnsi="Arial"/>
          <w:sz w:val="13"/>
          <w:szCs w:val="13"/>
          <w:color w:val="auto"/>
        </w:rPr>
        <w:t>. The Company will close the Product Transfer (the “</w:t>
      </w:r>
      <w:r>
        <w:rPr>
          <w:rFonts w:ascii="Arial" w:cs="Arial" w:eastAsia="Arial" w:hAnsi="Arial"/>
          <w:sz w:val="13"/>
          <w:szCs w:val="13"/>
          <w:u w:val="single" w:color="auto"/>
          <w:color w:val="auto"/>
        </w:rPr>
        <w:t>Product Closing</w:t>
      </w:r>
      <w:r>
        <w:rPr>
          <w:rFonts w:ascii="Arial" w:cs="Arial" w:eastAsia="Arial" w:hAnsi="Arial"/>
          <w:sz w:val="13"/>
          <w:szCs w:val="13"/>
          <w:color w:val="auto"/>
        </w:rPr>
        <w:t>”) with Bayer or the Third Party providing the Winning Bid (the “</w:t>
      </w:r>
      <w:r>
        <w:rPr>
          <w:rFonts w:ascii="Arial" w:cs="Arial" w:eastAsia="Arial" w:hAnsi="Arial"/>
          <w:sz w:val="13"/>
          <w:szCs w:val="13"/>
          <w:u w:val="single" w:color="auto"/>
          <w:color w:val="auto"/>
        </w:rPr>
        <w:t>Winning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Bidder</w:t>
      </w:r>
      <w:r>
        <w:rPr>
          <w:rFonts w:ascii="Arial" w:cs="Arial" w:eastAsia="Arial" w:hAnsi="Arial"/>
          <w:sz w:val="13"/>
          <w:szCs w:val="13"/>
          <w:color w:val="auto"/>
        </w:rPr>
        <w:t>”) as soon as practicable following the satisfaction of the Antitrust Condition (if applicable to such Product Transfer) and any other approvals of any Governmental Authority applicable to such Product Transfer. The Winning Bidder and the Company will enter into a Product Transfer Agreement substantially on the terms as set forth in the</w:t>
      </w:r>
    </w:p>
    <w:p>
      <w:pPr>
        <w:spacing w:after="0" w:line="297"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00"/>
          </w:cols>
          <w:pgMar w:left="1160" w:top="754" w:right="439" w:bottom="1440" w:gutter="0" w:footer="0" w:header="0"/>
        </w:sectPr>
      </w:pPr>
    </w:p>
    <w:bookmarkStart w:id="490" w:name="page491"/>
    <w:bookmarkEnd w:id="490"/>
    <w:p>
      <w:pPr>
        <w:ind w:left="80"/>
        <w:spacing w:after="0" w:line="284" w:lineRule="auto"/>
        <w:rPr>
          <w:sz w:val="20"/>
          <w:szCs w:val="20"/>
          <w:color w:val="auto"/>
        </w:rPr>
      </w:pPr>
      <w:r>
        <w:rPr>
          <w:rFonts w:ascii="Arial" w:cs="Arial" w:eastAsia="Arial" w:hAnsi="Arial"/>
          <w:sz w:val="13"/>
          <w:szCs w:val="13"/>
          <w:color w:val="auto"/>
        </w:rPr>
        <w:t>Winning Bid, which Product Transfer Agreement will also include non-commercial and non-financial terms and conditions typical in the industry for similar types of Transfer agreements which the Applicable Directors reasonably consider to be appropriate. At the Product Closing, so long as Bayer is not a party to such transaction, Bayer will use</w:t>
      </w:r>
    </w:p>
    <w:p>
      <w:pPr>
        <w:spacing w:after="0" w:line="1" w:lineRule="exact"/>
        <w:rPr>
          <w:sz w:val="20"/>
          <w:szCs w:val="20"/>
          <w:color w:val="auto"/>
        </w:rPr>
      </w:pPr>
    </w:p>
    <w:p>
      <w:pPr>
        <w:jc w:val="both"/>
        <w:ind w:left="80" w:hanging="5"/>
        <w:spacing w:after="0" w:line="263" w:lineRule="auto"/>
        <w:tabs>
          <w:tab w:leader="none" w:pos="445" w:val="left"/>
        </w:tabs>
        <w:numPr>
          <w:ilvl w:val="0"/>
          <w:numId w:val="346"/>
        </w:numPr>
        <w:rPr>
          <w:rFonts w:ascii="Arial" w:cs="Arial" w:eastAsia="Arial" w:hAnsi="Arial"/>
          <w:sz w:val="14"/>
          <w:szCs w:val="14"/>
          <w:color w:val="auto"/>
        </w:rPr>
      </w:pPr>
      <w:r>
        <w:rPr>
          <w:rFonts w:ascii="Arial" w:cs="Arial" w:eastAsia="Arial" w:hAnsi="Arial"/>
          <w:sz w:val="14"/>
          <w:szCs w:val="14"/>
          <w:color w:val="auto"/>
        </w:rPr>
        <w:t xml:space="preserve">efforts to assist the Company in completing such Product Transfer, including, subject to Applicable Law and the exercise of fiduciary duties, to cause its designated Directors to approve such Product Transfer and any related transactions (if such approval is required). In connection with any such Product Transfer, the Company and Bayer will comply with the covenants set forth in </w:t>
      </w:r>
      <w:r>
        <w:rPr>
          <w:rFonts w:ascii="Arial" w:cs="Arial" w:eastAsia="Arial" w:hAnsi="Arial"/>
          <w:sz w:val="14"/>
          <w:szCs w:val="14"/>
          <w:u w:val="single" w:color="auto"/>
          <w:color w:val="auto"/>
        </w:rPr>
        <w:t>Exhibit B</w:t>
      </w:r>
      <w:r>
        <w:rPr>
          <w:rFonts w:ascii="Arial" w:cs="Arial" w:eastAsia="Arial" w:hAnsi="Arial"/>
          <w:sz w:val="14"/>
          <w:szCs w:val="14"/>
          <w:color w:val="auto"/>
        </w:rPr>
        <w:t>. If the Antitrust Condition is not satisfied, the Board will determine in its discretion the process for effecting an alternative transaction with respect to the applicable Product Transfer.</w:t>
      </w:r>
    </w:p>
    <w:p>
      <w:pPr>
        <w:spacing w:after="0" w:line="148"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3"/>
          <w:szCs w:val="13"/>
          <w:u w:val="single" w:color="auto"/>
          <w:color w:val="auto"/>
        </w:rPr>
        <w:t>Effect of Product Transfer</w:t>
      </w:r>
      <w:r>
        <w:rPr>
          <w:rFonts w:ascii="Arial" w:cs="Arial" w:eastAsia="Arial" w:hAnsi="Arial"/>
          <w:sz w:val="13"/>
          <w:szCs w:val="13"/>
          <w:color w:val="auto"/>
        </w:rPr>
        <w:t>.</w:t>
      </w:r>
    </w:p>
    <w:p>
      <w:pPr>
        <w:spacing w:after="0" w:line="184" w:lineRule="exact"/>
        <w:rPr>
          <w:sz w:val="20"/>
          <w:szCs w:val="20"/>
          <w:color w:val="auto"/>
        </w:rPr>
      </w:pPr>
    </w:p>
    <w:p>
      <w:pPr>
        <w:jc w:val="both"/>
        <w:ind w:firstLine="1045"/>
        <w:spacing w:after="0" w:line="267" w:lineRule="auto"/>
        <w:tabs>
          <w:tab w:leader="none" w:pos="1393" w:val="left"/>
        </w:tabs>
        <w:numPr>
          <w:ilvl w:val="0"/>
          <w:numId w:val="347"/>
        </w:numPr>
        <w:rPr>
          <w:rFonts w:ascii="Arial" w:cs="Arial" w:eastAsia="Arial" w:hAnsi="Arial"/>
          <w:sz w:val="14"/>
          <w:szCs w:val="14"/>
          <w:color w:val="auto"/>
        </w:rPr>
      </w:pPr>
      <w:r>
        <w:rPr>
          <w:rFonts w:ascii="Arial" w:cs="Arial" w:eastAsia="Arial" w:hAnsi="Arial"/>
          <w:sz w:val="14"/>
          <w:szCs w:val="14"/>
          <w:u w:val="single" w:color="auto"/>
          <w:color w:val="auto"/>
        </w:rPr>
        <w:t>Exclusive Field</w:t>
      </w:r>
      <w:r>
        <w:rPr>
          <w:rFonts w:ascii="Arial" w:cs="Arial" w:eastAsia="Arial" w:hAnsi="Arial"/>
          <w:sz w:val="14"/>
          <w:szCs w:val="14"/>
          <w:color w:val="auto"/>
        </w:rPr>
        <w:t>. In the event that a Winning Bidder successfully effects a Product Closing for a Product Transfer that provides for an exclusive right to research, develop and/or commercialize, as applicable, the applicable Product in a particular licensed field (with respect to such Product, an “</w:t>
      </w:r>
      <w:r>
        <w:rPr>
          <w:rFonts w:ascii="Arial" w:cs="Arial" w:eastAsia="Arial" w:hAnsi="Arial"/>
          <w:sz w:val="14"/>
          <w:szCs w:val="14"/>
          <w:u w:val="single" w:color="auto"/>
          <w:color w:val="auto"/>
        </w:rPr>
        <w:t>Exclusive Field</w:t>
      </w:r>
      <w:r>
        <w:rPr>
          <w:rFonts w:ascii="Arial" w:cs="Arial" w:eastAsia="Arial" w:hAnsi="Arial"/>
          <w:sz w:val="14"/>
          <w:szCs w:val="14"/>
          <w:color w:val="auto"/>
        </w:rPr>
        <w:t>”), such Winning Bidder will, from and after the date of consummation of such Product Transfer, have such rights for such Product in such Exclusive Field, subject to and in accordance with the terms of such Product Transfer.</w:t>
      </w:r>
    </w:p>
    <w:p>
      <w:pPr>
        <w:spacing w:after="0" w:line="147" w:lineRule="exact"/>
        <w:rPr>
          <w:sz w:val="20"/>
          <w:szCs w:val="20"/>
          <w:color w:val="auto"/>
        </w:rPr>
      </w:pPr>
    </w:p>
    <w:p>
      <w:pPr>
        <w:jc w:val="both"/>
        <w:ind w:left="80" w:firstLine="518"/>
        <w:spacing w:after="0" w:line="267"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Quorum; Approvals</w:t>
      </w:r>
      <w:r>
        <w:rPr>
          <w:rFonts w:ascii="Arial" w:cs="Arial" w:eastAsia="Arial" w:hAnsi="Arial"/>
          <w:sz w:val="14"/>
          <w:szCs w:val="14"/>
          <w:color w:val="auto"/>
        </w:rPr>
        <w:t>. Notwithstanding anything to the contrary set forth in the Certificate of Incorporation, Bylaws or Investors’ Rights Agreement and except as expressly provided for herein or otherwise required by Applicable Law, (a) a majority of the Applicable Directors will constitute a quorum for the transaction of business of the Board as provided for herein and (b) the Board (and Applicable Directors) will act by vote (or written consent) of at least a majority of the Applicable Directors then in office on any matter under consideration by the Board (or Applicable Directors) as provided for herein.</w:t>
      </w:r>
    </w:p>
    <w:p>
      <w:pPr>
        <w:spacing w:after="0" w:line="143"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ARTICLE III TERM;</w:t>
      </w:r>
    </w:p>
    <w:p>
      <w:pPr>
        <w:spacing w:after="0" w:line="25"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TERMINATION</w:t>
      </w:r>
    </w:p>
    <w:p>
      <w:pPr>
        <w:spacing w:after="0" w:line="12" w:lineRule="exact"/>
        <w:rPr>
          <w:sz w:val="20"/>
          <w:szCs w:val="20"/>
          <w:color w:val="auto"/>
        </w:rPr>
      </w:pPr>
    </w:p>
    <w:p>
      <w:pPr>
        <w:jc w:val="both"/>
        <w:ind w:left="80" w:right="20" w:firstLine="518"/>
        <w:spacing w:after="0" w:line="274"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Agreement Term; Termination</w:t>
      </w:r>
      <w:r>
        <w:rPr>
          <w:rFonts w:ascii="Arial" w:cs="Arial" w:eastAsia="Arial" w:hAnsi="Arial"/>
          <w:sz w:val="14"/>
          <w:szCs w:val="14"/>
          <w:color w:val="auto"/>
        </w:rPr>
        <w:t>. This Agreement is effective as of the Effective Date and will terminate at the earliest to occur of (a) Bayer and its Affiliates ceasing to hold any Capital Stock in the Company (or a successor thereto), and (b) a Change of Control.</w:t>
      </w:r>
    </w:p>
    <w:p>
      <w:pPr>
        <w:spacing w:after="0" w:line="141"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u w:val="single" w:color="auto"/>
          <w:color w:val="auto"/>
        </w:rPr>
        <w:t>Consequences of Expiration or Termination of the Agreement</w:t>
      </w:r>
      <w:r>
        <w:rPr>
          <w:rFonts w:ascii="Arial" w:cs="Arial" w:eastAsia="Arial" w:hAnsi="Arial"/>
          <w:sz w:val="13"/>
          <w:szCs w:val="13"/>
          <w:color w:val="auto"/>
        </w:rPr>
        <w:t>.</w:t>
      </w:r>
    </w:p>
    <w:p>
      <w:pPr>
        <w:spacing w:after="0" w:line="184" w:lineRule="exact"/>
        <w:rPr>
          <w:sz w:val="20"/>
          <w:szCs w:val="20"/>
          <w:color w:val="auto"/>
        </w:rPr>
      </w:pPr>
    </w:p>
    <w:p>
      <w:pPr>
        <w:ind w:left="1400" w:hanging="355"/>
        <w:spacing w:after="0"/>
        <w:tabs>
          <w:tab w:leader="none" w:pos="1400" w:val="left"/>
        </w:tabs>
        <w:numPr>
          <w:ilvl w:val="0"/>
          <w:numId w:val="348"/>
        </w:numPr>
        <w:rPr>
          <w:rFonts w:ascii="Arial" w:cs="Arial" w:eastAsia="Arial" w:hAnsi="Arial"/>
          <w:sz w:val="13"/>
          <w:szCs w:val="13"/>
          <w:color w:val="auto"/>
        </w:rPr>
      </w:pPr>
      <w:r>
        <w:rPr>
          <w:rFonts w:ascii="Arial" w:cs="Arial" w:eastAsia="Arial" w:hAnsi="Arial"/>
          <w:sz w:val="13"/>
          <w:szCs w:val="13"/>
          <w:color w:val="auto"/>
        </w:rPr>
        <w:t xml:space="preserve">If this Agreement terminates in accordance with </w:t>
      </w:r>
      <w:r>
        <w:rPr>
          <w:rFonts w:ascii="Arial" w:cs="Arial" w:eastAsia="Arial" w:hAnsi="Arial"/>
          <w:sz w:val="13"/>
          <w:szCs w:val="13"/>
          <w:u w:val="single" w:color="auto"/>
          <w:color w:val="auto"/>
        </w:rPr>
        <w:t>Section 3.1</w:t>
      </w:r>
      <w:r>
        <w:rPr>
          <w:rFonts w:ascii="Arial" w:cs="Arial" w:eastAsia="Arial" w:hAnsi="Arial"/>
          <w:sz w:val="13"/>
          <w:szCs w:val="13"/>
          <w:color w:val="auto"/>
        </w:rPr>
        <w:t>, the Parties will no longer have any rights hereunder, including the Program Rights and the</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Last Topping Rights.</w:t>
      </w:r>
    </w:p>
    <w:p>
      <w:pPr>
        <w:spacing w:after="0" w:line="174" w:lineRule="exact"/>
        <w:rPr>
          <w:rFonts w:ascii="Arial" w:cs="Arial" w:eastAsia="Arial" w:hAnsi="Arial"/>
          <w:sz w:val="13"/>
          <w:szCs w:val="13"/>
          <w:color w:val="auto"/>
        </w:rPr>
      </w:pPr>
    </w:p>
    <w:p>
      <w:pPr>
        <w:ind w:left="1400" w:hanging="356"/>
        <w:spacing w:after="0"/>
        <w:tabs>
          <w:tab w:leader="none" w:pos="1400" w:val="left"/>
        </w:tabs>
        <w:numPr>
          <w:ilvl w:val="0"/>
          <w:numId w:val="348"/>
        </w:numPr>
        <w:rPr>
          <w:rFonts w:ascii="Arial" w:cs="Arial" w:eastAsia="Arial" w:hAnsi="Arial"/>
          <w:sz w:val="14"/>
          <w:szCs w:val="14"/>
          <w:color w:val="auto"/>
        </w:rPr>
      </w:pPr>
      <w:r>
        <w:rPr>
          <w:rFonts w:ascii="Arial" w:cs="Arial" w:eastAsia="Arial" w:hAnsi="Arial"/>
          <w:sz w:val="14"/>
          <w:szCs w:val="14"/>
          <w:color w:val="auto"/>
        </w:rPr>
        <w:t xml:space="preserve">The following provisions of this Agreement will survive any termination of this Agreement: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V</w:t>
      </w:r>
      <w:r>
        <w:rPr>
          <w:rFonts w:ascii="Arial" w:cs="Arial" w:eastAsia="Arial" w:hAnsi="Arial"/>
          <w:sz w:val="14"/>
          <w:szCs w:val="14"/>
          <w:color w:val="auto"/>
        </w:rPr>
        <w:t>.</w:t>
      </w:r>
    </w:p>
    <w:p>
      <w:pPr>
        <w:spacing w:after="0" w:line="180"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ARTICLE IV</w:t>
      </w:r>
    </w:p>
    <w:p>
      <w:pPr>
        <w:spacing w:after="0" w:line="25"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CONFIDENTIALITY</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Confidentiality</w:t>
      </w:r>
      <w:r>
        <w:rPr>
          <w:rFonts w:ascii="Arial" w:cs="Arial" w:eastAsia="Arial" w:hAnsi="Arial"/>
          <w:sz w:val="13"/>
          <w:szCs w:val="13"/>
          <w:color w:val="auto"/>
        </w:rPr>
        <w:t xml:space="preserve">. All information provided to Bayer under this Agreement will be governed by the confidentiality provisions specified in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For the avoidance of doubt, the terms, status and existence of any Bid or the Bidding Process will be considered Confidential Information of the Company.</w:t>
      </w:r>
    </w:p>
    <w:p>
      <w:pPr>
        <w:spacing w:after="0" w:line="171" w:lineRule="exact"/>
        <w:rPr>
          <w:sz w:val="20"/>
          <w:szCs w:val="20"/>
          <w:color w:val="auto"/>
        </w:rPr>
      </w:pPr>
    </w:p>
    <w:p>
      <w:pPr>
        <w:jc w:val="center"/>
        <w:ind w:right="780"/>
        <w:spacing w:after="0"/>
        <w:rPr>
          <w:sz w:val="20"/>
          <w:szCs w:val="20"/>
          <w:color w:val="auto"/>
        </w:rPr>
      </w:pPr>
      <w:r>
        <w:rPr>
          <w:rFonts w:ascii="Arial" w:cs="Arial" w:eastAsia="Arial" w:hAnsi="Arial"/>
          <w:sz w:val="14"/>
          <w:szCs w:val="14"/>
          <w:b w:val="1"/>
          <w:bCs w:val="1"/>
          <w:color w:val="auto"/>
        </w:rPr>
        <w:t>ARTICLE V</w:t>
      </w:r>
    </w:p>
    <w:p>
      <w:pPr>
        <w:spacing w:after="0" w:line="25"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GENERAL PROVISIONS</w:t>
      </w:r>
    </w:p>
    <w:p>
      <w:pPr>
        <w:spacing w:after="0" w:line="347"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13970</wp:posOffset>
            </wp:positionV>
            <wp:extent cx="7159625"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00"/>
          </w:cols>
          <w:pgMar w:left="1160" w:top="755" w:right="439" w:bottom="1440" w:gutter="0" w:footer="0" w:header="0"/>
        </w:sectPr>
      </w:pPr>
    </w:p>
    <w:bookmarkStart w:id="491" w:name="page492"/>
    <w:bookmarkEnd w:id="491"/>
    <w:p>
      <w:pPr>
        <w:ind w:left="1300"/>
        <w:spacing w:after="0"/>
        <w:tabs>
          <w:tab w:leader="none" w:pos="16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3"/>
          <w:szCs w:val="13"/>
          <w:u w:val="single" w:color="auto"/>
          <w:color w:val="auto"/>
        </w:rPr>
        <w:t>Notice</w:t>
      </w:r>
      <w:r>
        <w:rPr>
          <w:rFonts w:ascii="Arial" w:cs="Arial" w:eastAsia="Arial" w:hAnsi="Arial"/>
          <w:sz w:val="13"/>
          <w:szCs w:val="13"/>
          <w:b w:val="1"/>
          <w:bCs w:val="1"/>
          <w:u w:val="single" w:color="auto"/>
          <w:color w:val="auto"/>
        </w:rPr>
        <w:t>s</w:t>
      </w:r>
      <w:r>
        <w:rPr>
          <w:rFonts w:ascii="Arial" w:cs="Arial" w:eastAsia="Arial" w:hAnsi="Arial"/>
          <w:sz w:val="13"/>
          <w:szCs w:val="13"/>
          <w:color w:val="auto"/>
        </w:rPr>
        <w:t>. All notices, requests, consents, claims, demands, waivers and other communications hereunder will be in writing and will be deemed to have been given:</w:t>
      </w:r>
    </w:p>
    <w:p>
      <w:pPr>
        <w:spacing w:after="0" w:line="25" w:lineRule="exact"/>
        <w:rPr>
          <w:sz w:val="20"/>
          <w:szCs w:val="20"/>
          <w:color w:val="auto"/>
        </w:rPr>
      </w:pPr>
    </w:p>
    <w:p>
      <w:pPr>
        <w:jc w:val="both"/>
        <w:ind w:left="780" w:hanging="5"/>
        <w:spacing w:after="0" w:line="261" w:lineRule="auto"/>
        <w:tabs>
          <w:tab w:leader="none" w:pos="977" w:val="left"/>
        </w:tabs>
        <w:numPr>
          <w:ilvl w:val="0"/>
          <w:numId w:val="349"/>
        </w:numPr>
        <w:rPr>
          <w:rFonts w:ascii="Arial" w:cs="Arial" w:eastAsia="Arial" w:hAnsi="Arial"/>
          <w:sz w:val="14"/>
          <w:szCs w:val="14"/>
          <w:color w:val="auto"/>
        </w:rPr>
      </w:pPr>
      <w:r>
        <w:rPr>
          <w:rFonts w:ascii="Arial" w:cs="Arial" w:eastAsia="Arial" w:hAnsi="Arial"/>
          <w:sz w:val="14"/>
          <w:szCs w:val="14"/>
          <w:color w:val="auto"/>
        </w:rPr>
        <w:t xml:space="preserve">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will be specified in a notice given in accordance with this </w:t>
      </w:r>
      <w:r>
        <w:rPr>
          <w:rFonts w:ascii="Arial" w:cs="Arial" w:eastAsia="Arial" w:hAnsi="Arial"/>
          <w:sz w:val="14"/>
          <w:szCs w:val="14"/>
          <w:u w:val="single" w:color="auto"/>
          <w:color w:val="auto"/>
        </w:rPr>
        <w:t>Section 5.1</w:t>
      </w:r>
      <w:r>
        <w:rPr>
          <w:rFonts w:ascii="Arial" w:cs="Arial" w:eastAsia="Arial" w:hAnsi="Arial"/>
          <w:sz w:val="14"/>
          <w:szCs w:val="14"/>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Pr>
          <w:p>
            <w:pPr>
              <w:spacing w:after="0"/>
              <w:rPr>
                <w:sz w:val="20"/>
                <w:szCs w:val="20"/>
                <w:color w:val="auto"/>
              </w:rPr>
            </w:pPr>
            <w:r>
              <w:rPr>
                <w:rFonts w:ascii="Arial" w:cs="Arial" w:eastAsia="Arial" w:hAnsi="Arial"/>
                <w:sz w:val="14"/>
                <w:szCs w:val="14"/>
                <w:color w:val="auto"/>
              </w:rPr>
              <w:t>If to the Company:</w:t>
            </w: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Century Therapeutics, Inc.</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3675 Market Street</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Philadelphia PA 19104</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Attention: Chief Executive Officer</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20" w:type="dxa"/>
            <w:vAlign w:val="bottom"/>
            <w:gridSpan w:val="5"/>
          </w:tcPr>
          <w:p>
            <w:pPr>
              <w:spacing w:after="0" w:line="151" w:lineRule="exact"/>
              <w:rPr>
                <w:sz w:val="20"/>
                <w:szCs w:val="20"/>
                <w:color w:val="auto"/>
              </w:rPr>
            </w:pPr>
            <w:r>
              <w:rPr>
                <w:rFonts w:ascii="Arial" w:cs="Arial" w:eastAsia="Arial" w:hAnsi="Arial"/>
                <w:sz w:val="14"/>
                <w:szCs w:val="14"/>
                <w:color w:val="auto"/>
              </w:rPr>
              <w:t>Email: lalo@centurytx.com</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660" w:type="dxa"/>
            <w:vAlign w:val="bottom"/>
            <w:vMerge w:val="restart"/>
          </w:tcPr>
          <w:p>
            <w:pPr>
              <w:spacing w:after="0"/>
              <w:rPr>
                <w:sz w:val="20"/>
                <w:szCs w:val="20"/>
                <w:color w:val="auto"/>
              </w:rPr>
            </w:pPr>
            <w:r>
              <w:rPr>
                <w:rFonts w:ascii="Arial" w:cs="Arial" w:eastAsia="Arial" w:hAnsi="Arial"/>
                <w:sz w:val="14"/>
                <w:szCs w:val="14"/>
                <w:color w:val="auto"/>
              </w:rPr>
              <w:t>with a copy to:</w:t>
            </w:r>
          </w:p>
        </w:tc>
        <w:tc>
          <w:tcPr>
            <w:tcW w:w="1620" w:type="dxa"/>
            <w:vAlign w:val="bottom"/>
          </w:tcPr>
          <w:p>
            <w:pPr>
              <w:spacing w:after="0"/>
              <w:rPr>
                <w:sz w:val="24"/>
                <w:szCs w:val="24"/>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Troutman Pepper Hamilton Sanders LLP</w:t>
            </w:r>
          </w:p>
        </w:tc>
        <w:tc>
          <w:tcPr>
            <w:tcW w:w="0" w:type="dxa"/>
            <w:vAlign w:val="bottom"/>
          </w:tcPr>
          <w:p>
            <w:pPr>
              <w:spacing w:after="0"/>
              <w:rPr>
                <w:sz w:val="1"/>
                <w:szCs w:val="1"/>
                <w:color w:val="auto"/>
              </w:rPr>
            </w:pPr>
          </w:p>
        </w:tc>
      </w:tr>
      <w:tr>
        <w:trPr>
          <w:trHeight w:val="63"/>
        </w:trPr>
        <w:tc>
          <w:tcPr>
            <w:tcW w:w="26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2820" w:type="dxa"/>
            <w:vAlign w:val="bottom"/>
            <w:gridSpan w:val="5"/>
            <w:vMerge w:val="restart"/>
          </w:tcPr>
          <w:p>
            <w:pPr>
              <w:spacing w:after="0"/>
              <w:rPr>
                <w:sz w:val="20"/>
                <w:szCs w:val="20"/>
                <w:color w:val="auto"/>
              </w:rPr>
            </w:pPr>
            <w:r>
              <w:rPr>
                <w:rFonts w:ascii="Arial" w:cs="Arial" w:eastAsia="Arial" w:hAnsi="Arial"/>
                <w:sz w:val="14"/>
                <w:szCs w:val="14"/>
                <w:color w:val="auto"/>
              </w:rPr>
              <w:t>Eighteenth and Arch Streets</w:t>
            </w: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4440" w:type="dxa"/>
            <w:vAlign w:val="bottom"/>
            <w:gridSpan w:val="6"/>
          </w:tcPr>
          <w:p>
            <w:pPr>
              <w:ind w:left="1600"/>
              <w:spacing w:after="0"/>
              <w:rPr>
                <w:sz w:val="20"/>
                <w:szCs w:val="20"/>
                <w:color w:val="auto"/>
              </w:rPr>
            </w:pPr>
            <w:r>
              <w:rPr>
                <w:rFonts w:ascii="Arial" w:cs="Arial" w:eastAsia="Arial" w:hAnsi="Arial"/>
                <w:sz w:val="14"/>
                <w:szCs w:val="14"/>
                <w:color w:val="auto"/>
              </w:rPr>
              <w:t>3000 Two Logan Square</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4440" w:type="dxa"/>
            <w:vAlign w:val="bottom"/>
            <w:gridSpan w:val="6"/>
          </w:tcPr>
          <w:p>
            <w:pPr>
              <w:ind w:left="1600"/>
              <w:spacing w:after="0"/>
              <w:rPr>
                <w:sz w:val="20"/>
                <w:szCs w:val="20"/>
                <w:color w:val="auto"/>
              </w:rPr>
            </w:pPr>
            <w:r>
              <w:rPr>
                <w:rFonts w:ascii="Arial" w:cs="Arial" w:eastAsia="Arial" w:hAnsi="Arial"/>
                <w:sz w:val="14"/>
                <w:szCs w:val="14"/>
                <w:color w:val="auto"/>
              </w:rPr>
              <w:t>Philadelphia, PA 19103</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w w:val="93"/>
              </w:rPr>
              <w:t>Attention: Rachael M. Bushey, Jennifer L. Porter</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20" w:type="dxa"/>
            <w:vAlign w:val="bottom"/>
            <w:gridSpan w:val="5"/>
          </w:tcPr>
          <w:p>
            <w:pPr>
              <w:spacing w:after="0" w:line="151" w:lineRule="exact"/>
              <w:rPr>
                <w:sz w:val="20"/>
                <w:szCs w:val="20"/>
                <w:color w:val="auto"/>
              </w:rPr>
            </w:pPr>
            <w:r>
              <w:rPr>
                <w:rFonts w:ascii="Arial" w:cs="Arial" w:eastAsia="Arial" w:hAnsi="Arial"/>
                <w:sz w:val="14"/>
                <w:szCs w:val="14"/>
                <w:color w:val="auto"/>
              </w:rPr>
              <w:t>Email: rachael.bushey@troutman.com;</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20" w:type="dxa"/>
            <w:vAlign w:val="bottom"/>
            <w:gridSpan w:val="5"/>
          </w:tcPr>
          <w:p>
            <w:pPr>
              <w:spacing w:after="0" w:line="153" w:lineRule="exact"/>
              <w:rPr>
                <w:sz w:val="20"/>
                <w:szCs w:val="20"/>
                <w:color w:val="auto"/>
              </w:rPr>
            </w:pPr>
            <w:r>
              <w:rPr>
                <w:rFonts w:ascii="Arial" w:cs="Arial" w:eastAsia="Arial" w:hAnsi="Arial"/>
                <w:sz w:val="14"/>
                <w:szCs w:val="14"/>
                <w:color w:val="auto"/>
              </w:rPr>
              <w:t>jennifer.porter@troutman.com</w:t>
            </w:r>
          </w:p>
        </w:tc>
        <w:tc>
          <w:tcPr>
            <w:tcW w:w="0" w:type="dxa"/>
            <w:vAlign w:val="bottom"/>
          </w:tcPr>
          <w:p>
            <w:pPr>
              <w:spacing w:after="0"/>
              <w:rPr>
                <w:sz w:val="1"/>
                <w:szCs w:val="1"/>
                <w:color w:val="auto"/>
              </w:rPr>
            </w:pPr>
          </w:p>
        </w:tc>
      </w:tr>
      <w:tr>
        <w:trPr>
          <w:trHeight w:val="347"/>
        </w:trPr>
        <w:tc>
          <w:tcPr>
            <w:tcW w:w="2660" w:type="dxa"/>
            <w:vAlign w:val="bottom"/>
            <w:vMerge w:val="restart"/>
          </w:tcPr>
          <w:p>
            <w:pPr>
              <w:spacing w:after="0"/>
              <w:rPr>
                <w:sz w:val="20"/>
                <w:szCs w:val="20"/>
                <w:color w:val="auto"/>
              </w:rPr>
            </w:pPr>
            <w:r>
              <w:rPr>
                <w:rFonts w:ascii="Arial" w:cs="Arial" w:eastAsia="Arial" w:hAnsi="Arial"/>
                <w:sz w:val="14"/>
                <w:szCs w:val="14"/>
                <w:color w:val="auto"/>
              </w:rPr>
              <w:t>If to Bayer:</w:t>
            </w:r>
          </w:p>
        </w:tc>
        <w:tc>
          <w:tcPr>
            <w:tcW w:w="1620" w:type="dxa"/>
            <w:vAlign w:val="bottom"/>
          </w:tcPr>
          <w:p>
            <w:pPr>
              <w:spacing w:after="0"/>
              <w:rPr>
                <w:sz w:val="24"/>
                <w:szCs w:val="24"/>
                <w:color w:val="auto"/>
              </w:rPr>
            </w:pPr>
          </w:p>
        </w:tc>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Bayer HealthCare LLC</w:t>
            </w:r>
          </w:p>
        </w:tc>
        <w:tc>
          <w:tcPr>
            <w:tcW w:w="1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6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2820" w:type="dxa"/>
            <w:vAlign w:val="bottom"/>
            <w:gridSpan w:val="5"/>
            <w:vMerge w:val="restart"/>
          </w:tcPr>
          <w:p>
            <w:pPr>
              <w:spacing w:after="0"/>
              <w:rPr>
                <w:sz w:val="20"/>
                <w:szCs w:val="20"/>
                <w:color w:val="auto"/>
              </w:rPr>
            </w:pPr>
            <w:r>
              <w:rPr>
                <w:rFonts w:ascii="Arial" w:cs="Arial" w:eastAsia="Arial" w:hAnsi="Arial"/>
                <w:sz w:val="14"/>
                <w:szCs w:val="14"/>
                <w:color w:val="auto"/>
              </w:rPr>
              <w:t>100 Bayer Boulevard</w:t>
            </w: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Whippany, NJ 07981</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Attention: Juergen Eckhardt; Pamela Sisson</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Email: [***]</w:t>
            </w:r>
          </w:p>
        </w:tc>
        <w:tc>
          <w:tcPr>
            <w:tcW w:w="0" w:type="dxa"/>
            <w:vAlign w:val="bottom"/>
          </w:tcPr>
          <w:p>
            <w:pPr>
              <w:spacing w:after="0"/>
              <w:rPr>
                <w:sz w:val="1"/>
                <w:szCs w:val="1"/>
                <w:color w:val="auto"/>
              </w:rPr>
            </w:pPr>
          </w:p>
        </w:tc>
      </w:tr>
      <w:tr>
        <w:trPr>
          <w:trHeight w:val="336"/>
        </w:trPr>
        <w:tc>
          <w:tcPr>
            <w:tcW w:w="2660" w:type="dxa"/>
            <w:vAlign w:val="bottom"/>
            <w:vMerge w:val="restart"/>
          </w:tcPr>
          <w:p>
            <w:pPr>
              <w:spacing w:after="0"/>
              <w:rPr>
                <w:sz w:val="20"/>
                <w:szCs w:val="20"/>
                <w:color w:val="auto"/>
              </w:rPr>
            </w:pPr>
            <w:r>
              <w:rPr>
                <w:rFonts w:ascii="Arial" w:cs="Arial" w:eastAsia="Arial" w:hAnsi="Arial"/>
                <w:sz w:val="14"/>
                <w:szCs w:val="14"/>
                <w:color w:val="auto"/>
              </w:rPr>
              <w:t>with a copy to:</w:t>
            </w:r>
          </w:p>
        </w:tc>
        <w:tc>
          <w:tcPr>
            <w:tcW w:w="1620" w:type="dxa"/>
            <w:vAlign w:val="bottom"/>
          </w:tcPr>
          <w:p>
            <w:pPr>
              <w:spacing w:after="0"/>
              <w:rPr>
                <w:sz w:val="24"/>
                <w:szCs w:val="24"/>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Orrick, Herrington &amp; Sutcliffe LLP</w:t>
            </w:r>
          </w:p>
        </w:tc>
        <w:tc>
          <w:tcPr>
            <w:tcW w:w="0" w:type="dxa"/>
            <w:vAlign w:val="bottom"/>
          </w:tcPr>
          <w:p>
            <w:pPr>
              <w:spacing w:after="0"/>
              <w:rPr>
                <w:sz w:val="1"/>
                <w:szCs w:val="1"/>
                <w:color w:val="auto"/>
              </w:rPr>
            </w:pPr>
          </w:p>
        </w:tc>
      </w:tr>
      <w:tr>
        <w:trPr>
          <w:trHeight w:val="63"/>
        </w:trPr>
        <w:tc>
          <w:tcPr>
            <w:tcW w:w="266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2820" w:type="dxa"/>
            <w:vAlign w:val="bottom"/>
            <w:gridSpan w:val="5"/>
            <w:vMerge w:val="restart"/>
          </w:tcPr>
          <w:p>
            <w:pPr>
              <w:spacing w:after="0"/>
              <w:rPr>
                <w:sz w:val="20"/>
                <w:szCs w:val="20"/>
                <w:color w:val="auto"/>
              </w:rPr>
            </w:pPr>
            <w:r>
              <w:rPr>
                <w:rFonts w:ascii="Arial" w:cs="Arial" w:eastAsia="Arial" w:hAnsi="Arial"/>
                <w:sz w:val="14"/>
                <w:szCs w:val="14"/>
                <w:color w:val="auto"/>
              </w:rPr>
              <w:t>1000 Marsh Rd</w:t>
            </w: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Menlo Park, CA 94025</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Attention: Matthew Gemello</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4"/>
                <w:szCs w:val="14"/>
                <w:color w:val="auto"/>
              </w:rPr>
              <w:t>Email: mgemello@orrick.com</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780" w:firstLine="518"/>
        <w:spacing w:after="0" w:line="290"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xml:space="preserve">. Subject to restrictions on Transfers set forth herein, this Agreement will be binding upon and will inure to the benefit of the Parties and their respective heirs, executors, administrators, successors and assigns. Neither this Agreement nor any of the rights, interests or obligations hereunder will be assigned by a Party without the prior written consent of the other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Bayer may assign this Agreement to any of its Affiliates upon providing prior written notice to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that Bayer remains primarily liable for all obligations of such Affiliate following such assignment). Subject to the prior sentence, this Agreement will be binding upon and will inure to the benefit of the Parties and their respective heirs, executors, administrators, successors and permitted assigns.</w:t>
      </w:r>
    </w:p>
    <w:p>
      <w:pPr>
        <w:spacing w:after="0" w:line="133" w:lineRule="exact"/>
        <w:rPr>
          <w:sz w:val="20"/>
          <w:szCs w:val="20"/>
          <w:color w:val="auto"/>
        </w:rPr>
      </w:pPr>
    </w:p>
    <w:p>
      <w:pPr>
        <w:jc w:val="both"/>
        <w:ind w:left="780" w:firstLine="518"/>
        <w:spacing w:after="0" w:line="303"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term or provision of this Agreement is held to be invalid, illegal or unenforceable under Applicable Law in any jurisdiction, such invalidity, illegality or unenforceability will not affect any other term or provision of this Agreement or invalidate or render unenforceable such term or provision in any other jurisdiction. Upon such determination that any term or other provision is invalid, illegal or unenforceable, the Parties will negotiate in good faith to modify this Agreement so as to effect</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13970</wp:posOffset>
            </wp:positionV>
            <wp:extent cx="7159625"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00"/>
          </w:cols>
          <w:pgMar w:left="460" w:top="750" w:right="439" w:bottom="1440" w:gutter="0" w:footer="0" w:header="0"/>
        </w:sectPr>
      </w:pPr>
    </w:p>
    <w:bookmarkStart w:id="492" w:name="page493"/>
    <w:bookmarkEnd w:id="492"/>
    <w:p>
      <w:pPr>
        <w:jc w:val="both"/>
        <w:spacing w:after="0" w:line="288" w:lineRule="auto"/>
        <w:rPr>
          <w:sz w:val="20"/>
          <w:szCs w:val="20"/>
          <w:color w:val="auto"/>
        </w:rPr>
      </w:pPr>
      <w:r>
        <w:rPr>
          <w:rFonts w:ascii="Arial" w:cs="Arial" w:eastAsia="Arial" w:hAnsi="Arial"/>
          <w:sz w:val="14"/>
          <w:szCs w:val="14"/>
          <w:color w:val="auto"/>
        </w:rPr>
        <w:t>the original intent of the parties as closely as possible in a mutually acceptable manner in order that the transactions contemplated hereby be consummated as originally contemplated to the greatest extent possible.</w:t>
      </w:r>
    </w:p>
    <w:p>
      <w:pPr>
        <w:spacing w:after="0" w:line="13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Fees and Expenses</w:t>
      </w:r>
      <w:r>
        <w:rPr>
          <w:rFonts w:ascii="Arial" w:cs="Arial" w:eastAsia="Arial" w:hAnsi="Arial"/>
          <w:sz w:val="14"/>
          <w:szCs w:val="14"/>
          <w:color w:val="auto"/>
        </w:rPr>
        <w:t>. Except as otherwise expressly provided for herein, all costs and expenses, including fees and disbursements of counsel, financial advisors and accountants, incurred in connection with the preparation and execution of this Agreement, or any amendment or waiver hereof, and the transactions contemplated hereby will be paid by the Party incurring such costs and expenses.</w:t>
      </w:r>
    </w:p>
    <w:p>
      <w:pPr>
        <w:spacing w:after="0" w:line="141"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Governing Law; Submission to Jurisdiction; Waiver of Jury Trial</w:t>
      </w:r>
      <w:r>
        <w:rPr>
          <w:rFonts w:ascii="Arial" w:cs="Arial" w:eastAsia="Arial" w:hAnsi="Arial"/>
          <w:sz w:val="13"/>
          <w:szCs w:val="13"/>
          <w:color w:val="auto"/>
        </w:rPr>
        <w:t xml:space="preserve">. All issues and questions concerning the application, construction, validity, interpretation and enforcement of this Agreement will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Except as expressly set forth herein, the Parties hereby agree that any suit, action or proceeding seeking to enforce any provision of, or based on any matter arising out of or in connection with, this Agreement or the transactions contemplated hereby, whether in contract, tort or otherwise, will be brought in the United States District Court for the District of Delaware or in the Court of Chancery of the State of Delaware (or, if such court lacks subject matter jurisdiction, in the Superior Court of the State of Delaware), so long as one of such courts will have subject-matter jurisdiction over such suit, action or proceeding, and that any case of action arising out of this Agreement will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Service of process, summons, notice or other document by registered mail to the address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will be effective service of process for any suit, action or other proceeding brought in any such court. Each Party hereby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39"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3"/>
          <w:szCs w:val="13"/>
          <w:u w:val="single" w:color="auto"/>
          <w:color w:val="auto"/>
        </w:rPr>
        <w:t>Amendment</w:t>
      </w:r>
      <w:r>
        <w:rPr>
          <w:rFonts w:ascii="Arial" w:cs="Arial" w:eastAsia="Arial" w:hAnsi="Arial"/>
          <w:sz w:val="13"/>
          <w:szCs w:val="13"/>
          <w:color w:val="auto"/>
        </w:rPr>
        <w:t>. No provision of this Agreement may be amended or modified, or compliance otherwise waived, except by a writing executed by the Parties.</w:t>
      </w:r>
    </w:p>
    <w:p>
      <w:pPr>
        <w:spacing w:after="0" w:line="184"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Extension; Waiver</w:t>
      </w:r>
      <w:r>
        <w:rPr>
          <w:rFonts w:ascii="Arial" w:cs="Arial" w:eastAsia="Arial" w:hAnsi="Arial"/>
          <w:sz w:val="13"/>
          <w:szCs w:val="13"/>
          <w:color w:val="auto"/>
        </w:rPr>
        <w:t>. The failure of any Party to insist upon strict performance of a covenant hereunder or of any obligation hereunder, irrespective of the length of time for which such failure continues, will not be a waiver of such Party’s right to demand strict compliance herewith in the future. No consent or waiver, express or implied, to or of any breach or default in the performance of any obligation hereunder, will constitute a consent or waiver to or of any other breach or default in the performance of the same or any other obligation hereunder. Any agreement on the party of a Party to any extension or waiver will be valid only if set forth in a written instrument signed on behalf of the Party against which such waiver or extension is to be enforced. Waiver of any term or condition of this Agreement by a Party will not be construed as a waiver of any subsequent breach or waiver of the same term or condition by such Party, or a waiver of any other term or condition of this Agreement by such Party.</w:t>
      </w:r>
    </w:p>
    <w:p>
      <w:pPr>
        <w:spacing w:after="0" w:line="136"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No Agreement Until Executed</w:t>
      </w:r>
      <w:r>
        <w:rPr>
          <w:rFonts w:ascii="Arial" w:cs="Arial" w:eastAsia="Arial" w:hAnsi="Arial"/>
          <w:sz w:val="14"/>
          <w:szCs w:val="14"/>
          <w:color w:val="auto"/>
        </w:rPr>
        <w:t>. Irrespective of negotiations among the Parties or the exchanging of drafts of this Agreement, this Agreement will not constitute or be deemed to evidence a contract, agreement, arrangement or understanding among the Parties unless and until this Agreement is</w:t>
      </w: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13970</wp:posOffset>
            </wp:positionV>
            <wp:extent cx="7159625"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220"/>
          </w:cols>
          <w:pgMar w:left="1240" w:top="755" w:right="439" w:bottom="1440" w:gutter="0" w:footer="0" w:header="0"/>
        </w:sectPr>
      </w:pPr>
    </w:p>
    <w:bookmarkStart w:id="493" w:name="page494"/>
    <w:bookmarkEnd w:id="493"/>
    <w:p>
      <w:pPr>
        <w:spacing w:after="0"/>
        <w:rPr>
          <w:sz w:val="20"/>
          <w:szCs w:val="20"/>
          <w:color w:val="auto"/>
        </w:rPr>
      </w:pPr>
      <w:r>
        <w:rPr>
          <w:rFonts w:ascii="Arial" w:cs="Arial" w:eastAsia="Arial" w:hAnsi="Arial"/>
          <w:sz w:val="14"/>
          <w:szCs w:val="14"/>
          <w:color w:val="auto"/>
        </w:rPr>
        <w:t>executed and delivered by the Parties.</w:t>
      </w:r>
    </w:p>
    <w:p>
      <w:pPr>
        <w:spacing w:after="0" w:line="18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u w:val="single" w:color="auto"/>
          <w:color w:val="auto"/>
        </w:rPr>
        <w:t>Equitable Remedies</w:t>
      </w:r>
      <w:r>
        <w:rPr>
          <w:rFonts w:ascii="Arial" w:cs="Arial" w:eastAsia="Arial" w:hAnsi="Arial"/>
          <w:sz w:val="14"/>
          <w:szCs w:val="14"/>
          <w:color w:val="auto"/>
        </w:rPr>
        <w:t>. Each Party acknowledges that a breach or threatened breach by such Party of any of its obligations under this Agreement would give rise to irreparable harm to the other Parties, for which monetary damages would not be an adequate remedy, and hereby agrees that in the event of a breach or a threatened breach by such Party of any such obligations, each of the other Parties will, in addition to any and all other rights and remedies that may be available to them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4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4"/>
          <w:szCs w:val="14"/>
          <w:color w:val="auto"/>
        </w:rPr>
        <w:t xml:space="preserve">5.10 </w:t>
      </w:r>
      <w:r>
        <w:rPr>
          <w:rFonts w:ascii="Arial" w:cs="Arial" w:eastAsia="Arial" w:hAnsi="Arial"/>
          <w:sz w:val="14"/>
          <w:szCs w:val="14"/>
          <w:u w:val="single" w:color="auto"/>
          <w:color w:val="auto"/>
        </w:rPr>
        <w:t>Remedies Cumulative</w:t>
      </w:r>
      <w:r>
        <w:rPr>
          <w:rFonts w:ascii="Arial" w:cs="Arial" w:eastAsia="Arial" w:hAnsi="Arial"/>
          <w:sz w:val="14"/>
          <w:szCs w:val="14"/>
          <w:color w:val="auto"/>
        </w:rPr>
        <w:t>. The rights and remedies under this Agreement are cumulative and are in addition to and not in substitution for any other rights and remedies available at law or in equity or otherwise.</w:t>
      </w:r>
    </w:p>
    <w:p>
      <w:pPr>
        <w:spacing w:after="0" w:line="132"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4"/>
          <w:szCs w:val="14"/>
          <w:color w:val="auto"/>
        </w:rPr>
        <w:t>5.11</w:t>
      </w:r>
      <w:r>
        <w:rPr>
          <w:sz w:val="20"/>
          <w:szCs w:val="20"/>
          <w:color w:val="auto"/>
        </w:rPr>
        <w:tab/>
      </w:r>
      <w:r>
        <w:rPr>
          <w:rFonts w:ascii="Arial" w:cs="Arial" w:eastAsia="Arial" w:hAnsi="Arial"/>
          <w:sz w:val="13"/>
          <w:szCs w:val="13"/>
          <w:u w:val="single" w:color="auto"/>
          <w:color w:val="auto"/>
        </w:rPr>
        <w:t>Entire Agreement</w:t>
      </w:r>
      <w:r>
        <w:rPr>
          <w:rFonts w:ascii="Arial" w:cs="Arial" w:eastAsia="Arial" w:hAnsi="Arial"/>
          <w:sz w:val="13"/>
          <w:szCs w:val="13"/>
          <w:color w:val="auto"/>
        </w:rPr>
        <w:t>.</w:t>
      </w:r>
    </w:p>
    <w:p>
      <w:pPr>
        <w:spacing w:after="0" w:line="184" w:lineRule="exact"/>
        <w:rPr>
          <w:sz w:val="20"/>
          <w:szCs w:val="20"/>
          <w:color w:val="auto"/>
        </w:rPr>
      </w:pPr>
    </w:p>
    <w:p>
      <w:pPr>
        <w:jc w:val="both"/>
        <w:ind w:left="-80" w:firstLine="1044"/>
        <w:spacing w:after="0" w:line="273" w:lineRule="auto"/>
        <w:tabs>
          <w:tab w:leader="none" w:pos="1311" w:val="left"/>
        </w:tabs>
        <w:numPr>
          <w:ilvl w:val="0"/>
          <w:numId w:val="350"/>
        </w:numPr>
        <w:rPr>
          <w:rFonts w:ascii="Arial" w:cs="Arial" w:eastAsia="Arial" w:hAnsi="Arial"/>
          <w:sz w:val="14"/>
          <w:szCs w:val="14"/>
          <w:color w:val="auto"/>
        </w:rPr>
      </w:pPr>
      <w:r>
        <w:rPr>
          <w:rFonts w:ascii="Arial" w:cs="Arial" w:eastAsia="Arial" w:hAnsi="Arial"/>
          <w:sz w:val="14"/>
          <w:szCs w:val="14"/>
          <w:color w:val="auto"/>
        </w:rPr>
        <w:t>This Agreement, together with all related Exhibits, constitutes the sole and entire agreement of the parties to this Agreement with respect to the subject matter contained herein and therein, and supersedes all prior and contemporaneous understandings, agreements, representations and warranties, both written and oral, with respect to such subject matter.</w:t>
      </w:r>
    </w:p>
    <w:p>
      <w:pPr>
        <w:spacing w:after="0" w:line="141" w:lineRule="exact"/>
        <w:rPr>
          <w:rFonts w:ascii="Arial" w:cs="Arial" w:eastAsia="Arial" w:hAnsi="Arial"/>
          <w:sz w:val="14"/>
          <w:szCs w:val="14"/>
          <w:color w:val="auto"/>
        </w:rPr>
      </w:pPr>
    </w:p>
    <w:p>
      <w:pPr>
        <w:ind w:left="-80" w:right="20" w:firstLine="1044"/>
        <w:spacing w:after="0" w:line="329" w:lineRule="auto"/>
        <w:tabs>
          <w:tab w:leader="none" w:pos="1350" w:val="left"/>
        </w:tabs>
        <w:numPr>
          <w:ilvl w:val="0"/>
          <w:numId w:val="350"/>
        </w:numPr>
        <w:rPr>
          <w:rFonts w:ascii="Arial" w:cs="Arial" w:eastAsia="Arial" w:hAnsi="Arial"/>
          <w:sz w:val="13"/>
          <w:szCs w:val="13"/>
          <w:color w:val="auto"/>
        </w:rPr>
      </w:pPr>
      <w:r>
        <w:rPr>
          <w:rFonts w:ascii="Arial" w:cs="Arial" w:eastAsia="Arial" w:hAnsi="Arial"/>
          <w:sz w:val="13"/>
          <w:szCs w:val="13"/>
          <w:color w:val="auto"/>
        </w:rPr>
        <w:t>In the event of an inconsistency or conflict between the provisions of this Agreement and any provision of the Certificate of Incorporation, Bylaws or Investors’ Rights Agreement with respect to the subject matter of this Agreement, the Applicable Directors will attempt to resolve such conflict in its sole discretion.</w:t>
      </w:r>
    </w:p>
    <w:p>
      <w:pPr>
        <w:spacing w:after="0" w:line="108"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3"/>
          <w:szCs w:val="13"/>
          <w:color w:val="auto"/>
        </w:rPr>
        <w:t xml:space="preserve">5.12 </w:t>
      </w:r>
      <w:r>
        <w:rPr>
          <w:rFonts w:ascii="Arial" w:cs="Arial" w:eastAsia="Arial" w:hAnsi="Arial"/>
          <w:sz w:val="13"/>
          <w:szCs w:val="13"/>
          <w:u w:val="single" w:color="auto"/>
          <w:color w:val="auto"/>
        </w:rPr>
        <w:t>Interpretation</w:t>
      </w:r>
      <w:r>
        <w:rPr>
          <w:rFonts w:ascii="Arial" w:cs="Arial" w:eastAsia="Arial" w:hAnsi="Arial"/>
          <w:sz w:val="13"/>
          <w:szCs w:val="13"/>
          <w:color w:val="auto"/>
        </w:rPr>
        <w:t>. For purposes of this Agreement: (a) the words “include,” “includes” and “including” will be deemed to be followed by the words “without limitation”; (b) the word “or” is not exclusive; (c) the words “herein,” “hereof,” “hereby,” “hereto” and “hereunder” refer to this Agreement as a whole; and (d) the words “will” and “shall” are to be interpreted as having the same meaning. The definitions given for any defined terms in this Agreement will apply equally to both the singular and plural forms of the terms defined. Whenever the context may require, any pronoun will include the corresponding masculine, feminine and neuter forms. Unless the context otherwise requires, references herein: (x) to Articles, Sections and Exhibits mean the Articles and Sections of,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will be construed without regard to any presumption or rule requiring construction or interpretation against the Party drafting an instrument or causing any instrument to be drafted. The Exhibits referred to herein will be construed with, and as an integral part of, this Agreement to the same extent as if they were set forth verbatim herein. The word “dollar” or symbol “$” refer to the lawful currency of the United States of America. The headings in this Agreement are inserted for convenience or reference only and are in no way intended to describe, interpret, define, or limit the scope, extent or intent of this Agreement or any provision of this Agreement in accordance herewith.</w:t>
      </w:r>
    </w:p>
    <w:p>
      <w:pPr>
        <w:spacing w:after="0" w:line="13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5.13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314"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13970</wp:posOffset>
            </wp:positionV>
            <wp:extent cx="7159625"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220"/>
          </w:cols>
          <w:pgMar w:left="1240" w:top="755" w:right="439" w:bottom="1440" w:gutter="0" w:footer="0" w:header="0"/>
        </w:sectPr>
      </w:pPr>
    </w:p>
    <w:bookmarkStart w:id="494" w:name="page495"/>
    <w:bookmarkEnd w:id="494"/>
    <w:p>
      <w:pPr>
        <w:jc w:val="both"/>
        <w:ind w:firstLine="518"/>
        <w:spacing w:after="0" w:line="267" w:lineRule="auto"/>
        <w:rPr>
          <w:sz w:val="20"/>
          <w:szCs w:val="20"/>
          <w:color w:val="auto"/>
        </w:rPr>
      </w:pPr>
      <w:r>
        <w:rPr>
          <w:rFonts w:ascii="Arial" w:cs="Arial" w:eastAsia="Arial" w:hAnsi="Arial"/>
          <w:sz w:val="14"/>
          <w:szCs w:val="14"/>
          <w:color w:val="auto"/>
        </w:rPr>
        <w:t xml:space="preserve">5.14 </w:t>
      </w:r>
      <w:r>
        <w:rPr>
          <w:rFonts w:ascii="Arial" w:cs="Arial" w:eastAsia="Arial" w:hAnsi="Arial"/>
          <w:sz w:val="14"/>
          <w:szCs w:val="14"/>
          <w:u w:val="single" w:color="auto"/>
          <w:color w:val="auto"/>
        </w:rPr>
        <w:t>Dispute Resolution</w:t>
      </w:r>
      <w:r>
        <w:rPr>
          <w:rFonts w:ascii="Arial" w:cs="Arial" w:eastAsia="Arial" w:hAnsi="Arial"/>
          <w:sz w:val="14"/>
          <w:szCs w:val="14"/>
          <w:color w:val="auto"/>
        </w:rPr>
        <w:t xml:space="preserve">. Without limitation of the choice of law and jurisdiction of </w:t>
      </w:r>
      <w:r>
        <w:rPr>
          <w:rFonts w:ascii="Arial" w:cs="Arial" w:eastAsia="Arial" w:hAnsi="Arial"/>
          <w:sz w:val="14"/>
          <w:szCs w:val="14"/>
          <w:u w:val="single" w:color="auto"/>
          <w:color w:val="auto"/>
        </w:rPr>
        <w:t>Section 5.5,</w:t>
      </w:r>
      <w:r>
        <w:rPr>
          <w:rFonts w:ascii="Arial" w:cs="Arial" w:eastAsia="Arial" w:hAnsi="Arial"/>
          <w:sz w:val="14"/>
          <w:szCs w:val="14"/>
          <w:color w:val="auto"/>
        </w:rPr>
        <w:t xml:space="preserve"> except as expressly provided for herein (including disputes to be resolved using Baseball Arbitration), the Parties hereby agree that controversies or claims arising out of or relating to this Agreement, or the interpretation, performance, breach, termination or validity thereof, will be escalated in accordance with the escalation procedure set forth in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if such dispute is not resolved within the 30-day period set forth therein, then such dispute will resolved in accordance with </w:t>
      </w:r>
      <w:r>
        <w:rPr>
          <w:rFonts w:ascii="Arial" w:cs="Arial" w:eastAsia="Arial" w:hAnsi="Arial"/>
          <w:sz w:val="14"/>
          <w:szCs w:val="14"/>
          <w:u w:val="single" w:color="auto"/>
          <w:color w:val="auto"/>
        </w:rPr>
        <w:t>Section 5.5</w:t>
      </w:r>
      <w:r>
        <w:rPr>
          <w:rFonts w:ascii="Arial" w:cs="Arial" w:eastAsia="Arial" w:hAnsi="Arial"/>
          <w:sz w:val="14"/>
          <w:szCs w:val="14"/>
          <w:color w:val="auto"/>
        </w:rPr>
        <w:t>.</w:t>
      </w:r>
    </w:p>
    <w:p>
      <w:pPr>
        <w:spacing w:after="0" w:line="14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5.15 </w:t>
      </w:r>
      <w:r>
        <w:rPr>
          <w:rFonts w:ascii="Arial" w:cs="Arial" w:eastAsia="Arial" w:hAnsi="Arial"/>
          <w:sz w:val="14"/>
          <w:szCs w:val="14"/>
          <w:u w:val="single" w:color="auto"/>
          <w:color w:val="auto"/>
        </w:rPr>
        <w:t>Further Assurances</w:t>
      </w:r>
      <w:r>
        <w:rPr>
          <w:rFonts w:ascii="Arial" w:cs="Arial" w:eastAsia="Arial" w:hAnsi="Arial"/>
          <w:sz w:val="14"/>
          <w:szCs w:val="14"/>
          <w:color w:val="auto"/>
        </w:rPr>
        <w:t>. In connection with this Agreement and the transactions contemplated hereby, each Party hereby agrees to execute and deliver such additional documents, instruments, conveyances and assurances and to take such further actions as may be required to carry out the provisions hereof and give effect to the transactions contemplated hereby.</w:t>
      </w:r>
    </w:p>
    <w:p>
      <w:pPr>
        <w:spacing w:after="0" w:line="14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5.16 </w:t>
      </w:r>
      <w:r>
        <w:rPr>
          <w:rFonts w:ascii="Arial" w:cs="Arial" w:eastAsia="Arial" w:hAnsi="Arial"/>
          <w:sz w:val="14"/>
          <w:szCs w:val="14"/>
          <w:u w:val="single" w:color="auto"/>
          <w:color w:val="auto"/>
        </w:rPr>
        <w:t>No Third-Party Beneficiaries</w:t>
      </w:r>
      <w:r>
        <w:rPr>
          <w:rFonts w:ascii="Arial" w:cs="Arial" w:eastAsia="Arial" w:hAnsi="Arial"/>
          <w:sz w:val="14"/>
          <w:szCs w:val="14"/>
          <w:color w:val="auto"/>
        </w:rPr>
        <w:t>. This Agreement is for the sole benefit of the Parties (and their respective heirs, executors, administrators, successors and assigns) and nothing herein, express or implied, is intended to or will confer upon any other Person, including any creditor of the Company, any legal or equitable right, benefit or remedy of any nature whatsoever under or by reason of this Agreement.</w:t>
      </w:r>
    </w:p>
    <w:p>
      <w:pPr>
        <w:spacing w:after="0" w:line="141"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357"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13970</wp:posOffset>
            </wp:positionV>
            <wp:extent cx="7159625"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220"/>
          </w:cols>
          <w:pgMar w:left="1240" w:top="754" w:right="439" w:bottom="1440" w:gutter="0" w:footer="0" w:header="0"/>
        </w:sectPr>
      </w:pPr>
    </w:p>
    <w:bookmarkStart w:id="495" w:name="page496"/>
    <w:bookmarkEnd w:id="495"/>
    <w:p>
      <w:pPr>
        <w:ind w:left="780"/>
        <w:spacing w:after="0"/>
        <w:rPr>
          <w:sz w:val="20"/>
          <w:szCs w:val="20"/>
          <w:color w:val="auto"/>
        </w:rPr>
      </w:pPr>
      <w:r>
        <w:rPr>
          <w:rFonts w:ascii="Arial" w:cs="Arial" w:eastAsia="Arial" w:hAnsi="Arial"/>
          <w:sz w:val="13"/>
          <w:szCs w:val="13"/>
          <w:color w:val="auto"/>
        </w:rPr>
        <w:t>IN WITNESS WHEREOF, the Parties have executed this Amended and Restated Option Agreement as of the date first set forth above.</w:t>
      </w:r>
    </w:p>
    <w:p>
      <w:pPr>
        <w:spacing w:after="0" w:line="235"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COMPANY:</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CENTURY THERAPEUTICS, INC.</w:t>
      </w:r>
    </w:p>
    <w:p>
      <w:pPr>
        <w:spacing w:after="0" w:line="227" w:lineRule="exact"/>
        <w:rPr>
          <w:sz w:val="20"/>
          <w:szCs w:val="20"/>
          <w:color w:val="auto"/>
        </w:rPr>
      </w:pPr>
    </w:p>
    <w:p>
      <w:pPr>
        <w:ind w:left="4500"/>
        <w:spacing w:after="0"/>
        <w:tabs>
          <w:tab w:leader="none" w:pos="4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Osvaldo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13970</wp:posOffset>
            </wp:positionV>
            <wp:extent cx="3364230"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Osvaldo Flores, Ph.D.</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President and Chief Executive Officer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AMENDED AND RESTATED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356870</wp:posOffset>
            </wp:positionV>
            <wp:extent cx="7159625"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755" w:right="1440" w:bottom="1440" w:gutter="0" w:footer="0" w:header="0"/>
        </w:sectPr>
      </w:pPr>
    </w:p>
    <w:bookmarkStart w:id="496" w:name="page497"/>
    <w:bookmarkEnd w:id="496"/>
    <w:p>
      <w:pPr>
        <w:ind w:left="780"/>
        <w:spacing w:after="0"/>
        <w:rPr>
          <w:sz w:val="20"/>
          <w:szCs w:val="20"/>
          <w:color w:val="auto"/>
        </w:rPr>
      </w:pPr>
      <w:r>
        <w:rPr>
          <w:rFonts w:ascii="Arial" w:cs="Arial" w:eastAsia="Arial" w:hAnsi="Arial"/>
          <w:sz w:val="13"/>
          <w:szCs w:val="13"/>
          <w:color w:val="auto"/>
        </w:rPr>
        <w:t>IN WITNESS WHEREOF, the Parties have executed this Amended and Restated Option Agreement as of the date first set forth above.</w:t>
      </w: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BAYER:</w:t>
      </w:r>
    </w:p>
    <w:p>
      <w:pPr>
        <w:spacing w:after="0" w:line="23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BAYER HEALTHCARE LLC</w:t>
      </w:r>
    </w:p>
    <w:p>
      <w:pPr>
        <w:spacing w:after="0" w:line="184" w:lineRule="exact"/>
        <w:rPr>
          <w:sz w:val="20"/>
          <w:szCs w:val="20"/>
          <w:color w:val="auto"/>
        </w:rPr>
      </w:pPr>
    </w:p>
    <w:p>
      <w:pPr>
        <w:ind w:left="4500"/>
        <w:spacing w:after="0"/>
        <w:tabs>
          <w:tab w:leader="none" w:pos="4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Kelly 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13970</wp:posOffset>
            </wp:positionV>
            <wp:extent cx="336423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Kelly Gast</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President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AMENDED AND RESTATED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356870</wp:posOffset>
            </wp:positionV>
            <wp:extent cx="7159625"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754" w:right="1440" w:bottom="1440" w:gutter="0" w:footer="0" w:header="0"/>
        </w:sectPr>
      </w:pPr>
    </w:p>
    <w:bookmarkStart w:id="497" w:name="page498"/>
    <w:bookmarkEnd w:id="497"/>
    <w:p>
      <w:pPr>
        <w:jc w:val="center"/>
        <w:ind w:right="-1120"/>
        <w:spacing w:after="0"/>
        <w:rPr>
          <w:sz w:val="20"/>
          <w:szCs w:val="20"/>
          <w:color w:val="auto"/>
        </w:rPr>
      </w:pPr>
      <w:r>
        <w:rPr>
          <w:rFonts w:ascii="Arial" w:cs="Arial" w:eastAsia="Arial" w:hAnsi="Arial"/>
          <w:sz w:val="14"/>
          <w:szCs w:val="14"/>
          <w:b w:val="1"/>
          <w:bCs w:val="1"/>
          <w:color w:val="auto"/>
        </w:rPr>
        <w:t>EXHIBIT A</w:t>
      </w:r>
    </w:p>
    <w:p>
      <w:pPr>
        <w:spacing w:after="0" w:line="184" w:lineRule="exact"/>
        <w:rPr>
          <w:sz w:val="20"/>
          <w:szCs w:val="20"/>
          <w:color w:val="auto"/>
        </w:rPr>
      </w:pPr>
    </w:p>
    <w:p>
      <w:pPr>
        <w:jc w:val="right"/>
        <w:ind w:right="3519"/>
        <w:spacing w:after="0"/>
        <w:rPr>
          <w:sz w:val="20"/>
          <w:szCs w:val="20"/>
          <w:color w:val="auto"/>
        </w:rPr>
      </w:pPr>
      <w:r>
        <w:rPr>
          <w:rFonts w:ascii="Arial" w:cs="Arial" w:eastAsia="Arial" w:hAnsi="Arial"/>
          <w:sz w:val="14"/>
          <w:szCs w:val="14"/>
          <w:b w:val="1"/>
          <w:bCs w:val="1"/>
          <w:u w:val="single" w:color="auto"/>
          <w:color w:val="auto"/>
        </w:rPr>
        <w:t>Baseball Arbitration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51" w:right="1440" w:bottom="1440" w:gutter="0" w:footer="0" w:header="0"/>
        </w:sectPr>
      </w:pPr>
    </w:p>
    <w:bookmarkStart w:id="498" w:name="page499"/>
    <w:bookmarkEnd w:id="498"/>
    <w:p>
      <w:pPr>
        <w:jc w:val="center"/>
        <w:ind w:right="-1120"/>
        <w:spacing w:after="0"/>
        <w:rPr>
          <w:sz w:val="20"/>
          <w:szCs w:val="20"/>
          <w:color w:val="auto"/>
        </w:rPr>
      </w:pPr>
      <w:r>
        <w:rPr>
          <w:rFonts w:ascii="Arial" w:cs="Arial" w:eastAsia="Arial" w:hAnsi="Arial"/>
          <w:sz w:val="14"/>
          <w:szCs w:val="14"/>
          <w:b w:val="1"/>
          <w:bCs w:val="1"/>
          <w:color w:val="auto"/>
        </w:rPr>
        <w:t>EXHIBIT B</w:t>
      </w:r>
    </w:p>
    <w:p>
      <w:pPr>
        <w:spacing w:after="0" w:line="184" w:lineRule="exact"/>
        <w:rPr>
          <w:sz w:val="20"/>
          <w:szCs w:val="20"/>
          <w:color w:val="auto"/>
        </w:rPr>
      </w:pPr>
    </w:p>
    <w:p>
      <w:pPr>
        <w:jc w:val="right"/>
        <w:ind w:right="3899"/>
        <w:spacing w:after="0"/>
        <w:rPr>
          <w:sz w:val="20"/>
          <w:szCs w:val="20"/>
          <w:color w:val="auto"/>
        </w:rPr>
      </w:pPr>
      <w:r>
        <w:rPr>
          <w:rFonts w:ascii="Arial" w:cs="Arial" w:eastAsia="Arial" w:hAnsi="Arial"/>
          <w:sz w:val="14"/>
          <w:szCs w:val="14"/>
          <w:b w:val="1"/>
          <w:bCs w:val="1"/>
          <w:u w:val="single" w:color="auto"/>
          <w:color w:val="auto"/>
        </w:rPr>
        <w:t>Antitrust Covenants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350520</wp:posOffset>
            </wp:positionV>
            <wp:extent cx="7159625"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51" w:right="1440" w:bottom="1440" w:gutter="0" w:footer="0" w:header="0"/>
        </w:sectPr>
      </w:pPr>
    </w:p>
    <w:bookmarkStart w:id="499" w:name="page500"/>
    <w:bookmarkEnd w:id="499"/>
    <w:p>
      <w:pPr>
        <w:jc w:val="center"/>
        <w:ind w:right="-1120"/>
        <w:spacing w:after="0"/>
        <w:rPr>
          <w:sz w:val="20"/>
          <w:szCs w:val="20"/>
          <w:color w:val="auto"/>
        </w:rPr>
      </w:pPr>
      <w:r>
        <w:rPr>
          <w:rFonts w:ascii="Arial" w:cs="Arial" w:eastAsia="Arial" w:hAnsi="Arial"/>
          <w:sz w:val="14"/>
          <w:szCs w:val="14"/>
          <w:b w:val="1"/>
          <w:bCs w:val="1"/>
          <w:color w:val="auto"/>
        </w:rPr>
        <w:t>EXHIBIT C</w:t>
      </w:r>
    </w:p>
    <w:p>
      <w:pPr>
        <w:spacing w:after="0" w:line="184" w:lineRule="exact"/>
        <w:rPr>
          <w:sz w:val="20"/>
          <w:szCs w:val="20"/>
          <w:color w:val="auto"/>
        </w:rPr>
      </w:pPr>
    </w:p>
    <w:p>
      <w:pPr>
        <w:jc w:val="right"/>
        <w:ind w:right="3839"/>
        <w:spacing w:after="0"/>
        <w:rPr>
          <w:sz w:val="20"/>
          <w:szCs w:val="20"/>
          <w:color w:val="auto"/>
        </w:rPr>
      </w:pPr>
      <w:r>
        <w:rPr>
          <w:rFonts w:ascii="Arial" w:cs="Arial" w:eastAsia="Arial" w:hAnsi="Arial"/>
          <w:sz w:val="14"/>
          <w:szCs w:val="14"/>
          <w:b w:val="1"/>
          <w:bCs w:val="1"/>
          <w:u w:val="single" w:color="auto"/>
          <w:color w:val="auto"/>
        </w:rPr>
        <w:t>Escalation Procedures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350520</wp:posOffset>
            </wp:positionV>
            <wp:extent cx="7159625"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51" w:right="1440" w:bottom="1440" w:gutter="0" w:footer="0" w:header="0"/>
        </w:sectPr>
      </w:pPr>
    </w:p>
    <w:bookmarkStart w:id="500" w:name="page501"/>
    <w:bookmarkEnd w:id="500"/>
    <w:p>
      <w:pPr>
        <w:jc w:val="center"/>
        <w:ind w:right="-1120"/>
        <w:spacing w:after="0"/>
        <w:rPr>
          <w:sz w:val="20"/>
          <w:szCs w:val="20"/>
          <w:color w:val="auto"/>
        </w:rPr>
      </w:pPr>
      <w:r>
        <w:rPr>
          <w:rFonts w:ascii="Arial" w:cs="Arial" w:eastAsia="Arial" w:hAnsi="Arial"/>
          <w:sz w:val="14"/>
          <w:szCs w:val="14"/>
          <w:b w:val="1"/>
          <w:bCs w:val="1"/>
          <w:color w:val="auto"/>
        </w:rPr>
        <w:t>EXHIBIT D</w:t>
      </w:r>
    </w:p>
    <w:p>
      <w:pPr>
        <w:spacing w:after="0" w:line="184" w:lineRule="exact"/>
        <w:rPr>
          <w:sz w:val="20"/>
          <w:szCs w:val="20"/>
          <w:color w:val="auto"/>
        </w:rPr>
      </w:pPr>
    </w:p>
    <w:p>
      <w:pPr>
        <w:jc w:val="right"/>
        <w:ind w:right="4059"/>
        <w:spacing w:after="0"/>
        <w:rPr>
          <w:sz w:val="20"/>
          <w:szCs w:val="20"/>
          <w:color w:val="auto"/>
        </w:rPr>
      </w:pPr>
      <w:r>
        <w:rPr>
          <w:rFonts w:ascii="Arial" w:cs="Arial" w:eastAsia="Arial" w:hAnsi="Arial"/>
          <w:sz w:val="14"/>
          <w:szCs w:val="14"/>
          <w:b w:val="1"/>
          <w:bCs w:val="1"/>
          <w:u w:val="single" w:color="auto"/>
          <w:color w:val="auto"/>
        </w:rPr>
        <w:t>Confidentiality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51" w:right="1440" w:bottom="1440" w:gutter="0" w:footer="0" w:header="0"/>
        </w:sectPr>
      </w:pPr>
    </w:p>
    <w:bookmarkStart w:id="501" w:name="page502"/>
    <w:bookmarkEnd w:id="501"/>
    <w:p>
      <w:pPr>
        <w:ind w:left="10300"/>
        <w:spacing w:after="0"/>
        <w:rPr>
          <w:sz w:val="20"/>
          <w:szCs w:val="20"/>
          <w:color w:val="auto"/>
        </w:rPr>
      </w:pPr>
      <w:r>
        <w:rPr>
          <w:rFonts w:ascii="Arial" w:cs="Arial" w:eastAsia="Arial" w:hAnsi="Arial"/>
          <w:sz w:val="16"/>
          <w:szCs w:val="16"/>
          <w:b w:val="1"/>
          <w:bCs w:val="1"/>
          <w:color w:val="auto"/>
        </w:rPr>
        <w:t>Exhibit 10.16</w:t>
      </w:r>
    </w:p>
    <w:p>
      <w:pPr>
        <w:spacing w:after="0" w:line="216" w:lineRule="exact"/>
        <w:rPr>
          <w:sz w:val="20"/>
          <w:szCs w:val="20"/>
          <w:color w:val="auto"/>
        </w:rPr>
      </w:pPr>
    </w:p>
    <w:p>
      <w:pPr>
        <w:jc w:val="center"/>
        <w:ind w:left="4700" w:right="60" w:hanging="4631"/>
        <w:spacing w:after="0" w:line="288" w:lineRule="auto"/>
        <w:tabs>
          <w:tab w:leader="none" w:pos="425" w:val="left"/>
        </w:tabs>
        <w:numPr>
          <w:ilvl w:val="0"/>
          <w:numId w:val="351"/>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MCA-001-01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MASTER COLLABORATION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 xml:space="preserve">THIS MASTER COLLABORATION AGREEMENT </w:t>
      </w:r>
      <w:r>
        <w:rPr>
          <w:rFonts w:ascii="Arial" w:cs="Arial" w:eastAsia="Arial" w:hAnsi="Arial"/>
          <w:sz w:val="14"/>
          <w:szCs w:val="14"/>
          <w:color w:val="auto"/>
        </w:rPr>
        <w:t>(together with its Exhibit(s), this “</w:t>
      </w:r>
      <w:r>
        <w:rPr>
          <w:rFonts w:ascii="Arial" w:cs="Arial" w:eastAsia="Arial" w:hAnsi="Arial"/>
          <w:sz w:val="14"/>
          <w:szCs w:val="14"/>
          <w:b w:val="1"/>
          <w:bCs w:val="1"/>
          <w:color w:val="auto"/>
        </w:rPr>
        <w:t>Agreement</w:t>
      </w:r>
      <w:r>
        <w:rPr>
          <w:rFonts w:ascii="Arial" w:cs="Arial" w:eastAsia="Arial" w:hAnsi="Arial"/>
          <w:sz w:val="14"/>
          <w:szCs w:val="14"/>
          <w:color w:val="auto"/>
        </w:rPr>
        <w:t>”) is made as of October 21, 2019 (the “</w:t>
      </w:r>
      <w:r>
        <w:rPr>
          <w:rFonts w:ascii="Arial" w:cs="Arial" w:eastAsia="Arial" w:hAnsi="Arial"/>
          <w:sz w:val="14"/>
          <w:szCs w:val="14"/>
          <w:b w:val="1"/>
          <w:bCs w:val="1"/>
          <w:color w:val="auto"/>
        </w:rPr>
        <w:t>Signing Date</w:t>
      </w:r>
      <w:r>
        <w:rPr>
          <w:rFonts w:ascii="Arial" w:cs="Arial" w:eastAsia="Arial" w:hAnsi="Arial"/>
          <w:sz w:val="14"/>
          <w:szCs w:val="14"/>
          <w:color w:val="auto"/>
        </w:rPr>
        <w:t>”) by and between</w:t>
      </w:r>
      <w:r>
        <w:rPr>
          <w:rFonts w:ascii="Arial" w:cs="Arial" w:eastAsia="Arial" w:hAnsi="Arial"/>
          <w:sz w:val="14"/>
          <w:szCs w:val="14"/>
          <w:b w:val="1"/>
          <w:bCs w:val="1"/>
          <w:color w:val="auto"/>
        </w:rPr>
        <w:t xml:space="preserve"> </w:t>
      </w:r>
      <w:r>
        <w:rPr>
          <w:rFonts w:ascii="Arial" w:cs="Arial" w:eastAsia="Arial" w:hAnsi="Arial"/>
          <w:sz w:val="14"/>
          <w:szCs w:val="14"/>
          <w:color w:val="auto"/>
        </w:rPr>
        <w:t>C</w:t>
      </w:r>
      <w:r>
        <w:rPr>
          <w:rFonts w:ascii="Arial" w:cs="Arial" w:eastAsia="Arial" w:hAnsi="Arial"/>
          <w:sz w:val="14"/>
          <w:szCs w:val="14"/>
          <w:b w:val="1"/>
          <w:bCs w:val="1"/>
          <w:color w:val="auto"/>
        </w:rPr>
        <w:t>ENTURY THERAPEUTICS, LLC</w:t>
      </w:r>
      <w:r>
        <w:rPr>
          <w:rFonts w:ascii="Arial" w:cs="Arial" w:eastAsia="Arial" w:hAnsi="Arial"/>
          <w:sz w:val="14"/>
          <w:szCs w:val="14"/>
          <w:color w:val="auto"/>
        </w:rPr>
        <w:t>, having a principal place of business at 3675 Market St., Philadelphia, PA 19104 USA (“</w:t>
      </w:r>
      <w:r>
        <w:rPr>
          <w:rFonts w:ascii="Arial" w:cs="Arial" w:eastAsia="Arial" w:hAnsi="Arial"/>
          <w:sz w:val="14"/>
          <w:szCs w:val="14"/>
          <w:b w:val="1"/>
          <w:bCs w:val="1"/>
          <w:color w:val="auto"/>
        </w:rPr>
        <w:t>Century”</w:t>
      </w:r>
      <w:r>
        <w:rPr>
          <w:rFonts w:ascii="Arial" w:cs="Arial" w:eastAsia="Arial" w:hAnsi="Arial"/>
          <w:sz w:val="14"/>
          <w:szCs w:val="14"/>
          <w:color w:val="auto"/>
        </w:rPr>
        <w:t xml:space="preserve">) and </w:t>
      </w:r>
      <w:r>
        <w:rPr>
          <w:rFonts w:ascii="Arial" w:cs="Arial" w:eastAsia="Arial" w:hAnsi="Arial"/>
          <w:sz w:val="14"/>
          <w:szCs w:val="14"/>
          <w:b w:val="1"/>
          <w:bCs w:val="1"/>
          <w:color w:val="auto"/>
        </w:rPr>
        <w:t>FUJIFILM Cellular Dynamics, Inc.</w:t>
      </w:r>
      <w:r>
        <w:rPr>
          <w:rFonts w:ascii="Arial" w:cs="Arial" w:eastAsia="Arial" w:hAnsi="Arial"/>
          <w:sz w:val="14"/>
          <w:szCs w:val="14"/>
          <w:color w:val="auto"/>
        </w:rPr>
        <w:t>, having a principal place of business at 525 Science Drive. Madison WI 53711. USA (“</w:t>
      </w:r>
      <w:r>
        <w:rPr>
          <w:rFonts w:ascii="Arial" w:cs="Arial" w:eastAsia="Arial" w:hAnsi="Arial"/>
          <w:sz w:val="14"/>
          <w:szCs w:val="14"/>
          <w:b w:val="1"/>
          <w:bCs w:val="1"/>
          <w:color w:val="auto"/>
        </w:rPr>
        <w:t>FCDI</w:t>
      </w:r>
      <w:r>
        <w:rPr>
          <w:rFonts w:ascii="Arial" w:cs="Arial" w:eastAsia="Arial" w:hAnsi="Arial"/>
          <w:sz w:val="14"/>
          <w:szCs w:val="14"/>
          <w:color w:val="auto"/>
        </w:rPr>
        <w:t>”). Century and FCDI are each referred to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referred to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35"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on the thirteenth day of September, 2018, FCDI invested in Century Therapeutics, Inc., an affiliate of Century</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Century Inc.</w:t>
      </w:r>
      <w:r>
        <w:rPr>
          <w:rFonts w:ascii="Arial" w:cs="Arial" w:eastAsia="Arial" w:hAnsi="Arial"/>
          <w:sz w:val="14"/>
          <w:szCs w:val="14"/>
          <w:color w:val="auto"/>
        </w:rPr>
        <w:t>”) pursuant to that certain Common Stock</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 Agreement (the “</w:t>
      </w:r>
      <w:r>
        <w:rPr>
          <w:rFonts w:ascii="Arial" w:cs="Arial" w:eastAsia="Arial" w:hAnsi="Arial"/>
          <w:sz w:val="14"/>
          <w:szCs w:val="14"/>
          <w:b w:val="1"/>
          <w:bCs w:val="1"/>
          <w:color w:val="auto"/>
        </w:rPr>
        <w:t>SPA</w:t>
      </w:r>
      <w:r>
        <w:rPr>
          <w:rFonts w:ascii="Arial" w:cs="Arial" w:eastAsia="Arial" w:hAnsi="Arial"/>
          <w:sz w:val="14"/>
          <w:szCs w:val="14"/>
          <w:color w:val="auto"/>
        </w:rPr>
        <w:t xml:space="preserve">”) by and among Century Inc., FCDI and Versant Venture Capital VI, L.P. </w:t>
      </w: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Versant</w:t>
      </w:r>
      <w:r>
        <w:rPr>
          <w:rFonts w:ascii="Arial" w:cs="Arial" w:eastAsia="Arial" w:hAnsi="Arial"/>
          <w:sz w:val="14"/>
          <w:szCs w:val="14"/>
          <w:color w:val="auto"/>
        </w:rPr>
        <w:t>”), dated September 13, 2018;</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pursuant to Section 2.6 of the SPA and in connection therewith, Century Inc. and FCDI entered into that certain Reprogramming License Agreement (as defined below) and</w:t>
      </w:r>
      <w:r>
        <w:rPr>
          <w:rFonts w:ascii="Arial" w:cs="Arial" w:eastAsia="Arial" w:hAnsi="Arial"/>
          <w:sz w:val="14"/>
          <w:szCs w:val="14"/>
          <w:b w:val="1"/>
          <w:bCs w:val="1"/>
          <w:color w:val="auto"/>
        </w:rPr>
        <w:t xml:space="preserve"> </w:t>
      </w:r>
      <w:r>
        <w:rPr>
          <w:rFonts w:ascii="Arial" w:cs="Arial" w:eastAsia="Arial" w:hAnsi="Arial"/>
          <w:sz w:val="14"/>
          <w:szCs w:val="14"/>
          <w:color w:val="auto"/>
        </w:rPr>
        <w:t>that that certain Differentiation License Agreement (as defined below);</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pursuant to the Reprogramming License Agreement, FCDI grants a non-exclusive license to Century Inc. under patent rights related to the cell reprogramming of human</w:t>
      </w:r>
      <w:r>
        <w:rPr>
          <w:rFonts w:ascii="Arial" w:cs="Arial" w:eastAsia="Arial" w:hAnsi="Arial"/>
          <w:sz w:val="14"/>
          <w:szCs w:val="14"/>
          <w:b w:val="1"/>
          <w:bCs w:val="1"/>
          <w:color w:val="auto"/>
        </w:rPr>
        <w:t xml:space="preserve"> </w:t>
      </w:r>
      <w:r>
        <w:rPr>
          <w:rFonts w:ascii="Arial" w:cs="Arial" w:eastAsia="Arial" w:hAnsi="Arial"/>
          <w:sz w:val="14"/>
          <w:szCs w:val="14"/>
          <w:color w:val="auto"/>
        </w:rPr>
        <w:t>cells to induced pluripotent stem cells (“iPSCs”) pursuant to the terms and conditions set forth therein;</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pursuant to the Differentiation License Agreement, FCDI grants an exclusive license to Century Inc. under patent rights and know-how related to the manufacture of human</w:t>
      </w:r>
      <w:r>
        <w:rPr>
          <w:rFonts w:ascii="Arial" w:cs="Arial" w:eastAsia="Arial" w:hAnsi="Arial"/>
          <w:sz w:val="14"/>
          <w:szCs w:val="14"/>
          <w:b w:val="1"/>
          <w:bCs w:val="1"/>
          <w:color w:val="auto"/>
        </w:rPr>
        <w:t xml:space="preserve"> </w:t>
      </w:r>
      <w:r>
        <w:rPr>
          <w:rFonts w:ascii="Arial" w:cs="Arial" w:eastAsia="Arial" w:hAnsi="Arial"/>
          <w:sz w:val="14"/>
          <w:szCs w:val="14"/>
          <w:color w:val="auto"/>
        </w:rPr>
        <w:t>iPSC (including TiPSC)-derived T cells, NK cells, dendritic cells, and macrophages pursuant to the terms and conditions set forth therein;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Century Inc. has assigned all of its rights and obligations under the Reprogramming License Agreement and the Differentiation License Agreement to Century;</w:t>
      </w:r>
    </w:p>
    <w:p>
      <w:pPr>
        <w:spacing w:after="0" w:line="184"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Century and FCDI have agreed to enter into a collaboration agreement under which FCDI may, from time to time, provide certain services for Century to develop,</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manufacture and sell T-cell-derived induced pluripotent stem cell(s) </w:t>
      </w:r>
      <w:r>
        <w:rPr>
          <w:rFonts w:ascii="Arial" w:cs="Arial" w:eastAsia="Arial" w:hAnsi="Arial"/>
          <w:sz w:val="14"/>
          <w:szCs w:val="14"/>
          <w:b w:val="1"/>
          <w:bCs w:val="1"/>
          <w:color w:val="auto"/>
        </w:rPr>
        <w:t>(</w:t>
      </w:r>
      <w:r>
        <w:rPr>
          <w:rFonts w:ascii="Arial" w:cs="Arial" w:eastAsia="Arial" w:hAnsi="Arial"/>
          <w:sz w:val="14"/>
          <w:szCs w:val="14"/>
          <w:color w:val="auto"/>
        </w:rPr>
        <w:t>“</w:t>
      </w:r>
      <w:r>
        <w:rPr>
          <w:rFonts w:ascii="Arial" w:cs="Arial" w:eastAsia="Arial" w:hAnsi="Arial"/>
          <w:sz w:val="14"/>
          <w:szCs w:val="14"/>
          <w:b w:val="1"/>
          <w:bCs w:val="1"/>
          <w:color w:val="auto"/>
        </w:rPr>
        <w:t>TiPSC</w:t>
      </w:r>
      <w:r>
        <w:rPr>
          <w:rFonts w:ascii="Arial" w:cs="Arial" w:eastAsia="Arial" w:hAnsi="Arial"/>
          <w:sz w:val="14"/>
          <w:szCs w:val="14"/>
          <w:color w:val="auto"/>
        </w:rPr>
        <w:t>”) to Century to be used by Century, its Affiliates and its sublicensees to Exploit the Licensed Product (as defined in the Reprogramming License Agreement) under and subject to the terms and conditions of the Reprogramming License Agreement and the Differentiation License Agreement, in addition to such other research, development and/or manufacturing services as may be mutually agreed upon by them hereunder; and</w:t>
      </w:r>
    </w:p>
    <w:p>
      <w:pPr>
        <w:spacing w:after="0" w:line="141"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beginning on the Effective Date, FCDI has performed certain services and Century has performed certain supporting activities related to the development and manufacture</w:t>
      </w:r>
      <w:r>
        <w:rPr>
          <w:rFonts w:ascii="Arial" w:cs="Arial" w:eastAsia="Arial" w:hAnsi="Arial"/>
          <w:sz w:val="13"/>
          <w:szCs w:val="13"/>
          <w:b w:val="1"/>
          <w:bCs w:val="1"/>
          <w:color w:val="auto"/>
        </w:rPr>
        <w:t xml:space="preserve"> </w:t>
      </w:r>
      <w:r>
        <w:rPr>
          <w:rFonts w:ascii="Arial" w:cs="Arial" w:eastAsia="Arial" w:hAnsi="Arial"/>
          <w:sz w:val="13"/>
          <w:szCs w:val="13"/>
          <w:color w:val="auto"/>
        </w:rPr>
        <w:t>of TiPSCs, and Century has paid FCDI Two Million Five Hundred Thousand Dollars ($2,500,000) for such services, as contemplated in the Research Plan (as defined below). This Agreement establishes the general terms and conditions under which FCDI shall provide Services (as defined below) to Century following the Signing Date and notwithstanding anything to the contrary herein, such terms and conditions will govern the Services which have been performed and payments which have been made between the Signing Date and the Effective Date.</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THEREFORE</w:t>
      </w:r>
      <w:r>
        <w:rPr>
          <w:rFonts w:ascii="Arial" w:cs="Arial" w:eastAsia="Arial" w:hAnsi="Arial"/>
          <w:sz w:val="14"/>
          <w:szCs w:val="14"/>
          <w:color w:val="auto"/>
        </w:rPr>
        <w:t>, the Parties hereto agree, that for each set of Services, the following provisions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236220</wp:posOffset>
            </wp:positionV>
            <wp:extent cx="7159625"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02" w:name="page503"/>
    <w:bookmarkEnd w:id="502"/>
    <w:p>
      <w:pPr>
        <w:jc w:val="right"/>
        <w:spacing w:after="0"/>
        <w:rPr>
          <w:sz w:val="20"/>
          <w:szCs w:val="20"/>
          <w:color w:val="auto"/>
        </w:rPr>
      </w:pPr>
      <w:r>
        <w:rPr>
          <w:rFonts w:ascii="Arial" w:cs="Arial" w:eastAsia="Arial" w:hAnsi="Arial"/>
          <w:sz w:val="14"/>
          <w:szCs w:val="14"/>
          <w:color w:val="auto"/>
        </w:rPr>
        <w:t>Execution Version</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1.</w:t>
      </w:r>
      <w:r>
        <w:rPr>
          <w:sz w:val="20"/>
          <w:szCs w:val="20"/>
          <w:color w:val="auto"/>
        </w:rPr>
        <w:tab/>
      </w:r>
      <w:r>
        <w:rPr>
          <w:rFonts w:ascii="Arial" w:cs="Arial" w:eastAsia="Arial" w:hAnsi="Arial"/>
          <w:sz w:val="14"/>
          <w:szCs w:val="14"/>
          <w:b w:val="1"/>
          <w:bCs w:val="1"/>
          <w:u w:val="single" w:color="auto"/>
          <w:color w:val="auto"/>
        </w:rPr>
        <w:t>DEFINITIONS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Capitalized terms that are not defined in this Agreement shall have the same meaning set forth in the Reprogramming License Agreement and/or the Differentiation License Agreement, as applicable.</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Actual Remuneration Amount</w:t>
      </w:r>
      <w:r>
        <w:rPr>
          <w:rFonts w:ascii="Arial" w:cs="Arial" w:eastAsia="Arial" w:hAnsi="Arial"/>
          <w:sz w:val="13"/>
          <w:szCs w:val="13"/>
          <w:color w:val="auto"/>
        </w:rPr>
        <w:t>” means the cumulative net amount invoiced for a given twelve (12)-month period during the Term for the Services rendered to Century by FCDI in such</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12-month period as further described in </w:t>
      </w:r>
      <w:r>
        <w:rPr>
          <w:rFonts w:ascii="Arial" w:cs="Arial" w:eastAsia="Arial" w:hAnsi="Arial"/>
          <w:sz w:val="14"/>
          <w:szCs w:val="14"/>
          <w:b w:val="1"/>
          <w:bCs w:val="1"/>
          <w:color w:val="auto"/>
        </w:rPr>
        <w:t>Section 5.2</w:t>
      </w:r>
      <w:r>
        <w:rPr>
          <w:rFonts w:ascii="Arial" w:cs="Arial" w:eastAsia="Arial" w:hAnsi="Arial"/>
          <w:sz w:val="14"/>
          <w:szCs w:val="14"/>
          <w:color w:val="auto"/>
        </w:rPr>
        <w:t>.</w:t>
      </w:r>
    </w:p>
    <w:p>
      <w:pPr>
        <w:spacing w:after="0" w:line="171"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Approved Research Budget</w:t>
      </w:r>
      <w:r>
        <w:rPr>
          <w:rFonts w:ascii="Arial" w:cs="Arial" w:eastAsia="Arial" w:hAnsi="Arial"/>
          <w:sz w:val="14"/>
          <w:szCs w:val="14"/>
          <w:color w:val="auto"/>
        </w:rPr>
        <w:t>” means the written budget for the Research Plan, as set forth on Exhibit C attached hereto, as may be amended from time to time in accordance with this Agreement.</w:t>
      </w:r>
    </w:p>
    <w:p>
      <w:pPr>
        <w:spacing w:after="0" w:line="12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 day that is not a Saturday, Sunday or a day on which banking institutions in Boston, Massachusetts are authorized by law to remain closed.</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Century-Proposed Estimated Research Budget</w:t>
      </w:r>
      <w:r>
        <w:rPr>
          <w:rFonts w:ascii="Arial" w:cs="Arial" w:eastAsia="Arial" w:hAnsi="Arial"/>
          <w:sz w:val="12"/>
          <w:szCs w:val="12"/>
          <w:color w:val="auto"/>
        </w:rPr>
        <w:t xml:space="preserve">” has the meaning ascribed to it in </w:t>
      </w:r>
      <w:r>
        <w:rPr>
          <w:rFonts w:ascii="Arial" w:cs="Arial" w:eastAsia="Arial" w:hAnsi="Arial"/>
          <w:sz w:val="12"/>
          <w:szCs w:val="12"/>
          <w:b w:val="1"/>
          <w:bCs w:val="1"/>
          <w:color w:val="auto"/>
        </w:rPr>
        <w:t>Section 2.2(ii)B</w:t>
      </w:r>
      <w:r>
        <w:rPr>
          <w:rFonts w:ascii="Arial" w:cs="Arial" w:eastAsia="Arial" w:hAnsi="Arial"/>
          <w:sz w:val="12"/>
          <w:szCs w:val="12"/>
          <w:color w:val="auto"/>
        </w:rPr>
        <w: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Century-Proposed Research Plan Modification</w:t>
      </w:r>
      <w:r>
        <w:rPr>
          <w:rFonts w:ascii="Arial" w:cs="Arial" w:eastAsia="Arial" w:hAnsi="Arial"/>
          <w:sz w:val="13"/>
          <w:szCs w:val="13"/>
          <w:color w:val="auto"/>
        </w:rPr>
        <w:t xml:space="preserve">” has the meaning ascribed to it in </w:t>
      </w:r>
      <w:r>
        <w:rPr>
          <w:rFonts w:ascii="Arial" w:cs="Arial" w:eastAsia="Arial" w:hAnsi="Arial"/>
          <w:sz w:val="13"/>
          <w:szCs w:val="13"/>
          <w:b w:val="1"/>
          <w:bCs w:val="1"/>
          <w:color w:val="auto"/>
        </w:rPr>
        <w:t>Section 2.2(ii)B</w:t>
      </w:r>
      <w:r>
        <w:rPr>
          <w:rFonts w:ascii="Arial" w:cs="Arial" w:eastAsia="Arial" w:hAnsi="Arial"/>
          <w:sz w:val="13"/>
          <w:szCs w:val="13"/>
          <w:color w:val="auto"/>
        </w:rPr>
        <w:t>.</w:t>
      </w:r>
    </w:p>
    <w:p>
      <w:pPr>
        <w:spacing w:after="0" w:line="184"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cGMP</w:t>
      </w:r>
      <w:r>
        <w:rPr>
          <w:rFonts w:ascii="Arial" w:cs="Arial" w:eastAsia="Arial" w:hAnsi="Arial"/>
          <w:sz w:val="14"/>
          <w:szCs w:val="14"/>
          <w:color w:val="auto"/>
        </w:rPr>
        <w:t>” or “</w:t>
      </w:r>
      <w:r>
        <w:rPr>
          <w:rFonts w:ascii="Arial" w:cs="Arial" w:eastAsia="Arial" w:hAnsi="Arial"/>
          <w:sz w:val="14"/>
          <w:szCs w:val="14"/>
          <w:b w:val="1"/>
          <w:bCs w:val="1"/>
          <w:color w:val="auto"/>
        </w:rPr>
        <w:t>GMP</w:t>
      </w:r>
      <w:r>
        <w:rPr>
          <w:rFonts w:ascii="Arial" w:cs="Arial" w:eastAsia="Arial" w:hAnsi="Arial"/>
          <w:sz w:val="14"/>
          <w:szCs w:val="14"/>
          <w:color w:val="auto"/>
        </w:rPr>
        <w:t>” means Current Good Manufacturing Practice as defined in (i) the Federal Register volume 66 No 186 and those sections applicable within the FDA Regulations 21 CFR Part 210, 211,600, 601 and 610 and (ii) the rules governing medicinal products in the European Union. Volume 4 - Guidelines for good manufacturing practices for medicinal products for human and veterinary use. Part II - Basic Requirements for Active Substances used as Starting Materials and ICHQ7.</w:t>
      </w:r>
    </w:p>
    <w:p>
      <w:pPr>
        <w:spacing w:after="0" w:line="13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xml:space="preserve">” has the meaning ascribed to it in </w:t>
      </w:r>
      <w:r>
        <w:rPr>
          <w:rFonts w:ascii="Arial" w:cs="Arial" w:eastAsia="Arial" w:hAnsi="Arial"/>
          <w:sz w:val="13"/>
          <w:szCs w:val="13"/>
          <w:b w:val="1"/>
          <w:bCs w:val="1"/>
          <w:color w:val="auto"/>
        </w:rPr>
        <w:t>Section 7.1</w:t>
      </w:r>
      <w:r>
        <w:rPr>
          <w:rFonts w:ascii="Arial" w:cs="Arial" w:eastAsia="Arial" w:hAnsi="Arial"/>
          <w:sz w:val="13"/>
          <w:szCs w:val="13"/>
          <w:color w:val="auto"/>
        </w:rPr>
        <w:t>.</w:t>
      </w:r>
    </w:p>
    <w:p>
      <w:pPr>
        <w:spacing w:after="0" w:line="184"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Contract Year</w:t>
      </w:r>
      <w:r>
        <w:rPr>
          <w:rFonts w:ascii="Arial" w:cs="Arial" w:eastAsia="Arial" w:hAnsi="Arial"/>
          <w:sz w:val="14"/>
          <w:szCs w:val="14"/>
          <w:color w:val="auto"/>
        </w:rPr>
        <w:t>” means each twelve (12) month period commencing on each April 1 during the Term; provided, however, that the first Contract Year will commence on the Effective Date and end on (and include) March 31, 2020 and the final Contract Year will end on the date of the expiration or termination of this Agreement.</w:t>
      </w:r>
    </w:p>
    <w:p>
      <w:pPr>
        <w:spacing w:after="0" w:line="123"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Control</w:t>
      </w:r>
      <w:r>
        <w:rPr>
          <w:rFonts w:ascii="Arial" w:cs="Arial" w:eastAsia="Arial" w:hAnsi="Arial"/>
          <w:sz w:val="14"/>
          <w:szCs w:val="14"/>
          <w:color w:val="auto"/>
        </w:rPr>
        <w:t>” or “</w:t>
      </w:r>
      <w:r>
        <w:rPr>
          <w:rFonts w:ascii="Arial" w:cs="Arial" w:eastAsia="Arial" w:hAnsi="Arial"/>
          <w:sz w:val="14"/>
          <w:szCs w:val="14"/>
          <w:b w:val="1"/>
          <w:bCs w:val="1"/>
          <w:color w:val="auto"/>
        </w:rPr>
        <w:t>Controlled</w:t>
      </w:r>
      <w:r>
        <w:rPr>
          <w:rFonts w:ascii="Arial" w:cs="Arial" w:eastAsia="Arial" w:hAnsi="Arial"/>
          <w:sz w:val="14"/>
          <w:szCs w:val="14"/>
          <w:color w:val="auto"/>
        </w:rPr>
        <w:t>” means, with respect to any materials, know-how, patents or other intellectual property rights, the legal authority or right (whether by ownership, license, or otherwise) of a Party to grant access, a license, or a sublicense of or under such materials, know-how, patents, or other intellectual property rights to the other Party, or to otherwise disclose proprietary or trade secret information to such other Party, without breaching the terms of any agreement with a third party, or misappropriating the proprietary or trade secret information of a third party.</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Deliverables</w:t>
      </w:r>
      <w:r>
        <w:rPr>
          <w:rFonts w:ascii="Arial" w:cs="Arial" w:eastAsia="Arial" w:hAnsi="Arial"/>
          <w:sz w:val="13"/>
          <w:szCs w:val="13"/>
          <w:color w:val="auto"/>
        </w:rPr>
        <w:t>” means respectively and collectively:</w:t>
      </w:r>
    </w:p>
    <w:p>
      <w:pPr>
        <w:spacing w:after="0" w:line="188" w:lineRule="exact"/>
        <w:rPr>
          <w:sz w:val="20"/>
          <w:szCs w:val="20"/>
          <w:color w:val="auto"/>
        </w:rPr>
      </w:pPr>
    </w:p>
    <w:p>
      <w:pPr>
        <w:ind w:left="780" w:hanging="256"/>
        <w:spacing w:after="0"/>
        <w:tabs>
          <w:tab w:leader="none" w:pos="78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all information, data, documentation, reports, results, materials and other products conceived or made by or on behalf of FCDI in the course of the performance of the Services; and</w:t>
      </w:r>
    </w:p>
    <w:p>
      <w:pPr>
        <w:spacing w:after="0" w:line="195" w:lineRule="exact"/>
        <w:rPr>
          <w:rFonts w:ascii="Arial" w:cs="Arial" w:eastAsia="Arial" w:hAnsi="Arial"/>
          <w:sz w:val="13"/>
          <w:szCs w:val="13"/>
          <w:color w:val="auto"/>
        </w:rPr>
      </w:pPr>
    </w:p>
    <w:p>
      <w:pPr>
        <w:ind w:left="780" w:hanging="256"/>
        <w:spacing w:after="0"/>
        <w:tabs>
          <w:tab w:leader="none" w:pos="780" w:val="left"/>
        </w:tabs>
        <w:numPr>
          <w:ilvl w:val="0"/>
          <w:numId w:val="352"/>
        </w:numPr>
        <w:rPr>
          <w:rFonts w:ascii="Arial" w:cs="Arial" w:eastAsia="Arial" w:hAnsi="Arial"/>
          <w:sz w:val="14"/>
          <w:szCs w:val="14"/>
          <w:color w:val="auto"/>
        </w:rPr>
      </w:pPr>
      <w:r>
        <w:rPr>
          <w:rFonts w:ascii="Arial" w:cs="Arial" w:eastAsia="Arial" w:hAnsi="Arial"/>
          <w:sz w:val="14"/>
          <w:szCs w:val="14"/>
          <w:color w:val="auto"/>
        </w:rPr>
        <w:t>the Records.</w:t>
      </w:r>
    </w:p>
    <w:p>
      <w:pPr>
        <w:spacing w:after="0" w:line="180"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Differentiation License Agreement</w:t>
      </w:r>
      <w:r>
        <w:rPr>
          <w:rFonts w:ascii="Arial" w:cs="Arial" w:eastAsia="Arial" w:hAnsi="Arial"/>
          <w:sz w:val="14"/>
          <w:szCs w:val="14"/>
          <w:color w:val="auto"/>
        </w:rPr>
        <w:t>” means that certain License Agreement dated as of September 18, 2018 and pertaining to certain patent rights and know-how related to the manufacture of human iPSC (including TiPSC)-derived T cells, NK cells, dendritic cells, and macrophages by and between FCDI and Century Inc., as assigned to Century and as may be amended.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2/24</w:t>
            </w:r>
          </w:p>
        </w:tc>
      </w:tr>
    </w:tbl>
    <w:p>
      <w:pPr>
        <w:sectPr>
          <w:pgSz w:w="11900" w:h="16838" w:orient="portrait"/>
          <w:cols w:equalWidth="0" w:num="1">
            <w:col w:w="11280"/>
          </w:cols>
          <w:pgMar w:left="300" w:top="388" w:right="319" w:bottom="1440" w:gutter="0" w:footer="0" w:header="0"/>
        </w:sectPr>
      </w:pPr>
    </w:p>
    <w:bookmarkStart w:id="503" w:name="page504"/>
    <w:bookmarkEnd w:id="503"/>
    <w:p>
      <w:pPr>
        <w:jc w:val="right"/>
        <w:spacing w:after="0"/>
        <w:rPr>
          <w:sz w:val="20"/>
          <w:szCs w:val="20"/>
          <w:color w:val="auto"/>
        </w:rPr>
      </w:pPr>
      <w:r>
        <w:rPr>
          <w:rFonts w:ascii="Arial" w:cs="Arial" w:eastAsia="Arial" w:hAnsi="Arial"/>
          <w:sz w:val="14"/>
          <w:szCs w:val="14"/>
          <w:color w:val="auto"/>
        </w:rPr>
        <w:t>Execution Version</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means October 1, 2018.</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FCDI Personnel</w:t>
      </w:r>
      <w:r>
        <w:rPr>
          <w:rFonts w:ascii="Arial" w:cs="Arial" w:eastAsia="Arial" w:hAnsi="Arial"/>
          <w:sz w:val="13"/>
          <w:szCs w:val="13"/>
          <w:color w:val="auto"/>
        </w:rPr>
        <w:t xml:space="preserve">” has the meaning ascribed to it in </w:t>
      </w:r>
      <w:r>
        <w:rPr>
          <w:rFonts w:ascii="Arial" w:cs="Arial" w:eastAsia="Arial" w:hAnsi="Arial"/>
          <w:sz w:val="13"/>
          <w:szCs w:val="13"/>
          <w:b w:val="1"/>
          <w:bCs w:val="1"/>
          <w:color w:val="auto"/>
        </w:rPr>
        <w:t>Article 3</w:t>
      </w:r>
      <w:r>
        <w:rPr>
          <w:rFonts w:ascii="Arial" w:cs="Arial" w:eastAsia="Arial" w:hAnsi="Arial"/>
          <w:sz w:val="13"/>
          <w:szCs w:val="13"/>
          <w:color w:val="auto"/>
        </w:rPr>
        <w: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FCDI-Proposed Estimated Research Budget</w:t>
      </w:r>
      <w:r>
        <w:rPr>
          <w:rFonts w:ascii="Arial" w:cs="Arial" w:eastAsia="Arial" w:hAnsi="Arial"/>
          <w:sz w:val="13"/>
          <w:szCs w:val="13"/>
          <w:color w:val="auto"/>
        </w:rPr>
        <w:t xml:space="preserve">” has the meaning ascribed to it in </w:t>
      </w:r>
      <w:r>
        <w:rPr>
          <w:rFonts w:ascii="Arial" w:cs="Arial" w:eastAsia="Arial" w:hAnsi="Arial"/>
          <w:sz w:val="13"/>
          <w:szCs w:val="13"/>
          <w:b w:val="1"/>
          <w:bCs w:val="1"/>
          <w:color w:val="auto"/>
        </w:rPr>
        <w:t>Section 2.2(ii)A</w:t>
      </w:r>
      <w:r>
        <w:rPr>
          <w:rFonts w:ascii="Arial" w:cs="Arial" w:eastAsia="Arial" w:hAnsi="Arial"/>
          <w:sz w:val="13"/>
          <w:szCs w:val="13"/>
          <w:color w:val="auto"/>
        </w:rPr>
        <w: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FCDI-Proposed Research Plan Modification</w:t>
      </w:r>
      <w:r>
        <w:rPr>
          <w:rFonts w:ascii="Arial" w:cs="Arial" w:eastAsia="Arial" w:hAnsi="Arial"/>
          <w:sz w:val="13"/>
          <w:szCs w:val="13"/>
          <w:color w:val="auto"/>
        </w:rPr>
        <w:t xml:space="preserve">” has the meaning ascribed to it in </w:t>
      </w:r>
      <w:r>
        <w:rPr>
          <w:rFonts w:ascii="Arial" w:cs="Arial" w:eastAsia="Arial" w:hAnsi="Arial"/>
          <w:sz w:val="13"/>
          <w:szCs w:val="13"/>
          <w:b w:val="1"/>
          <w:bCs w:val="1"/>
          <w:color w:val="auto"/>
        </w:rPr>
        <w:t>Section 2.2(ii)A</w:t>
      </w:r>
      <w:r>
        <w:rPr>
          <w:rFonts w:ascii="Arial" w:cs="Arial" w:eastAsia="Arial" w:hAnsi="Arial"/>
          <w:sz w:val="13"/>
          <w:szCs w:val="13"/>
          <w:color w:val="auto"/>
        </w:rPr>
        <w: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FCDI Technology</w:t>
      </w:r>
      <w:r>
        <w:rPr>
          <w:rFonts w:ascii="Arial" w:cs="Arial" w:eastAsia="Arial" w:hAnsi="Arial"/>
          <w:sz w:val="13"/>
          <w:szCs w:val="13"/>
          <w:color w:val="auto"/>
        </w:rPr>
        <w:t xml:space="preserve">” has the meaning ascribed to it in </w:t>
      </w:r>
      <w:r>
        <w:rPr>
          <w:rFonts w:ascii="Arial" w:cs="Arial" w:eastAsia="Arial" w:hAnsi="Arial"/>
          <w:sz w:val="13"/>
          <w:szCs w:val="13"/>
          <w:b w:val="1"/>
          <w:bCs w:val="1"/>
          <w:color w:val="auto"/>
        </w:rPr>
        <w:t>Section 6.2(b</w:t>
      </w:r>
      <w:r>
        <w:rPr>
          <w:rFonts w:ascii="Arial" w:cs="Arial" w:eastAsia="Arial" w:hAnsi="Arial"/>
          <w:sz w:val="13"/>
          <w:szCs w:val="13"/>
          <w:color w:val="auto"/>
        </w:rPr>
        <w: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FCDI’s Fee Structure</w:t>
      </w:r>
      <w:r>
        <w:rPr>
          <w:rFonts w:ascii="Arial" w:cs="Arial" w:eastAsia="Arial" w:hAnsi="Arial"/>
          <w:sz w:val="13"/>
          <w:szCs w:val="13"/>
          <w:color w:val="auto"/>
        </w:rPr>
        <w:t xml:space="preserve">” has the meaning ascribed to it in </w:t>
      </w:r>
      <w:r>
        <w:rPr>
          <w:rFonts w:ascii="Arial" w:cs="Arial" w:eastAsia="Arial" w:hAnsi="Arial"/>
          <w:sz w:val="13"/>
          <w:szCs w:val="13"/>
          <w:b w:val="1"/>
          <w:bCs w:val="1"/>
          <w:color w:val="auto"/>
        </w:rPr>
        <w:t>Section 2.2(ii)A</w:t>
      </w:r>
      <w:r>
        <w:rPr>
          <w:rFonts w:ascii="Arial" w:cs="Arial" w:eastAsia="Arial" w:hAnsi="Arial"/>
          <w:sz w:val="13"/>
          <w:szCs w:val="13"/>
          <w:color w:val="auto"/>
        </w:rPr>
        <w:t>.</w:t>
      </w:r>
    </w:p>
    <w:p>
      <w:pPr>
        <w:spacing w:after="0" w:line="184"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Materials</w:t>
      </w:r>
      <w:r>
        <w:rPr>
          <w:rFonts w:ascii="Arial" w:cs="Arial" w:eastAsia="Arial" w:hAnsi="Arial"/>
          <w:sz w:val="14"/>
          <w:szCs w:val="14"/>
          <w:color w:val="auto"/>
        </w:rPr>
        <w:t>” means any and all documentation, information and materials, including biological, chemical or other materials (including samples of such materials) Controlled by Century and to be furnished by Century to FCDI for its use in the course of performing Services hereunder.</w:t>
      </w:r>
    </w:p>
    <w:p>
      <w:pPr>
        <w:spacing w:after="0" w:line="123"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MTA</w:t>
      </w:r>
      <w:r>
        <w:rPr>
          <w:rFonts w:ascii="Arial" w:cs="Arial" w:eastAsia="Arial" w:hAnsi="Arial"/>
          <w:sz w:val="14"/>
          <w:szCs w:val="14"/>
          <w:color w:val="auto"/>
        </w:rPr>
        <w:t>” means that certain iPS Cell Line Material Transfer Agreement effective as of February 4, 2019 between FCDI and Century, as amended by that certain First Amendment to iPS Cell Line Material Transfer Agreement effective as of August 23, 2019.</w:t>
      </w:r>
    </w:p>
    <w:p>
      <w:pPr>
        <w:spacing w:after="0" w:line="12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Records</w:t>
      </w:r>
      <w:r>
        <w:rPr>
          <w:rFonts w:ascii="Arial" w:cs="Arial" w:eastAsia="Arial" w:hAnsi="Arial"/>
          <w:sz w:val="12"/>
          <w:szCs w:val="12"/>
          <w:color w:val="auto"/>
        </w:rPr>
        <w:t xml:space="preserve">” has the meaning ascribed to it in </w:t>
      </w:r>
      <w:r>
        <w:rPr>
          <w:rFonts w:ascii="Arial" w:cs="Arial" w:eastAsia="Arial" w:hAnsi="Arial"/>
          <w:sz w:val="12"/>
          <w:szCs w:val="12"/>
          <w:b w:val="1"/>
          <w:bCs w:val="1"/>
          <w:color w:val="auto"/>
        </w:rPr>
        <w:t>Section 4.3.</w:t>
      </w:r>
    </w:p>
    <w:p>
      <w:pPr>
        <w:spacing w:after="0" w:line="184"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Reprogramming License Agreement</w:t>
      </w:r>
      <w:r>
        <w:rPr>
          <w:rFonts w:ascii="Arial" w:cs="Arial" w:eastAsia="Arial" w:hAnsi="Arial"/>
          <w:sz w:val="14"/>
          <w:szCs w:val="14"/>
          <w:color w:val="auto"/>
        </w:rPr>
        <w:t>” means that certain License Agreement dated as of September 18, 2018 and pertaining to certain patent rights related to the reprogramming of human somatic cells by and between FCDI and Century Inc., as assigned to Century and as may be amended.</w:t>
      </w:r>
    </w:p>
    <w:p>
      <w:pPr>
        <w:spacing w:after="0" w:line="123"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Research Plan</w:t>
      </w:r>
      <w:r>
        <w:rPr>
          <w:rFonts w:ascii="Arial" w:cs="Arial" w:eastAsia="Arial" w:hAnsi="Arial"/>
          <w:sz w:val="14"/>
          <w:szCs w:val="14"/>
          <w:color w:val="auto"/>
        </w:rPr>
        <w:t xml:space="preserve">” means the comprehensive research plan, as from time to time may be amended in accordance herewith, attached as </w:t>
      </w:r>
      <w:r>
        <w:rPr>
          <w:rFonts w:ascii="Arial" w:cs="Arial" w:eastAsia="Arial" w:hAnsi="Arial"/>
          <w:sz w:val="14"/>
          <w:szCs w:val="14"/>
          <w:b w:val="1"/>
          <w:bCs w:val="1"/>
          <w:u w:val="single" w:color="auto"/>
          <w:color w:val="auto"/>
        </w:rPr>
        <w:t>Exhibit A</w:t>
      </w:r>
      <w:r>
        <w:rPr>
          <w:rFonts w:ascii="Arial" w:cs="Arial" w:eastAsia="Arial" w:hAnsi="Arial"/>
          <w:sz w:val="14"/>
          <w:szCs w:val="14"/>
          <w:color w:val="auto"/>
        </w:rPr>
        <w:t xml:space="preserve"> hereto, which is executed by an authorized representative of each of the Parties and that is incorporated herein by reference upon execution.</w:t>
      </w:r>
    </w:p>
    <w:p>
      <w:pPr>
        <w:spacing w:after="0" w:line="12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Services</w:t>
      </w:r>
      <w:r>
        <w:rPr>
          <w:rFonts w:ascii="Arial" w:cs="Arial" w:eastAsia="Arial" w:hAnsi="Arial"/>
          <w:sz w:val="12"/>
          <w:szCs w:val="12"/>
          <w:color w:val="auto"/>
        </w:rPr>
        <w:t xml:space="preserve">” has the meaning ascribed to it in </w:t>
      </w:r>
      <w:r>
        <w:rPr>
          <w:rFonts w:ascii="Arial" w:cs="Arial" w:eastAsia="Arial" w:hAnsi="Arial"/>
          <w:sz w:val="12"/>
          <w:szCs w:val="12"/>
          <w:b w:val="1"/>
          <w:bCs w:val="1"/>
          <w:color w:val="auto"/>
        </w:rPr>
        <w:t>Section 2.1.</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Supporting Activities</w:t>
      </w:r>
      <w:r>
        <w:rPr>
          <w:rFonts w:ascii="Arial" w:cs="Arial" w:eastAsia="Arial" w:hAnsi="Arial"/>
          <w:sz w:val="12"/>
          <w:szCs w:val="12"/>
          <w:color w:val="auto"/>
        </w:rPr>
        <w:t xml:space="preserve">” has the meaning ascribed to it in </w:t>
      </w:r>
      <w:r>
        <w:rPr>
          <w:rFonts w:ascii="Arial" w:cs="Arial" w:eastAsia="Arial" w:hAnsi="Arial"/>
          <w:sz w:val="12"/>
          <w:szCs w:val="12"/>
          <w:b w:val="1"/>
          <w:bCs w:val="1"/>
          <w:color w:val="auto"/>
        </w:rPr>
        <w:t>Section 2.1</w:t>
      </w:r>
      <w:r>
        <w:rPr>
          <w:rFonts w:ascii="Arial" w:cs="Arial" w:eastAsia="Arial" w:hAnsi="Arial"/>
          <w:sz w:val="12"/>
          <w:szCs w:val="12"/>
          <w:color w:val="auto"/>
        </w:rPr>
        <w: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Term</w:t>
      </w:r>
      <w:r>
        <w:rPr>
          <w:rFonts w:ascii="Arial" w:cs="Arial" w:eastAsia="Arial" w:hAnsi="Arial"/>
          <w:sz w:val="12"/>
          <w:szCs w:val="12"/>
          <w:color w:val="auto"/>
        </w:rPr>
        <w:t xml:space="preserve">” has the meaning ascribed to it in </w:t>
      </w:r>
      <w:r>
        <w:rPr>
          <w:rFonts w:ascii="Arial" w:cs="Arial" w:eastAsia="Arial" w:hAnsi="Arial"/>
          <w:sz w:val="12"/>
          <w:szCs w:val="12"/>
          <w:b w:val="1"/>
          <w:bCs w:val="1"/>
          <w:color w:val="auto"/>
        </w:rPr>
        <w:t>Section 9.1</w:t>
      </w:r>
      <w:r>
        <w:rPr>
          <w:rFonts w:ascii="Arial" w:cs="Arial" w:eastAsia="Arial" w:hAnsi="Arial"/>
          <w:sz w:val="12"/>
          <w:szCs w:val="12"/>
          <w:color w:val="auto"/>
        </w:rPr>
        <w:t xml:space="preserve">. If the initial Term is extended pursuant to </w:t>
      </w:r>
      <w:r>
        <w:rPr>
          <w:rFonts w:ascii="Arial" w:cs="Arial" w:eastAsia="Arial" w:hAnsi="Arial"/>
          <w:sz w:val="12"/>
          <w:szCs w:val="12"/>
          <w:b w:val="1"/>
          <w:bCs w:val="1"/>
          <w:color w:val="auto"/>
        </w:rPr>
        <w:t>Section 9.2</w:t>
      </w:r>
      <w:r>
        <w:rPr>
          <w:rFonts w:ascii="Arial" w:cs="Arial" w:eastAsia="Arial" w:hAnsi="Arial"/>
          <w:sz w:val="12"/>
          <w:szCs w:val="12"/>
          <w:color w:val="auto"/>
        </w:rPr>
        <w:t>, the extended term shall be deemed the Term.</w:t>
      </w:r>
    </w:p>
    <w:p>
      <w:pPr>
        <w:spacing w:after="0" w:line="18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2.</w:t>
      </w:r>
      <w:r>
        <w:rPr>
          <w:sz w:val="20"/>
          <w:szCs w:val="20"/>
          <w:color w:val="auto"/>
        </w:rPr>
        <w:tab/>
      </w:r>
      <w:r>
        <w:rPr>
          <w:rFonts w:ascii="Arial" w:cs="Arial" w:eastAsia="Arial" w:hAnsi="Arial"/>
          <w:sz w:val="14"/>
          <w:szCs w:val="14"/>
          <w:b w:val="1"/>
          <w:bCs w:val="1"/>
          <w:u w:val="single" w:color="auto"/>
          <w:color w:val="auto"/>
        </w:rPr>
        <w:t>PERFORMANCE OF SERVICES</w:t>
      </w:r>
    </w:p>
    <w:p>
      <w:pPr>
        <w:spacing w:after="0" w:line="188" w:lineRule="exact"/>
        <w:rPr>
          <w:sz w:val="20"/>
          <w:szCs w:val="20"/>
          <w:color w:val="auto"/>
        </w:rPr>
      </w:pPr>
    </w:p>
    <w:p>
      <w:pPr>
        <w:jc w:val="both"/>
        <w:ind w:left="520" w:hanging="517"/>
        <w:spacing w:after="0" w:line="267" w:lineRule="auto"/>
        <w:tabs>
          <w:tab w:leader="none" w:pos="50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Century and FCDI hereby establish a collaborative relationship under which FCDI shall render certain services for the development or manufacture of TiPSC and such other iPSC (including TiPSC)-derived cells, (e.g., T cells, NK cells, dendritic cells and/or macrophages) for each Contract Year as set forth in the Research Plan (the “</w:t>
      </w:r>
      <w:r>
        <w:rPr>
          <w:rFonts w:ascii="Arial" w:cs="Arial" w:eastAsia="Arial" w:hAnsi="Arial"/>
          <w:sz w:val="14"/>
          <w:szCs w:val="14"/>
          <w:b w:val="1"/>
          <w:bCs w:val="1"/>
          <w:color w:val="auto"/>
        </w:rPr>
        <w:t>Services</w:t>
      </w:r>
      <w:r>
        <w:rPr>
          <w:rFonts w:ascii="Arial" w:cs="Arial" w:eastAsia="Arial" w:hAnsi="Arial"/>
          <w:sz w:val="14"/>
          <w:szCs w:val="14"/>
          <w:color w:val="auto"/>
        </w:rPr>
        <w:t>”) and Century shall provide Materials and perform the activities to be performed by it as set forth in the Research Plan (the “</w:t>
      </w:r>
      <w:r>
        <w:rPr>
          <w:rFonts w:ascii="Arial" w:cs="Arial" w:eastAsia="Arial" w:hAnsi="Arial"/>
          <w:sz w:val="14"/>
          <w:szCs w:val="14"/>
          <w:b w:val="1"/>
          <w:bCs w:val="1"/>
          <w:color w:val="auto"/>
        </w:rPr>
        <w:t>Supporting Activities</w:t>
      </w:r>
      <w:r>
        <w:rPr>
          <w:rFonts w:ascii="Arial" w:cs="Arial" w:eastAsia="Arial" w:hAnsi="Arial"/>
          <w:sz w:val="14"/>
          <w:szCs w:val="14"/>
          <w:color w:val="auto"/>
        </w:rPr>
        <w:t>”). The Parties hereby agree that “Services” shall include any activities described in the Research Plan and performed by FCDI between the Signing Date and the Effective Date.</w:t>
      </w:r>
    </w:p>
    <w:p>
      <w:pPr>
        <w:spacing w:after="0" w:line="147"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FCDI shall render to Century the Services and Century shall carry out the Supporting Activities, subject to and in accordance with the Research Plan for which there is an Approved Research Budget in accordance with following:</w:t>
      </w:r>
    </w:p>
    <w:p>
      <w:pPr>
        <w:spacing w:after="0" w:line="132" w:lineRule="exact"/>
        <w:rPr>
          <w:sz w:val="20"/>
          <w:szCs w:val="20"/>
          <w:color w:val="auto"/>
        </w:rPr>
      </w:pPr>
    </w:p>
    <w:p>
      <w:pPr>
        <w:ind w:left="780" w:hanging="515"/>
        <w:spacing w:after="0"/>
        <w:tabs>
          <w:tab w:leader="none" w:pos="780" w:val="left"/>
        </w:tabs>
        <w:numPr>
          <w:ilvl w:val="0"/>
          <w:numId w:val="353"/>
        </w:numPr>
        <w:rPr>
          <w:rFonts w:ascii="Arial" w:cs="Arial" w:eastAsia="Arial" w:hAnsi="Arial"/>
          <w:sz w:val="14"/>
          <w:szCs w:val="14"/>
          <w:color w:val="auto"/>
        </w:rPr>
      </w:pPr>
      <w:r>
        <w:rPr>
          <w:rFonts w:ascii="Arial" w:cs="Arial" w:eastAsia="Arial" w:hAnsi="Arial"/>
          <w:sz w:val="14"/>
          <w:szCs w:val="14"/>
          <w:color w:val="auto"/>
        </w:rPr>
        <w:t>During the Term, Century may from time to time propose one or more reasonable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3/24</w:t>
            </w:r>
          </w:p>
        </w:tc>
      </w:tr>
    </w:tbl>
    <w:p>
      <w:pPr>
        <w:sectPr>
          <w:pgSz w:w="11900" w:h="16838" w:orient="portrait"/>
          <w:cols w:equalWidth="0" w:num="1">
            <w:col w:w="11280"/>
          </w:cols>
          <w:pgMar w:left="300" w:top="582" w:right="319" w:bottom="1440" w:gutter="0" w:footer="0" w:header="0"/>
        </w:sectPr>
      </w:pPr>
    </w:p>
    <w:bookmarkStart w:id="504" w:name="page505"/>
    <w:bookmarkEnd w:id="504"/>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780"/>
        <w:spacing w:after="0" w:line="261" w:lineRule="auto"/>
        <w:rPr>
          <w:sz w:val="20"/>
          <w:szCs w:val="20"/>
          <w:color w:val="auto"/>
        </w:rPr>
      </w:pPr>
      <w:r>
        <w:rPr>
          <w:rFonts w:ascii="Arial" w:cs="Arial" w:eastAsia="Arial" w:hAnsi="Arial"/>
          <w:sz w:val="14"/>
          <w:szCs w:val="14"/>
          <w:color w:val="auto"/>
        </w:rPr>
        <w:t>amendment(s) to the Research Plan (including, as applicable and without limitation, any proposed amended Services, amended deliverable(s) to be generated from the performance of Services, and/or amended timeline(s) for completion of the Services to be undertaken to generate deliverable(s) and/or delivery of Deliverables, which timeline(s) shall be reasonable including based on the nature of the proposed Services and/or Deliverables) by delivering written notice thereof to the other Party at least sixty (60) days prior to the anticipated effective date of the proposed amendments. In the event that Century delivers such notice to FCDI, FCDI shall promptly review the same within ten (10) business days and Century and FCDI shall discuss in good faith the proposed amendment(s) therein and any reasonable objection(s) of FCDI to any such proposed amendment(s) during such sixty (60) day period. If applicable (i.e., if through such good faith negotiations the Parties agree upon one or more amendment(s) to the Research Plan that may result in an amendment to the budget), FCDI shall promptly prepare and deliver a budget setting forth the estimated fees, calculated in accordance with FCDI’s Fee Structure for any proposed amended Services and Deliverables, which will be subject to Century's review and approval.</w:t>
      </w:r>
    </w:p>
    <w:p>
      <w:pPr>
        <w:spacing w:after="0" w:line="153" w:lineRule="exact"/>
        <w:rPr>
          <w:sz w:val="20"/>
          <w:szCs w:val="20"/>
          <w:color w:val="auto"/>
        </w:rPr>
      </w:pPr>
    </w:p>
    <w:p>
      <w:pPr>
        <w:ind w:left="780" w:hanging="515"/>
        <w:spacing w:after="0" w:line="288" w:lineRule="auto"/>
        <w:tabs>
          <w:tab w:leader="none" w:pos="780" w:val="left"/>
        </w:tabs>
        <w:numPr>
          <w:ilvl w:val="0"/>
          <w:numId w:val="354"/>
        </w:numPr>
        <w:rPr>
          <w:rFonts w:ascii="Arial" w:cs="Arial" w:eastAsia="Arial" w:hAnsi="Arial"/>
          <w:sz w:val="14"/>
          <w:szCs w:val="14"/>
          <w:color w:val="auto"/>
        </w:rPr>
      </w:pPr>
      <w:r>
        <w:rPr>
          <w:rFonts w:ascii="Arial" w:cs="Arial" w:eastAsia="Arial" w:hAnsi="Arial"/>
          <w:sz w:val="14"/>
          <w:szCs w:val="14"/>
          <w:color w:val="auto"/>
        </w:rPr>
        <w:t>For each Contract Year commencing with the Contract Year beginning on April 1, 2023, FCDI may propose to amend the Research Plan and/or Budget for the Services pursuant to the following procedures:</w:t>
      </w:r>
    </w:p>
    <w:p>
      <w:pPr>
        <w:spacing w:after="0" w:line="49" w:lineRule="exact"/>
        <w:rPr>
          <w:rFonts w:ascii="Arial" w:cs="Arial" w:eastAsia="Arial" w:hAnsi="Arial"/>
          <w:sz w:val="14"/>
          <w:szCs w:val="14"/>
          <w:color w:val="auto"/>
        </w:rPr>
      </w:pPr>
    </w:p>
    <w:p>
      <w:pPr>
        <w:ind w:left="780" w:hanging="256"/>
        <w:spacing w:after="0"/>
        <w:tabs>
          <w:tab w:leader="none" w:pos="780" w:val="left"/>
        </w:tabs>
        <w:numPr>
          <w:ilvl w:val="1"/>
          <w:numId w:val="354"/>
        </w:numPr>
        <w:rPr>
          <w:rFonts w:ascii="Arial" w:cs="Arial" w:eastAsia="Arial" w:hAnsi="Arial"/>
          <w:sz w:val="26"/>
          <w:szCs w:val="26"/>
          <w:color w:val="auto"/>
          <w:vertAlign w:val="superscript"/>
        </w:rPr>
      </w:pPr>
      <w:r>
        <w:rPr>
          <w:rFonts w:ascii="Arial" w:cs="Arial" w:eastAsia="Arial" w:hAnsi="Arial"/>
          <w:sz w:val="13"/>
          <w:szCs w:val="13"/>
          <w:color w:val="auto"/>
        </w:rPr>
        <w:t>Not later than the ninetieth (90</w:t>
      </w:r>
      <w:r>
        <w:rPr>
          <w:rFonts w:ascii="Arial" w:cs="Arial" w:eastAsia="Arial" w:hAnsi="Arial"/>
          <w:sz w:val="21"/>
          <w:szCs w:val="21"/>
          <w:color w:val="auto"/>
          <w:vertAlign w:val="superscript"/>
        </w:rPr>
        <w:t>th</w:t>
      </w:r>
      <w:r>
        <w:rPr>
          <w:rFonts w:ascii="Arial" w:cs="Arial" w:eastAsia="Arial" w:hAnsi="Arial"/>
          <w:sz w:val="13"/>
          <w:szCs w:val="13"/>
          <w:color w:val="auto"/>
        </w:rPr>
        <w:t>) day prior to the commencement of the Contract Year commencing with the Contract Year beginning on April 1, 2023, FCDI will deliver to Century</w:t>
      </w:r>
    </w:p>
    <w:p>
      <w:pPr>
        <w:jc w:val="both"/>
        <w:ind w:left="780"/>
        <w:spacing w:after="0" w:line="260" w:lineRule="auto"/>
        <w:rPr>
          <w:rFonts w:ascii="Arial" w:cs="Arial" w:eastAsia="Arial" w:hAnsi="Arial"/>
          <w:sz w:val="26"/>
          <w:szCs w:val="26"/>
          <w:color w:val="auto"/>
          <w:vertAlign w:val="superscript"/>
        </w:rPr>
      </w:pPr>
      <w:r>
        <w:rPr>
          <w:rFonts w:ascii="Arial" w:cs="Arial" w:eastAsia="Arial" w:hAnsi="Arial"/>
          <w:sz w:val="14"/>
          <w:szCs w:val="14"/>
          <w:color w:val="auto"/>
        </w:rPr>
        <w:t>(A) any reasonable amendment(s) to the Research Plan (including, as applicable, any proposed amended Services, amended Deliverable(s) to be generated from the performance of Services, and/or amended timeline(s) for completion of the Services to be undertaken) proposed by FCDI (an “FCDI</w:t>
      </w:r>
      <w:r>
        <w:rPr>
          <w:rFonts w:ascii="Arial" w:cs="Arial" w:eastAsia="Arial" w:hAnsi="Arial"/>
          <w:sz w:val="14"/>
          <w:szCs w:val="14"/>
          <w:b w:val="1"/>
          <w:bCs w:val="1"/>
          <w:color w:val="auto"/>
        </w:rPr>
        <w:t>-Proposed Research Plan Modification</w:t>
      </w:r>
      <w:r>
        <w:rPr>
          <w:rFonts w:ascii="Arial" w:cs="Arial" w:eastAsia="Arial" w:hAnsi="Arial"/>
          <w:sz w:val="14"/>
          <w:szCs w:val="14"/>
          <w:color w:val="auto"/>
        </w:rPr>
        <w:t xml:space="preserve">”) and (B) a budget setting forth the estimated fees, calculated in accordance with FCDI’s fee structure as described in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xml:space="preserve"> as attached hereto as may be amended in accordance with </w:t>
      </w:r>
      <w:r>
        <w:rPr>
          <w:rFonts w:ascii="Arial" w:cs="Arial" w:eastAsia="Arial" w:hAnsi="Arial"/>
          <w:sz w:val="14"/>
          <w:szCs w:val="14"/>
          <w:b w:val="1"/>
          <w:bCs w:val="1"/>
          <w:color w:val="auto"/>
        </w:rPr>
        <w:t>Section 10.8</w:t>
      </w:r>
      <w:r>
        <w:rPr>
          <w:rFonts w:ascii="Arial" w:cs="Arial" w:eastAsia="Arial" w:hAnsi="Arial"/>
          <w:sz w:val="14"/>
          <w:szCs w:val="14"/>
          <w:color w:val="auto"/>
        </w:rPr>
        <w:t xml:space="preserve"> (“</w:t>
      </w:r>
      <w:r>
        <w:rPr>
          <w:rFonts w:ascii="Arial" w:cs="Arial" w:eastAsia="Arial" w:hAnsi="Arial"/>
          <w:sz w:val="14"/>
          <w:szCs w:val="14"/>
          <w:b w:val="1"/>
          <w:bCs w:val="1"/>
          <w:color w:val="auto"/>
        </w:rPr>
        <w:t>FCDI’s Fee Structure</w:t>
      </w:r>
      <w:r>
        <w:rPr>
          <w:rFonts w:ascii="Arial" w:cs="Arial" w:eastAsia="Arial" w:hAnsi="Arial"/>
          <w:sz w:val="14"/>
          <w:szCs w:val="14"/>
          <w:color w:val="auto"/>
        </w:rPr>
        <w:t>”), for those Services identified in the FCDI-Proposed Research Plan Modification as Services to be performed during such then-current Contract Year (an “</w:t>
      </w:r>
      <w:r>
        <w:rPr>
          <w:rFonts w:ascii="Arial" w:cs="Arial" w:eastAsia="Arial" w:hAnsi="Arial"/>
          <w:sz w:val="14"/>
          <w:szCs w:val="14"/>
          <w:b w:val="1"/>
          <w:bCs w:val="1"/>
          <w:color w:val="auto"/>
        </w:rPr>
        <w:t>FCDI-Proposed Estimated Research Budget</w:t>
      </w:r>
      <w:r>
        <w:rPr>
          <w:rFonts w:ascii="Arial" w:cs="Arial" w:eastAsia="Arial" w:hAnsi="Arial"/>
          <w:sz w:val="14"/>
          <w:szCs w:val="14"/>
          <w:color w:val="auto"/>
        </w:rPr>
        <w:t>”).</w:t>
      </w:r>
    </w:p>
    <w:p>
      <w:pPr>
        <w:spacing w:after="0" w:line="151" w:lineRule="exact"/>
        <w:rPr>
          <w:rFonts w:ascii="Arial" w:cs="Arial" w:eastAsia="Arial" w:hAnsi="Arial"/>
          <w:sz w:val="26"/>
          <w:szCs w:val="26"/>
          <w:color w:val="auto"/>
          <w:vertAlign w:val="superscript"/>
        </w:rPr>
      </w:pPr>
    </w:p>
    <w:p>
      <w:pPr>
        <w:jc w:val="both"/>
        <w:ind w:left="780" w:hanging="256"/>
        <w:spacing w:after="0" w:line="303" w:lineRule="auto"/>
        <w:tabs>
          <w:tab w:leader="none" w:pos="780" w:val="left"/>
        </w:tabs>
        <w:numPr>
          <w:ilvl w:val="1"/>
          <w:numId w:val="354"/>
        </w:numPr>
        <w:rPr>
          <w:rFonts w:ascii="Arial" w:cs="Arial" w:eastAsia="Arial" w:hAnsi="Arial"/>
          <w:sz w:val="13"/>
          <w:szCs w:val="13"/>
          <w:color w:val="auto"/>
        </w:rPr>
      </w:pPr>
      <w:r>
        <w:rPr>
          <w:rFonts w:ascii="Arial" w:cs="Arial" w:eastAsia="Arial" w:hAnsi="Arial"/>
          <w:sz w:val="13"/>
          <w:szCs w:val="13"/>
          <w:color w:val="auto"/>
        </w:rPr>
        <w:t>If FCDI delivers an FCDI-Proposed Research Plan Modification to Century or FCDI- Proposed Estimated Research Budget, then, within thirty (30) days thereof, Century may deliver in writing (A) any reasonable objections or modifications to the FCDI-Proposed Research Plan Modification (a “</w:t>
      </w:r>
      <w:r>
        <w:rPr>
          <w:rFonts w:ascii="Arial" w:cs="Arial" w:eastAsia="Arial" w:hAnsi="Arial"/>
          <w:sz w:val="13"/>
          <w:szCs w:val="13"/>
          <w:b w:val="1"/>
          <w:bCs w:val="1"/>
          <w:color w:val="auto"/>
        </w:rPr>
        <w:t>Century-Proposed Research Plan Modification</w:t>
      </w:r>
      <w:r>
        <w:rPr>
          <w:rFonts w:ascii="Arial" w:cs="Arial" w:eastAsia="Arial" w:hAnsi="Arial"/>
          <w:sz w:val="13"/>
          <w:szCs w:val="13"/>
          <w:color w:val="auto"/>
        </w:rPr>
        <w:t>”) and (B) any reasonable proposed modification(s) to the FCDI-Proposed Estimated Research Budget (a “</w:t>
      </w:r>
      <w:r>
        <w:rPr>
          <w:rFonts w:ascii="Arial" w:cs="Arial" w:eastAsia="Arial" w:hAnsi="Arial"/>
          <w:sz w:val="13"/>
          <w:szCs w:val="13"/>
          <w:b w:val="1"/>
          <w:bCs w:val="1"/>
          <w:color w:val="auto"/>
        </w:rPr>
        <w:t>Century-Proposed Estimated Research Budget Modification</w:t>
      </w:r>
      <w:r>
        <w:rPr>
          <w:rFonts w:ascii="Arial" w:cs="Arial" w:eastAsia="Arial" w:hAnsi="Arial"/>
          <w:sz w:val="13"/>
          <w:szCs w:val="13"/>
          <w:color w:val="auto"/>
        </w:rPr>
        <w:t>”).</w:t>
      </w:r>
    </w:p>
    <w:p>
      <w:pPr>
        <w:spacing w:after="0" w:line="124" w:lineRule="exact"/>
        <w:rPr>
          <w:rFonts w:ascii="Arial" w:cs="Arial" w:eastAsia="Arial" w:hAnsi="Arial"/>
          <w:sz w:val="13"/>
          <w:szCs w:val="13"/>
          <w:color w:val="auto"/>
        </w:rPr>
      </w:pPr>
    </w:p>
    <w:p>
      <w:pPr>
        <w:jc w:val="both"/>
        <w:ind w:left="780" w:hanging="256"/>
        <w:spacing w:after="0" w:line="265" w:lineRule="auto"/>
        <w:tabs>
          <w:tab w:leader="none" w:pos="780" w:val="left"/>
        </w:tabs>
        <w:numPr>
          <w:ilvl w:val="1"/>
          <w:numId w:val="354"/>
        </w:numPr>
        <w:rPr>
          <w:rFonts w:ascii="Arial" w:cs="Arial" w:eastAsia="Arial" w:hAnsi="Arial"/>
          <w:sz w:val="14"/>
          <w:szCs w:val="14"/>
          <w:color w:val="auto"/>
        </w:rPr>
      </w:pPr>
      <w:r>
        <w:rPr>
          <w:rFonts w:ascii="Arial" w:cs="Arial" w:eastAsia="Arial" w:hAnsi="Arial"/>
          <w:sz w:val="14"/>
          <w:szCs w:val="14"/>
          <w:color w:val="auto"/>
        </w:rPr>
        <w:t xml:space="preserve">If Century delivers a Century-Proposed Research Plan Modification and/or a Century-Proposed Estimated Research Budget Modification to FCDI, then promptly thereafter FCDI shall review the same and Century and FCDI shall discuss in good faith (A) FCDI-Proposed Research Plan Modification and the Century Proposed Research Plan Modification and/or (B) the FCDI-Proposed Estimated Research Budget and the Century-Proposed Estimated Research Budget Modification in an effort to reach agreement regarding the same prior to the commencement of the Contract Year to which the same pertain. Any agreed upon amendment(s) to the Research Plan and/or Approved Research Budget pursuant to this </w:t>
      </w:r>
      <w:r>
        <w:rPr>
          <w:rFonts w:ascii="Arial" w:cs="Arial" w:eastAsia="Arial" w:hAnsi="Arial"/>
          <w:sz w:val="14"/>
          <w:szCs w:val="14"/>
          <w:b w:val="1"/>
          <w:bCs w:val="1"/>
          <w:color w:val="auto"/>
        </w:rPr>
        <w:t xml:space="preserve">Section 2.2(ii) </w:t>
      </w:r>
      <w:r>
        <w:rPr>
          <w:rFonts w:ascii="Arial" w:cs="Arial" w:eastAsia="Arial" w:hAnsi="Arial"/>
          <w:sz w:val="14"/>
          <w:szCs w:val="14"/>
          <w:color w:val="auto"/>
        </w:rPr>
        <w:t>shall be mutually agreed and made in writing in accordance with</w:t>
      </w:r>
      <w:r>
        <w:rPr>
          <w:rFonts w:ascii="Arial" w:cs="Arial" w:eastAsia="Arial" w:hAnsi="Arial"/>
          <w:sz w:val="14"/>
          <w:szCs w:val="14"/>
          <w:b w:val="1"/>
          <w:bCs w:val="1"/>
          <w:color w:val="auto"/>
        </w:rPr>
        <w:t xml:space="preserve"> Section 10.8</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780" w:hanging="256"/>
        <w:spacing w:after="0" w:line="288" w:lineRule="auto"/>
        <w:tabs>
          <w:tab w:leader="none" w:pos="780" w:val="left"/>
        </w:tabs>
        <w:numPr>
          <w:ilvl w:val="1"/>
          <w:numId w:val="354"/>
        </w:numPr>
        <w:rPr>
          <w:rFonts w:ascii="Arial" w:cs="Arial" w:eastAsia="Arial" w:hAnsi="Arial"/>
          <w:sz w:val="14"/>
          <w:szCs w:val="14"/>
          <w:color w:val="auto"/>
        </w:rPr>
      </w:pPr>
      <w:r>
        <w:rPr>
          <w:rFonts w:ascii="Arial" w:cs="Arial" w:eastAsia="Arial" w:hAnsi="Arial"/>
          <w:sz w:val="14"/>
          <w:szCs w:val="14"/>
          <w:color w:val="auto"/>
        </w:rPr>
        <w:t>In the event that pursuant to such discussions the Parties fail to agree upon an Approved Research Budget or amendment to Research Plan within the forty five (45) calendar day period commencing on the date of FCDI’s receipt of a Century-Proposed Research Plan Modification and/or a Century-Proposed Estimated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4/24</w:t>
            </w:r>
          </w:p>
        </w:tc>
      </w:tr>
    </w:tbl>
    <w:p>
      <w:pPr>
        <w:sectPr>
          <w:pgSz w:w="11900" w:h="16838" w:orient="portrait"/>
          <w:cols w:equalWidth="0" w:num="1">
            <w:col w:w="11280"/>
          </w:cols>
          <w:pgMar w:left="300" w:top="582" w:right="319" w:bottom="1440" w:gutter="0" w:footer="0" w:header="0"/>
        </w:sectPr>
      </w:pPr>
    </w:p>
    <w:bookmarkStart w:id="505" w:name="page506"/>
    <w:bookmarkEnd w:id="505"/>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780"/>
        <w:spacing w:after="0" w:line="287" w:lineRule="auto"/>
        <w:rPr>
          <w:sz w:val="20"/>
          <w:szCs w:val="20"/>
          <w:color w:val="auto"/>
        </w:rPr>
      </w:pPr>
      <w:r>
        <w:rPr>
          <w:rFonts w:ascii="Arial" w:cs="Arial" w:eastAsia="Arial" w:hAnsi="Arial"/>
          <w:sz w:val="13"/>
          <w:szCs w:val="13"/>
          <w:color w:val="auto"/>
        </w:rPr>
        <w:t xml:space="preserve">Research Budget Modification, then either Party, upon written notice given to the other Party, may escalate such matter for discussion among each Party's then-current Chief Executive Officer. Promptly following any such notice being given, each Party's Chief Executive Officer shall discuss the matter over a period of fifteen (15) Business Days in good faith to determine a Research Plan, as may be modified, and an Approved Research Budget for such Research Plan for the forthcoming Contract Year that is mutually acceptable to Century and FCDI. In the event that the Chief Executive Officers are unable to agree upon a mutually acceptable Approved Research Budget within such fifteen (15) Business Day period, either Party shall have the right to terminate this Agreement upon sixty (60) days’ written notice given to the other Party (subject to any right or remedy of the non-breaching Party with respect to the terminating Party's breach of its obligations of good faith under this </w:t>
      </w:r>
      <w:r>
        <w:rPr>
          <w:rFonts w:ascii="Arial" w:cs="Arial" w:eastAsia="Arial" w:hAnsi="Arial"/>
          <w:sz w:val="13"/>
          <w:szCs w:val="13"/>
          <w:b w:val="1"/>
          <w:bCs w:val="1"/>
          <w:color w:val="auto"/>
        </w:rPr>
        <w:t>Section 2.2(ii)(D)</w:t>
      </w:r>
      <w:r>
        <w:rPr>
          <w:rFonts w:ascii="Arial" w:cs="Arial" w:eastAsia="Arial" w:hAnsi="Arial"/>
          <w:sz w:val="13"/>
          <w:szCs w:val="13"/>
          <w:color w:val="auto"/>
        </w:rPr>
        <w:t>).</w:t>
      </w:r>
    </w:p>
    <w:p>
      <w:pPr>
        <w:spacing w:after="0" w:line="136" w:lineRule="exact"/>
        <w:rPr>
          <w:sz w:val="20"/>
          <w:szCs w:val="20"/>
          <w:color w:val="auto"/>
        </w:rPr>
      </w:pPr>
    </w:p>
    <w:p>
      <w:pPr>
        <w:jc w:val="both"/>
        <w:ind w:left="780" w:hanging="256"/>
        <w:spacing w:after="0" w:line="255" w:lineRule="auto"/>
        <w:tabs>
          <w:tab w:leader="none" w:pos="780" w:val="left"/>
        </w:tabs>
        <w:numPr>
          <w:ilvl w:val="1"/>
          <w:numId w:val="355"/>
        </w:numPr>
        <w:rPr>
          <w:rFonts w:ascii="Arial" w:cs="Arial" w:eastAsia="Arial" w:hAnsi="Arial"/>
          <w:sz w:val="13"/>
          <w:szCs w:val="13"/>
          <w:color w:val="auto"/>
        </w:rPr>
      </w:pPr>
      <w:r>
        <w:rPr>
          <w:rFonts w:ascii="Arial" w:cs="Arial" w:eastAsia="Arial" w:hAnsi="Arial"/>
          <w:sz w:val="13"/>
          <w:szCs w:val="13"/>
          <w:color w:val="auto"/>
        </w:rPr>
        <w:t>If Century fails to deliver a Century-Proposed Research Plan Modification and/or a Century-Proposed Estimated Research Budget Modification, as applicable, to FCDI prior to the thirtieth (30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day following receipt of a FCDI-Proposed Research Plan Modification and/or FCDI-Proposed Estimated Research Budget, then on such date Century will be deemed to have approved the FCDI-Proposed Research Plan Modification (notwithstanding anything to the contrary in </w:t>
      </w:r>
      <w:r>
        <w:rPr>
          <w:rFonts w:ascii="Arial" w:cs="Arial" w:eastAsia="Arial" w:hAnsi="Arial"/>
          <w:sz w:val="13"/>
          <w:szCs w:val="13"/>
          <w:b w:val="1"/>
          <w:bCs w:val="1"/>
          <w:color w:val="auto"/>
        </w:rPr>
        <w:t>Section 10.8</w:t>
      </w:r>
      <w:r>
        <w:rPr>
          <w:rFonts w:ascii="Arial" w:cs="Arial" w:eastAsia="Arial" w:hAnsi="Arial"/>
          <w:sz w:val="13"/>
          <w:szCs w:val="13"/>
          <w:color w:val="auto"/>
        </w:rPr>
        <w:t>) and the FCDI-Proposed Estimated Research Budget.</w:t>
      </w:r>
    </w:p>
    <w:p>
      <w:pPr>
        <w:spacing w:after="0" w:line="148" w:lineRule="exact"/>
        <w:rPr>
          <w:rFonts w:ascii="Arial" w:cs="Arial" w:eastAsia="Arial" w:hAnsi="Arial"/>
          <w:sz w:val="13"/>
          <w:szCs w:val="13"/>
          <w:color w:val="auto"/>
        </w:rPr>
      </w:pPr>
    </w:p>
    <w:p>
      <w:pPr>
        <w:ind w:left="780" w:hanging="515"/>
        <w:spacing w:after="0" w:line="288" w:lineRule="auto"/>
        <w:tabs>
          <w:tab w:leader="none" w:pos="780" w:val="left"/>
        </w:tabs>
        <w:numPr>
          <w:ilvl w:val="0"/>
          <w:numId w:val="356"/>
        </w:numPr>
        <w:rPr>
          <w:rFonts w:ascii="Arial" w:cs="Arial" w:eastAsia="Arial" w:hAnsi="Arial"/>
          <w:sz w:val="14"/>
          <w:szCs w:val="14"/>
          <w:color w:val="auto"/>
        </w:rPr>
      </w:pPr>
      <w:r>
        <w:rPr>
          <w:rFonts w:ascii="Arial" w:cs="Arial" w:eastAsia="Arial" w:hAnsi="Arial"/>
          <w:sz w:val="14"/>
          <w:szCs w:val="14"/>
          <w:color w:val="auto"/>
        </w:rPr>
        <w:t xml:space="preserve">The Approved Research Budget for the first Contract Year commencing on the Effective Date and ending on March 31, 2020. the second Contract Year commencing April 1, 2020 and ending on March 31, 2021 and the third Contract Year commencing April 1, 2021 and ending on March 31, 2022 is attached as </w:t>
      </w:r>
      <w:r>
        <w:rPr>
          <w:rFonts w:ascii="Arial" w:cs="Arial" w:eastAsia="Arial" w:hAnsi="Arial"/>
          <w:sz w:val="14"/>
          <w:szCs w:val="14"/>
          <w:b w:val="1"/>
          <w:bCs w:val="1"/>
          <w:u w:val="single" w:color="auto"/>
          <w:color w:val="auto"/>
        </w:rPr>
        <w:t>Exhibit C</w:t>
      </w:r>
      <w:r>
        <w:rPr>
          <w:rFonts w:ascii="Arial" w:cs="Arial" w:eastAsia="Arial" w:hAnsi="Arial"/>
          <w:sz w:val="14"/>
          <w:szCs w:val="14"/>
          <w:color w:val="auto"/>
        </w:rPr>
        <w:t xml:space="preserve"> hereto.</w:t>
      </w:r>
    </w:p>
    <w:p>
      <w:pPr>
        <w:spacing w:after="0" w:line="131" w:lineRule="exact"/>
        <w:rPr>
          <w:rFonts w:ascii="Arial" w:cs="Arial" w:eastAsia="Arial" w:hAnsi="Arial"/>
          <w:sz w:val="14"/>
          <w:szCs w:val="14"/>
          <w:color w:val="auto"/>
        </w:rPr>
      </w:pPr>
    </w:p>
    <w:p>
      <w:pPr>
        <w:ind w:left="780" w:hanging="515"/>
        <w:spacing w:after="0"/>
        <w:tabs>
          <w:tab w:leader="none" w:pos="780" w:val="left"/>
        </w:tabs>
        <w:numPr>
          <w:ilvl w:val="0"/>
          <w:numId w:val="356"/>
        </w:numPr>
        <w:rPr>
          <w:rFonts w:ascii="Arial" w:cs="Arial" w:eastAsia="Arial" w:hAnsi="Arial"/>
          <w:sz w:val="14"/>
          <w:szCs w:val="14"/>
          <w:color w:val="auto"/>
        </w:rPr>
      </w:pPr>
      <w:r>
        <w:rPr>
          <w:rFonts w:ascii="Arial" w:cs="Arial" w:eastAsia="Arial" w:hAnsi="Arial"/>
          <w:sz w:val="14"/>
          <w:szCs w:val="14"/>
          <w:color w:val="auto"/>
        </w:rPr>
        <w:t>FCDI shall not perform the Services in any Contract Year unless there is an Approved Research Budget for such Contract Year.</w:t>
      </w:r>
    </w:p>
    <w:p>
      <w:pPr>
        <w:spacing w:after="0" w:line="184" w:lineRule="exact"/>
        <w:rPr>
          <w:rFonts w:ascii="Arial" w:cs="Arial" w:eastAsia="Arial" w:hAnsi="Arial"/>
          <w:sz w:val="14"/>
          <w:szCs w:val="14"/>
          <w:color w:val="auto"/>
        </w:rPr>
      </w:pPr>
    </w:p>
    <w:p>
      <w:pPr>
        <w:jc w:val="both"/>
        <w:ind w:left="780" w:hanging="515"/>
        <w:spacing w:after="0" w:line="307" w:lineRule="auto"/>
        <w:tabs>
          <w:tab w:leader="none" w:pos="780" w:val="left"/>
        </w:tabs>
        <w:numPr>
          <w:ilvl w:val="0"/>
          <w:numId w:val="356"/>
        </w:numPr>
        <w:rPr>
          <w:rFonts w:ascii="Arial" w:cs="Arial" w:eastAsia="Arial" w:hAnsi="Arial"/>
          <w:sz w:val="12"/>
          <w:szCs w:val="12"/>
          <w:color w:val="auto"/>
        </w:rPr>
      </w:pPr>
      <w:r>
        <w:rPr>
          <w:rFonts w:ascii="Arial" w:cs="Arial" w:eastAsia="Arial" w:hAnsi="Arial"/>
          <w:sz w:val="12"/>
          <w:szCs w:val="12"/>
          <w:color w:val="auto"/>
        </w:rPr>
        <w:t xml:space="preserve">By the forty fifth (45th) day of each calendar quarter of a Contract Year commencing with the first calendar quarter beginning after the execution and delivery hereof by the Parties, with respect to the immediately preceding calendar quarter of a Contract Year (or, in the case of the first report, the period from the Effective Date to (and inclusive of) the calendar quarter in which occurred the execution and delivery hereof by the Parties), FCDI will deliver to Century a written report of FCDI’s progress in the performance of the Services in such calendar quarter as well as the actual remuneration payable to FCDI for the Services performed in such calendar quarter (or, in the case of the first report, the period from the Effective Date to the first calendar quarter beginning after the execution and delivery hereof by the Parties) in accordance with </w:t>
      </w:r>
      <w:r>
        <w:rPr>
          <w:rFonts w:ascii="Arial" w:cs="Arial" w:eastAsia="Arial" w:hAnsi="Arial"/>
          <w:sz w:val="12"/>
          <w:szCs w:val="12"/>
          <w:b w:val="1"/>
          <w:bCs w:val="1"/>
          <w:color w:val="auto"/>
        </w:rPr>
        <w:t>Section 5.1</w:t>
      </w:r>
      <w:r>
        <w:rPr>
          <w:rFonts w:ascii="Arial" w:cs="Arial" w:eastAsia="Arial" w:hAnsi="Arial"/>
          <w:sz w:val="12"/>
          <w:szCs w:val="12"/>
          <w:color w:val="auto"/>
        </w:rPr>
        <w:t xml:space="preserve"> as compared to the applicable Approved Research Budget. In addition, if FCDI determines that the aggregate fees and other charges payable for the Services yet to be performed will exceed the corresponding estimated fees and other charges for the Services set forth in the applicable Approved Research Budget by more than [***], then FCDI shall give written notice of such determination to Century. Upon the request of Century following its receipt of such notice or at any time after the aggregate of the fees and charges invoiced by FCDI hereunder with respect to an Approved Research Budget exceed the aggregate of the corresponding estimated fees and other charges for the Services set forth in the such Approved Research Budget by more than [***], the Parties shall discuss in good faith potential change(s) to the Research Plan and/or such Approved Research Budget. Any changes made in accordance with this </w:t>
      </w:r>
      <w:r>
        <w:rPr>
          <w:rFonts w:ascii="Arial" w:cs="Arial" w:eastAsia="Arial" w:hAnsi="Arial"/>
          <w:sz w:val="12"/>
          <w:szCs w:val="12"/>
          <w:b w:val="1"/>
          <w:bCs w:val="1"/>
          <w:color w:val="auto"/>
        </w:rPr>
        <w:t>Section 2.2(v</w:t>
      </w:r>
      <w:r>
        <w:rPr>
          <w:rFonts w:ascii="Arial" w:cs="Arial" w:eastAsia="Arial" w:hAnsi="Arial"/>
          <w:sz w:val="12"/>
          <w:szCs w:val="12"/>
          <w:color w:val="auto"/>
        </w:rPr>
        <w:t>) to the Research Plan and/or such Approved Research Budget shall require and be made as set forth in a prior written agreement between the Parties, which may include changes to the fees and the timing of the deliverables or completion of the Services resulting from the changes to the Research Plan. FCDI shall not suspend or change any Services under the Research</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5/24</w:t>
            </w:r>
          </w:p>
        </w:tc>
      </w:tr>
    </w:tbl>
    <w:p>
      <w:pPr>
        <w:sectPr>
          <w:pgSz w:w="11900" w:h="16838" w:orient="portrait"/>
          <w:cols w:equalWidth="0" w:num="1">
            <w:col w:w="11280"/>
          </w:cols>
          <w:pgMar w:left="300" w:top="582" w:right="319" w:bottom="1440" w:gutter="0" w:footer="0" w:header="0"/>
        </w:sectPr>
      </w:pPr>
    </w:p>
    <w:bookmarkStart w:id="506" w:name="page507"/>
    <w:bookmarkEnd w:id="506"/>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780"/>
        <w:spacing w:after="0" w:line="288" w:lineRule="auto"/>
        <w:rPr>
          <w:sz w:val="20"/>
          <w:szCs w:val="20"/>
          <w:color w:val="auto"/>
        </w:rPr>
      </w:pPr>
      <w:r>
        <w:rPr>
          <w:rFonts w:ascii="Arial" w:cs="Arial" w:eastAsia="Arial" w:hAnsi="Arial"/>
          <w:sz w:val="14"/>
          <w:szCs w:val="14"/>
          <w:color w:val="auto"/>
        </w:rPr>
        <w:t>Plan for which there is an Approved Research Budget until an amendment to the Research Plan and such Approved Research Budget is executed by an authorized representative of each Party.</w:t>
      </w:r>
    </w:p>
    <w:p>
      <w:pPr>
        <w:spacing w:after="0" w:line="132" w:lineRule="exact"/>
        <w:rPr>
          <w:sz w:val="20"/>
          <w:szCs w:val="20"/>
          <w:color w:val="auto"/>
        </w:rPr>
      </w:pPr>
    </w:p>
    <w:p>
      <w:pPr>
        <w:ind w:left="780" w:hanging="515"/>
        <w:spacing w:after="0" w:line="288" w:lineRule="auto"/>
        <w:tabs>
          <w:tab w:leader="none" w:pos="780" w:val="left"/>
        </w:tabs>
        <w:numPr>
          <w:ilvl w:val="0"/>
          <w:numId w:val="357"/>
        </w:numPr>
        <w:rPr>
          <w:rFonts w:ascii="Arial" w:cs="Arial" w:eastAsia="Arial" w:hAnsi="Arial"/>
          <w:sz w:val="14"/>
          <w:szCs w:val="14"/>
          <w:color w:val="auto"/>
        </w:rPr>
      </w:pPr>
      <w:r>
        <w:rPr>
          <w:rFonts w:ascii="Arial" w:cs="Arial" w:eastAsia="Arial" w:hAnsi="Arial"/>
          <w:sz w:val="14"/>
          <w:szCs w:val="14"/>
          <w:color w:val="auto"/>
        </w:rPr>
        <w:t>For the avoidance of doubt, in the event that Century is delayed in providing Materials or performing Supporting Activities necessary for FCDI to perform the Services, FCDI shall be permitted to delay the timelines set forth in the Research Plan for the number of days corresponding to Century's delay.</w:t>
      </w:r>
    </w:p>
    <w:p>
      <w:pPr>
        <w:spacing w:after="0" w:line="132" w:lineRule="exact"/>
        <w:rPr>
          <w:sz w:val="20"/>
          <w:szCs w:val="20"/>
          <w:color w:val="auto"/>
        </w:rPr>
      </w:pPr>
    </w:p>
    <w:p>
      <w:pPr>
        <w:jc w:val="both"/>
        <w:ind w:left="520" w:hanging="517"/>
        <w:spacing w:after="0" w:line="282" w:lineRule="auto"/>
        <w:tabs>
          <w:tab w:leader="none" w:pos="50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color w:val="auto"/>
        </w:rPr>
        <w:t>In the event of any conflict between the provisions of the Research Plan or the Approved Research Budget and the provisions of this Agreement, such conflict shall be resolved in the following order of precedence (in descending order), unless the Research Plan or Approved Research Budget explicitly states that the Parties intend for the terms of such Research Plan or Approved Research Budget to take precedence, in which case such terms will govern with respect to the Research Plan or Approved Research Budget only:</w:t>
      </w:r>
    </w:p>
    <w:p>
      <w:pPr>
        <w:ind w:left="780" w:hanging="256"/>
        <w:spacing w:after="0"/>
        <w:tabs>
          <w:tab w:leader="none" w:pos="78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This Agreement; then</w:t>
      </w:r>
    </w:p>
    <w:p>
      <w:pPr>
        <w:spacing w:after="0" w:line="11" w:lineRule="exact"/>
        <w:rPr>
          <w:rFonts w:ascii="Arial" w:cs="Arial" w:eastAsia="Arial" w:hAnsi="Arial"/>
          <w:sz w:val="14"/>
          <w:szCs w:val="14"/>
          <w:color w:val="auto"/>
        </w:rPr>
      </w:pPr>
    </w:p>
    <w:p>
      <w:pPr>
        <w:ind w:left="780" w:hanging="256"/>
        <w:spacing w:after="0"/>
        <w:tabs>
          <w:tab w:leader="none" w:pos="78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the Research Plan attached to this Agreement, as from time to time may be amended in accordance herewith; and</w:t>
      </w:r>
    </w:p>
    <w:p>
      <w:pPr>
        <w:spacing w:after="0" w:line="11" w:lineRule="exact"/>
        <w:rPr>
          <w:rFonts w:ascii="Arial" w:cs="Arial" w:eastAsia="Arial" w:hAnsi="Arial"/>
          <w:sz w:val="14"/>
          <w:szCs w:val="14"/>
          <w:color w:val="auto"/>
        </w:rPr>
      </w:pPr>
    </w:p>
    <w:p>
      <w:pPr>
        <w:ind w:left="780" w:hanging="256"/>
        <w:spacing w:after="0"/>
        <w:tabs>
          <w:tab w:leader="none" w:pos="780" w:val="left"/>
        </w:tabs>
        <w:numPr>
          <w:ilvl w:val="0"/>
          <w:numId w:val="358"/>
        </w:numPr>
        <w:rPr>
          <w:rFonts w:ascii="Arial" w:cs="Arial" w:eastAsia="Arial" w:hAnsi="Arial"/>
          <w:sz w:val="14"/>
          <w:szCs w:val="14"/>
          <w:color w:val="auto"/>
        </w:rPr>
      </w:pPr>
      <w:r>
        <w:rPr>
          <w:rFonts w:ascii="Arial" w:cs="Arial" w:eastAsia="Arial" w:hAnsi="Arial"/>
          <w:sz w:val="14"/>
          <w:szCs w:val="14"/>
          <w:color w:val="auto"/>
        </w:rPr>
        <w:t>the Approved Research Budget.</w:t>
      </w:r>
    </w:p>
    <w:p>
      <w:pPr>
        <w:spacing w:after="0" w:line="175" w:lineRule="exact"/>
        <w:rPr>
          <w:sz w:val="20"/>
          <w:szCs w:val="20"/>
          <w:color w:val="auto"/>
        </w:rPr>
      </w:pPr>
    </w:p>
    <w:p>
      <w:pPr>
        <w:jc w:val="both"/>
        <w:ind w:left="520"/>
        <w:spacing w:after="0" w:line="267" w:lineRule="auto"/>
        <w:rPr>
          <w:sz w:val="20"/>
          <w:szCs w:val="20"/>
          <w:color w:val="auto"/>
        </w:rPr>
      </w:pPr>
      <w:r>
        <w:rPr>
          <w:rFonts w:ascii="Arial" w:cs="Arial" w:eastAsia="Arial" w:hAnsi="Arial"/>
          <w:sz w:val="14"/>
          <w:szCs w:val="14"/>
          <w:color w:val="auto"/>
        </w:rPr>
        <w:t>All Services shall be performed in accordance with the terms of this Agreement. FCDI shall perform the Services in compliance with all applicable law. FCDI shall perform the Services in a timely and professional manner consistent with the quality and degree of care, skill and judgment that is consistent with the applicable industry standards for similar types of engagements (this sentence being the “</w:t>
      </w:r>
      <w:r>
        <w:rPr>
          <w:rFonts w:ascii="Arial" w:cs="Arial" w:eastAsia="Arial" w:hAnsi="Arial"/>
          <w:sz w:val="14"/>
          <w:szCs w:val="14"/>
          <w:b w:val="1"/>
          <w:bCs w:val="1"/>
          <w:color w:val="auto"/>
        </w:rPr>
        <w:t>Specified Provision</w:t>
      </w:r>
      <w:r>
        <w:rPr>
          <w:rFonts w:ascii="Arial" w:cs="Arial" w:eastAsia="Arial" w:hAnsi="Arial"/>
          <w:sz w:val="14"/>
          <w:szCs w:val="14"/>
          <w:color w:val="auto"/>
        </w:rPr>
        <w:t>”). To the extent Services consist of cGMP manufacturing services as specified in the Research Plan. FCDI shall use Commercially Reasonable Best Efforts to perform such Services in compliance with cGMP.</w:t>
      </w:r>
    </w:p>
    <w:p>
      <w:pPr>
        <w:spacing w:after="0" w:line="147" w:lineRule="exact"/>
        <w:rPr>
          <w:sz w:val="20"/>
          <w:szCs w:val="20"/>
          <w:color w:val="auto"/>
        </w:rPr>
      </w:pPr>
    </w:p>
    <w:p>
      <w:pPr>
        <w:jc w:val="both"/>
        <w:ind w:left="520"/>
        <w:spacing w:after="0" w:line="288" w:lineRule="auto"/>
        <w:rPr>
          <w:sz w:val="20"/>
          <w:szCs w:val="20"/>
          <w:color w:val="auto"/>
        </w:rPr>
      </w:pPr>
      <w:r>
        <w:rPr>
          <w:rFonts w:ascii="Arial" w:cs="Arial" w:eastAsia="Arial" w:hAnsi="Arial"/>
          <w:sz w:val="14"/>
          <w:szCs w:val="14"/>
          <w:color w:val="auto"/>
        </w:rPr>
        <w:t>Each Party shall designate, in a writing delivered to the other Party, one of its employees as “Alliance Manager,” to serve as the primary point of contact on behalf of such Party for communications between the Parties with respect to the Services.</w:t>
      </w:r>
    </w:p>
    <w:p>
      <w:pPr>
        <w:spacing w:after="0" w:line="132" w:lineRule="exact"/>
        <w:rPr>
          <w:sz w:val="20"/>
          <w:szCs w:val="20"/>
          <w:color w:val="auto"/>
        </w:rPr>
      </w:pPr>
    </w:p>
    <w:p>
      <w:pPr>
        <w:jc w:val="both"/>
        <w:ind w:left="520" w:hanging="517"/>
        <w:spacing w:after="0" w:line="265" w:lineRule="auto"/>
        <w:tabs>
          <w:tab w:leader="none" w:pos="5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 xml:space="preserve">FCDI may use a third party subcontractor or an Affiliate for the performance of certain part of the Services upon prior written agreement of Century; provided that (a) FCDI shall notify Century of the name of the proposed subcontractor or Affiliate and identify the specific Services to be performed by the subcontractor; (b) FCDI shall enter into a written agreement with such subcontractor or Affiliate that protects Century's rights and interests to at least the same degree as provided in </w:t>
      </w:r>
      <w:r>
        <w:rPr>
          <w:rFonts w:ascii="Arial" w:cs="Arial" w:eastAsia="Arial" w:hAnsi="Arial"/>
          <w:sz w:val="14"/>
          <w:szCs w:val="14"/>
          <w:b w:val="1"/>
          <w:bCs w:val="1"/>
          <w:color w:val="auto"/>
        </w:rPr>
        <w:t>Articles 4</w:t>
      </w:r>
      <w:r>
        <w:rPr>
          <w:rFonts w:ascii="Arial" w:cs="Arial" w:eastAsia="Arial" w:hAnsi="Arial"/>
          <w:sz w:val="14"/>
          <w:szCs w:val="14"/>
          <w:color w:val="auto"/>
        </w:rPr>
        <w:t xml:space="preserve">, </w:t>
      </w:r>
      <w:r>
        <w:rPr>
          <w:rFonts w:ascii="Arial" w:cs="Arial" w:eastAsia="Arial" w:hAnsi="Arial"/>
          <w:sz w:val="14"/>
          <w:szCs w:val="14"/>
          <w:b w:val="1"/>
          <w:bCs w:val="1"/>
          <w:color w:val="auto"/>
        </w:rPr>
        <w:t>6</w:t>
      </w:r>
      <w:r>
        <w:rPr>
          <w:rFonts w:ascii="Arial" w:cs="Arial" w:eastAsia="Arial" w:hAnsi="Arial"/>
          <w:sz w:val="14"/>
          <w:szCs w:val="14"/>
          <w:color w:val="auto"/>
        </w:rPr>
        <w:t xml:space="preserve"> and </w:t>
      </w:r>
      <w:r>
        <w:rPr>
          <w:rFonts w:ascii="Arial" w:cs="Arial" w:eastAsia="Arial" w:hAnsi="Arial"/>
          <w:sz w:val="14"/>
          <w:szCs w:val="14"/>
          <w:b w:val="1"/>
          <w:bCs w:val="1"/>
          <w:color w:val="auto"/>
        </w:rPr>
        <w:t>7</w:t>
      </w:r>
      <w:r>
        <w:rPr>
          <w:rFonts w:ascii="Arial" w:cs="Arial" w:eastAsia="Arial" w:hAnsi="Arial"/>
          <w:sz w:val="14"/>
          <w:szCs w:val="14"/>
          <w:color w:val="auto"/>
        </w:rPr>
        <w:t>; (c) the subcontractor or Affiliate shall perform those subcontracted Services in a manner consistent with the terms and conditions of this Agreement, and (d) FCDI remains responsible for the performance of the subcontractor or Affiliate.</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Article 3</w:t>
      </w:r>
      <w:r>
        <w:rPr>
          <w:sz w:val="20"/>
          <w:szCs w:val="20"/>
          <w:color w:val="auto"/>
        </w:rPr>
        <w:tab/>
      </w:r>
      <w:r>
        <w:rPr>
          <w:rFonts w:ascii="Arial" w:cs="Arial" w:eastAsia="Arial" w:hAnsi="Arial"/>
          <w:sz w:val="14"/>
          <w:szCs w:val="14"/>
          <w:b w:val="1"/>
          <w:bCs w:val="1"/>
          <w:u w:val="single" w:color="auto"/>
          <w:color w:val="auto"/>
        </w:rPr>
        <w:t>REPRESENTATIONS AND WARRANTIES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b w:val="1"/>
          <w:bCs w:val="1"/>
          <w:u w:val="single" w:color="auto"/>
          <w:color w:val="auto"/>
        </w:rPr>
        <w:t xml:space="preserve">Representations and Warranties by FCDI. </w:t>
      </w:r>
      <w:r>
        <w:rPr>
          <w:rFonts w:ascii="Arial" w:cs="Arial" w:eastAsia="Arial" w:hAnsi="Arial"/>
          <w:sz w:val="13"/>
          <w:szCs w:val="13"/>
          <w:color w:val="auto"/>
        </w:rPr>
        <w:t>FCDI represents and warrants, as of the Effective Date, that:</w:t>
      </w:r>
    </w:p>
    <w:p>
      <w:pPr>
        <w:spacing w:after="0" w:line="184" w:lineRule="exact"/>
        <w:rPr>
          <w:sz w:val="20"/>
          <w:szCs w:val="20"/>
          <w:color w:val="auto"/>
        </w:rPr>
      </w:pPr>
    </w:p>
    <w:p>
      <w:pPr>
        <w:ind w:left="780" w:hanging="256"/>
        <w:spacing w:after="0"/>
        <w:tabs>
          <w:tab w:leader="none" w:pos="780" w:val="left"/>
        </w:tabs>
        <w:numPr>
          <w:ilvl w:val="0"/>
          <w:numId w:val="359"/>
        </w:numPr>
        <w:rPr>
          <w:rFonts w:ascii="Arial" w:cs="Arial" w:eastAsia="Arial" w:hAnsi="Arial"/>
          <w:sz w:val="14"/>
          <w:szCs w:val="14"/>
          <w:color w:val="auto"/>
        </w:rPr>
      </w:pPr>
      <w:r>
        <w:rPr>
          <w:rFonts w:ascii="Arial" w:cs="Arial" w:eastAsia="Arial" w:hAnsi="Arial"/>
          <w:sz w:val="14"/>
          <w:szCs w:val="14"/>
          <w:b w:val="1"/>
          <w:bCs w:val="1"/>
          <w:u w:val="single" w:color="auto"/>
          <w:color w:val="auto"/>
        </w:rPr>
        <w:t>Organization of FCDI.</w:t>
      </w:r>
      <w:r>
        <w:rPr>
          <w:rFonts w:ascii="Arial" w:cs="Arial" w:eastAsia="Arial" w:hAnsi="Arial"/>
          <w:sz w:val="14"/>
          <w:szCs w:val="14"/>
          <w:b w:val="1"/>
          <w:bCs w:val="1"/>
          <w:color w:val="auto"/>
        </w:rPr>
        <w:t xml:space="preserve"> </w:t>
      </w:r>
      <w:r>
        <w:rPr>
          <w:rFonts w:ascii="Arial" w:cs="Arial" w:eastAsia="Arial" w:hAnsi="Arial"/>
          <w:sz w:val="14"/>
          <w:szCs w:val="14"/>
          <w:color w:val="auto"/>
        </w:rPr>
        <w:t>FCDI is and shall remain a corporation duly organized and validly existing under the laws of its jurisdiction of organization;</w:t>
      </w:r>
    </w:p>
    <w:p>
      <w:pPr>
        <w:spacing w:after="0" w:line="184" w:lineRule="exact"/>
        <w:rPr>
          <w:rFonts w:ascii="Arial" w:cs="Arial" w:eastAsia="Arial" w:hAnsi="Arial"/>
          <w:sz w:val="14"/>
          <w:szCs w:val="14"/>
          <w:color w:val="auto"/>
        </w:rPr>
      </w:pPr>
    </w:p>
    <w:p>
      <w:pPr>
        <w:jc w:val="both"/>
        <w:ind w:left="780" w:hanging="256"/>
        <w:spacing w:after="0" w:line="276" w:lineRule="auto"/>
        <w:tabs>
          <w:tab w:leader="none" w:pos="780" w:val="left"/>
        </w:tabs>
        <w:numPr>
          <w:ilvl w:val="0"/>
          <w:numId w:val="359"/>
        </w:numPr>
        <w:rPr>
          <w:rFonts w:ascii="Arial" w:cs="Arial" w:eastAsia="Arial" w:hAnsi="Arial"/>
          <w:sz w:val="14"/>
          <w:szCs w:val="14"/>
          <w:color w:val="auto"/>
        </w:rPr>
      </w:pPr>
      <w:r>
        <w:rPr>
          <w:rFonts w:ascii="Arial" w:cs="Arial" w:eastAsia="Arial" w:hAnsi="Arial"/>
          <w:sz w:val="14"/>
          <w:szCs w:val="14"/>
          <w:b w:val="1"/>
          <w:bCs w:val="1"/>
          <w:u w:val="single" w:color="auto"/>
          <w:color w:val="auto"/>
        </w:rPr>
        <w:t>Enforceability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execution and delivery of this Agreement has been authorized by all requisite corporate action. When executed and delivered by both Parties,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is and will remain a valid and binding obligation of FCDI, enforceable in accordance with its terms, subject to laws of general application relating to bankruptcy, insolvency and the relief of debtors;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6/24</w:t>
            </w:r>
          </w:p>
        </w:tc>
      </w:tr>
    </w:tbl>
    <w:p>
      <w:pPr>
        <w:sectPr>
          <w:pgSz w:w="11900" w:h="16838" w:orient="portrait"/>
          <w:cols w:equalWidth="0" w:num="1">
            <w:col w:w="11280"/>
          </w:cols>
          <w:pgMar w:left="300" w:top="582" w:right="319" w:bottom="1440" w:gutter="0" w:footer="0" w:header="0"/>
        </w:sectPr>
      </w:pPr>
    </w:p>
    <w:bookmarkStart w:id="507" w:name="page508"/>
    <w:bookmarkEnd w:id="507"/>
    <w:p>
      <w:pPr>
        <w:jc w:val="right"/>
        <w:spacing w:after="0"/>
        <w:rPr>
          <w:sz w:val="20"/>
          <w:szCs w:val="20"/>
          <w:color w:val="auto"/>
        </w:rPr>
      </w:pPr>
      <w:r>
        <w:rPr>
          <w:rFonts w:ascii="Arial" w:cs="Arial" w:eastAsia="Arial" w:hAnsi="Arial"/>
          <w:sz w:val="14"/>
          <w:szCs w:val="14"/>
          <w:color w:val="auto"/>
        </w:rPr>
        <w:t>Execution Version</w:t>
      </w:r>
    </w:p>
    <w:p>
      <w:pPr>
        <w:spacing w:after="0" w:line="180" w:lineRule="exact"/>
        <w:rPr>
          <w:sz w:val="20"/>
          <w:szCs w:val="20"/>
          <w:color w:val="auto"/>
        </w:rPr>
      </w:pPr>
    </w:p>
    <w:p>
      <w:pPr>
        <w:ind w:left="780" w:hanging="256"/>
        <w:spacing w:after="0" w:line="294" w:lineRule="auto"/>
        <w:tabs>
          <w:tab w:leader="none" w:pos="780" w:val="left"/>
        </w:tabs>
        <w:numPr>
          <w:ilvl w:val="0"/>
          <w:numId w:val="360"/>
        </w:numPr>
        <w:rPr>
          <w:rFonts w:ascii="Arial" w:cs="Arial" w:eastAsia="Arial" w:hAnsi="Arial"/>
          <w:sz w:val="14"/>
          <w:szCs w:val="14"/>
          <w:color w:val="auto"/>
        </w:rPr>
      </w:pPr>
      <w:r>
        <w:rPr>
          <w:rFonts w:ascii="Arial" w:cs="Arial" w:eastAsia="Arial" w:hAnsi="Arial"/>
          <w:sz w:val="14"/>
          <w:szCs w:val="14"/>
          <w:b w:val="1"/>
          <w:bCs w:val="1"/>
          <w:u w:val="single" w:color="auto"/>
          <w:color w:val="auto"/>
        </w:rPr>
        <w:t>Absence of Other Contractual Restrictions.</w:t>
      </w:r>
      <w:r>
        <w:rPr>
          <w:rFonts w:ascii="Arial" w:cs="Arial" w:eastAsia="Arial" w:hAnsi="Arial"/>
          <w:sz w:val="14"/>
          <w:szCs w:val="14"/>
          <w:b w:val="1"/>
          <w:bCs w:val="1"/>
          <w:color w:val="auto"/>
        </w:rPr>
        <w:t xml:space="preserve"> </w:t>
      </w:r>
      <w:r>
        <w:rPr>
          <w:rFonts w:ascii="Arial" w:cs="Arial" w:eastAsia="Arial" w:hAnsi="Arial"/>
          <w:sz w:val="14"/>
          <w:szCs w:val="14"/>
          <w:color w:val="auto"/>
        </w:rPr>
        <w:t>FCDI is under no contractual or other obligation or restriction that conflicts with FCDI's execution or performance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FCDI will not enter into any agreement, either written or oral, that would conflict with FCDI's responsibilities or obligations under this Agreement;</w:t>
      </w:r>
    </w:p>
    <w:p>
      <w:pPr>
        <w:spacing w:after="0" w:line="123" w:lineRule="exact"/>
        <w:rPr>
          <w:rFonts w:ascii="Arial" w:cs="Arial" w:eastAsia="Arial" w:hAnsi="Arial"/>
          <w:sz w:val="14"/>
          <w:szCs w:val="14"/>
          <w:color w:val="auto"/>
        </w:rPr>
      </w:pPr>
    </w:p>
    <w:p>
      <w:pPr>
        <w:jc w:val="both"/>
        <w:ind w:left="780" w:hanging="256"/>
        <w:spacing w:after="0" w:line="266" w:lineRule="auto"/>
        <w:tabs>
          <w:tab w:leader="none" w:pos="780" w:val="left"/>
        </w:tabs>
        <w:numPr>
          <w:ilvl w:val="0"/>
          <w:numId w:val="360"/>
        </w:numPr>
        <w:rPr>
          <w:rFonts w:ascii="Arial" w:cs="Arial" w:eastAsia="Arial" w:hAnsi="Arial"/>
          <w:sz w:val="14"/>
          <w:szCs w:val="14"/>
          <w:color w:val="auto"/>
        </w:rPr>
      </w:pPr>
      <w:r>
        <w:rPr>
          <w:rFonts w:ascii="Arial" w:cs="Arial" w:eastAsia="Arial" w:hAnsi="Arial"/>
          <w:sz w:val="14"/>
          <w:szCs w:val="14"/>
          <w:b w:val="1"/>
          <w:bCs w:val="1"/>
          <w:u w:val="single" w:color="auto"/>
          <w:color w:val="auto"/>
        </w:rPr>
        <w:t>Qualifications of FCDI Personnel.</w:t>
      </w:r>
      <w:r>
        <w:rPr>
          <w:rFonts w:ascii="Arial" w:cs="Arial" w:eastAsia="Arial" w:hAnsi="Arial"/>
          <w:sz w:val="14"/>
          <w:szCs w:val="14"/>
          <w:b w:val="1"/>
          <w:bCs w:val="1"/>
          <w:color w:val="auto"/>
        </w:rPr>
        <w:t xml:space="preserve"> </w:t>
      </w:r>
      <w:r>
        <w:rPr>
          <w:rFonts w:ascii="Arial" w:cs="Arial" w:eastAsia="Arial" w:hAnsi="Arial"/>
          <w:sz w:val="14"/>
          <w:szCs w:val="14"/>
          <w:color w:val="auto"/>
        </w:rPr>
        <w:t>FCDI has, and will engage, employees, subcontractors and/or consultants</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FCDI Personnel</w:t>
      </w:r>
      <w:r>
        <w:rPr>
          <w:rFonts w:ascii="Arial" w:cs="Arial" w:eastAsia="Arial" w:hAnsi="Arial"/>
          <w:sz w:val="14"/>
          <w:szCs w:val="14"/>
          <w:color w:val="auto"/>
        </w:rPr>
        <w:t>”) with the proper skill, training and experience to</w:t>
      </w:r>
      <w:r>
        <w:rPr>
          <w:rFonts w:ascii="Arial" w:cs="Arial" w:eastAsia="Arial" w:hAnsi="Arial"/>
          <w:sz w:val="14"/>
          <w:szCs w:val="14"/>
          <w:b w:val="1"/>
          <w:bCs w:val="1"/>
          <w:color w:val="auto"/>
        </w:rPr>
        <w:t xml:space="preserve"> </w:t>
      </w:r>
      <w:r>
        <w:rPr>
          <w:rFonts w:ascii="Arial" w:cs="Arial" w:eastAsia="Arial" w:hAnsi="Arial"/>
          <w:sz w:val="14"/>
          <w:szCs w:val="14"/>
          <w:color w:val="auto"/>
        </w:rPr>
        <w:t>provide the Services. FCDI will be solely responsible for paying FCDI Personnel and providing any employee benefits that they are owed. Before providing Services, all FCDI Personnel must have agreed in writing to (a) confidentiality obligations at least as restrictive as the confidentiality obligations of this Agreement, and (b) effectively vest in FCDI any and all rights that such FCDI Personnel might otherwise have in the results of their work and any intellectual property rights that arise out of such FCDI Personnel's work and are required to be assigned to Century hereunder; and</w:t>
      </w:r>
    </w:p>
    <w:p>
      <w:pPr>
        <w:spacing w:after="0" w:line="143" w:lineRule="exact"/>
        <w:rPr>
          <w:rFonts w:ascii="Arial" w:cs="Arial" w:eastAsia="Arial" w:hAnsi="Arial"/>
          <w:sz w:val="14"/>
          <w:szCs w:val="14"/>
          <w:color w:val="auto"/>
        </w:rPr>
      </w:pPr>
    </w:p>
    <w:p>
      <w:pPr>
        <w:jc w:val="both"/>
        <w:ind w:left="780" w:hanging="256"/>
        <w:spacing w:after="0" w:line="266" w:lineRule="auto"/>
        <w:tabs>
          <w:tab w:leader="none" w:pos="780" w:val="left"/>
        </w:tabs>
        <w:numPr>
          <w:ilvl w:val="0"/>
          <w:numId w:val="360"/>
        </w:numPr>
        <w:rPr>
          <w:rFonts w:ascii="Arial" w:cs="Arial" w:eastAsia="Arial" w:hAnsi="Arial"/>
          <w:sz w:val="14"/>
          <w:szCs w:val="14"/>
          <w:color w:val="auto"/>
        </w:rPr>
      </w:pPr>
      <w:r>
        <w:rPr>
          <w:rFonts w:ascii="Arial" w:cs="Arial" w:eastAsia="Arial" w:hAnsi="Arial"/>
          <w:sz w:val="14"/>
          <w:szCs w:val="14"/>
          <w:b w:val="1"/>
          <w:bCs w:val="1"/>
          <w:u w:val="single" w:color="auto"/>
          <w:color w:val="auto"/>
        </w:rPr>
        <w:t>Absence of Debarment.</w:t>
      </w:r>
      <w:r>
        <w:rPr>
          <w:rFonts w:ascii="Arial" w:cs="Arial" w:eastAsia="Arial" w:hAnsi="Arial"/>
          <w:sz w:val="14"/>
          <w:szCs w:val="14"/>
          <w:b w:val="1"/>
          <w:bCs w:val="1"/>
          <w:color w:val="auto"/>
        </w:rPr>
        <w:t xml:space="preserve"> </w:t>
      </w:r>
      <w:r>
        <w:rPr>
          <w:rFonts w:ascii="Arial" w:cs="Arial" w:eastAsia="Arial" w:hAnsi="Arial"/>
          <w:sz w:val="14"/>
          <w:szCs w:val="14"/>
          <w:color w:val="auto"/>
        </w:rPr>
        <w:t>Neither FCDI nor any of the FCDI Personnel performing Services under this Agreement have been debarred, and to the best of FCDI's knowledge, are not</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pending proceedings seeking the debarment, by the United States Food and Drug Administration (“FDA”) or any other governmental authority from working in or providing services to any pharmaceutical or biotechnology company under the Generic Drug Enforcement Act of 1992. FCDI will, promptly after it acquires knowledge of the same, notify Century if FCDI has knowledge of any such proceeding having been commenced or threatened in written notice given to FCDI to be taken against it or any of the FCDI Personnel.</w:t>
      </w:r>
    </w:p>
    <w:p>
      <w:pPr>
        <w:spacing w:after="0" w:line="14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b w:val="1"/>
          <w:bCs w:val="1"/>
          <w:u w:val="single" w:color="auto"/>
          <w:color w:val="auto"/>
        </w:rPr>
        <w:t xml:space="preserve">Representations and Warranties by Century. </w:t>
      </w:r>
      <w:r>
        <w:rPr>
          <w:rFonts w:ascii="Arial" w:cs="Arial" w:eastAsia="Arial" w:hAnsi="Arial"/>
          <w:sz w:val="12"/>
          <w:szCs w:val="12"/>
          <w:color w:val="auto"/>
        </w:rPr>
        <w:t>Century represents and warrants:</w:t>
      </w:r>
    </w:p>
    <w:p>
      <w:pPr>
        <w:spacing w:after="0" w:line="184" w:lineRule="exact"/>
        <w:rPr>
          <w:sz w:val="20"/>
          <w:szCs w:val="20"/>
          <w:color w:val="auto"/>
        </w:rPr>
      </w:pPr>
    </w:p>
    <w:p>
      <w:pPr>
        <w:ind w:left="780" w:hanging="256"/>
        <w:spacing w:after="0"/>
        <w:tabs>
          <w:tab w:leader="none" w:pos="780" w:val="left"/>
        </w:tabs>
        <w:numPr>
          <w:ilvl w:val="0"/>
          <w:numId w:val="361"/>
        </w:numPr>
        <w:rPr>
          <w:rFonts w:ascii="Arial" w:cs="Arial" w:eastAsia="Arial" w:hAnsi="Arial"/>
          <w:sz w:val="13"/>
          <w:szCs w:val="13"/>
          <w:color w:val="auto"/>
        </w:rPr>
      </w:pPr>
      <w:r>
        <w:rPr>
          <w:rFonts w:ascii="Arial" w:cs="Arial" w:eastAsia="Arial" w:hAnsi="Arial"/>
          <w:sz w:val="13"/>
          <w:szCs w:val="13"/>
          <w:b w:val="1"/>
          <w:bCs w:val="1"/>
          <w:u w:val="single" w:color="auto"/>
          <w:color w:val="auto"/>
        </w:rPr>
        <w:t>Organization of Century.</w:t>
      </w:r>
      <w:r>
        <w:rPr>
          <w:rFonts w:ascii="Arial" w:cs="Arial" w:eastAsia="Arial" w:hAnsi="Arial"/>
          <w:sz w:val="13"/>
          <w:szCs w:val="13"/>
          <w:b w:val="1"/>
          <w:bCs w:val="1"/>
          <w:color w:val="auto"/>
        </w:rPr>
        <w:t xml:space="preserve"> </w:t>
      </w:r>
      <w:r>
        <w:rPr>
          <w:rFonts w:ascii="Arial" w:cs="Arial" w:eastAsia="Arial" w:hAnsi="Arial"/>
          <w:sz w:val="13"/>
          <w:szCs w:val="13"/>
          <w:color w:val="auto"/>
        </w:rPr>
        <w:t>Century is and will remain a corporation duly organized, validly existing and in good standing under the laws of its jurisdiction of organization; and</w:t>
      </w:r>
    </w:p>
    <w:p>
      <w:pPr>
        <w:spacing w:after="0" w:line="195" w:lineRule="exact"/>
        <w:rPr>
          <w:rFonts w:ascii="Arial" w:cs="Arial" w:eastAsia="Arial" w:hAnsi="Arial"/>
          <w:sz w:val="13"/>
          <w:szCs w:val="13"/>
          <w:color w:val="auto"/>
        </w:rPr>
      </w:pPr>
    </w:p>
    <w:p>
      <w:pPr>
        <w:jc w:val="both"/>
        <w:ind w:left="780" w:hanging="256"/>
        <w:spacing w:after="0" w:line="276" w:lineRule="auto"/>
        <w:tabs>
          <w:tab w:leader="none" w:pos="780" w:val="left"/>
        </w:tabs>
        <w:numPr>
          <w:ilvl w:val="0"/>
          <w:numId w:val="361"/>
        </w:numPr>
        <w:rPr>
          <w:rFonts w:ascii="Arial" w:cs="Arial" w:eastAsia="Arial" w:hAnsi="Arial"/>
          <w:sz w:val="14"/>
          <w:szCs w:val="14"/>
          <w:color w:val="auto"/>
        </w:rPr>
      </w:pPr>
      <w:r>
        <w:rPr>
          <w:rFonts w:ascii="Arial" w:cs="Arial" w:eastAsia="Arial" w:hAnsi="Arial"/>
          <w:sz w:val="14"/>
          <w:szCs w:val="14"/>
          <w:b w:val="1"/>
          <w:bCs w:val="1"/>
          <w:u w:val="single" w:color="auto"/>
          <w:color w:val="auto"/>
        </w:rPr>
        <w:t>Enforceability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execution and delivery of this Agreement has been authorized by all requisite corporate action. When executed and delivered by both Parties,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is and will remain a valid and binding obligation of Century, enforceable in accordance with its terms, subject to laws of general application relating to bankruptcy, insolvency and the relief of debtors;</w:t>
      </w:r>
    </w:p>
    <w:p>
      <w:pPr>
        <w:spacing w:after="0" w:line="135" w:lineRule="exact"/>
        <w:rPr>
          <w:rFonts w:ascii="Arial" w:cs="Arial" w:eastAsia="Arial" w:hAnsi="Arial"/>
          <w:sz w:val="14"/>
          <w:szCs w:val="14"/>
          <w:color w:val="auto"/>
        </w:rPr>
      </w:pPr>
    </w:p>
    <w:p>
      <w:pPr>
        <w:jc w:val="both"/>
        <w:ind w:left="780" w:hanging="256"/>
        <w:spacing w:after="0" w:line="276" w:lineRule="auto"/>
        <w:tabs>
          <w:tab w:leader="none" w:pos="780" w:val="left"/>
        </w:tabs>
        <w:numPr>
          <w:ilvl w:val="0"/>
          <w:numId w:val="361"/>
        </w:numPr>
        <w:rPr>
          <w:rFonts w:ascii="Arial" w:cs="Arial" w:eastAsia="Arial" w:hAnsi="Arial"/>
          <w:sz w:val="14"/>
          <w:szCs w:val="14"/>
          <w:color w:val="auto"/>
        </w:rPr>
      </w:pPr>
      <w:r>
        <w:rPr>
          <w:rFonts w:ascii="Arial" w:cs="Arial" w:eastAsia="Arial" w:hAnsi="Arial"/>
          <w:sz w:val="14"/>
          <w:szCs w:val="14"/>
          <w:b w:val="1"/>
          <w:bCs w:val="1"/>
          <w:u w:val="single" w:color="auto"/>
          <w:color w:val="auto"/>
        </w:rPr>
        <w:t>Absence of Other Contractual Restrictions.</w:t>
      </w:r>
      <w:r>
        <w:rPr>
          <w:rFonts w:ascii="Arial" w:cs="Arial" w:eastAsia="Arial" w:hAnsi="Arial"/>
          <w:sz w:val="14"/>
          <w:szCs w:val="14"/>
          <w:b w:val="1"/>
          <w:bCs w:val="1"/>
          <w:color w:val="auto"/>
        </w:rPr>
        <w:t xml:space="preserve"> </w:t>
      </w:r>
      <w:r>
        <w:rPr>
          <w:rFonts w:ascii="Arial" w:cs="Arial" w:eastAsia="Arial" w:hAnsi="Arial"/>
          <w:sz w:val="14"/>
          <w:szCs w:val="14"/>
          <w:color w:val="auto"/>
        </w:rPr>
        <w:t>Century is under no contractual or other obligation or restriction that conflicts with Century's execution or performance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Century will not enter into any agreement, either written or oral, that would conflict with Century’s responsibilities or obligations under this Agreement without FCDI's prior written consent, which shall not be unreasonably withheld, conditioned or delayed; and</w:t>
      </w:r>
    </w:p>
    <w:p>
      <w:pPr>
        <w:spacing w:after="0" w:line="135" w:lineRule="exact"/>
        <w:rPr>
          <w:rFonts w:ascii="Arial" w:cs="Arial" w:eastAsia="Arial" w:hAnsi="Arial"/>
          <w:sz w:val="14"/>
          <w:szCs w:val="14"/>
          <w:color w:val="auto"/>
        </w:rPr>
      </w:pPr>
    </w:p>
    <w:p>
      <w:pPr>
        <w:jc w:val="both"/>
        <w:ind w:left="780" w:hanging="256"/>
        <w:spacing w:after="0" w:line="276" w:lineRule="auto"/>
        <w:tabs>
          <w:tab w:leader="none" w:pos="780" w:val="left"/>
        </w:tabs>
        <w:numPr>
          <w:ilvl w:val="0"/>
          <w:numId w:val="361"/>
        </w:numPr>
        <w:rPr>
          <w:rFonts w:ascii="Arial" w:cs="Arial" w:eastAsia="Arial" w:hAnsi="Arial"/>
          <w:sz w:val="14"/>
          <w:szCs w:val="14"/>
          <w:color w:val="auto"/>
        </w:rPr>
      </w:pPr>
      <w:r>
        <w:rPr>
          <w:rFonts w:ascii="Arial" w:cs="Arial" w:eastAsia="Arial" w:hAnsi="Arial"/>
          <w:sz w:val="14"/>
          <w:szCs w:val="14"/>
          <w:b w:val="1"/>
          <w:bCs w:val="1"/>
          <w:u w:val="single" w:color="auto"/>
          <w:color w:val="auto"/>
        </w:rPr>
        <w:t>Materials.</w:t>
      </w:r>
      <w:r>
        <w:rPr>
          <w:rFonts w:ascii="Arial" w:cs="Arial" w:eastAsia="Arial" w:hAnsi="Arial"/>
          <w:sz w:val="14"/>
          <w:szCs w:val="14"/>
          <w:b w:val="1"/>
          <w:bCs w:val="1"/>
          <w:color w:val="auto"/>
        </w:rPr>
        <w:t xml:space="preserve"> </w:t>
      </w:r>
      <w:r>
        <w:rPr>
          <w:rFonts w:ascii="Arial" w:cs="Arial" w:eastAsia="Arial" w:hAnsi="Arial"/>
          <w:sz w:val="14"/>
          <w:szCs w:val="14"/>
          <w:color w:val="auto"/>
        </w:rPr>
        <w:t>Century has the lawful right, and all consents, licenses and permissions from all third parties (including informed donor consent and institutional or ethical review board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approval, as applicable) necessary to transfer all Materials furnished hereunder to FCDI and for FCDI to use the same in the performance of the Services in compliance with this Agreement and the Research Plan governing the Services in question and to grant the license granted in </w:t>
      </w:r>
      <w:r>
        <w:rPr>
          <w:rFonts w:ascii="Arial" w:cs="Arial" w:eastAsia="Arial" w:hAnsi="Arial"/>
          <w:sz w:val="14"/>
          <w:szCs w:val="14"/>
          <w:b w:val="1"/>
          <w:bCs w:val="1"/>
          <w:color w:val="auto"/>
        </w:rPr>
        <w:t>Section 6.1</w:t>
      </w:r>
      <w:r>
        <w:rPr>
          <w:rFonts w:ascii="Arial" w:cs="Arial" w:eastAsia="Arial" w:hAnsi="Arial"/>
          <w:sz w:val="14"/>
          <w:szCs w:val="14"/>
          <w:color w:val="auto"/>
        </w:rPr>
        <w:t>.</w:t>
      </w:r>
    </w:p>
    <w:p>
      <w:pPr>
        <w:spacing w:after="0" w:line="13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3"/>
          <w:szCs w:val="13"/>
          <w:b w:val="1"/>
          <w:bCs w:val="1"/>
          <w:u w:val="single" w:color="auto"/>
          <w:color w:val="auto"/>
        </w:rPr>
        <w:t>Delivery of Materials</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Century warrants that it will use Commercially Reasonable Best Efforts to provide Materials and perform the Supporting Activities.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3"/>
          <w:szCs w:val="13"/>
          <w:b w:val="1"/>
          <w:bCs w:val="1"/>
          <w:u w:val="single" w:color="auto"/>
          <w:color w:val="auto"/>
        </w:rPr>
        <w:t>Deliverables</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FCDI warrants that it will perform the Services in accordance with the Research Plan and this Agreement and will use Commercially Reasonable Best Efforts to</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7/24</w:t>
            </w:r>
          </w:p>
        </w:tc>
      </w:tr>
    </w:tbl>
    <w:p>
      <w:pPr>
        <w:sectPr>
          <w:pgSz w:w="11900" w:h="16838" w:orient="portrait"/>
          <w:cols w:equalWidth="0" w:num="1">
            <w:col w:w="11280"/>
          </w:cols>
          <w:pgMar w:left="300" w:top="582" w:right="319" w:bottom="1440" w:gutter="0" w:footer="0" w:header="0"/>
        </w:sectPr>
      </w:pPr>
    </w:p>
    <w:bookmarkStart w:id="508" w:name="page509"/>
    <w:bookmarkEnd w:id="508"/>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303" w:lineRule="auto"/>
        <w:rPr>
          <w:sz w:val="20"/>
          <w:szCs w:val="20"/>
          <w:color w:val="auto"/>
        </w:rPr>
      </w:pPr>
      <w:r>
        <w:rPr>
          <w:rFonts w:ascii="Arial" w:cs="Arial" w:eastAsia="Arial" w:hAnsi="Arial"/>
          <w:sz w:val="13"/>
          <w:szCs w:val="13"/>
          <w:color w:val="auto"/>
        </w:rPr>
        <w:t xml:space="preserve">perform the Services in accordance with cGMP to the extent the Services include cGMP manufacturing as specified in the Research Plan and generate Deliverables that conform to the specifications therefor in the Research Plan. In the event of a breach of the warranty set forth in this </w:t>
      </w:r>
      <w:r>
        <w:rPr>
          <w:rFonts w:ascii="Arial" w:cs="Arial" w:eastAsia="Arial" w:hAnsi="Arial"/>
          <w:sz w:val="13"/>
          <w:szCs w:val="13"/>
          <w:b w:val="1"/>
          <w:bCs w:val="1"/>
          <w:color w:val="auto"/>
        </w:rPr>
        <w:t>Section 3.3</w:t>
      </w:r>
      <w:r>
        <w:rPr>
          <w:rFonts w:ascii="Arial" w:cs="Arial" w:eastAsia="Arial" w:hAnsi="Arial"/>
          <w:sz w:val="13"/>
          <w:szCs w:val="13"/>
          <w:color w:val="auto"/>
        </w:rPr>
        <w:t>, FCDI shall promptly re-perform the nonconforming Services at no additional charge to Century (provided that Century will provide FCDI with such additional Materials sufficient to permit such re performance by FCDI, as applicable).</w:t>
      </w:r>
    </w:p>
    <w:p>
      <w:pPr>
        <w:spacing w:after="0" w:line="120" w:lineRule="exact"/>
        <w:rPr>
          <w:sz w:val="20"/>
          <w:szCs w:val="20"/>
          <w:color w:val="auto"/>
        </w:rPr>
      </w:pPr>
    </w:p>
    <w:p>
      <w:pPr>
        <w:jc w:val="both"/>
        <w:ind w:left="520" w:hanging="517"/>
        <w:spacing w:after="0" w:line="266" w:lineRule="auto"/>
        <w:tabs>
          <w:tab w:leader="none" w:pos="50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b w:val="1"/>
          <w:bCs w:val="1"/>
          <w:u w:val="single" w:color="auto"/>
          <w:color w:val="auto"/>
        </w:rPr>
        <w:t xml:space="preserve">No Other Representations or Warranties. </w:t>
      </w:r>
      <w:r>
        <w:rPr>
          <w:rFonts w:ascii="Arial" w:cs="Arial" w:eastAsia="Arial" w:hAnsi="Arial"/>
          <w:sz w:val="14"/>
          <w:szCs w:val="14"/>
          <w:color w:val="auto"/>
        </w:rPr>
        <w:t>THE REPRESENTATIONS AND WARRANTIES SET FORTH IN THIS</w:t>
      </w:r>
      <w:r>
        <w:rPr>
          <w:rFonts w:ascii="Arial" w:cs="Arial" w:eastAsia="Arial" w:hAnsi="Arial"/>
          <w:sz w:val="14"/>
          <w:szCs w:val="14"/>
          <w:b w:val="1"/>
          <w:bCs w:val="1"/>
          <w:u w:val="single" w:color="auto"/>
          <w:color w:val="auto"/>
        </w:rPr>
        <w:t xml:space="preserve"> </w:t>
      </w:r>
      <w:r>
        <w:rPr>
          <w:rFonts w:ascii="Arial" w:cs="Arial" w:eastAsia="Arial" w:hAnsi="Arial"/>
          <w:sz w:val="14"/>
          <w:szCs w:val="14"/>
          <w:b w:val="1"/>
          <w:bCs w:val="1"/>
          <w:color w:val="auto"/>
        </w:rPr>
        <w:t>ARTICLE 3</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ARE EXCLUSIVE, AND EXCEPT FOR SUCH</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EXPRESS WARRANTIES SET FORTH IN THIS </w:t>
      </w:r>
      <w:r>
        <w:rPr>
          <w:rFonts w:ascii="Arial" w:cs="Arial" w:eastAsia="Arial" w:hAnsi="Arial"/>
          <w:sz w:val="14"/>
          <w:szCs w:val="14"/>
          <w:b w:val="1"/>
          <w:bCs w:val="1"/>
          <w:color w:val="auto"/>
        </w:rPr>
        <w:t>ARTICLE 3</w:t>
      </w:r>
      <w:r>
        <w:rPr>
          <w:rFonts w:ascii="Arial" w:cs="Arial" w:eastAsia="Arial" w:hAnsi="Arial"/>
          <w:sz w:val="14"/>
          <w:szCs w:val="14"/>
          <w:color w:val="auto"/>
        </w:rPr>
        <w:t>, NEITHER PARTY MAKES ANY OTHER REPRESENTATIONS OR WARRANTIES OF ANY KIND, EXPRESS OR IMPLIED, INCLUDING WARRANTIES OF MERCHANTABILITY. FITNESS FOR A PARTICULAR PURPOSE OR USE, NONINFRINGEMENT, AND NON-MISAPPROPRIATION OF THIRD PARTY INTELLECTUAL PROPERTY RIGHTS. NO AFFIRMATION OF A PARTY BY WORDS OR ACTION, OTHER THAN AS SET FORTH HEREIN, SHALL CONSTITUTE A WARRANTY.</w:t>
      </w:r>
    </w:p>
    <w:p>
      <w:pPr>
        <w:spacing w:after="0" w:line="14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4.</w:t>
      </w:r>
      <w:r>
        <w:rPr>
          <w:sz w:val="20"/>
          <w:szCs w:val="20"/>
          <w:color w:val="auto"/>
        </w:rPr>
        <w:tab/>
      </w:r>
      <w:r>
        <w:rPr>
          <w:rFonts w:ascii="Arial" w:cs="Arial" w:eastAsia="Arial" w:hAnsi="Arial"/>
          <w:sz w:val="14"/>
          <w:szCs w:val="14"/>
          <w:b w:val="1"/>
          <w:bCs w:val="1"/>
          <w:u w:val="single" w:color="auto"/>
          <w:color w:val="auto"/>
        </w:rPr>
        <w:t>INSPECTIONS; RECORDS</w:t>
      </w:r>
    </w:p>
    <w:p>
      <w:pPr>
        <w:spacing w:after="0" w:line="184" w:lineRule="exact"/>
        <w:rPr>
          <w:sz w:val="20"/>
          <w:szCs w:val="20"/>
          <w:color w:val="auto"/>
        </w:rPr>
      </w:pPr>
    </w:p>
    <w:p>
      <w:pPr>
        <w:jc w:val="both"/>
        <w:ind w:left="520" w:hanging="517"/>
        <w:spacing w:after="0" w:line="263" w:lineRule="auto"/>
        <w:tabs>
          <w:tab w:leader="none" w:pos="50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b w:val="1"/>
          <w:bCs w:val="1"/>
          <w:u w:val="single" w:color="auto"/>
          <w:color w:val="auto"/>
        </w:rPr>
        <w:t xml:space="preserve">Facility Visit. </w:t>
      </w:r>
      <w:r>
        <w:rPr>
          <w:rFonts w:ascii="Arial" w:cs="Arial" w:eastAsia="Arial" w:hAnsi="Arial"/>
          <w:sz w:val="14"/>
          <w:szCs w:val="14"/>
          <w:color w:val="auto"/>
        </w:rPr>
        <w:t>During the Term, Century’s representatives may visit each applicable FCDI facility at which the Services have been performed or are being performed with reasonable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frequency during normal business hours to observe the progress of the Services. Century shall provide no less than fifteen (15) Business Days' prior written notice of its intention to visit the FCDI facility. Century shall at all times comply with all safety and emergency and third party visitor procedures adopted by FCDI in its facility. Century 's access during such visit(s) shall be limited to areas concerned with the Services and shall not include restricted areas where work of a proprietary nature is being conducted or where access is not permitted for security reasons unless access to such areas are necessary for Century to audit FCDI's compliance with this Agreement. Century agrees that all confidential and proprietary information of the applicable FCDI facility obtained or observed by Century during such visit shall be treated as Confidential Information subject to the restrictions on use and disclosure set forth in </w:t>
      </w:r>
      <w:r>
        <w:rPr>
          <w:rFonts w:ascii="Arial" w:cs="Arial" w:eastAsia="Arial" w:hAnsi="Arial"/>
          <w:sz w:val="14"/>
          <w:szCs w:val="14"/>
          <w:b w:val="1"/>
          <w:bCs w:val="1"/>
          <w:color w:val="auto"/>
        </w:rPr>
        <w:t>Section 7</w:t>
      </w:r>
      <w:r>
        <w:rPr>
          <w:rFonts w:ascii="Arial" w:cs="Arial" w:eastAsia="Arial" w:hAnsi="Arial"/>
          <w:sz w:val="14"/>
          <w:szCs w:val="14"/>
          <w:color w:val="auto"/>
        </w:rPr>
        <w:t>.</w:t>
      </w:r>
    </w:p>
    <w:p>
      <w:pPr>
        <w:spacing w:after="0" w:line="146"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b w:val="1"/>
          <w:bCs w:val="1"/>
          <w:u w:val="single" w:color="auto"/>
          <w:color w:val="auto"/>
        </w:rPr>
        <w:t xml:space="preserve">Inspections by Regulatory Authorities. </w:t>
      </w:r>
      <w:r>
        <w:rPr>
          <w:rFonts w:ascii="Arial" w:cs="Arial" w:eastAsia="Arial" w:hAnsi="Arial"/>
          <w:sz w:val="13"/>
          <w:szCs w:val="13"/>
          <w:color w:val="auto"/>
        </w:rPr>
        <w:t>FCDI shall notify Century as soon as reasonably practicable of, but in any event to the extent possible prior to, any inspection or anticipated</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inspection of its facility conducted by any regulatory authority, including, without limitation, the FDA or the Japanese Ministry of Health, Labor and Welfare (JMHLW), that is directly related to the Services. FCDI shall promptly provide copies of all reports, citation, violations, warnings, and notices of deficiency received by FCDI in connection with any such inspection that is directly related to the Services and, if time permits, will provide its proposed response to such reports, citation, violations, warnings and notices to Century for Century's review and input prior to FCDI's submission of such response. FCDI will consider in good faith any comments and suggestions provided by Century with respect to such proposed response. The obligations set forth in this </w:t>
      </w:r>
      <w:r>
        <w:rPr>
          <w:rFonts w:ascii="Arial" w:cs="Arial" w:eastAsia="Arial" w:hAnsi="Arial"/>
          <w:sz w:val="13"/>
          <w:szCs w:val="13"/>
          <w:b w:val="1"/>
          <w:bCs w:val="1"/>
          <w:color w:val="auto"/>
        </w:rPr>
        <w:t>Section 4.2</w:t>
      </w:r>
      <w:r>
        <w:rPr>
          <w:rFonts w:ascii="Arial" w:cs="Arial" w:eastAsia="Arial" w:hAnsi="Arial"/>
          <w:sz w:val="13"/>
          <w:szCs w:val="13"/>
          <w:color w:val="auto"/>
        </w:rPr>
        <w:t xml:space="preserve"> shall survive termination of this Agreement for five (5) years following expiration or termination thereof.</w:t>
      </w:r>
    </w:p>
    <w:p>
      <w:pPr>
        <w:spacing w:after="0" w:line="132" w:lineRule="exact"/>
        <w:rPr>
          <w:sz w:val="20"/>
          <w:szCs w:val="20"/>
          <w:color w:val="auto"/>
        </w:rPr>
      </w:pPr>
    </w:p>
    <w:p>
      <w:pPr>
        <w:jc w:val="both"/>
        <w:ind w:left="520" w:hanging="517"/>
        <w:spacing w:after="0" w:line="291" w:lineRule="auto"/>
        <w:tabs>
          <w:tab w:leader="none" w:pos="50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3"/>
          <w:szCs w:val="13"/>
          <w:b w:val="1"/>
          <w:bCs w:val="1"/>
          <w:u w:val="single" w:color="auto"/>
          <w:color w:val="auto"/>
        </w:rPr>
        <w:t xml:space="preserve">Records; Records Storage. </w:t>
      </w:r>
      <w:r>
        <w:rPr>
          <w:rFonts w:ascii="Arial" w:cs="Arial" w:eastAsia="Arial" w:hAnsi="Arial"/>
          <w:sz w:val="13"/>
          <w:szCs w:val="13"/>
          <w:color w:val="auto"/>
        </w:rPr>
        <w:t>FCDI shall maintain all written (in any form of media) materials, data and documentation generated by or on behalf of FCDI or obtained front Century in the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course of providing Services hereunder, including all such computerized records and files (collectively the “</w:t>
      </w:r>
      <w:r>
        <w:rPr>
          <w:rFonts w:ascii="Arial" w:cs="Arial" w:eastAsia="Arial" w:hAnsi="Arial"/>
          <w:sz w:val="13"/>
          <w:szCs w:val="13"/>
          <w:b w:val="1"/>
          <w:bCs w:val="1"/>
          <w:color w:val="auto"/>
        </w:rPr>
        <w:t>Records</w:t>
      </w:r>
      <w:r>
        <w:rPr>
          <w:rFonts w:ascii="Arial" w:cs="Arial" w:eastAsia="Arial" w:hAnsi="Arial"/>
          <w:sz w:val="13"/>
          <w:szCs w:val="13"/>
          <w:color w:val="auto"/>
        </w:rPr>
        <w:t>”) in a secure area protected by FCDI's commercially reasonable abilities from fire, theft and destruction. For the avoidance of doubt, “Records” exclude any and all data and documentation (a) generated by FCDI prior to the commencement date of the Service without the aid, application or use of Century's Confidential Information or (b) to the extent (i) such data or documentation constitutes or incorporates the Licensed Patent Rights, Know-How or the Licensed Technology, as to which Century shall have solely the rights (if any) granted in the Reprogramming License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8/24</w:t>
            </w:r>
          </w:p>
        </w:tc>
      </w:tr>
    </w:tbl>
    <w:p>
      <w:pPr>
        <w:sectPr>
          <w:pgSz w:w="11900" w:h="16838" w:orient="portrait"/>
          <w:cols w:equalWidth="0" w:num="1">
            <w:col w:w="11280"/>
          </w:cols>
          <w:pgMar w:left="300" w:top="582" w:right="319" w:bottom="1440" w:gutter="0" w:footer="0" w:header="0"/>
        </w:sectPr>
      </w:pPr>
    </w:p>
    <w:bookmarkStart w:id="509" w:name="page510"/>
    <w:bookmarkEnd w:id="509"/>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88" w:lineRule="auto"/>
        <w:rPr>
          <w:sz w:val="20"/>
          <w:szCs w:val="20"/>
          <w:color w:val="auto"/>
        </w:rPr>
      </w:pPr>
      <w:r>
        <w:rPr>
          <w:rFonts w:ascii="Arial" w:cs="Arial" w:eastAsia="Arial" w:hAnsi="Arial"/>
          <w:sz w:val="14"/>
          <w:szCs w:val="14"/>
          <w:color w:val="auto"/>
        </w:rPr>
        <w:t>Agreement and the Differentiation License Agreement, or (ii) pertaining to FCDI Technology (as defined below) and not specific to the Services performed for Century. Records shall be “Works Made for Hire” and shall remain the exclusive property of Century.</w:t>
      </w:r>
    </w:p>
    <w:p>
      <w:pPr>
        <w:spacing w:after="0" w:line="128" w:lineRule="exact"/>
        <w:rPr>
          <w:sz w:val="20"/>
          <w:szCs w:val="20"/>
          <w:color w:val="auto"/>
        </w:rPr>
      </w:pPr>
    </w:p>
    <w:p>
      <w:pPr>
        <w:jc w:val="both"/>
        <w:ind w:left="520" w:hanging="517"/>
        <w:spacing w:after="0" w:line="261" w:lineRule="auto"/>
        <w:tabs>
          <w:tab w:leader="none" w:pos="50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b w:val="1"/>
          <w:bCs w:val="1"/>
          <w:u w:val="single" w:color="auto"/>
          <w:color w:val="auto"/>
        </w:rPr>
        <w:t xml:space="preserve">Record Retention. </w:t>
      </w:r>
      <w:r>
        <w:rPr>
          <w:rFonts w:ascii="Arial" w:cs="Arial" w:eastAsia="Arial" w:hAnsi="Arial"/>
          <w:sz w:val="14"/>
          <w:szCs w:val="14"/>
          <w:color w:val="auto"/>
        </w:rPr>
        <w:t>Upon written instruction of Century, all Records shall, at Century's option either be (a) delivered to Century or to its designee in such form as is then currently in the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possession of FCDI, at Century’s cost and expense, (b) retained by FCDI for the later of (i) expiry of a period of five (5) years from the expiration or termination of this Agreement, or (ii) expiry of such period as otherwise required by applicable law or regulation, or (c) disposed of, at the direction and written request of Century, unless such Records are otherwise required to be stored or maintained by FCDI as a matter of law or regulation and provided, however, that, notwithstanding anything to the contrary herein, FCDI will not be required to deliver to Century, or erase, electronic copies of Records that were stored on FCDI’s backup, disaster recovery or business continuity systems in the ordinary course of FCDI’s business (so long as access to such electronic copies is restricted to the archival purpose contemplated below in this </w:t>
      </w:r>
      <w:r>
        <w:rPr>
          <w:rFonts w:ascii="Arial" w:cs="Arial" w:eastAsia="Arial" w:hAnsi="Arial"/>
          <w:sz w:val="14"/>
          <w:szCs w:val="14"/>
          <w:b w:val="1"/>
          <w:bCs w:val="1"/>
          <w:color w:val="auto"/>
        </w:rPr>
        <w:t>Section 4.4</w:t>
      </w:r>
      <w:r>
        <w:rPr>
          <w:rFonts w:ascii="Arial" w:cs="Arial" w:eastAsia="Arial" w:hAnsi="Arial"/>
          <w:sz w:val="14"/>
          <w:szCs w:val="14"/>
          <w:color w:val="auto"/>
        </w:rPr>
        <w:t xml:space="preserve"> including to maintain or recover a backup copy thereof). In each case, all Records retained by FCDI shall remain subject to the terms of confidentiality and non-use set forth herein. In no event shall FCDI dispose of any such Records without first giving Century thirty (30) days’ prior written notice of its intent to do so. In addition and notwithstanding anything to the contrary herein, FCDI may retain all copies of any and all laboratory notebooks documenting any of the Services, and any and all other Records as are reasonably necessary for regulatory or insurance purposes, subject to FCDI’s obligation of confidentiality, and may retain a single archival copy of those Records constituting or containing Century’s Confidential Information that FCDI may use solely for the purpose of determining FCDI’s obligations hereunder.</w:t>
      </w:r>
    </w:p>
    <w:p>
      <w:pPr>
        <w:spacing w:after="0" w:line="14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5.</w:t>
      </w:r>
      <w:r>
        <w:rPr>
          <w:sz w:val="20"/>
          <w:szCs w:val="20"/>
          <w:color w:val="auto"/>
        </w:rPr>
        <w:tab/>
      </w:r>
      <w:r>
        <w:rPr>
          <w:rFonts w:ascii="Arial" w:cs="Arial" w:eastAsia="Arial" w:hAnsi="Arial"/>
          <w:sz w:val="14"/>
          <w:szCs w:val="14"/>
          <w:b w:val="1"/>
          <w:bCs w:val="1"/>
          <w:u w:val="single" w:color="auto"/>
          <w:color w:val="auto"/>
        </w:rPr>
        <w:t>COMPENSATION</w:t>
      </w:r>
    </w:p>
    <w:p>
      <w:pPr>
        <w:spacing w:after="0" w:line="184" w:lineRule="exact"/>
        <w:rPr>
          <w:sz w:val="20"/>
          <w:szCs w:val="20"/>
          <w:color w:val="auto"/>
        </w:rPr>
      </w:pPr>
    </w:p>
    <w:p>
      <w:pPr>
        <w:jc w:val="both"/>
        <w:ind w:left="520" w:hanging="517"/>
        <w:spacing w:after="0" w:line="261" w:lineRule="auto"/>
        <w:tabs>
          <w:tab w:leader="none" w:pos="50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b w:val="1"/>
          <w:bCs w:val="1"/>
          <w:u w:val="single" w:color="auto"/>
          <w:color w:val="auto"/>
        </w:rPr>
        <w:t>Compensation</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As full consideration for the Services, Century shall pay FCDI remuneration determined in accordance with the Approved Research Budget and FCDI’s Fee Structure for</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the Services set forth in the Research Plan performed by FCDI. FCDI shall issue an invoice to Century monthly for the fees and other charges determined in accordance with FCDI’s Fee Structure for all Services rendered and out-of-pocket costs or expenses incurred during the preceding month. No later than the last day of each calendar month of a Contract Year, FCDI will issue an invoice or a credit invoice, as applicable, based on the actual remuneration payable by Century to FCDI with respect to the preceding calendar month of a Contract Year. For the avoidance of doubt, should Century prepay the fees and/or other charges payable by it to FCDI hereunder (including pursuant to </w:t>
      </w:r>
      <w:r>
        <w:rPr>
          <w:rFonts w:ascii="Arial" w:cs="Arial" w:eastAsia="Arial" w:hAnsi="Arial"/>
          <w:sz w:val="14"/>
          <w:szCs w:val="14"/>
          <w:b w:val="1"/>
          <w:bCs w:val="1"/>
          <w:color w:val="auto"/>
        </w:rPr>
        <w:t>Section 5.3</w:t>
      </w:r>
      <w:r>
        <w:rPr>
          <w:rFonts w:ascii="Arial" w:cs="Arial" w:eastAsia="Arial" w:hAnsi="Arial"/>
          <w:sz w:val="14"/>
          <w:szCs w:val="14"/>
          <w:color w:val="auto"/>
        </w:rPr>
        <w:t>), the applicable invoice issued by FCDI to Century shall properly reflect a credit for such prepayment. Century may dispute in good faith any amounts invoiced by FCDI hereunder by giving, within thirty (30) days after Century’s receipt of the invoice, written notice to FCDI of such disputed amount(s) and in reasonable detail the basis herein why Century disputes such amount(s). If no notice of dispute is so given by the Century to FCDI with respect to an amount invoiced by FCDI hereunder, then for all purposes such amount is deemed to be undisputed. Century shall make payment of all undisputed payments within thirty (30) days after the date of Century's receipt of the invoice to the designated bank account of FCDI as specified in the invoice. If Century gives written notice of its dispute of any amount(s) invoiced by FCDI hereunder, then Century and FCDI shall cooperate with each other in good faith to as promptly as practicable resolve such dispute.</w:t>
      </w:r>
    </w:p>
    <w:p>
      <w:pPr>
        <w:spacing w:after="0" w:line="146"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b w:val="1"/>
          <w:bCs w:val="1"/>
          <w:u w:val="single" w:color="auto"/>
          <w:color w:val="auto"/>
        </w:rPr>
        <w:t>Minimum Requirements</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For each of the first three (3) consecutive twelve (12) month periods beginning on the Effective Date, the Actual Remuneration Amount for all Services in</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such 12-month period shall be no less than two million five hundred thousand U.S. dollar ($2,500,000). The Parties agree that as of the Signing Date, Century has paid the Actual Remuneration Amount for the first twelve-month period following the Effective Date. For the avoidance of doubt, the Actual Remuneration Amount shall include any and all amount(s) invoiced by FCDI that are disputed by Century in good faith as provided in </w:t>
      </w:r>
      <w:r>
        <w:rPr>
          <w:rFonts w:ascii="Arial" w:cs="Arial" w:eastAsia="Arial" w:hAnsi="Arial"/>
          <w:sz w:val="14"/>
          <w:szCs w:val="14"/>
          <w:b w:val="1"/>
          <w:bCs w:val="1"/>
          <w:color w:val="auto"/>
        </w:rPr>
        <w:t>Section 5.1</w:t>
      </w:r>
      <w:r>
        <w:rPr>
          <w:rFonts w:ascii="Arial" w:cs="Arial" w:eastAsia="Arial" w:hAnsi="Arial"/>
          <w:sz w:val="14"/>
          <w:szCs w:val="14"/>
          <w:color w:val="auto"/>
        </w:rPr>
        <w: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40" w:type="dxa"/>
            <w:vAlign w:val="bottom"/>
            <w:tcBorders>
              <w:bottom w:val="single" w:sz="8" w:color="auto"/>
            </w:tcBorders>
          </w:tcPr>
          <w:p>
            <w:pPr>
              <w:jc w:val="right"/>
              <w:ind w:right="5408"/>
              <w:spacing w:after="0"/>
              <w:rPr>
                <w:sz w:val="20"/>
                <w:szCs w:val="20"/>
                <w:color w:val="auto"/>
              </w:rPr>
            </w:pPr>
            <w:r>
              <w:rPr>
                <w:rFonts w:ascii="Arial" w:cs="Arial" w:eastAsia="Arial" w:hAnsi="Arial"/>
                <w:sz w:val="14"/>
                <w:szCs w:val="14"/>
                <w:color w:val="auto"/>
              </w:rPr>
              <w:t>9/24</w:t>
            </w:r>
          </w:p>
        </w:tc>
      </w:tr>
    </w:tbl>
    <w:p>
      <w:pPr>
        <w:sectPr>
          <w:pgSz w:w="11900" w:h="16838" w:orient="portrait"/>
          <w:cols w:equalWidth="0" w:num="1">
            <w:col w:w="11280"/>
          </w:cols>
          <w:pgMar w:left="300" w:top="582" w:right="319" w:bottom="1440" w:gutter="0" w:footer="0" w:header="0"/>
        </w:sectPr>
      </w:pPr>
    </w:p>
    <w:bookmarkStart w:id="510" w:name="page511"/>
    <w:bookmarkEnd w:id="510"/>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provided, however, that, if any amount invoiced as the Actual Remuneration Amount for any of the first three such 12-month periods is disputed by Century but resolved to be not payable by it to FCDI, then FCDI, as it may elect, shall pay, promptly after such resolution, to Century and/or credit against the next amount invoiced by FCDI to Century hereunder the aggregate of such amount. In the event that the Actual Remuneration Amount of all Services falls short of $2,500,000 in any such 12-month period, Century shall pay FCDI an amount equal to the extent of the shortfall within sixty (60) days of the end of such 12-month period. For clarity, such amount payable in respect of any such 12-month period shall be calculated by deducting the total Actual Remuneration Amount for such 12-month period from $2,500,000.</w:t>
      </w:r>
    </w:p>
    <w:p>
      <w:pPr>
        <w:spacing w:after="0" w:line="143"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b w:val="1"/>
          <w:bCs w:val="1"/>
          <w:u w:val="single" w:color="auto"/>
          <w:color w:val="auto"/>
        </w:rPr>
        <w:t xml:space="preserve">Reprogramming License Payments Credited. </w:t>
      </w:r>
      <w:r>
        <w:rPr>
          <w:rFonts w:ascii="Arial" w:cs="Arial" w:eastAsia="Arial" w:hAnsi="Arial"/>
          <w:sz w:val="14"/>
          <w:szCs w:val="14"/>
          <w:color w:val="auto"/>
        </w:rPr>
        <w:t>Notwithstanding anything to the contrary in this</w:t>
      </w:r>
      <w:r>
        <w:rPr>
          <w:rFonts w:ascii="Arial" w:cs="Arial" w:eastAsia="Arial" w:hAnsi="Arial"/>
          <w:sz w:val="14"/>
          <w:szCs w:val="14"/>
          <w:b w:val="1"/>
          <w:bCs w:val="1"/>
          <w:u w:val="single" w:color="auto"/>
          <w:color w:val="auto"/>
        </w:rPr>
        <w:t xml:space="preserve"> </w:t>
      </w:r>
      <w:r>
        <w:rPr>
          <w:rFonts w:ascii="Arial" w:cs="Arial" w:eastAsia="Arial" w:hAnsi="Arial"/>
          <w:sz w:val="14"/>
          <w:szCs w:val="14"/>
          <w:b w:val="1"/>
          <w:bCs w:val="1"/>
          <w:color w:val="auto"/>
        </w:rPr>
        <w:t>Section 5</w:t>
      </w:r>
      <w:r>
        <w:rPr>
          <w:rFonts w:ascii="Arial" w:cs="Arial" w:eastAsia="Arial" w:hAnsi="Arial"/>
          <w:sz w:val="14"/>
          <w:szCs w:val="14"/>
          <w:color w:val="auto"/>
        </w:rPr>
        <w:t>, any payments made by Century pursuant to</w:t>
      </w:r>
      <w:r>
        <w:rPr>
          <w:rFonts w:ascii="Arial" w:cs="Arial" w:eastAsia="Arial" w:hAnsi="Arial"/>
          <w:sz w:val="14"/>
          <w:szCs w:val="14"/>
          <w:b w:val="1"/>
          <w:bCs w:val="1"/>
          <w:u w:val="single" w:color="auto"/>
          <w:color w:val="auto"/>
        </w:rPr>
        <w:t xml:space="preserve"> </w:t>
      </w:r>
      <w:r>
        <w:rPr>
          <w:rFonts w:ascii="Arial" w:cs="Arial" w:eastAsia="Arial" w:hAnsi="Arial"/>
          <w:sz w:val="14"/>
          <w:szCs w:val="14"/>
          <w:b w:val="1"/>
          <w:bCs w:val="1"/>
          <w:color w:val="auto"/>
        </w:rPr>
        <w:t>Section 3.5(b</w:t>
      </w:r>
      <w:r>
        <w:rPr>
          <w:rFonts w:ascii="Arial" w:cs="Arial" w:eastAsia="Arial" w:hAnsi="Arial"/>
          <w:sz w:val="14"/>
          <w:szCs w:val="14"/>
          <w:color w:val="auto"/>
        </w:rPr>
        <w:t>) of the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Reprogramming License Agreement shall be fully creditable against the foregoing fees and charges, including, for the avoidance of doubt and without limitation, against any shortfall amount due during the first three (3) consecutive twelve (12) month periods beginning on the Effective Date.</w:t>
      </w:r>
    </w:p>
    <w:p>
      <w:pPr>
        <w:spacing w:after="0" w:line="135"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b w:val="1"/>
          <w:bCs w:val="1"/>
          <w:u w:val="single" w:color="auto"/>
          <w:color w:val="auto"/>
        </w:rPr>
        <w:t xml:space="preserve">Late Payments. </w:t>
      </w:r>
      <w:r>
        <w:rPr>
          <w:rFonts w:ascii="Arial" w:cs="Arial" w:eastAsia="Arial" w:hAnsi="Arial"/>
          <w:sz w:val="14"/>
          <w:szCs w:val="14"/>
          <w:color w:val="auto"/>
        </w:rPr>
        <w:t>If any undisputed payment to be made under this Agreement is not received by FCDI within thirty (30) days after becoming due, Century shall pay to FCDI interest on</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the overdue payment from the date such payment was due to the date of actual payment at a rate of [***] per month, or if lower, the maximum amount permitted under applicable law. In addition, if Century fails to pay any undisputed amount payable under this Agreement within thirty (30) days after becoming due, FCDI may suspend, without any breach hereof or liability to Century therefor, its performance of any of the Services until payment of the overdue amount payable is received by FCDI.</w:t>
      </w:r>
    </w:p>
    <w:p>
      <w:pPr>
        <w:spacing w:after="0" w:line="141"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6.</w:t>
      </w:r>
      <w:r>
        <w:rPr>
          <w:sz w:val="20"/>
          <w:szCs w:val="20"/>
          <w:color w:val="auto"/>
        </w:rPr>
        <w:tab/>
      </w:r>
      <w:r>
        <w:rPr>
          <w:rFonts w:ascii="Arial" w:cs="Arial" w:eastAsia="Arial" w:hAnsi="Arial"/>
          <w:sz w:val="14"/>
          <w:szCs w:val="14"/>
          <w:b w:val="1"/>
          <w:bCs w:val="1"/>
          <w:u w:val="single" w:color="auto"/>
          <w:color w:val="auto"/>
        </w:rPr>
        <w:t>PROPRIETARY RIGHTS; DELIVERABLES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3"/>
          <w:szCs w:val="13"/>
          <w:b w:val="1"/>
          <w:bCs w:val="1"/>
          <w:u w:val="single" w:color="auto"/>
          <w:color w:val="auto"/>
        </w:rPr>
        <w:t>Materials.</w:t>
      </w:r>
    </w:p>
    <w:p>
      <w:pPr>
        <w:spacing w:after="0" w:line="184" w:lineRule="exact"/>
        <w:rPr>
          <w:sz w:val="20"/>
          <w:szCs w:val="20"/>
          <w:color w:val="auto"/>
        </w:rPr>
      </w:pPr>
    </w:p>
    <w:p>
      <w:pPr>
        <w:jc w:val="both"/>
        <w:ind w:left="520" w:hanging="514"/>
        <w:spacing w:after="0" w:line="262" w:lineRule="auto"/>
        <w:tabs>
          <w:tab w:leader="none" w:pos="520" w:val="left"/>
        </w:tabs>
        <w:numPr>
          <w:ilvl w:val="0"/>
          <w:numId w:val="362"/>
        </w:numPr>
        <w:rPr>
          <w:rFonts w:ascii="Arial" w:cs="Arial" w:eastAsia="Arial" w:hAnsi="Arial"/>
          <w:sz w:val="14"/>
          <w:szCs w:val="14"/>
          <w:color w:val="auto"/>
        </w:rPr>
      </w:pPr>
      <w:r>
        <w:rPr>
          <w:rFonts w:ascii="Arial" w:cs="Arial" w:eastAsia="Arial" w:hAnsi="Arial"/>
          <w:sz w:val="14"/>
          <w:szCs w:val="14"/>
          <w:color w:val="auto"/>
        </w:rPr>
        <w:t xml:space="preserve">Except as set forth in </w:t>
      </w:r>
      <w:r>
        <w:rPr>
          <w:rFonts w:ascii="Arial" w:cs="Arial" w:eastAsia="Arial" w:hAnsi="Arial"/>
          <w:sz w:val="14"/>
          <w:szCs w:val="14"/>
          <w:b w:val="1"/>
          <w:bCs w:val="1"/>
          <w:color w:val="auto"/>
        </w:rPr>
        <w:t>Section 6.1(b)</w:t>
      </w:r>
      <w:r>
        <w:rPr>
          <w:rFonts w:ascii="Arial" w:cs="Arial" w:eastAsia="Arial" w:hAnsi="Arial"/>
          <w:sz w:val="14"/>
          <w:szCs w:val="14"/>
          <w:color w:val="auto"/>
        </w:rPr>
        <w:t xml:space="preserve">, Century is and will be the sole and exclusive owner of all right, title and interest in and to all Materials, including all intellectual property rights therein. Century hereby grants to FCDI, during the Term, a royalty-free, non-transferable, non-sublicensable (except to permitted subcontractors in accordance with </w:t>
      </w:r>
      <w:r>
        <w:rPr>
          <w:rFonts w:ascii="Arial" w:cs="Arial" w:eastAsia="Arial" w:hAnsi="Arial"/>
          <w:sz w:val="14"/>
          <w:szCs w:val="14"/>
          <w:b w:val="1"/>
          <w:bCs w:val="1"/>
          <w:color w:val="auto"/>
        </w:rPr>
        <w:t>Section 2.4)</w:t>
      </w:r>
      <w:r>
        <w:rPr>
          <w:rFonts w:ascii="Arial" w:cs="Arial" w:eastAsia="Arial" w:hAnsi="Arial"/>
          <w:sz w:val="14"/>
          <w:szCs w:val="14"/>
          <w:color w:val="auto"/>
        </w:rPr>
        <w:t xml:space="preserve">, non-exclusive right and license to use the Materials to the extent necessary or useful to perform the Services. FCDI shall use the Materials solely to perform the Services and for no other purpose. Century shall provide, prior to delivery of Materials, FCDI with safety data sheets for all Materials </w:t>
      </w:r>
      <w:r>
        <w:rPr>
          <w:rFonts w:ascii="Arial" w:cs="Arial" w:eastAsia="Arial" w:hAnsi="Arial"/>
          <w:sz w:val="14"/>
          <w:szCs w:val="14"/>
          <w:b w:val="1"/>
          <w:bCs w:val="1"/>
          <w:color w:val="auto"/>
        </w:rPr>
        <w:t>(“SDSs”</w:t>
      </w:r>
      <w:r>
        <w:rPr>
          <w:rFonts w:ascii="Arial" w:cs="Arial" w:eastAsia="Arial" w:hAnsi="Arial"/>
          <w:sz w:val="14"/>
          <w:szCs w:val="14"/>
          <w:color w:val="auto"/>
        </w:rPr>
        <w:t>) or, if SDSs are not available, written notice of any biohazardous or toxic exposure risk(s) associated with handling any Materials that are known to Century so that FCDI can determine the biological safety classification of such Materials. FCDI understands that the Materials may have unpredictable and unknown biological and/or chemical properties, that they should be used with caution, and that they are not to be used for testing in or treatment of humans or animals. FCDI shall not sell, transfer, disclose, reverse engineer or otherwise provide access to the Materials, any method or process relating thereto that is provided by Century or developed by FCDI through use of the Materials, or any material that could not have been made without access to the Materials, to any person or entity without the prior written consent of Century.</w:t>
      </w:r>
    </w:p>
    <w:p>
      <w:pPr>
        <w:spacing w:after="0" w:line="148" w:lineRule="exact"/>
        <w:rPr>
          <w:rFonts w:ascii="Arial" w:cs="Arial" w:eastAsia="Arial" w:hAnsi="Arial"/>
          <w:sz w:val="14"/>
          <w:szCs w:val="14"/>
          <w:color w:val="auto"/>
        </w:rPr>
      </w:pPr>
    </w:p>
    <w:p>
      <w:pPr>
        <w:jc w:val="both"/>
        <w:ind w:left="520" w:hanging="514"/>
        <w:spacing w:after="0" w:line="273" w:lineRule="auto"/>
        <w:tabs>
          <w:tab w:leader="none" w:pos="520" w:val="left"/>
        </w:tabs>
        <w:numPr>
          <w:ilvl w:val="0"/>
          <w:numId w:val="362"/>
        </w:numPr>
        <w:rPr>
          <w:rFonts w:ascii="Arial" w:cs="Arial" w:eastAsia="Arial" w:hAnsi="Arial"/>
          <w:sz w:val="14"/>
          <w:szCs w:val="14"/>
          <w:color w:val="auto"/>
        </w:rPr>
      </w:pPr>
      <w:r>
        <w:rPr>
          <w:rFonts w:ascii="Arial" w:cs="Arial" w:eastAsia="Arial" w:hAnsi="Arial"/>
          <w:sz w:val="14"/>
          <w:szCs w:val="14"/>
          <w:color w:val="auto"/>
        </w:rPr>
        <w:t>Notwithstanding anything to the contrary herein, FCDI shall remain the sole and exclusive owner of all right, title and interest in and to the Licensed Patent Rights and the Licensed Technology including those pertaining to or embodied or incorporated in any Materials as to which Century shall have solely the rights granted in the Reprogramming License Agreement and the Differentiation License Agreement.</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2"/>
          <w:szCs w:val="12"/>
          <w:b w:val="1"/>
          <w:bCs w:val="1"/>
          <w:u w:val="single" w:color="auto"/>
          <w:color w:val="auto"/>
        </w:rPr>
        <w:t>Deliverables</w:t>
      </w:r>
      <w:r>
        <w:rPr>
          <w:rFonts w:ascii="Arial" w:cs="Arial" w:eastAsia="Arial" w:hAnsi="Arial"/>
          <w:sz w:val="12"/>
          <w:szCs w:val="12"/>
          <w:b w:val="1"/>
          <w:bCs w:val="1"/>
          <w:color w:val="auto"/>
        </w:rPr>
        <w:t>.</w:t>
      </w:r>
    </w:p>
    <w:p>
      <w:pPr>
        <w:spacing w:after="0" w:line="184" w:lineRule="exact"/>
        <w:rPr>
          <w:sz w:val="20"/>
          <w:szCs w:val="20"/>
          <w:color w:val="auto"/>
        </w:rPr>
      </w:pPr>
    </w:p>
    <w:p>
      <w:pPr>
        <w:ind w:left="520" w:hanging="514"/>
        <w:spacing w:after="0"/>
        <w:tabs>
          <w:tab w:leader="none" w:pos="520" w:val="left"/>
        </w:tabs>
        <w:numPr>
          <w:ilvl w:val="0"/>
          <w:numId w:val="363"/>
        </w:numPr>
        <w:rPr>
          <w:rFonts w:ascii="Arial" w:cs="Arial" w:eastAsia="Arial" w:hAnsi="Arial"/>
          <w:sz w:val="14"/>
          <w:szCs w:val="14"/>
          <w:color w:val="auto"/>
        </w:rPr>
      </w:pPr>
      <w:r>
        <w:rPr>
          <w:rFonts w:ascii="Arial" w:cs="Arial" w:eastAsia="Arial" w:hAnsi="Arial"/>
          <w:sz w:val="14"/>
          <w:szCs w:val="14"/>
          <w:color w:val="auto"/>
        </w:rPr>
        <w:t xml:space="preserve">Except as set forth in </w:t>
      </w:r>
      <w:r>
        <w:rPr>
          <w:rFonts w:ascii="Arial" w:cs="Arial" w:eastAsia="Arial" w:hAnsi="Arial"/>
          <w:sz w:val="14"/>
          <w:szCs w:val="14"/>
          <w:b w:val="1"/>
          <w:bCs w:val="1"/>
          <w:color w:val="auto"/>
        </w:rPr>
        <w:t>Section 6.2(b</w:t>
      </w:r>
      <w:r>
        <w:rPr>
          <w:rFonts w:ascii="Arial" w:cs="Arial" w:eastAsia="Arial" w:hAnsi="Arial"/>
          <w:sz w:val="14"/>
          <w:szCs w:val="14"/>
          <w:color w:val="auto"/>
        </w:rPr>
        <w:t xml:space="preserve">) or </w:t>
      </w:r>
      <w:r>
        <w:rPr>
          <w:rFonts w:ascii="Arial" w:cs="Arial" w:eastAsia="Arial" w:hAnsi="Arial"/>
          <w:sz w:val="14"/>
          <w:szCs w:val="14"/>
          <w:b w:val="1"/>
          <w:bCs w:val="1"/>
          <w:color w:val="auto"/>
        </w:rPr>
        <w:t>Section 6.2(c</w:t>
      </w:r>
      <w:r>
        <w:rPr>
          <w:rFonts w:ascii="Arial" w:cs="Arial" w:eastAsia="Arial" w:hAnsi="Arial"/>
          <w:sz w:val="14"/>
          <w:szCs w:val="14"/>
          <w:color w:val="auto"/>
        </w:rPr>
        <w:t>), Century is and will be the sole and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10/24</w:t>
            </w:r>
          </w:p>
        </w:tc>
      </w:tr>
    </w:tbl>
    <w:p>
      <w:pPr>
        <w:sectPr>
          <w:pgSz w:w="11900" w:h="16838" w:orient="portrait"/>
          <w:cols w:equalWidth="0" w:num="1">
            <w:col w:w="11280"/>
          </w:cols>
          <w:pgMar w:left="300" w:top="582" w:right="319" w:bottom="1440" w:gutter="0" w:footer="0" w:header="0"/>
        </w:sectPr>
      </w:pPr>
    </w:p>
    <w:bookmarkStart w:id="511" w:name="page512"/>
    <w:bookmarkEnd w:id="511"/>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79" w:lineRule="auto"/>
        <w:rPr>
          <w:sz w:val="20"/>
          <w:szCs w:val="20"/>
          <w:color w:val="auto"/>
        </w:rPr>
      </w:pPr>
      <w:r>
        <w:rPr>
          <w:rFonts w:ascii="Arial" w:cs="Arial" w:eastAsia="Arial" w:hAnsi="Arial"/>
          <w:sz w:val="13"/>
          <w:szCs w:val="13"/>
          <w:color w:val="auto"/>
        </w:rPr>
        <w:t xml:space="preserve">exclusive owner of all right, title and interest in and to the Deliverables, including all intellectual property rights therein. Any Deliverables produced by FCDI in the course of providing Services pursuant to this Agreement shall be promptly and fully disclosed to Century in accordance with the terms of this Agreement. Except as set forth in </w:t>
      </w:r>
      <w:r>
        <w:rPr>
          <w:rFonts w:ascii="Arial" w:cs="Arial" w:eastAsia="Arial" w:hAnsi="Arial"/>
          <w:sz w:val="13"/>
          <w:szCs w:val="13"/>
          <w:b w:val="1"/>
          <w:bCs w:val="1"/>
          <w:color w:val="auto"/>
        </w:rPr>
        <w:t>Section 6.2(b</w:t>
      </w:r>
      <w:r>
        <w:rPr>
          <w:rFonts w:ascii="Arial" w:cs="Arial" w:eastAsia="Arial" w:hAnsi="Arial"/>
          <w:sz w:val="13"/>
          <w:szCs w:val="13"/>
          <w:color w:val="auto"/>
        </w:rPr>
        <w:t xml:space="preserve">) or </w:t>
      </w:r>
      <w:r>
        <w:rPr>
          <w:rFonts w:ascii="Arial" w:cs="Arial" w:eastAsia="Arial" w:hAnsi="Arial"/>
          <w:sz w:val="13"/>
          <w:szCs w:val="13"/>
          <w:b w:val="1"/>
          <w:bCs w:val="1"/>
          <w:color w:val="auto"/>
        </w:rPr>
        <w:t>Section</w:t>
      </w:r>
      <w:r>
        <w:rPr>
          <w:rFonts w:ascii="Arial" w:cs="Arial" w:eastAsia="Arial" w:hAnsi="Arial"/>
          <w:sz w:val="13"/>
          <w:szCs w:val="13"/>
          <w:color w:val="auto"/>
        </w:rPr>
        <w:t xml:space="preserve"> </w:t>
      </w:r>
      <w:r>
        <w:rPr>
          <w:rFonts w:ascii="Arial" w:cs="Arial" w:eastAsia="Arial" w:hAnsi="Arial"/>
          <w:sz w:val="13"/>
          <w:szCs w:val="13"/>
          <w:b w:val="1"/>
          <w:bCs w:val="1"/>
          <w:color w:val="auto"/>
        </w:rPr>
        <w:t>6.2(c)</w:t>
      </w:r>
      <w:r>
        <w:rPr>
          <w:rFonts w:ascii="Arial" w:cs="Arial" w:eastAsia="Arial" w:hAnsi="Arial"/>
          <w:sz w:val="13"/>
          <w:szCs w:val="13"/>
          <w:color w:val="auto"/>
        </w:rPr>
        <w:t>, FCDI hereby assigns to Century all of its right, title and interest in and to all Deliverables, including all intellectual property rights therein. FCDI acknowledges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each of Licensed Patent Rights (as defined in the Reprogramming License Agreement) and Licensed Technology (as defined in the Differentiation License Agreement) includes FCDI Technology to the extent described in the definition of each such former term. Century hereby grants to FCDI, during the Term, a fully paid-up royalty-free, non-transferable, non-sublicensable (except to permitted subcontractors in accordance with </w:t>
      </w:r>
      <w:r>
        <w:rPr>
          <w:rFonts w:ascii="Arial" w:cs="Arial" w:eastAsia="Arial" w:hAnsi="Arial"/>
          <w:sz w:val="13"/>
          <w:szCs w:val="13"/>
          <w:b w:val="1"/>
          <w:bCs w:val="1"/>
          <w:color w:val="auto"/>
        </w:rPr>
        <w:t>Section 2.4</w:t>
      </w:r>
      <w:r>
        <w:rPr>
          <w:rFonts w:ascii="Arial" w:cs="Arial" w:eastAsia="Arial" w:hAnsi="Arial"/>
          <w:sz w:val="13"/>
          <w:szCs w:val="13"/>
          <w:color w:val="auto"/>
        </w:rPr>
        <w:t>), non-exclusive right and license to practice any and all intellectual property rights in the Deliverables that are solely and exclusively owned by Century in accordance herewith to the extent necessary or useful to perform the Services. [***]. Notwithstanding anything to the contrary herein,</w:t>
      </w:r>
    </w:p>
    <w:p>
      <w:pPr>
        <w:spacing w:after="0" w:line="1" w:lineRule="exact"/>
        <w:rPr>
          <w:sz w:val="20"/>
          <w:szCs w:val="20"/>
          <w:color w:val="auto"/>
        </w:rPr>
      </w:pPr>
    </w:p>
    <w:p>
      <w:pPr>
        <w:jc w:val="both"/>
        <w:ind w:left="520"/>
        <w:spacing w:after="0" w:line="286" w:lineRule="auto"/>
        <w:rPr>
          <w:sz w:val="20"/>
          <w:szCs w:val="20"/>
          <w:color w:val="auto"/>
        </w:rPr>
      </w:pPr>
      <w:r>
        <w:rPr>
          <w:rFonts w:ascii="Arial" w:cs="Arial" w:eastAsia="Arial" w:hAnsi="Arial"/>
          <w:sz w:val="13"/>
          <w:szCs w:val="13"/>
          <w:color w:val="auto"/>
        </w:rPr>
        <w:t xml:space="preserve">(i) any and all Reprogrammed iPS Cells and pluripotent Reprogrammed iPS Cell Derivative Materials that are or were obtained, created, or derived from Reprogrammed iPS Cells that were transferred by FCDI to Century pursuant to the MTA shall be deemed to be Deliverables transferred by FCDI to Century hereunder and (ii) any and all Deliverables that are Reprogrammed iPS Cells or pluripotent Reprogrammed iPS Cell Derivative Materials that are transferred by FCDI to Century hereunder, then furnished by Century to FCDI for its use in the course of performing Services, and then further transferred by FCDI to Century hereunder shall at all times remain and be Deliverables subject to this </w:t>
      </w:r>
      <w:r>
        <w:rPr>
          <w:rFonts w:ascii="Arial" w:cs="Arial" w:eastAsia="Arial" w:hAnsi="Arial"/>
          <w:sz w:val="13"/>
          <w:szCs w:val="13"/>
          <w:b w:val="1"/>
          <w:bCs w:val="1"/>
          <w:color w:val="auto"/>
        </w:rPr>
        <w:t>Section 6.2</w:t>
      </w:r>
      <w:r>
        <w:rPr>
          <w:rFonts w:ascii="Arial" w:cs="Arial" w:eastAsia="Arial" w:hAnsi="Arial"/>
          <w:sz w:val="13"/>
          <w:szCs w:val="13"/>
          <w:color w:val="auto"/>
        </w:rPr>
        <w:t xml:space="preserve"> and not be Materials subject to </w:t>
      </w:r>
      <w:r>
        <w:rPr>
          <w:rFonts w:ascii="Arial" w:cs="Arial" w:eastAsia="Arial" w:hAnsi="Arial"/>
          <w:sz w:val="13"/>
          <w:szCs w:val="13"/>
          <w:b w:val="1"/>
          <w:bCs w:val="1"/>
          <w:color w:val="auto"/>
        </w:rPr>
        <w:t>Section 6.1</w:t>
      </w:r>
      <w:r>
        <w:rPr>
          <w:rFonts w:ascii="Arial" w:cs="Arial" w:eastAsia="Arial" w:hAnsi="Arial"/>
          <w:sz w:val="13"/>
          <w:szCs w:val="13"/>
          <w:color w:val="auto"/>
        </w:rPr>
        <w:t>. For the avoidance of doubt, pluripotent Reprogrammed iPS Cell Derivative Materials include genetically-engineered Reprogrammed iPS Cells.</w:t>
      </w:r>
    </w:p>
    <w:p>
      <w:pPr>
        <w:spacing w:after="0" w:line="135" w:lineRule="exact"/>
        <w:rPr>
          <w:sz w:val="20"/>
          <w:szCs w:val="20"/>
          <w:color w:val="auto"/>
        </w:rPr>
      </w:pPr>
    </w:p>
    <w:p>
      <w:pPr>
        <w:jc w:val="both"/>
        <w:ind w:left="520" w:hanging="514"/>
        <w:spacing w:after="0" w:line="260" w:lineRule="auto"/>
        <w:tabs>
          <w:tab w:leader="none" w:pos="520" w:val="left"/>
        </w:tabs>
        <w:numPr>
          <w:ilvl w:val="0"/>
          <w:numId w:val="364"/>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herein: (i) FCDI shall remain the sole and exclusive owner of all right, title and interest in and to any and all Deliverables that are Reprogrammed iPS Cells or pluripotent Reprogrammed iPS Cell Derivative Materials and Century's rights with respect to any such Deliverables shall be limited to the use thereof in accordance with and subject to the Reprogramming License Agreement and the Differentiation License Agreement, and Century's rights with respect to all Deliverables that are non-pluripotent Reprogrammed iPS Cell Derivative Materials shall be subject to the Reprogramming License Agreement and the Differentiation License Agreement and </w:t>
      </w:r>
      <w:r>
        <w:rPr>
          <w:rFonts w:ascii="Arial" w:cs="Arial" w:eastAsia="Arial" w:hAnsi="Arial"/>
          <w:sz w:val="14"/>
          <w:szCs w:val="14"/>
          <w:b w:val="1"/>
          <w:bCs w:val="1"/>
          <w:color w:val="auto"/>
        </w:rPr>
        <w:t>Section 6.2(c)</w:t>
      </w:r>
      <w:r>
        <w:rPr>
          <w:rFonts w:ascii="Arial" w:cs="Arial" w:eastAsia="Arial" w:hAnsi="Arial"/>
          <w:sz w:val="14"/>
          <w:szCs w:val="14"/>
          <w:color w:val="auto"/>
        </w:rPr>
        <w:t>; (ii) FCDI shall remain the sole and exclusive owner of all right, title and interest in and to the Licensed Patent Rights and the Licensed Technology and its retained rights pursuant to Section 2.6(a) of the Differentiation License Agreement including those pertaining to or embodied or incorporated in any Deliverables as to which Century shall have solely the rights granted in the Reprogramming License Agreement and the Differentiation License Agreement; (iii) FCDI shall remain the sole and exclusive owner of all right, title and interest in and to any and all products, materials, tools, Know-How, and intellectual property rights therein and Patent Rights and other similar rights (e.g., copyright registrations) with respect thereto, (A) that are made, conceived, reduced to practice or otherwise discovered firstly by its employees, consultants or other contractors, or agents outside of the course of the performance of the Services and without use of, reference to or incorporation of Century's Confidential Information, or (B) that are improvements, variations, modifications or enhancements of anything described in this sentence that are first made, conceived, reduced to practice or otherwise discovered by, or on behalf of, FCDI after the Effective Date in the course of FCDI's performance of the Services (other than as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88"/>
              <w:spacing w:after="0"/>
              <w:rPr>
                <w:sz w:val="20"/>
                <w:szCs w:val="20"/>
                <w:color w:val="auto"/>
              </w:rPr>
            </w:pPr>
            <w:r>
              <w:rPr>
                <w:rFonts w:ascii="Arial" w:cs="Arial" w:eastAsia="Arial" w:hAnsi="Arial"/>
                <w:sz w:val="14"/>
                <w:szCs w:val="14"/>
                <w:color w:val="auto"/>
              </w:rPr>
              <w:t>11/24</w:t>
            </w:r>
          </w:p>
        </w:tc>
      </w:tr>
    </w:tbl>
    <w:p>
      <w:pPr>
        <w:sectPr>
          <w:pgSz w:w="11900" w:h="16838" w:orient="portrait"/>
          <w:cols w:equalWidth="0" w:num="1">
            <w:col w:w="11280"/>
          </w:cols>
          <w:pgMar w:left="300" w:top="582" w:right="319" w:bottom="1440" w:gutter="0" w:footer="0" w:header="0"/>
        </w:sectPr>
      </w:pPr>
    </w:p>
    <w:bookmarkStart w:id="512" w:name="page513"/>
    <w:bookmarkEnd w:id="512"/>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80" w:lineRule="auto"/>
        <w:rPr>
          <w:sz w:val="20"/>
          <w:szCs w:val="20"/>
          <w:color w:val="auto"/>
        </w:rPr>
      </w:pPr>
      <w:r>
        <w:rPr>
          <w:rFonts w:ascii="Arial" w:cs="Arial" w:eastAsia="Arial" w:hAnsi="Arial"/>
          <w:sz w:val="13"/>
          <w:szCs w:val="13"/>
          <w:color w:val="auto"/>
        </w:rPr>
        <w:t xml:space="preserve">explicitly set forth in an SOW) and that do not use or incorporate any of Century's Confidential Information and that are useful for, and to be practiced in, the development, manufacture or commercialization of iPSCs (including TiPSC) (derived by any reprogramming method) or any one or more iPSC derived cell(s) other than solely iPSC (including TiPSC) derived T cells, NK cells, dendritic cells, or macrophages, or (C) for the avoidance of doubt, that are third party intellectual property rights in licensed or otherwise acquired by FCDI independent of this Agreement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FCDI Technology</w:t>
      </w:r>
      <w:r>
        <w:rPr>
          <w:rFonts w:ascii="Arial" w:cs="Arial" w:eastAsia="Arial" w:hAnsi="Arial"/>
          <w:sz w:val="13"/>
          <w:szCs w:val="13"/>
          <w:color w:val="auto"/>
        </w:rPr>
        <w:t>”) [***]. For such purpose, “</w:t>
      </w:r>
      <w:r>
        <w:rPr>
          <w:rFonts w:ascii="Arial" w:cs="Arial" w:eastAsia="Arial" w:hAnsi="Arial"/>
          <w:sz w:val="13"/>
          <w:szCs w:val="13"/>
          <w:b w:val="1"/>
          <w:bCs w:val="1"/>
          <w:color w:val="auto"/>
        </w:rPr>
        <w:t>Relevant Century Activities</w:t>
      </w:r>
      <w:r>
        <w:rPr>
          <w:rFonts w:ascii="Arial" w:cs="Arial" w:eastAsia="Arial" w:hAnsi="Arial"/>
          <w:sz w:val="13"/>
          <w:szCs w:val="13"/>
          <w:color w:val="auto"/>
        </w:rPr>
        <w:t>” means Century’s Board of Directors-approved and budgeted (with appropriate resources therefor available to Century or planned to be acquired by it) ongoing or anticipated activities and strategies, which in the case of anticipated activities and strategies are to be carried out within the succeeding eighteen (18) month period, as of the time that FCDI would request any consent from Century pursuant to the first proviso in the immediately preceding sentence. For the avoidance of doubt, FCDI shall remain the sole and exclusive owner of all right, title and interest in any and all products, materials, tools, Know-How, and any and all improvements, variations, modifications or enhancements of any of the foregoing, that are made, conceived, reduced to practice or otherwise discovered firstly by its employees, consultants or other contractors, or agents outside of the course of the performance of the Services (and accordingly are not funded in whole or in part by Century) and without use of, reference to or incorporation of Century's Confidential Information, and any and all intellectual property rights therein and Patent Rights and other similar rights (e.g., copyright registrations) with respect thereto. FCDI hereby grants, in addition to the rights thereto granted under the Reprogramming License Agreement and/or Differentiation License Agreement (i.e., to the extent a license under the FCDI Technology to do (I) and (II) is not already granted thereunder), to Century a non-exclusive, perpetual, irrevocable, fully paid- up, royalty-free, sublicensable (through multiple tiers), worldwide license under all FCDI Technology described in subclause (iii)(B) of the preceding sentence pertaining to or embodied within the Deliverables, (I) to fully exploit any product or service based on, embodying, incorporating, or derived from the Deliverables that are owned by Century, and (II) to exercise any and all other present or future rights in the Deliverables for any and all purposes (excluding, for the avoidance of doubt, any rights under the Licensed Patent Rights, the Licensed Know-How or FCDI Technology as to which Century shall have solely the rights granted under the Reprogramming License Agreement and/or Differentiation License Agreement or otherwise expressly granted herein) or to fully Exploit the Licensed Products and any product or service described in either of the immediately preceding clauses (I) and (II) of this sentence.</w:t>
      </w:r>
    </w:p>
    <w:p>
      <w:pPr>
        <w:spacing w:after="0" w:line="139" w:lineRule="exact"/>
        <w:rPr>
          <w:sz w:val="20"/>
          <w:szCs w:val="20"/>
          <w:color w:val="auto"/>
        </w:rPr>
      </w:pPr>
    </w:p>
    <w:p>
      <w:pPr>
        <w:ind w:left="520" w:hanging="514"/>
        <w:spacing w:after="0"/>
        <w:tabs>
          <w:tab w:leader="none" w:pos="520" w:val="left"/>
        </w:tabs>
        <w:numPr>
          <w:ilvl w:val="0"/>
          <w:numId w:val="365"/>
        </w:numPr>
        <w:rPr>
          <w:rFonts w:ascii="Arial" w:cs="Arial" w:eastAsia="Arial" w:hAnsi="Arial"/>
          <w:sz w:val="14"/>
          <w:szCs w:val="14"/>
          <w:color w:val="auto"/>
        </w:rPr>
      </w:pPr>
      <w:r>
        <w:rPr>
          <w:rFonts w:ascii="Arial" w:cs="Arial" w:eastAsia="Arial" w:hAnsi="Arial"/>
          <w:sz w:val="14"/>
          <w:szCs w:val="14"/>
          <w:color w:val="auto"/>
        </w:rPr>
        <w:t xml:space="preserve">Century shall: (i) use all Deliverables that are owned by FCDI in accordance with </w:t>
      </w:r>
      <w:r>
        <w:rPr>
          <w:rFonts w:ascii="Arial" w:cs="Arial" w:eastAsia="Arial" w:hAnsi="Arial"/>
          <w:sz w:val="14"/>
          <w:szCs w:val="14"/>
          <w:b w:val="1"/>
          <w:bCs w:val="1"/>
          <w:color w:val="auto"/>
        </w:rPr>
        <w:t>Section 6.2(b)(i</w:t>
      </w:r>
      <w:r>
        <w:rPr>
          <w:rFonts w:ascii="Arial" w:cs="Arial" w:eastAsia="Arial" w:hAnsi="Arial"/>
          <w:sz w:val="14"/>
          <w:szCs w:val="14"/>
          <w:color w:val="auto"/>
        </w:rPr>
        <w:t>) (i.e., Reprogrammed iPS Cells or pluripotent Reprogrammed iPS Cell</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12/24</w:t>
            </w:r>
          </w:p>
        </w:tc>
      </w:tr>
    </w:tbl>
    <w:p>
      <w:pPr>
        <w:sectPr>
          <w:pgSz w:w="11900" w:h="16838" w:orient="portrait"/>
          <w:cols w:equalWidth="0" w:num="1">
            <w:col w:w="11280"/>
          </w:cols>
          <w:pgMar w:left="300" w:top="582" w:right="319" w:bottom="1440" w:gutter="0" w:footer="0" w:header="0"/>
        </w:sectPr>
      </w:pPr>
    </w:p>
    <w:bookmarkStart w:id="513" w:name="page514"/>
    <w:bookmarkEnd w:id="513"/>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79" w:lineRule="auto"/>
        <w:rPr>
          <w:sz w:val="20"/>
          <w:szCs w:val="20"/>
          <w:color w:val="auto"/>
        </w:rPr>
      </w:pPr>
      <w:r>
        <w:rPr>
          <w:rFonts w:ascii="Arial" w:cs="Arial" w:eastAsia="Arial" w:hAnsi="Arial"/>
          <w:sz w:val="13"/>
          <w:szCs w:val="13"/>
          <w:color w:val="auto"/>
        </w:rPr>
        <w:t xml:space="preserve">Derivative Materials) solely (A) to perform the activities to be performed by it as set forth in the Research Plan, and/or (B) otherwise in internal research to develop Licensed Products in the Field in accordance with and subject to this Agreement and the Reprogramming License Agreement and the Differentiation License Agreement. In order to effect the permitted use in </w:t>
      </w:r>
      <w:r>
        <w:rPr>
          <w:rFonts w:ascii="Arial" w:cs="Arial" w:eastAsia="Arial" w:hAnsi="Arial"/>
          <w:sz w:val="13"/>
          <w:szCs w:val="13"/>
          <w:b w:val="1"/>
          <w:bCs w:val="1"/>
          <w:color w:val="auto"/>
        </w:rPr>
        <w:t>Section 6.2(c)(i)(A</w:t>
      </w:r>
      <w:r>
        <w:rPr>
          <w:rFonts w:ascii="Arial" w:cs="Arial" w:eastAsia="Arial" w:hAnsi="Arial"/>
          <w:sz w:val="13"/>
          <w:szCs w:val="13"/>
          <w:color w:val="auto"/>
        </w:rPr>
        <w:t>) (i.e., to the extent a license under such intellectual property rights to perform such activities is not already granted under the Reprogramming License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and/or Differentiation License Agreement), FCDI hereby grants to Century during the Term a fully paid-up, royalty-free, sublicensable, non-exclusive right and license to practice any and all intellectual property rights in such Deliverables that are owned by FCDI to the extent necessary or useful to perform the activities to be performed by Century as set forth in the Research Plan. Century shall not: (I) use any such Deliverables to make Reprogrammed iPS Cells or pluripotent Reprogrammed iPS Cell Derivative Materials (except as expressly permitted in this Agreement), have made, offer to sell, or sell any such Deliverables; (II) use any such Deliverables in the manufacture of any products; (III) transfer any such Deliverables to any third party without FCDI’s express prior written consent; (IV) use any such Deliverables in any services for a third party, including sponsored research with a third party without FCDI’s express prior written consent; (V) reverse engineer any such Deliverables (which shall not include full characterization as contemplated in the immediately following clause (VI) of this sentence); (VI) perform any whole genome sequencing of any such Deliverables without FCDI’s express prior written consent, which shall not be unreasonably withheld, conditioned or delayed; and (ii) not (A) use any Deliverables directly or indirectly derived or made in humans, in clinical trials, for diagnostic purposes involving human subjects, or for any therapeutic use; or (B) attempt in any way to determine the identity of the donor(s) of the biological materials from which Deliverables directly or indirectly are derived or were made; and no rights to do any of the foregoing are implied by the transfer of the Deliverables under the MTA or hereunder. Century shall use the Deliverables in accordance with all applicable laws and regulations and any applicable institutional review board approved protocol. Notwithstanding anything to the contrary in this Section, Century may use (x) those Deliverables that are Reprogrammed iPS Cells or are pluripotent Reprogrammed iPS Cell Derivative Materials selected by Century as the [***] and the [***] (or such other combination of an aggregate of [***] as may be mutually agreed in writing by the Parties) to be used for the Exploitation of Licensed Products as contemplated in the Research Plan, which, for the avoidance of doubt, in no event will include the research grade TiPSC Line (as defined in the MTA) (collectively, the “</w:t>
      </w:r>
      <w:r>
        <w:rPr>
          <w:rFonts w:ascii="Arial" w:cs="Arial" w:eastAsia="Arial" w:hAnsi="Arial"/>
          <w:sz w:val="13"/>
          <w:szCs w:val="13"/>
          <w:b w:val="1"/>
          <w:bCs w:val="1"/>
          <w:color w:val="auto"/>
        </w:rPr>
        <w:t>Selected Reprogrammed iPS Cell Lines</w:t>
      </w:r>
      <w:r>
        <w:rPr>
          <w:rFonts w:ascii="Arial" w:cs="Arial" w:eastAsia="Arial" w:hAnsi="Arial"/>
          <w:sz w:val="13"/>
          <w:szCs w:val="13"/>
          <w:color w:val="auto"/>
        </w:rPr>
        <w:t>”) and (y) Deliverables that are directly or indirectly derived or made from the Selected Reprogrammed iPS Cell Lines to Exploit Licensed Products in the Field in accordance with and subject to this Agreement and the Reprogramming License Agreement and the Differentiation License Agreement. At any time after the third Contract Year when there is no Approved Research Budget in effect (and there is no ongoing discussions between the Parties or dispute resolution seeking a determination that there be an Approved Research Budget), FCDI may give Century written notice requiring Century, at FCDI’s election, (X) to return or destroy all Deliverables that are Reprogrammed iPS Cells or are pluripotent Reprogrammed iPS Cell Derivative Materials other than the Selected Reprogrammed Lines and pluripotent Reprogrammed iPS Cell Derivative Materials derived from the Selected Reprogrammed Lines, and destroy all Deliverables that are nonpluripotent Reprogrammed iPS Cell Derivative Materials other than nonpluripotent Reprogrammed iPS Cell Derivative Materials derived from the Selected Reprogrammed Lines or (Y) to destroy all Deliverables that are Reprogrammed iPS Cells or are Reprogrammed iPS Cell Derivative Materials other than the Selected Reprogrammed Lines and Reprogrammed iPS Cell Derivative Materials derived from the Selected Reprogrammed Lines.</w:t>
      </w:r>
    </w:p>
    <w:p>
      <w:pPr>
        <w:spacing w:after="0" w:line="144" w:lineRule="exact"/>
        <w:rPr>
          <w:sz w:val="20"/>
          <w:szCs w:val="20"/>
          <w:color w:val="auto"/>
        </w:rPr>
      </w:pPr>
    </w:p>
    <w:p>
      <w:pPr>
        <w:jc w:val="both"/>
        <w:ind w:left="520" w:hanging="514"/>
        <w:spacing w:after="0" w:line="273" w:lineRule="auto"/>
        <w:tabs>
          <w:tab w:leader="none" w:pos="520" w:val="left"/>
        </w:tabs>
        <w:numPr>
          <w:ilvl w:val="0"/>
          <w:numId w:val="366"/>
        </w:numPr>
        <w:rPr>
          <w:rFonts w:ascii="Arial" w:cs="Arial" w:eastAsia="Arial" w:hAnsi="Arial"/>
          <w:sz w:val="14"/>
          <w:szCs w:val="14"/>
          <w:color w:val="auto"/>
        </w:rPr>
      </w:pPr>
      <w:r>
        <w:rPr>
          <w:rFonts w:ascii="Arial" w:cs="Arial" w:eastAsia="Arial" w:hAnsi="Arial"/>
          <w:sz w:val="14"/>
          <w:szCs w:val="14"/>
          <w:color w:val="auto"/>
        </w:rPr>
        <w:t>Upon termination of the Reprogramming License Agreement (whether in its entirety or on a country-by-country basis as may be applicable) prior to the expiration of the last to expire of the Licensed Patent Rights (as defined in the Reprogramming License Agreement), Century (i) subject to Section 9.7(a) of the Reprogramming License Agreement, shall cease all activities involving the use of any Deliverables that are Reprogrammed iPS Cells or are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13/24</w:t>
            </w:r>
          </w:p>
        </w:tc>
      </w:tr>
    </w:tbl>
    <w:p>
      <w:pPr>
        <w:sectPr>
          <w:pgSz w:w="11900" w:h="16838" w:orient="portrait"/>
          <w:cols w:equalWidth="0" w:num="1">
            <w:col w:w="11280"/>
          </w:cols>
          <w:pgMar w:left="300" w:top="582" w:right="319" w:bottom="1440" w:gutter="0" w:footer="0" w:header="0"/>
        </w:sectPr>
      </w:pPr>
    </w:p>
    <w:bookmarkStart w:id="514" w:name="page515"/>
    <w:bookmarkEnd w:id="514"/>
    <w:p>
      <w:pPr>
        <w:jc w:val="both"/>
        <w:ind w:left="520"/>
        <w:spacing w:after="0" w:line="294" w:lineRule="auto"/>
        <w:rPr>
          <w:sz w:val="20"/>
          <w:szCs w:val="20"/>
          <w:color w:val="auto"/>
        </w:rPr>
      </w:pPr>
      <w:r>
        <w:rPr>
          <w:rFonts w:ascii="Arial" w:cs="Arial" w:eastAsia="Arial" w:hAnsi="Arial"/>
          <w:sz w:val="13"/>
          <w:szCs w:val="13"/>
          <w:color w:val="auto"/>
        </w:rPr>
        <w:t>Reprogrammed iPS Cell Derivative Materials in any country as to which the Reprogramming License Agreement has been so terminated in the case where such termination is not of such license in its entirety, (ii) subject to Section 9.7(a) of the Reprogramming License Agreement, shall destroy any such unused or remaining Deliverables in the case where such termination is of the license in its entirety and (iii) shall certify in writing to FCDI as to such cessation of activities on a country-by-country basis or destruction of such Deliverables, as applicable. For clarity, as used herein, Reprogrammed iPS Cells and Reprogrammed iPS Cell Derivative Materials include the “Materials” and “Derivatives,” in each case as defined in the MTA.</w:t>
      </w:r>
    </w:p>
    <w:p>
      <w:pPr>
        <w:spacing w:after="0" w:line="127"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b w:val="1"/>
          <w:bCs w:val="1"/>
          <w:u w:val="single" w:color="auto"/>
          <w:color w:val="auto"/>
        </w:rPr>
        <w:t xml:space="preserve">Work at Third Party Facilities. </w:t>
      </w:r>
      <w:r>
        <w:rPr>
          <w:rFonts w:ascii="Arial" w:cs="Arial" w:eastAsia="Arial" w:hAnsi="Arial"/>
          <w:sz w:val="14"/>
          <w:szCs w:val="14"/>
          <w:color w:val="auto"/>
        </w:rPr>
        <w:t>Except as otherwise permitted under this Agreement, FCDI shall not transfer Materials or Deliverables or use any third-party facilities or intellectual</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property in performing the Services without Century's prior written consent.</w:t>
      </w:r>
    </w:p>
    <w:p>
      <w:pPr>
        <w:spacing w:after="0" w:line="123"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7.</w:t>
      </w:r>
      <w:r>
        <w:rPr>
          <w:sz w:val="20"/>
          <w:szCs w:val="20"/>
          <w:color w:val="auto"/>
        </w:rPr>
        <w:tab/>
      </w:r>
      <w:r>
        <w:rPr>
          <w:rFonts w:ascii="Arial" w:cs="Arial" w:eastAsia="Arial" w:hAnsi="Arial"/>
          <w:sz w:val="14"/>
          <w:szCs w:val="14"/>
          <w:b w:val="1"/>
          <w:bCs w:val="1"/>
          <w:u w:val="single" w:color="auto"/>
          <w:color w:val="auto"/>
        </w:rPr>
        <w:t>CONFIDENTIAL INFORMATION</w:t>
      </w:r>
    </w:p>
    <w:p>
      <w:pPr>
        <w:spacing w:after="0" w:line="184" w:lineRule="exact"/>
        <w:rPr>
          <w:sz w:val="20"/>
          <w:szCs w:val="20"/>
          <w:color w:val="auto"/>
        </w:rPr>
      </w:pPr>
    </w:p>
    <w:p>
      <w:pPr>
        <w:jc w:val="both"/>
        <w:ind w:left="520" w:hanging="517"/>
        <w:spacing w:after="0" w:line="283" w:lineRule="auto"/>
        <w:tabs>
          <w:tab w:leader="none" w:pos="50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3"/>
          <w:szCs w:val="13"/>
          <w:b w:val="1"/>
          <w:bCs w:val="1"/>
          <w:u w:val="single" w:color="auto"/>
          <w:color w:val="auto"/>
        </w:rPr>
        <w:t xml:space="preserve">Confidential Information. </w:t>
      </w:r>
      <w:r>
        <w:rPr>
          <w:rFonts w:ascii="Arial" w:cs="Arial" w:eastAsia="Arial" w:hAnsi="Arial"/>
          <w:sz w:val="13"/>
          <w:szCs w:val="13"/>
          <w:color w:val="auto"/>
        </w:rPr>
        <w:t>Each Party agrees that all materials, documents and information disclosed or made available during the Term by or on behalf of one Party</w:t>
      </w:r>
      <w:r>
        <w:rPr>
          <w:rFonts w:ascii="Arial" w:cs="Arial" w:eastAsia="Arial" w:hAnsi="Arial"/>
          <w:sz w:val="13"/>
          <w:szCs w:val="13"/>
          <w:b w:val="1"/>
          <w:bCs w:val="1"/>
          <w:u w:val="single" w:color="auto"/>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Disclosing</w:t>
      </w:r>
      <w:r>
        <w:rPr>
          <w:rFonts w:ascii="Arial" w:cs="Arial" w:eastAsia="Arial" w:hAnsi="Arial"/>
          <w:sz w:val="13"/>
          <w:szCs w:val="13"/>
          <w:b w:val="1"/>
          <w:bCs w:val="1"/>
          <w:u w:val="single" w:color="auto"/>
          <w:color w:val="auto"/>
        </w:rPr>
        <w:t xml:space="preserve"> </w:t>
      </w:r>
      <w:r>
        <w:rPr>
          <w:rFonts w:ascii="Arial" w:cs="Arial" w:eastAsia="Arial" w:hAnsi="Arial"/>
          <w:sz w:val="13"/>
          <w:szCs w:val="13"/>
          <w:b w:val="1"/>
          <w:bCs w:val="1"/>
          <w:color w:val="auto"/>
        </w:rPr>
        <w:t>Party</w:t>
      </w:r>
      <w:r>
        <w:rPr>
          <w:rFonts w:ascii="Arial" w:cs="Arial" w:eastAsia="Arial" w:hAnsi="Arial"/>
          <w:sz w:val="13"/>
          <w:szCs w:val="13"/>
          <w:color w:val="auto"/>
        </w:rPr>
        <w:t>”) to the other Party</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Receiving Party</w:t>
      </w:r>
      <w:r>
        <w:rPr>
          <w:rFonts w:ascii="Arial" w:cs="Arial" w:eastAsia="Arial" w:hAnsi="Arial"/>
          <w:sz w:val="13"/>
          <w:szCs w:val="13"/>
          <w:color w:val="auto"/>
        </w:rPr>
        <w:t>”) pursuant to this Agreement shall be deemed as confidential regardless of whether such information is marked, designated or notified 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confidential. </w:t>
      </w:r>
      <w:r>
        <w:rPr>
          <w:rFonts w:ascii="Arial" w:cs="Arial" w:eastAsia="Arial" w:hAnsi="Arial"/>
          <w:sz w:val="13"/>
          <w:szCs w:val="13"/>
          <w:b w:val="1"/>
          <w:bCs w:val="1"/>
          <w:color w:val="auto"/>
        </w:rPr>
        <w:t>(</w:t>
      </w: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xml:space="preserve">”). All Deliverables and Records developed by FCDI in the course of the performance of its Services pursuant to this Agreement, shall be deemed as Confidential Information of Century. Notwithstanding the foregoing, Deliverables of which FCDI is the sole and exclusive owner in accordance with </w:t>
      </w:r>
      <w:r>
        <w:rPr>
          <w:rFonts w:ascii="Arial" w:cs="Arial" w:eastAsia="Arial" w:hAnsi="Arial"/>
          <w:sz w:val="13"/>
          <w:szCs w:val="13"/>
          <w:b w:val="1"/>
          <w:bCs w:val="1"/>
          <w:color w:val="auto"/>
        </w:rPr>
        <w:t>Section 6.2(b</w:t>
      </w:r>
      <w:r>
        <w:rPr>
          <w:rFonts w:ascii="Arial" w:cs="Arial" w:eastAsia="Arial" w:hAnsi="Arial"/>
          <w:sz w:val="13"/>
          <w:szCs w:val="13"/>
          <w:color w:val="auto"/>
        </w:rPr>
        <w:t xml:space="preserve">), other than Deliverables that are tangible property described in solely clause (i) thereof, shall be deemed as Confidential Information of FCDI except that Deliverables of which FCDI is the sole and exclusive owner in accordance with </w:t>
      </w:r>
      <w:r>
        <w:rPr>
          <w:rFonts w:ascii="Arial" w:cs="Arial" w:eastAsia="Arial" w:hAnsi="Arial"/>
          <w:sz w:val="13"/>
          <w:szCs w:val="13"/>
          <w:b w:val="1"/>
          <w:bCs w:val="1"/>
          <w:color w:val="auto"/>
        </w:rPr>
        <w:t>Section 6.2(b)(iii)(B</w:t>
      </w:r>
      <w:r>
        <w:rPr>
          <w:rFonts w:ascii="Arial" w:cs="Arial" w:eastAsia="Arial" w:hAnsi="Arial"/>
          <w:sz w:val="13"/>
          <w:szCs w:val="13"/>
          <w:color w:val="auto"/>
        </w:rPr>
        <w:t xml:space="preserve">) shall be deemed as Confidential Information of Century. For the avoidance of doubt, FCDI’s accessing of (e.g., opening or reading a file containing) any Century Confidential Information itself will not be deemed to constitute FCDI’s use, reference to, or incorporation or application of such Century Confidential Information into any product, material, tool, Know-How, or intellectual property right, Patent Right or other similar right (e.g., copyright registration) described in </w:t>
      </w:r>
      <w:r>
        <w:rPr>
          <w:rFonts w:ascii="Arial" w:cs="Arial" w:eastAsia="Arial" w:hAnsi="Arial"/>
          <w:sz w:val="13"/>
          <w:szCs w:val="13"/>
          <w:b w:val="1"/>
          <w:bCs w:val="1"/>
          <w:color w:val="auto"/>
        </w:rPr>
        <w:t>Section</w:t>
      </w:r>
      <w:r>
        <w:rPr>
          <w:rFonts w:ascii="Arial" w:cs="Arial" w:eastAsia="Arial" w:hAnsi="Arial"/>
          <w:sz w:val="13"/>
          <w:szCs w:val="13"/>
          <w:color w:val="auto"/>
        </w:rPr>
        <w:t xml:space="preserve"> </w:t>
      </w:r>
      <w:r>
        <w:rPr>
          <w:rFonts w:ascii="Arial" w:cs="Arial" w:eastAsia="Arial" w:hAnsi="Arial"/>
          <w:sz w:val="13"/>
          <w:szCs w:val="13"/>
          <w:b w:val="1"/>
          <w:bCs w:val="1"/>
          <w:color w:val="auto"/>
        </w:rPr>
        <w:t>6.2(b)(iii</w:t>
      </w:r>
      <w:r>
        <w:rPr>
          <w:rFonts w:ascii="Arial" w:cs="Arial" w:eastAsia="Arial" w:hAnsi="Arial"/>
          <w:sz w:val="13"/>
          <w:szCs w:val="13"/>
          <w:color w:val="auto"/>
        </w:rPr>
        <w:t>) or the aiding of FCDI by such Century Confidential Information, and there shall be no presumption or inference of any such use or incorporation by FCDI of, or the aid or</w:t>
      </w:r>
      <w:r>
        <w:rPr>
          <w:rFonts w:ascii="Arial" w:cs="Arial" w:eastAsia="Arial" w:hAnsi="Arial"/>
          <w:sz w:val="13"/>
          <w:szCs w:val="13"/>
          <w:b w:val="1"/>
          <w:bCs w:val="1"/>
          <w:color w:val="auto"/>
        </w:rPr>
        <w:t xml:space="preserve"> </w:t>
      </w:r>
      <w:r>
        <w:rPr>
          <w:rFonts w:ascii="Arial" w:cs="Arial" w:eastAsia="Arial" w:hAnsi="Arial"/>
          <w:sz w:val="13"/>
          <w:szCs w:val="13"/>
          <w:color w:val="auto"/>
        </w:rPr>
        <w:t>application to or by FCDI of, any such Century Confidential Information by reason of solely any such access thereto by FCDI.</w:t>
      </w:r>
    </w:p>
    <w:p>
      <w:pPr>
        <w:spacing w:after="0" w:line="136" w:lineRule="exact"/>
        <w:rPr>
          <w:sz w:val="20"/>
          <w:szCs w:val="20"/>
          <w:color w:val="auto"/>
        </w:rPr>
      </w:pPr>
    </w:p>
    <w:p>
      <w:pPr>
        <w:jc w:val="both"/>
        <w:ind w:left="520" w:hanging="517"/>
        <w:spacing w:after="0" w:line="283" w:lineRule="auto"/>
        <w:tabs>
          <w:tab w:leader="none" w:pos="50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3"/>
          <w:szCs w:val="13"/>
          <w:b w:val="1"/>
          <w:bCs w:val="1"/>
          <w:u w:val="single" w:color="auto"/>
          <w:color w:val="auto"/>
        </w:rPr>
        <w:t>Non-Disclosure</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During the Term and for [***] after the expiration of the Term or earlier termination of this Agreement, the Receiving Party agrees (a) to maintain the Confidential</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Information in strict confidence and in a manner consistent with the way in which it maintains the confidentiality of its own proprietary information (but in no event shall be the Receiving Party use less than a reasonable degree of care to maintain the confidentiality of the Disclosing Party's Confidential Information); (b) not to disclose, or give access to, the Confidential Information, other than to its Affiliates and its and their respective directors, officers, employees, consultants, contractors, subcontractors and legal advisors, and/or ethics committees who: (i) need to know such Confidential Information for the Receiving Party's exercise of its rights or performance of its obligations under and in accordance with this Agreement; (ii) have been informed of the confidential nature of the Confidential Information and the Receiving Party's obligations under this </w:t>
      </w:r>
      <w:r>
        <w:rPr>
          <w:rFonts w:ascii="Arial" w:cs="Arial" w:eastAsia="Arial" w:hAnsi="Arial"/>
          <w:sz w:val="13"/>
          <w:szCs w:val="13"/>
          <w:b w:val="1"/>
          <w:bCs w:val="1"/>
          <w:color w:val="auto"/>
        </w:rPr>
        <w:t>Article 7</w:t>
      </w:r>
      <w:r>
        <w:rPr>
          <w:rFonts w:ascii="Arial" w:cs="Arial" w:eastAsia="Arial" w:hAnsi="Arial"/>
          <w:sz w:val="13"/>
          <w:szCs w:val="13"/>
          <w:color w:val="auto"/>
        </w:rPr>
        <w:t xml:space="preserve">; and (iii) are obligated by written confidentiality and restricted use obligations protective of the Confidential Information pursuant to terms substantially similar to those set forth in this </w:t>
      </w:r>
      <w:r>
        <w:rPr>
          <w:rFonts w:ascii="Arial" w:cs="Arial" w:eastAsia="Arial" w:hAnsi="Arial"/>
          <w:sz w:val="13"/>
          <w:szCs w:val="13"/>
          <w:b w:val="1"/>
          <w:bCs w:val="1"/>
          <w:color w:val="auto"/>
        </w:rPr>
        <w:t>Article 7</w:t>
      </w:r>
      <w:r>
        <w:rPr>
          <w:rFonts w:ascii="Arial" w:cs="Arial" w:eastAsia="Arial" w:hAnsi="Arial"/>
          <w:sz w:val="13"/>
          <w:szCs w:val="13"/>
          <w:color w:val="auto"/>
        </w:rPr>
        <w:t xml:space="preserve"> (such Persons to which disclosure of Confidential Information is permitted, the “</w:t>
      </w:r>
      <w:r>
        <w:rPr>
          <w:rFonts w:ascii="Arial" w:cs="Arial" w:eastAsia="Arial" w:hAnsi="Arial"/>
          <w:sz w:val="13"/>
          <w:szCs w:val="13"/>
          <w:b w:val="1"/>
          <w:bCs w:val="1"/>
          <w:color w:val="auto"/>
        </w:rPr>
        <w:t>Permitted Representatives</w:t>
      </w:r>
      <w:r>
        <w:rPr>
          <w:rFonts w:ascii="Arial" w:cs="Arial" w:eastAsia="Arial" w:hAnsi="Arial"/>
          <w:sz w:val="13"/>
          <w:szCs w:val="13"/>
          <w:color w:val="auto"/>
        </w:rPr>
        <w:t>”); (c) to be responsible to the Disclosing Party for any breach of this Agreement or confidential obligations by any of its Permitted Representatives; and (d) safeguard the Confidential Information from unauthorized use, access or disclosure using at least the degree of care it uses to protect its sensitive information and in no event less than a reasonable degree of care. Century acknowledges and agrees that, notwithstanding anything to the contrary herein, the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14/24</w:t>
            </w:r>
          </w:p>
        </w:tc>
      </w:tr>
    </w:tbl>
    <w:p>
      <w:pPr>
        <w:sectPr>
          <w:pgSz w:w="11900" w:h="16838" w:orient="portrait"/>
          <w:cols w:equalWidth="0" w:num="1">
            <w:col w:w="11280"/>
          </w:cols>
          <w:pgMar w:left="300" w:top="755" w:right="319" w:bottom="1440" w:gutter="0" w:footer="0" w:header="0"/>
        </w:sectPr>
      </w:pPr>
    </w:p>
    <w:bookmarkStart w:id="515" w:name="page516"/>
    <w:bookmarkEnd w:id="515"/>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63" w:lineRule="auto"/>
        <w:rPr>
          <w:sz w:val="20"/>
          <w:szCs w:val="20"/>
          <w:color w:val="auto"/>
        </w:rPr>
      </w:pPr>
      <w:r>
        <w:rPr>
          <w:rFonts w:ascii="Arial" w:cs="Arial" w:eastAsia="Arial" w:hAnsi="Arial"/>
          <w:sz w:val="14"/>
          <w:szCs w:val="14"/>
          <w:color w:val="auto"/>
        </w:rPr>
        <w:t xml:space="preserve">accessing or use of equipment that contains a record of Confidential Information of Century for the maintenance or other servicing of such equipment or the performance of work other than the Services by FCDI employees, consultants, contractors, and/or subcontractors who have been informed of the confidential nature of such Confidential Information and FCDI's obligations under this </w:t>
      </w:r>
      <w:r>
        <w:rPr>
          <w:rFonts w:ascii="Arial" w:cs="Arial" w:eastAsia="Arial" w:hAnsi="Arial"/>
          <w:sz w:val="14"/>
          <w:szCs w:val="14"/>
          <w:b w:val="1"/>
          <w:bCs w:val="1"/>
          <w:color w:val="auto"/>
        </w:rPr>
        <w:t>Article 7</w:t>
      </w:r>
      <w:r>
        <w:rPr>
          <w:rFonts w:ascii="Arial" w:cs="Arial" w:eastAsia="Arial" w:hAnsi="Arial"/>
          <w:sz w:val="14"/>
          <w:szCs w:val="14"/>
          <w:color w:val="auto"/>
        </w:rPr>
        <w:t xml:space="preserve"> and who are obligated by written confidentiality and restricted use obligations protective of such Confidential Information pursuant to terms substantially similar to those set forth in this </w:t>
      </w:r>
      <w:r>
        <w:rPr>
          <w:rFonts w:ascii="Arial" w:cs="Arial" w:eastAsia="Arial" w:hAnsi="Arial"/>
          <w:sz w:val="14"/>
          <w:szCs w:val="14"/>
          <w:b w:val="1"/>
          <w:bCs w:val="1"/>
          <w:color w:val="auto"/>
        </w:rPr>
        <w:t>Article 7</w:t>
      </w:r>
      <w:r>
        <w:rPr>
          <w:rFonts w:ascii="Arial" w:cs="Arial" w:eastAsia="Arial" w:hAnsi="Arial"/>
          <w:sz w:val="14"/>
          <w:szCs w:val="14"/>
          <w:color w:val="auto"/>
        </w:rPr>
        <w:t xml:space="preserve"> shall not be considered unauthorized use, access or disclosure of such Confidential Information hereunder. Each of Century and FCDI shall be responsible for any breach of confidentiality or non-use by any of its employees, consultants, contractors, and/or subcontractors who have access to the other Party's Confidential Information pursuant to this </w:t>
      </w:r>
      <w:r>
        <w:rPr>
          <w:rFonts w:ascii="Arial" w:cs="Arial" w:eastAsia="Arial" w:hAnsi="Arial"/>
          <w:sz w:val="14"/>
          <w:szCs w:val="14"/>
          <w:b w:val="1"/>
          <w:bCs w:val="1"/>
          <w:color w:val="auto"/>
        </w:rPr>
        <w:t>Section 7.2</w:t>
      </w:r>
      <w:r>
        <w:rPr>
          <w:rFonts w:ascii="Arial" w:cs="Arial" w:eastAsia="Arial" w:hAnsi="Arial"/>
          <w:sz w:val="14"/>
          <w:szCs w:val="14"/>
          <w:color w:val="auto"/>
        </w:rPr>
        <w:t>.</w:t>
      </w:r>
    </w:p>
    <w:p>
      <w:pPr>
        <w:spacing w:after="0" w:line="146" w:lineRule="exact"/>
        <w:rPr>
          <w:sz w:val="20"/>
          <w:szCs w:val="20"/>
          <w:color w:val="auto"/>
        </w:rPr>
      </w:pPr>
    </w:p>
    <w:p>
      <w:pPr>
        <w:jc w:val="both"/>
        <w:ind w:left="520" w:hanging="517"/>
        <w:spacing w:after="0" w:line="266" w:lineRule="auto"/>
        <w:tabs>
          <w:tab w:leader="none" w:pos="50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b w:val="1"/>
          <w:bCs w:val="1"/>
          <w:u w:val="single" w:color="auto"/>
          <w:color w:val="auto"/>
        </w:rPr>
        <w:t xml:space="preserve">Exclusion. </w:t>
      </w:r>
      <w:r>
        <w:rPr>
          <w:rFonts w:ascii="Arial" w:cs="Arial" w:eastAsia="Arial" w:hAnsi="Arial"/>
          <w:sz w:val="14"/>
          <w:szCs w:val="14"/>
          <w:color w:val="auto"/>
        </w:rPr>
        <w:t>Confidential Information does not include information that the Receiving Party is able to demonstrate (i) was rightfully in its possession prior to receipt from the Disclosing</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Party or any of its Affiliates, as evidenced by prior written records, (ii) is now, or hereafter becomes, part of the public domain through no act or failure to act on the part of the Receiving Party or its Permitted Representatives, (iii) becomes known to the Receiving Party through disclosure by a third party lawfully having possession of such information and lawfully empowered to disclose such information, or (iv) was independently developed by or on behalf of the Receiving Party without reference to or the aid, application, or use of the Disclosing Party's Confidential Information, as evidenced by its contemporaneous written records.</w:t>
      </w:r>
    </w:p>
    <w:p>
      <w:pPr>
        <w:spacing w:after="0" w:line="144"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b w:val="1"/>
          <w:bCs w:val="1"/>
          <w:u w:val="single" w:color="auto"/>
          <w:color w:val="auto"/>
        </w:rPr>
        <w:t xml:space="preserve">Exception. </w:t>
      </w:r>
      <w:r>
        <w:rPr>
          <w:rFonts w:ascii="Arial" w:cs="Arial" w:eastAsia="Arial" w:hAnsi="Arial"/>
          <w:sz w:val="14"/>
          <w:szCs w:val="14"/>
          <w:color w:val="auto"/>
        </w:rPr>
        <w:t>If the Receiving Party becomes legally compelled to disclose any Confidential Information of the Disclosing Party under applicable law, rule, regulation, order, decree or</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subpoena, the Receiving Party shall (a) to the extent as practical, provide prompt written notice of such requirement to the Disclosing Party and cooperate with the Disclosing Party so that the Disclosing Party may seek, at its sole cost and expense, a protective order or other remedy; (b) disclose only the portion of Confidential Information that it is legally required to furnish: and (c) make all reasonable efforts to ensure that such disclosed Confidential Information shall be maintained as confidential.</w:t>
      </w:r>
    </w:p>
    <w:p>
      <w:pPr>
        <w:spacing w:after="0" w:line="141" w:lineRule="exact"/>
        <w:rPr>
          <w:sz w:val="20"/>
          <w:szCs w:val="20"/>
          <w:color w:val="auto"/>
        </w:rPr>
      </w:pPr>
    </w:p>
    <w:p>
      <w:pPr>
        <w:jc w:val="both"/>
        <w:ind w:left="520" w:hanging="517"/>
        <w:spacing w:after="0" w:line="284" w:lineRule="auto"/>
        <w:tabs>
          <w:tab w:leader="none" w:pos="50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b w:val="1"/>
          <w:bCs w:val="1"/>
          <w:u w:val="single" w:color="auto"/>
          <w:color w:val="auto"/>
        </w:rPr>
        <w:t xml:space="preserve">Confidentiality Obligation upon Termination. </w:t>
      </w:r>
      <w:r>
        <w:rPr>
          <w:rFonts w:ascii="Arial" w:cs="Arial" w:eastAsia="Arial" w:hAnsi="Arial"/>
          <w:sz w:val="13"/>
          <w:szCs w:val="13"/>
          <w:color w:val="auto"/>
        </w:rPr>
        <w:t>Upon expiration or termination of this Agreement for any reason each Party shall (i) return to the other Party all documents and tangible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materials (and any copies) containing or comprising the other Party’s Confidential Information, (ii) permanently erase all of the other Party’s Confidential Information horn its computer systems and (iii) certify in writing to the other Party that it has complied with the requirements of this clause; provided, however, that Century may retain copies of any Confidential Information of FCDI incorporated in the Deliverables or to the extent necessary to allow it to make full use of the Services and any Deliverables. Notwithstanding anything to the contrary herein, a Party will not be required to return to the other Party or permanently erase electronic copies of the other Party's Confidential Information that were stored on such Party's backup, disaster recovery or business continuity systems in the ordinary course of such Party's business (so long as access to such electronic copies is restricted to the archival purpose contemplated below in this </w:t>
      </w:r>
      <w:r>
        <w:rPr>
          <w:rFonts w:ascii="Arial" w:cs="Arial" w:eastAsia="Arial" w:hAnsi="Arial"/>
          <w:sz w:val="13"/>
          <w:szCs w:val="13"/>
          <w:b w:val="1"/>
          <w:bCs w:val="1"/>
          <w:color w:val="auto"/>
        </w:rPr>
        <w:t>Section 7.5</w:t>
      </w:r>
      <w:r>
        <w:rPr>
          <w:rFonts w:ascii="Arial" w:cs="Arial" w:eastAsia="Arial" w:hAnsi="Arial"/>
          <w:sz w:val="13"/>
          <w:szCs w:val="13"/>
          <w:color w:val="auto"/>
        </w:rPr>
        <w:t xml:space="preserve"> including to maintain or recover a backup copy thereof and such Confidential Information remains subject to the obligations of confidentiality stated herein) and a Party may retain a single copy of the other Party's Confidential Information to be used solely for the purpose of determining such Party's obligations hereunder, provided that such Confidential Information remains subject to the obligations of confidentiality stated herein.</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8.</w:t>
      </w:r>
      <w:r>
        <w:rPr>
          <w:sz w:val="20"/>
          <w:szCs w:val="20"/>
          <w:color w:val="auto"/>
        </w:rPr>
        <w:tab/>
      </w:r>
      <w:r>
        <w:rPr>
          <w:rFonts w:ascii="Arial" w:cs="Arial" w:eastAsia="Arial" w:hAnsi="Arial"/>
          <w:sz w:val="14"/>
          <w:szCs w:val="14"/>
          <w:b w:val="1"/>
          <w:bCs w:val="1"/>
          <w:u w:val="single" w:color="auto"/>
          <w:color w:val="auto"/>
        </w:rPr>
        <w:t>INDEMNIFICATION, LIMITED PRODUCT WARRANTY; DISCLAIMER</w:t>
      </w:r>
    </w:p>
    <w:p>
      <w:pPr>
        <w:spacing w:after="0" w:line="184" w:lineRule="exact"/>
        <w:rPr>
          <w:sz w:val="20"/>
          <w:szCs w:val="20"/>
          <w:color w:val="auto"/>
        </w:rPr>
      </w:pPr>
    </w:p>
    <w:p>
      <w:pPr>
        <w:jc w:val="both"/>
        <w:ind w:left="520" w:hanging="517"/>
        <w:spacing w:after="0" w:line="336" w:lineRule="auto"/>
        <w:tabs>
          <w:tab w:leader="none" w:pos="50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3"/>
          <w:szCs w:val="13"/>
          <w:b w:val="1"/>
          <w:bCs w:val="1"/>
          <w:u w:val="single" w:color="auto"/>
          <w:color w:val="auto"/>
        </w:rPr>
        <w:t xml:space="preserve">Indemnification by FCDI. </w:t>
      </w:r>
      <w:r>
        <w:rPr>
          <w:rFonts w:ascii="Arial" w:cs="Arial" w:eastAsia="Arial" w:hAnsi="Arial"/>
          <w:sz w:val="13"/>
          <w:szCs w:val="13"/>
          <w:color w:val="auto"/>
        </w:rPr>
        <w:t>FCDI shall defend, indemnify and hold harmless Century and its Affiliates and its and their respective employees, directors, independent contractors and</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agents (“</w:t>
      </w:r>
      <w:r>
        <w:rPr>
          <w:rFonts w:ascii="Arial" w:cs="Arial" w:eastAsia="Arial" w:hAnsi="Arial"/>
          <w:sz w:val="13"/>
          <w:szCs w:val="13"/>
          <w:b w:val="1"/>
          <w:bCs w:val="1"/>
          <w:color w:val="auto"/>
        </w:rPr>
        <w:t>Century Indemnitees</w:t>
      </w:r>
      <w:r>
        <w:rPr>
          <w:rFonts w:ascii="Arial" w:cs="Arial" w:eastAsia="Arial" w:hAnsi="Arial"/>
          <w:sz w:val="13"/>
          <w:szCs w:val="13"/>
          <w:color w:val="auto"/>
        </w:rPr>
        <w:t>”) against and from any Losses arising out of or directly relating to any claim, demand, action, suit or proceeding (including any investigation)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15/24</w:t>
            </w:r>
          </w:p>
        </w:tc>
      </w:tr>
    </w:tbl>
    <w:p>
      <w:pPr>
        <w:sectPr>
          <w:pgSz w:w="11900" w:h="16838" w:orient="portrait"/>
          <w:cols w:equalWidth="0" w:num="1">
            <w:col w:w="11280"/>
          </w:cols>
          <w:pgMar w:left="300" w:top="582" w:right="319" w:bottom="1440" w:gutter="0" w:footer="0" w:header="0"/>
        </w:sectPr>
      </w:pPr>
    </w:p>
    <w:bookmarkStart w:id="516" w:name="page517"/>
    <w:bookmarkEnd w:id="516"/>
    <w:p>
      <w:pPr>
        <w:ind w:left="10220"/>
        <w:spacing w:after="0"/>
        <w:rPr>
          <w:sz w:val="20"/>
          <w:szCs w:val="20"/>
          <w:color w:val="auto"/>
        </w:rPr>
      </w:pPr>
      <w:r>
        <w:rPr>
          <w:rFonts w:ascii="Arial" w:cs="Arial" w:eastAsia="Arial" w:hAnsi="Arial"/>
          <w:sz w:val="13"/>
          <w:szCs w:val="13"/>
          <w:color w:val="auto"/>
        </w:rPr>
        <w:t>Execution Version</w:t>
      </w:r>
    </w:p>
    <w:p>
      <w:pPr>
        <w:spacing w:after="0" w:line="192" w:lineRule="exact"/>
        <w:rPr>
          <w:sz w:val="20"/>
          <w:szCs w:val="20"/>
          <w:color w:val="auto"/>
        </w:rPr>
      </w:pPr>
    </w:p>
    <w:p>
      <w:pPr>
        <w:jc w:val="both"/>
        <w:ind w:left="520"/>
        <w:spacing w:after="0" w:line="291" w:lineRule="auto"/>
        <w:rPr>
          <w:sz w:val="20"/>
          <w:szCs w:val="20"/>
          <w:color w:val="auto"/>
        </w:rPr>
      </w:pPr>
      <w:r>
        <w:rPr>
          <w:rFonts w:ascii="Arial" w:cs="Arial" w:eastAsia="Arial" w:hAnsi="Arial"/>
          <w:sz w:val="13"/>
          <w:szCs w:val="13"/>
          <w:color w:val="auto"/>
        </w:rPr>
        <w:t>brought by a third party including any Regulatory Authority or other governmental agency or other entity (a “</w:t>
      </w:r>
      <w:r>
        <w:rPr>
          <w:rFonts w:ascii="Arial" w:cs="Arial" w:eastAsia="Arial" w:hAnsi="Arial"/>
          <w:sz w:val="13"/>
          <w:szCs w:val="13"/>
          <w:b w:val="1"/>
          <w:bCs w:val="1"/>
          <w:color w:val="auto"/>
        </w:rPr>
        <w:t>Claim</w:t>
      </w:r>
      <w:r>
        <w:rPr>
          <w:rFonts w:ascii="Arial" w:cs="Arial" w:eastAsia="Arial" w:hAnsi="Arial"/>
          <w:sz w:val="13"/>
          <w:szCs w:val="13"/>
          <w:color w:val="auto"/>
        </w:rPr>
        <w:t xml:space="preserve">”) against any of such Century Indemnitees arising out of or alleging any of the following: (a) FCDI's breach of this Agreement; or (b) FCDI’s recklessness or willful misconduct in its performance of its obligations pursuant to this Agreement including its performance of cell reprogramming Services pursuant hereto; provided, however, that this </w:t>
      </w:r>
      <w:r>
        <w:rPr>
          <w:rFonts w:ascii="Arial" w:cs="Arial" w:eastAsia="Arial" w:hAnsi="Arial"/>
          <w:sz w:val="13"/>
          <w:szCs w:val="13"/>
          <w:b w:val="1"/>
          <w:bCs w:val="1"/>
          <w:color w:val="auto"/>
        </w:rPr>
        <w:t>Section 8.1</w:t>
      </w:r>
      <w:r>
        <w:rPr>
          <w:rFonts w:ascii="Arial" w:cs="Arial" w:eastAsia="Arial" w:hAnsi="Arial"/>
          <w:sz w:val="13"/>
          <w:szCs w:val="13"/>
          <w:color w:val="auto"/>
        </w:rPr>
        <w:t xml:space="preserve"> shall not apply to the extent Century is obligated to indemnify FCDI pursuant to </w:t>
      </w:r>
      <w:r>
        <w:rPr>
          <w:rFonts w:ascii="Arial" w:cs="Arial" w:eastAsia="Arial" w:hAnsi="Arial"/>
          <w:sz w:val="13"/>
          <w:szCs w:val="13"/>
          <w:b w:val="1"/>
          <w:bCs w:val="1"/>
          <w:color w:val="auto"/>
        </w:rPr>
        <w:t xml:space="preserve">Section 8.2 </w:t>
      </w:r>
      <w:r>
        <w:rPr>
          <w:rFonts w:ascii="Arial" w:cs="Arial" w:eastAsia="Arial" w:hAnsi="Arial"/>
          <w:sz w:val="13"/>
          <w:szCs w:val="13"/>
          <w:color w:val="auto"/>
        </w:rPr>
        <w:t>of this Agreement. For purposes hereof, “</w:t>
      </w:r>
      <w:r>
        <w:rPr>
          <w:rFonts w:ascii="Arial" w:cs="Arial" w:eastAsia="Arial" w:hAnsi="Arial"/>
          <w:sz w:val="13"/>
          <w:szCs w:val="13"/>
          <w:b w:val="1"/>
          <w:bCs w:val="1"/>
          <w:color w:val="auto"/>
        </w:rPr>
        <w:t>Losses</w:t>
      </w:r>
      <w:r>
        <w:rPr>
          <w:rFonts w:ascii="Arial" w:cs="Arial" w:eastAsia="Arial" w:hAnsi="Arial"/>
          <w:sz w:val="13"/>
          <w:szCs w:val="13"/>
          <w:color w:val="auto"/>
        </w:rPr>
        <w:t>” means collectively, all costs and expenses (including reasonable attorneys’ fees and disbursements) incurred in connection</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investigation or defense of any Claim and all judgments, amounts paid in settlement, damages, losses and other liabilities arising out of any such Claim.</w:t>
      </w:r>
    </w:p>
    <w:p>
      <w:pPr>
        <w:spacing w:after="0" w:line="130"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3"/>
          <w:szCs w:val="13"/>
          <w:b w:val="1"/>
          <w:bCs w:val="1"/>
          <w:u w:val="single" w:color="auto"/>
          <w:color w:val="auto"/>
        </w:rPr>
        <w:t xml:space="preserve">Indemnification by Century. </w:t>
      </w:r>
      <w:r>
        <w:rPr>
          <w:rFonts w:ascii="Arial" w:cs="Arial" w:eastAsia="Arial" w:hAnsi="Arial"/>
          <w:sz w:val="13"/>
          <w:szCs w:val="13"/>
          <w:color w:val="auto"/>
        </w:rPr>
        <w:t>Century shall defend, indemnify and hold harmless FCDI its Affiliates and its and their respective employees, directors, independent contractors and agents</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(the “</w:t>
      </w:r>
      <w:r>
        <w:rPr>
          <w:rFonts w:ascii="Arial" w:cs="Arial" w:eastAsia="Arial" w:hAnsi="Arial"/>
          <w:sz w:val="13"/>
          <w:szCs w:val="13"/>
          <w:b w:val="1"/>
          <w:bCs w:val="1"/>
          <w:color w:val="auto"/>
        </w:rPr>
        <w:t>FCDI Indemnitees</w:t>
      </w: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and together with the Century Indemnitees, the “</w:t>
      </w:r>
      <w:r>
        <w:rPr>
          <w:rFonts w:ascii="Arial" w:cs="Arial" w:eastAsia="Arial" w:hAnsi="Arial"/>
          <w:sz w:val="13"/>
          <w:szCs w:val="13"/>
          <w:b w:val="1"/>
          <w:bCs w:val="1"/>
          <w:color w:val="auto"/>
        </w:rPr>
        <w:t>Indemnitees</w:t>
      </w:r>
      <w:r>
        <w:rPr>
          <w:rFonts w:ascii="Arial" w:cs="Arial" w:eastAsia="Arial" w:hAnsi="Arial"/>
          <w:sz w:val="13"/>
          <w:szCs w:val="13"/>
          <w:color w:val="auto"/>
        </w:rPr>
        <w:t xml:space="preserve">”) against and from any and all Losses arising out of or directly relating to any Claims against any of such FCDI Indemnitees arising out of or alleging any of the following: (a) Century's use of the Deliverables and/or Century’s Exploitation of Licensed Products developed, made or commercialized using any of the Deliverables or any product or service based on, embodying, incorporating, or derived from the Deliverables that are owned by Century; (b) Century’s recklessness or willful misconduct in connection with this Agreement; or (c) Century’s breach of this Agreement other than </w:t>
      </w:r>
      <w:r>
        <w:rPr>
          <w:rFonts w:ascii="Arial" w:cs="Arial" w:eastAsia="Arial" w:hAnsi="Arial"/>
          <w:sz w:val="13"/>
          <w:szCs w:val="13"/>
          <w:b w:val="1"/>
          <w:bCs w:val="1"/>
          <w:color w:val="auto"/>
        </w:rPr>
        <w:t>Section 3.3,</w:t>
      </w:r>
      <w:r>
        <w:rPr>
          <w:rFonts w:ascii="Arial" w:cs="Arial" w:eastAsia="Arial" w:hAnsi="Arial"/>
          <w:sz w:val="13"/>
          <w:szCs w:val="13"/>
          <w:color w:val="auto"/>
        </w:rPr>
        <w:t xml:space="preserve"> the terms of which exclusively shall govern any breach thereof; provided, however, that this </w:t>
      </w:r>
      <w:r>
        <w:rPr>
          <w:rFonts w:ascii="Arial" w:cs="Arial" w:eastAsia="Arial" w:hAnsi="Arial"/>
          <w:sz w:val="13"/>
          <w:szCs w:val="13"/>
          <w:b w:val="1"/>
          <w:bCs w:val="1"/>
          <w:color w:val="auto"/>
        </w:rPr>
        <w:t>Section 8.2</w:t>
      </w:r>
      <w:r>
        <w:rPr>
          <w:rFonts w:ascii="Arial" w:cs="Arial" w:eastAsia="Arial" w:hAnsi="Arial"/>
          <w:sz w:val="13"/>
          <w:szCs w:val="13"/>
          <w:color w:val="auto"/>
        </w:rPr>
        <w:t xml:space="preserve"> shall not apply to the extent FCDI is obligated to indemnify Century pursuant to </w:t>
      </w:r>
      <w:r>
        <w:rPr>
          <w:rFonts w:ascii="Arial" w:cs="Arial" w:eastAsia="Arial" w:hAnsi="Arial"/>
          <w:sz w:val="13"/>
          <w:szCs w:val="13"/>
          <w:b w:val="1"/>
          <w:bCs w:val="1"/>
          <w:color w:val="auto"/>
        </w:rPr>
        <w:t>Section 8.1</w:t>
      </w:r>
      <w:r>
        <w:rPr>
          <w:rFonts w:ascii="Arial" w:cs="Arial" w:eastAsia="Arial" w:hAnsi="Arial"/>
          <w:sz w:val="13"/>
          <w:szCs w:val="13"/>
          <w:color w:val="auto"/>
        </w:rPr>
        <w:t xml:space="preserve"> of this Agreement.</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2"/>
          <w:szCs w:val="12"/>
          <w:b w:val="1"/>
          <w:bCs w:val="1"/>
          <w:u w:val="single" w:color="auto"/>
          <w:color w:val="auto"/>
        </w:rPr>
        <w:t>Indemnification Procedures</w:t>
      </w:r>
      <w:r>
        <w:rPr>
          <w:rFonts w:ascii="Arial" w:cs="Arial" w:eastAsia="Arial" w:hAnsi="Arial"/>
          <w:sz w:val="12"/>
          <w:szCs w:val="12"/>
          <w:u w:val="single" w:color="auto"/>
          <w:color w:val="auto"/>
        </w:rPr>
        <w:t>.</w:t>
      </w:r>
    </w:p>
    <w:p>
      <w:pPr>
        <w:spacing w:after="0" w:line="184" w:lineRule="exact"/>
        <w:rPr>
          <w:sz w:val="20"/>
          <w:szCs w:val="20"/>
          <w:color w:val="auto"/>
        </w:rPr>
      </w:pPr>
    </w:p>
    <w:p>
      <w:pPr>
        <w:jc w:val="both"/>
        <w:ind w:left="520" w:hanging="255"/>
        <w:spacing w:after="0" w:line="291" w:lineRule="auto"/>
        <w:tabs>
          <w:tab w:leader="none" w:pos="5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 xml:space="preserve">A FCDI Indemnitee or Century Indemnitee entitled to indemnification under this </w:t>
      </w:r>
      <w:r>
        <w:rPr>
          <w:rFonts w:ascii="Arial" w:cs="Arial" w:eastAsia="Arial" w:hAnsi="Arial"/>
          <w:sz w:val="13"/>
          <w:szCs w:val="13"/>
          <w:b w:val="1"/>
          <w:bCs w:val="1"/>
          <w:color w:val="auto"/>
        </w:rPr>
        <w:t>Article 8</w:t>
      </w:r>
      <w:r>
        <w:rPr>
          <w:rFonts w:ascii="Arial" w:cs="Arial" w:eastAsia="Arial" w:hAnsi="Arial"/>
          <w:sz w:val="13"/>
          <w:szCs w:val="13"/>
          <w:color w:val="auto"/>
        </w:rPr>
        <w:t xml:space="preserve">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give prompt written notification to the Party from whom indemnification is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of a Claim, accompanied by copies any and all related court papers, or any written communication it receives threatening a Claim (in any event within sufficient time so as not to prejudice the defense of such Claim); provided that the Indemnified Party’s failure or delay in providing such notice shall not diminish the Indemnifying Party's obligation to indemnify (except that the Indemnifying Party shall not be liable for any Losses that are costs or expenses incurred by the Indemnified Party during the period in which the Indemnified Party failed to provide such notice) unless and only to the extent that the Indemnifying Party's defense of the Claim is actually prejudiced thereby.</w:t>
      </w:r>
    </w:p>
    <w:p>
      <w:pPr>
        <w:spacing w:after="0" w:line="133" w:lineRule="exact"/>
        <w:rPr>
          <w:rFonts w:ascii="Arial" w:cs="Arial" w:eastAsia="Arial" w:hAnsi="Arial"/>
          <w:sz w:val="13"/>
          <w:szCs w:val="13"/>
          <w:color w:val="auto"/>
        </w:rPr>
      </w:pPr>
    </w:p>
    <w:p>
      <w:pPr>
        <w:jc w:val="both"/>
        <w:ind w:left="520" w:hanging="255"/>
        <w:spacing w:after="0" w:line="261" w:lineRule="auto"/>
        <w:tabs>
          <w:tab w:leader="none" w:pos="520" w:val="left"/>
        </w:tabs>
        <w:numPr>
          <w:ilvl w:val="0"/>
          <w:numId w:val="367"/>
        </w:numPr>
        <w:rPr>
          <w:rFonts w:ascii="Arial" w:cs="Arial" w:eastAsia="Arial" w:hAnsi="Arial"/>
          <w:sz w:val="14"/>
          <w:szCs w:val="14"/>
          <w:color w:val="auto"/>
        </w:rPr>
      </w:pPr>
      <w:r>
        <w:rPr>
          <w:rFonts w:ascii="Arial" w:cs="Arial" w:eastAsia="Arial" w:hAnsi="Arial"/>
          <w:sz w:val="14"/>
          <w:szCs w:val="14"/>
          <w:color w:val="auto"/>
        </w:rPr>
        <w:t xml:space="preserve">The Indemnifying Party shall be given the opportunity at all times to control the defense or settlement of the Claim with counsel of its choosing. The Indemnified Party shall reasonably cooperate with the Indemnifying Party at the Indemnifying Party's expense. The Indemnifying Party shall not settle any Claim that includes an admission of liability or wrongdoing (including any improper act or omission such as gross negligence) by the Indemnified Party, that provides for any injunctive or other relief besides any payment of monies paid in full by the Indemnified Party or that does not include as an unconditional term a release of the Indemnified Party from all Losses with respect to the Claim, without such Party's prior written consent. The Indemnified Party has the right to retain its own counsel at its expense with respect to the Claim to represent the Indemnified Party’s interests and the Indemnifying Party shall reasonably co-operate with such counsel (subject always to the first sentence of this </w:t>
      </w:r>
      <w:r>
        <w:rPr>
          <w:rFonts w:ascii="Arial" w:cs="Arial" w:eastAsia="Arial" w:hAnsi="Arial"/>
          <w:sz w:val="14"/>
          <w:szCs w:val="14"/>
          <w:b w:val="1"/>
          <w:bCs w:val="1"/>
          <w:color w:val="auto"/>
        </w:rPr>
        <w:t>Section 8.3(b)</w:t>
      </w:r>
      <w:r>
        <w:rPr>
          <w:rFonts w:ascii="Arial" w:cs="Arial" w:eastAsia="Arial" w:hAnsi="Arial"/>
          <w:sz w:val="14"/>
          <w:szCs w:val="14"/>
          <w:color w:val="auto"/>
        </w:rPr>
        <w:t>). Such notice shall be accompanied by, and thereafter such Indemnified Party shall deliver to the Indemnifying Party promptly following such Indemnified Party 's receipt thereof, copies of all notices and documents (including court papers) received by such Indemnified Party relating to such Claim.</w:t>
      </w:r>
    </w:p>
    <w:p>
      <w:pPr>
        <w:spacing w:after="0" w:line="153" w:lineRule="exact"/>
        <w:rPr>
          <w:rFonts w:ascii="Arial" w:cs="Arial" w:eastAsia="Arial" w:hAnsi="Arial"/>
          <w:sz w:val="14"/>
          <w:szCs w:val="14"/>
          <w:color w:val="auto"/>
        </w:rPr>
      </w:pPr>
    </w:p>
    <w:p>
      <w:pPr>
        <w:ind w:left="520" w:hanging="255"/>
        <w:spacing w:after="0"/>
        <w:tabs>
          <w:tab w:leader="none" w:pos="520" w:val="left"/>
        </w:tabs>
        <w:numPr>
          <w:ilvl w:val="0"/>
          <w:numId w:val="367"/>
        </w:numPr>
        <w:rPr>
          <w:rFonts w:ascii="Arial" w:cs="Arial" w:eastAsia="Arial" w:hAnsi="Arial"/>
          <w:sz w:val="13"/>
          <w:szCs w:val="13"/>
          <w:color w:val="auto"/>
        </w:rPr>
      </w:pPr>
      <w:r>
        <w:rPr>
          <w:rFonts w:ascii="Arial" w:cs="Arial" w:eastAsia="Arial" w:hAnsi="Arial"/>
          <w:sz w:val="13"/>
          <w:szCs w:val="13"/>
          <w:color w:val="auto"/>
        </w:rPr>
        <w:t>If the Indemnifying Party refuses to defend and indemnify for a Claim within the time frame for response established in the Claim or by the decision-making authority, the Indemnified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16/24</w:t>
            </w:r>
          </w:p>
        </w:tc>
      </w:tr>
    </w:tbl>
    <w:p>
      <w:pPr>
        <w:sectPr>
          <w:pgSz w:w="11900" w:h="16838" w:orient="portrait"/>
          <w:cols w:equalWidth="0" w:num="1">
            <w:col w:w="11280"/>
          </w:cols>
          <w:pgMar w:left="300" w:top="755" w:right="319" w:bottom="1440" w:gutter="0" w:footer="0" w:header="0"/>
        </w:sectPr>
      </w:pPr>
    </w:p>
    <w:bookmarkStart w:id="517" w:name="page518"/>
    <w:bookmarkEnd w:id="517"/>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67" w:lineRule="auto"/>
        <w:rPr>
          <w:sz w:val="20"/>
          <w:szCs w:val="20"/>
          <w:color w:val="auto"/>
        </w:rPr>
      </w:pPr>
      <w:r>
        <w:rPr>
          <w:rFonts w:ascii="Arial" w:cs="Arial" w:eastAsia="Arial" w:hAnsi="Arial"/>
          <w:sz w:val="14"/>
          <w:szCs w:val="14"/>
          <w:color w:val="auto"/>
        </w:rPr>
        <w:t>Party has the right to proceed with the Claim in its discretion on its own behalf. In such case, if the Indemnified Party subsequently successfully enforces these indemnity provisions through agreement or legal action, then (i) the Indemnifying Party shall reimburse the Indemnified Party for all reasonable expenses and costs in enforcing these indemnity obligations and of defending or settling the Claim, (ii) shall be bound by any action taken up to the point of successful enforcement of the indemnity obligations (including any judgment or settlement of the Claim if concluded prior to such time) and (iii) shall indemnify the Indemnified Party for all damages.</w:t>
      </w:r>
    </w:p>
    <w:p>
      <w:pPr>
        <w:spacing w:after="0" w:line="143" w:lineRule="exact"/>
        <w:rPr>
          <w:sz w:val="20"/>
          <w:szCs w:val="20"/>
          <w:color w:val="auto"/>
        </w:rPr>
      </w:pPr>
    </w:p>
    <w:p>
      <w:pPr>
        <w:jc w:val="both"/>
        <w:ind w:left="520" w:hanging="517"/>
        <w:spacing w:after="0" w:line="260" w:lineRule="auto"/>
        <w:tabs>
          <w:tab w:leader="none" w:pos="50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b w:val="1"/>
          <w:bCs w:val="1"/>
          <w:u w:val="single" w:color="auto"/>
          <w:color w:val="auto"/>
        </w:rPr>
        <w:t xml:space="preserve">Limitation of Liability. </w:t>
      </w:r>
      <w:r>
        <w:rPr>
          <w:rFonts w:ascii="Arial" w:cs="Arial" w:eastAsia="Arial" w:hAnsi="Arial"/>
          <w:sz w:val="14"/>
          <w:szCs w:val="14"/>
          <w:color w:val="auto"/>
        </w:rPr>
        <w:t>EXCEPT FOR A PARTY'S (A) RECKLESSNESS OR WILLFUL MISCONDUCT, (B) BREACH OF THE CONFIDENTIALITY OBLIGATIONS SET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FORTH IN </w:t>
      </w:r>
      <w:r>
        <w:rPr>
          <w:rFonts w:ascii="Arial" w:cs="Arial" w:eastAsia="Arial" w:hAnsi="Arial"/>
          <w:sz w:val="14"/>
          <w:szCs w:val="14"/>
          <w:b w:val="1"/>
          <w:bCs w:val="1"/>
          <w:color w:val="auto"/>
        </w:rPr>
        <w:t>SECTION 7</w:t>
      </w:r>
      <w:r>
        <w:rPr>
          <w:rFonts w:ascii="Arial" w:cs="Arial" w:eastAsia="Arial" w:hAnsi="Arial"/>
          <w:sz w:val="14"/>
          <w:szCs w:val="14"/>
          <w:color w:val="auto"/>
        </w:rPr>
        <w:t xml:space="preserve"> OF THIS AGREEMENT OR (C) INDEMNIFICATION OBLIGATIONS SET FORTH IN </w:t>
      </w:r>
      <w:r>
        <w:rPr>
          <w:rFonts w:ascii="Arial" w:cs="Arial" w:eastAsia="Arial" w:hAnsi="Arial"/>
          <w:sz w:val="14"/>
          <w:szCs w:val="14"/>
          <w:b w:val="1"/>
          <w:bCs w:val="1"/>
          <w:color w:val="auto"/>
        </w:rPr>
        <w:t>SECTION 8.1 OR 8.2</w:t>
      </w:r>
      <w:r>
        <w:rPr>
          <w:rFonts w:ascii="Arial" w:cs="Arial" w:eastAsia="Arial" w:hAnsi="Arial"/>
          <w:sz w:val="14"/>
          <w:szCs w:val="14"/>
          <w:color w:val="auto"/>
        </w:rPr>
        <w:t xml:space="preserve">, UNDER NO CIRCUMSTANCES SHALL EITHER PARTY BE ENTITLED FOR, ANY INCIDENTAL, INDIRECT, CONSEQUENTIAL, SPECIAL, EXEMPLARY OR PUNITIVE DAMAGES (INCLUDING, WITHOUT LIMITATION, LOSS OF PROFITS LOST SAVINGS, LOSS OF USE OR INTERRUPTION OF BUSINESS, HOWEVER CAUSED) ARISING IN CONNECTION WITH THIS AGREEMENT (WHETHER ARISING IN CONTRACT, TORT (INCLUDING NEGLIGENCE), BREACH OF WARRANTY, STRICT LIABILITY OR OTHERWISE), EVEN IF SUCH PARTY HAS BEEN ADVISED OF THE POSSIBILITY OF SUCH DAMAGES, AND EACH PARTY'S AGGREGATE LIABILITY UNDER THIS AGREEMENT SHALL BE LIMITED TO THE AGGREGATE OF ALL AMOUNTS PAID AND PAYABLE TO FCDI BY CENTURY UNDER THIS AGREEMENT DURING THE TWELVE MONTHS PRECEDING THE CLAIM (THE “CAP”). NOTWITHSTANDING ANYTHING TO THE CONTRARY HEREIN, FOR PURPOSES OF DETERMINING WHETHER FCDI'S LIABILITY BASED ON THE SPECIFIED PROVISION, WHETHER ARISING IN CONTRACT PURSUANT TO </w:t>
      </w:r>
      <w:r>
        <w:rPr>
          <w:rFonts w:ascii="Arial" w:cs="Arial" w:eastAsia="Arial" w:hAnsi="Arial"/>
          <w:sz w:val="14"/>
          <w:szCs w:val="14"/>
          <w:b w:val="1"/>
          <w:bCs w:val="1"/>
          <w:color w:val="auto"/>
        </w:rPr>
        <w:t>SECTION 2.3</w:t>
      </w:r>
      <w:r>
        <w:rPr>
          <w:rFonts w:ascii="Arial" w:cs="Arial" w:eastAsia="Arial" w:hAnsi="Arial"/>
          <w:sz w:val="14"/>
          <w:szCs w:val="14"/>
          <w:color w:val="auto"/>
        </w:rPr>
        <w:t xml:space="preserve"> OR </w:t>
      </w:r>
      <w:r>
        <w:rPr>
          <w:rFonts w:ascii="Arial" w:cs="Arial" w:eastAsia="Arial" w:hAnsi="Arial"/>
          <w:sz w:val="14"/>
          <w:szCs w:val="14"/>
          <w:b w:val="1"/>
          <w:bCs w:val="1"/>
          <w:color w:val="auto"/>
        </w:rPr>
        <w:t>SECTION 3.4</w:t>
      </w:r>
      <w:r>
        <w:rPr>
          <w:rFonts w:ascii="Arial" w:cs="Arial" w:eastAsia="Arial" w:hAnsi="Arial"/>
          <w:sz w:val="14"/>
          <w:szCs w:val="14"/>
          <w:color w:val="auto"/>
        </w:rPr>
        <w:t xml:space="preserve"> OR OTHERWISE, SHALL BE LIMITED PURSUANT TO THE CAP, THE IMMEDIATELY PRECDING PROVISION SHALL BE MODIFIED AND APPLIED WITH RESPECT TO ANY CLAIM AND ANY SUCH LIABILITY BASED ON THE SPECIFIED PROVISION WITH [***] INSERTED IMMEDIATELY BEFORE “THE AGGREGATE OF ALL AMOUNTS PAID AND PAYABLE TO FCDI BY CENTURY UNDER THIS AGREEMENT DURING THE TWELVE MONTHS PRECEDING THE CLAIM.”</w:t>
      </w:r>
    </w:p>
    <w:p>
      <w:pPr>
        <w:spacing w:after="0" w:line="151"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b w:val="1"/>
          <w:bCs w:val="1"/>
          <w:color w:val="auto"/>
        </w:rPr>
        <w:t>Article 9.</w:t>
      </w:r>
      <w:r>
        <w:rPr>
          <w:sz w:val="20"/>
          <w:szCs w:val="20"/>
          <w:color w:val="auto"/>
        </w:rPr>
        <w:tab/>
      </w:r>
      <w:r>
        <w:rPr>
          <w:rFonts w:ascii="Arial" w:cs="Arial" w:eastAsia="Arial" w:hAnsi="Arial"/>
          <w:sz w:val="14"/>
          <w:szCs w:val="14"/>
          <w:b w:val="1"/>
          <w:bCs w:val="1"/>
          <w:u w:val="single" w:color="auto"/>
          <w:color w:val="auto"/>
        </w:rPr>
        <w:t>EXPIRATION AND TERMINATION</w:t>
      </w:r>
    </w:p>
    <w:p>
      <w:pPr>
        <w:spacing w:after="0" w:line="184"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b w:val="1"/>
          <w:bCs w:val="1"/>
          <w:u w:val="single" w:color="auto"/>
          <w:color w:val="auto"/>
        </w:rPr>
        <w:t xml:space="preserve">Expiration. </w:t>
      </w:r>
      <w:r>
        <w:rPr>
          <w:rFonts w:ascii="Arial" w:cs="Arial" w:eastAsia="Arial" w:hAnsi="Arial"/>
          <w:sz w:val="14"/>
          <w:szCs w:val="14"/>
          <w:color w:val="auto"/>
        </w:rPr>
        <w:t>This Agreement shall commence on the Signing Date and shall be valid and in force for as long as the Reprogramming License Agreement is in full force and effect (the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Term</w:t>
      </w:r>
      <w:r>
        <w:rPr>
          <w:rFonts w:ascii="Arial" w:cs="Arial" w:eastAsia="Arial" w:hAnsi="Arial"/>
          <w:sz w:val="14"/>
          <w:szCs w:val="14"/>
          <w:color w:val="auto"/>
        </w:rPr>
        <w:t xml:space="preserve">”) unless earlier terminated in accordance with </w:t>
      </w:r>
      <w:r>
        <w:rPr>
          <w:rFonts w:ascii="Arial" w:cs="Arial" w:eastAsia="Arial" w:hAnsi="Arial"/>
          <w:sz w:val="14"/>
          <w:szCs w:val="14"/>
          <w:b w:val="1"/>
          <w:bCs w:val="1"/>
          <w:color w:val="auto"/>
        </w:rPr>
        <w:t>Section 9.2</w:t>
      </w:r>
      <w:r>
        <w:rPr>
          <w:rFonts w:ascii="Arial" w:cs="Arial" w:eastAsia="Arial" w:hAnsi="Arial"/>
          <w:sz w:val="14"/>
          <w:szCs w:val="14"/>
          <w:color w:val="auto"/>
        </w:rPr>
        <w:t xml:space="preserve"> below.</w:t>
      </w:r>
    </w:p>
    <w:p>
      <w:pPr>
        <w:spacing w:after="0" w:line="12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b w:val="1"/>
          <w:bCs w:val="1"/>
          <w:u w:val="single" w:color="auto"/>
          <w:color w:val="auto"/>
        </w:rPr>
        <w:t>Termination</w:t>
      </w:r>
    </w:p>
    <w:p>
      <w:pPr>
        <w:spacing w:after="0" w:line="184" w:lineRule="exact"/>
        <w:rPr>
          <w:sz w:val="20"/>
          <w:szCs w:val="20"/>
          <w:color w:val="auto"/>
        </w:rPr>
      </w:pPr>
    </w:p>
    <w:p>
      <w:pPr>
        <w:jc w:val="both"/>
        <w:ind w:left="520" w:hanging="255"/>
        <w:spacing w:after="0" w:line="276" w:lineRule="auto"/>
        <w:tabs>
          <w:tab w:leader="none" w:pos="520" w:val="left"/>
        </w:tabs>
        <w:numPr>
          <w:ilvl w:val="0"/>
          <w:numId w:val="368"/>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for Breach.</w:t>
      </w:r>
      <w:r>
        <w:rPr>
          <w:rFonts w:ascii="Arial" w:cs="Arial" w:eastAsia="Arial" w:hAnsi="Arial"/>
          <w:sz w:val="14"/>
          <w:szCs w:val="14"/>
          <w:b w:val="1"/>
          <w:bCs w:val="1"/>
          <w:color w:val="auto"/>
        </w:rPr>
        <w:t xml:space="preserve"> </w:t>
      </w:r>
      <w:r>
        <w:rPr>
          <w:rFonts w:ascii="Arial" w:cs="Arial" w:eastAsia="Arial" w:hAnsi="Arial"/>
          <w:sz w:val="14"/>
          <w:szCs w:val="14"/>
          <w:color w:val="auto"/>
        </w:rPr>
        <w:t>Either Party (the “</w:t>
      </w:r>
      <w:r>
        <w:rPr>
          <w:rFonts w:ascii="Arial" w:cs="Arial" w:eastAsia="Arial" w:hAnsi="Arial"/>
          <w:sz w:val="14"/>
          <w:szCs w:val="14"/>
          <w:b w:val="1"/>
          <w:bCs w:val="1"/>
          <w:color w:val="auto"/>
        </w:rPr>
        <w:t>Terminating Party</w:t>
      </w:r>
      <w:r>
        <w:rPr>
          <w:rFonts w:ascii="Arial" w:cs="Arial" w:eastAsia="Arial" w:hAnsi="Arial"/>
          <w:sz w:val="14"/>
          <w:szCs w:val="14"/>
          <w:color w:val="auto"/>
        </w:rPr>
        <w:t>”) may terminate this Agreement in the event of a material breach of this Agreement by the other Party (the “</w:t>
      </w:r>
      <w:r>
        <w:rPr>
          <w:rFonts w:ascii="Arial" w:cs="Arial" w:eastAsia="Arial" w:hAnsi="Arial"/>
          <w:sz w:val="14"/>
          <w:szCs w:val="14"/>
          <w:b w:val="1"/>
          <w:bCs w:val="1"/>
          <w:color w:val="auto"/>
        </w:rPr>
        <w:t>Breaching Party</w:t>
      </w:r>
      <w:r>
        <w:rPr>
          <w:rFonts w:ascii="Arial" w:cs="Arial" w:eastAsia="Arial" w:hAnsi="Arial"/>
          <w:sz w:val="14"/>
          <w:szCs w:val="14"/>
          <w:color w:val="auto"/>
        </w:rPr>
        <w:t>”) if the Breaching Party does not cure such breach to the satisfaction of the Terminating Party within thirty (30) days of the Breaching Party's receipt of written notice of the breach.</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Termination shall occur upon the Terminating Party's further written notice if the breach is not cured.</w:t>
      </w:r>
    </w:p>
    <w:p>
      <w:pPr>
        <w:spacing w:after="0" w:line="135" w:lineRule="exact"/>
        <w:rPr>
          <w:rFonts w:ascii="Arial" w:cs="Arial" w:eastAsia="Arial" w:hAnsi="Arial"/>
          <w:sz w:val="14"/>
          <w:szCs w:val="14"/>
          <w:color w:val="auto"/>
        </w:rPr>
      </w:pPr>
    </w:p>
    <w:p>
      <w:pPr>
        <w:ind w:left="520" w:hanging="255"/>
        <w:spacing w:after="0" w:line="294" w:lineRule="auto"/>
        <w:tabs>
          <w:tab w:leader="none" w:pos="520" w:val="left"/>
        </w:tabs>
        <w:numPr>
          <w:ilvl w:val="0"/>
          <w:numId w:val="368"/>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for Convenience</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the third anniversary of the Effective Date, Century shall have the right to terminate this Agreement upon sixty (60) days' written notice given</w:t>
      </w:r>
      <w:r>
        <w:rPr>
          <w:rFonts w:ascii="Arial" w:cs="Arial" w:eastAsia="Arial" w:hAnsi="Arial"/>
          <w:sz w:val="14"/>
          <w:szCs w:val="14"/>
          <w:b w:val="1"/>
          <w:bCs w:val="1"/>
          <w:color w:val="auto"/>
        </w:rPr>
        <w:t xml:space="preserve"> </w:t>
      </w:r>
      <w:r>
        <w:rPr>
          <w:rFonts w:ascii="Arial" w:cs="Arial" w:eastAsia="Arial" w:hAnsi="Arial"/>
          <w:sz w:val="14"/>
          <w:szCs w:val="14"/>
          <w:color w:val="auto"/>
        </w:rPr>
        <w:t>to FCDI for any reason.</w:t>
      </w:r>
    </w:p>
    <w:p>
      <w:pPr>
        <w:spacing w:after="0" w:line="123" w:lineRule="exact"/>
        <w:rPr>
          <w:sz w:val="20"/>
          <w:szCs w:val="20"/>
          <w:color w:val="auto"/>
        </w:rPr>
      </w:pPr>
    </w:p>
    <w:p>
      <w:pPr>
        <w:ind w:left="520" w:hanging="517"/>
        <w:spacing w:after="0" w:line="294" w:lineRule="auto"/>
        <w:tabs>
          <w:tab w:leader="none" w:pos="50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b w:val="1"/>
          <w:bCs w:val="1"/>
          <w:u w:val="single" w:color="auto"/>
          <w:color w:val="auto"/>
        </w:rPr>
        <w:t xml:space="preserve">Effect of Termination or Expiration. </w:t>
      </w:r>
      <w:r>
        <w:rPr>
          <w:rFonts w:ascii="Arial" w:cs="Arial" w:eastAsia="Arial" w:hAnsi="Arial"/>
          <w:sz w:val="14"/>
          <w:szCs w:val="14"/>
          <w:color w:val="auto"/>
        </w:rPr>
        <w:t>Upon termination or expiration of this Agreement and subject to</w:t>
      </w:r>
      <w:r>
        <w:rPr>
          <w:rFonts w:ascii="Arial" w:cs="Arial" w:eastAsia="Arial" w:hAnsi="Arial"/>
          <w:sz w:val="14"/>
          <w:szCs w:val="14"/>
          <w:b w:val="1"/>
          <w:bCs w:val="1"/>
          <w:u w:val="single" w:color="auto"/>
          <w:color w:val="auto"/>
        </w:rPr>
        <w:t xml:space="preserve"> </w:t>
      </w:r>
      <w:r>
        <w:rPr>
          <w:rFonts w:ascii="Arial" w:cs="Arial" w:eastAsia="Arial" w:hAnsi="Arial"/>
          <w:sz w:val="14"/>
          <w:szCs w:val="14"/>
          <w:b w:val="1"/>
          <w:bCs w:val="1"/>
          <w:color w:val="auto"/>
        </w:rPr>
        <w:t>Section 9.4</w:t>
      </w:r>
      <w:r>
        <w:rPr>
          <w:rFonts w:ascii="Arial" w:cs="Arial" w:eastAsia="Arial" w:hAnsi="Arial"/>
          <w:sz w:val="14"/>
          <w:szCs w:val="14"/>
          <w:color w:val="auto"/>
        </w:rPr>
        <w:t>, neither Century nor FCDI shall have any further obligations under</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this Agreement, except that (a) FCDI shall deliver to Century any Materials in its possession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17/24</w:t>
            </w:r>
          </w:p>
        </w:tc>
      </w:tr>
    </w:tbl>
    <w:p>
      <w:pPr>
        <w:sectPr>
          <w:pgSz w:w="11900" w:h="16838" w:orient="portrait"/>
          <w:cols w:equalWidth="0" w:num="1">
            <w:col w:w="11280"/>
          </w:cols>
          <w:pgMar w:left="300" w:top="754" w:right="319" w:bottom="1440" w:gutter="0" w:footer="0" w:header="0"/>
        </w:sectPr>
      </w:pPr>
    </w:p>
    <w:bookmarkStart w:id="518" w:name="page519"/>
    <w:bookmarkEnd w:id="518"/>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63" w:lineRule="auto"/>
        <w:rPr>
          <w:sz w:val="20"/>
          <w:szCs w:val="20"/>
          <w:color w:val="auto"/>
        </w:rPr>
      </w:pPr>
      <w:r>
        <w:rPr>
          <w:rFonts w:ascii="Arial" w:cs="Arial" w:eastAsia="Arial" w:hAnsi="Arial"/>
          <w:sz w:val="14"/>
          <w:szCs w:val="14"/>
          <w:color w:val="auto"/>
        </w:rPr>
        <w:t xml:space="preserve">or control and all Deliverables developed through termination or expiration, including any works-in-process, (b) Century shall pay FCDI any undisputed monies due and owing FCDI for Services actually performed and all authorized out-of-pocket costs and expenses actually incurred, up to the time of termination or expiration, (c) the exercise of the right to terminate shall not preclude claims for damages in the event of a breach of this Agreement, (d) FCDI shall immediately return the Materials to Century, (e) in the case of termination by Century pursuant to </w:t>
      </w:r>
      <w:r>
        <w:rPr>
          <w:rFonts w:ascii="Arial" w:cs="Arial" w:eastAsia="Arial" w:hAnsi="Arial"/>
          <w:sz w:val="14"/>
          <w:szCs w:val="14"/>
          <w:b w:val="1"/>
          <w:bCs w:val="1"/>
          <w:color w:val="auto"/>
        </w:rPr>
        <w:t>Section 9.2(b</w:t>
      </w:r>
      <w:r>
        <w:rPr>
          <w:rFonts w:ascii="Arial" w:cs="Arial" w:eastAsia="Arial" w:hAnsi="Arial"/>
          <w:sz w:val="14"/>
          <w:szCs w:val="14"/>
          <w:color w:val="auto"/>
        </w:rPr>
        <w:t xml:space="preserve">), the net amount of [***] less the aggregate of the Actual Remuneration Amounts theretofore paid by Century to FCDI (if a positive value) shall be immediately due and payable by Century to FCDI and (f) in the case of termination by either party pursuant to </w:t>
      </w:r>
      <w:r>
        <w:rPr>
          <w:rFonts w:ascii="Arial" w:cs="Arial" w:eastAsia="Arial" w:hAnsi="Arial"/>
          <w:sz w:val="14"/>
          <w:szCs w:val="14"/>
          <w:b w:val="1"/>
          <w:bCs w:val="1"/>
          <w:color w:val="auto"/>
        </w:rPr>
        <w:t>Section 2.2(ii)D</w:t>
      </w:r>
      <w:r>
        <w:rPr>
          <w:rFonts w:ascii="Arial" w:cs="Arial" w:eastAsia="Arial" w:hAnsi="Arial"/>
          <w:sz w:val="14"/>
          <w:szCs w:val="14"/>
          <w:color w:val="auto"/>
        </w:rPr>
        <w:t>, the net amount of [***] less the aggregate of the Actual Remuneration Amounts theretofore paid by Century to FCDI (if a positive value) shall be immediately due and payable by Century to FCDI.</w:t>
      </w:r>
    </w:p>
    <w:p>
      <w:pPr>
        <w:spacing w:after="0" w:line="146"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b w:val="1"/>
          <w:bCs w:val="1"/>
          <w:u w:val="single" w:color="auto"/>
          <w:color w:val="auto"/>
        </w:rPr>
        <w:t xml:space="preserve">Survival of Certain Terms. </w:t>
      </w:r>
      <w:r>
        <w:rPr>
          <w:rFonts w:ascii="Arial" w:cs="Arial" w:eastAsia="Arial" w:hAnsi="Arial"/>
          <w:sz w:val="14"/>
          <w:szCs w:val="14"/>
          <w:color w:val="auto"/>
        </w:rPr>
        <w:t>The Parties acknowledge that some obligations in this Agreement shall survive in accordance with the express terms hereof the expiration or any termination</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of this Agreement, particularly certain obligations contained in </w:t>
      </w:r>
      <w:r>
        <w:rPr>
          <w:rFonts w:ascii="Arial" w:cs="Arial" w:eastAsia="Arial" w:hAnsi="Arial"/>
          <w:sz w:val="14"/>
          <w:szCs w:val="14"/>
          <w:b w:val="1"/>
          <w:bCs w:val="1"/>
          <w:color w:val="auto"/>
        </w:rPr>
        <w:t>Article 3</w:t>
      </w:r>
      <w:r>
        <w:rPr>
          <w:rFonts w:ascii="Arial" w:cs="Arial" w:eastAsia="Arial" w:hAnsi="Arial"/>
          <w:sz w:val="14"/>
          <w:szCs w:val="14"/>
          <w:color w:val="auto"/>
        </w:rPr>
        <w:t xml:space="preserve">, </w:t>
      </w:r>
      <w:r>
        <w:rPr>
          <w:rFonts w:ascii="Arial" w:cs="Arial" w:eastAsia="Arial" w:hAnsi="Arial"/>
          <w:sz w:val="14"/>
          <w:szCs w:val="14"/>
          <w:b w:val="1"/>
          <w:bCs w:val="1"/>
          <w:color w:val="auto"/>
        </w:rPr>
        <w:t>Article 4</w:t>
      </w:r>
      <w:r>
        <w:rPr>
          <w:rFonts w:ascii="Arial" w:cs="Arial" w:eastAsia="Arial" w:hAnsi="Arial"/>
          <w:sz w:val="14"/>
          <w:szCs w:val="14"/>
          <w:color w:val="auto"/>
        </w:rPr>
        <w:t xml:space="preserve"> (but in the case of </w:t>
      </w:r>
      <w:r>
        <w:rPr>
          <w:rFonts w:ascii="Arial" w:cs="Arial" w:eastAsia="Arial" w:hAnsi="Arial"/>
          <w:sz w:val="14"/>
          <w:szCs w:val="14"/>
          <w:b w:val="1"/>
          <w:bCs w:val="1"/>
          <w:color w:val="auto"/>
        </w:rPr>
        <w:t>Section 4.1</w:t>
      </w:r>
      <w:r>
        <w:rPr>
          <w:rFonts w:ascii="Arial" w:cs="Arial" w:eastAsia="Arial" w:hAnsi="Arial"/>
          <w:sz w:val="14"/>
          <w:szCs w:val="14"/>
          <w:color w:val="auto"/>
        </w:rPr>
        <w:t xml:space="preserve"> only the last sentence thereof), </w:t>
      </w:r>
      <w:r>
        <w:rPr>
          <w:rFonts w:ascii="Arial" w:cs="Arial" w:eastAsia="Arial" w:hAnsi="Arial"/>
          <w:sz w:val="14"/>
          <w:szCs w:val="14"/>
          <w:b w:val="1"/>
          <w:bCs w:val="1"/>
          <w:color w:val="auto"/>
        </w:rPr>
        <w:t>Articles 6</w:t>
      </w:r>
      <w:r>
        <w:rPr>
          <w:rFonts w:ascii="Arial" w:cs="Arial" w:eastAsia="Arial" w:hAnsi="Arial"/>
          <w:sz w:val="14"/>
          <w:szCs w:val="14"/>
          <w:color w:val="auto"/>
        </w:rPr>
        <w:t xml:space="preserve"> through </w:t>
      </w:r>
      <w:r>
        <w:rPr>
          <w:rFonts w:ascii="Arial" w:cs="Arial" w:eastAsia="Arial" w:hAnsi="Arial"/>
          <w:sz w:val="14"/>
          <w:szCs w:val="14"/>
          <w:b w:val="1"/>
          <w:bCs w:val="1"/>
          <w:color w:val="auto"/>
        </w:rPr>
        <w:t>8</w:t>
      </w:r>
      <w:r>
        <w:rPr>
          <w:rFonts w:ascii="Arial" w:cs="Arial" w:eastAsia="Arial" w:hAnsi="Arial"/>
          <w:sz w:val="14"/>
          <w:szCs w:val="14"/>
          <w:color w:val="auto"/>
        </w:rPr>
        <w:t xml:space="preserve">, </w:t>
      </w:r>
      <w:r>
        <w:rPr>
          <w:rFonts w:ascii="Arial" w:cs="Arial" w:eastAsia="Arial" w:hAnsi="Arial"/>
          <w:sz w:val="14"/>
          <w:szCs w:val="14"/>
          <w:b w:val="1"/>
          <w:bCs w:val="1"/>
          <w:color w:val="auto"/>
        </w:rPr>
        <w:t>Sections 9.3</w:t>
      </w:r>
      <w:r>
        <w:rPr>
          <w:rFonts w:ascii="Arial" w:cs="Arial" w:eastAsia="Arial" w:hAnsi="Arial"/>
          <w:sz w:val="14"/>
          <w:szCs w:val="14"/>
          <w:color w:val="auto"/>
        </w:rPr>
        <w:t xml:space="preserve"> and </w:t>
      </w:r>
      <w:r>
        <w:rPr>
          <w:rFonts w:ascii="Arial" w:cs="Arial" w:eastAsia="Arial" w:hAnsi="Arial"/>
          <w:sz w:val="14"/>
          <w:szCs w:val="14"/>
          <w:b w:val="1"/>
          <w:bCs w:val="1"/>
          <w:color w:val="auto"/>
        </w:rPr>
        <w:t xml:space="preserve">9.4 </w:t>
      </w:r>
      <w:r>
        <w:rPr>
          <w:rFonts w:ascii="Arial" w:cs="Arial" w:eastAsia="Arial" w:hAnsi="Arial"/>
          <w:sz w:val="14"/>
          <w:szCs w:val="14"/>
          <w:color w:val="auto"/>
        </w:rPr>
        <w:t>and</w:t>
      </w:r>
      <w:r>
        <w:rPr>
          <w:rFonts w:ascii="Arial" w:cs="Arial" w:eastAsia="Arial" w:hAnsi="Arial"/>
          <w:sz w:val="14"/>
          <w:szCs w:val="14"/>
          <w:b w:val="1"/>
          <w:bCs w:val="1"/>
          <w:color w:val="auto"/>
        </w:rPr>
        <w:t xml:space="preserve"> Article 10</w:t>
      </w:r>
      <w:r>
        <w:rPr>
          <w:rFonts w:ascii="Arial" w:cs="Arial" w:eastAsia="Arial" w:hAnsi="Arial"/>
          <w:sz w:val="14"/>
          <w:szCs w:val="14"/>
          <w:color w:val="auto"/>
        </w:rPr>
        <w:t>, and any other sections that include proprietary rights, confidential information, indemnification obligations.</w:t>
      </w:r>
    </w:p>
    <w:p>
      <w:pPr>
        <w:spacing w:after="0" w:line="13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Article 10.</w:t>
      </w:r>
      <w:r>
        <w:rPr>
          <w:sz w:val="20"/>
          <w:szCs w:val="20"/>
          <w:color w:val="auto"/>
        </w:rPr>
        <w:tab/>
      </w:r>
      <w:r>
        <w:rPr>
          <w:rFonts w:ascii="Arial" w:cs="Arial" w:eastAsia="Arial" w:hAnsi="Arial"/>
          <w:sz w:val="14"/>
          <w:szCs w:val="14"/>
          <w:b w:val="1"/>
          <w:bCs w:val="1"/>
          <w:u w:val="single" w:color="auto"/>
          <w:color w:val="auto"/>
        </w:rPr>
        <w:t>MISCELLANEOUS</w:t>
      </w:r>
    </w:p>
    <w:p>
      <w:pPr>
        <w:spacing w:after="0" w:line="184"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b w:val="1"/>
          <w:bCs w:val="1"/>
          <w:u w:val="single" w:color="auto"/>
          <w:color w:val="auto"/>
        </w:rPr>
        <w:t xml:space="preserve">Independent Contractor. </w:t>
      </w:r>
      <w:r>
        <w:rPr>
          <w:rFonts w:ascii="Arial" w:cs="Arial" w:eastAsia="Arial" w:hAnsi="Arial"/>
          <w:sz w:val="14"/>
          <w:szCs w:val="14"/>
          <w:color w:val="auto"/>
        </w:rPr>
        <w:t>All Services shall be rendered by FCDI as an independent contractor and this Agreement does not create a partnership, joint venture or agency relationship</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between Century and FCDI. Neither FCDI nor any of its directors, officers, employees or agents shall in any way represent itself to be a partner, joint venturer, agent or officer with or of Century.</w:t>
      </w:r>
    </w:p>
    <w:p>
      <w:pPr>
        <w:spacing w:after="0" w:line="135" w:lineRule="exact"/>
        <w:rPr>
          <w:sz w:val="20"/>
          <w:szCs w:val="20"/>
          <w:color w:val="auto"/>
        </w:rPr>
      </w:pPr>
    </w:p>
    <w:p>
      <w:pPr>
        <w:jc w:val="both"/>
        <w:ind w:left="520" w:hanging="517"/>
        <w:spacing w:after="0" w:line="266" w:lineRule="auto"/>
        <w:tabs>
          <w:tab w:leader="none" w:pos="50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b w:val="1"/>
          <w:bCs w:val="1"/>
          <w:u w:val="single" w:color="auto"/>
          <w:color w:val="auto"/>
        </w:rPr>
        <w:t xml:space="preserve">Taxes. </w:t>
      </w:r>
      <w:r>
        <w:rPr>
          <w:rFonts w:ascii="Arial" w:cs="Arial" w:eastAsia="Arial" w:hAnsi="Arial"/>
          <w:sz w:val="14"/>
          <w:szCs w:val="14"/>
          <w:color w:val="auto"/>
        </w:rPr>
        <w:t>FCDI shall pay all required taxes on FCDI’s income from Century under this Agreement. Without prejudice to the generality of the foregoing, all payments due under this</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Agreement shall be made without deduction for taxes, assessments, or other charges of any kind which may be imposed on FCDI with respect to any amounts payable to FCDI pursuant to this Agreement. All such taxes, assessments, or other charges shall be assumed by Century or its Sublicensee(s). If any deduction or withholding is required by law, Century shall pay to FCDI such amount as shall, after the deduction or withholding has been made, leave FCDI with the same amount as it would have been entitled to receive without such deduction or withholding.</w:t>
      </w:r>
    </w:p>
    <w:p>
      <w:pPr>
        <w:spacing w:after="0" w:line="144"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4"/>
          <w:szCs w:val="14"/>
          <w:b w:val="1"/>
          <w:bCs w:val="1"/>
          <w:u w:val="single" w:color="auto"/>
          <w:color w:val="auto"/>
        </w:rPr>
        <w:t xml:space="preserve">Force Majeure. </w:t>
      </w:r>
      <w:r>
        <w:rPr>
          <w:rFonts w:ascii="Arial" w:cs="Arial" w:eastAsia="Arial" w:hAnsi="Arial"/>
          <w:sz w:val="14"/>
          <w:szCs w:val="14"/>
          <w:color w:val="auto"/>
        </w:rPr>
        <w:t>Neither Party will be responsible for delays resulting from causes beyond the reasonable control of such Party, including fire, explosion, flood, war, strike, or riot,</w:t>
      </w:r>
      <w:r>
        <w:rPr>
          <w:rFonts w:ascii="Arial" w:cs="Arial" w:eastAsia="Arial" w:hAnsi="Arial"/>
          <w:sz w:val="14"/>
          <w:szCs w:val="14"/>
          <w:b w:val="1"/>
          <w:bCs w:val="1"/>
          <w:u w:val="single" w:color="auto"/>
          <w:color w:val="auto"/>
        </w:rPr>
        <w:t xml:space="preserve">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nonperforming Party uses commercially reasonable efforts for a company of its size and resources to avoid or remove such causes of nonperformance and continues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under this Agreement with reasonable dispatch whenever such causes are removed.</w:t>
      </w:r>
    </w:p>
    <w:p>
      <w:pPr>
        <w:spacing w:after="0" w:line="135"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b w:val="1"/>
          <w:bCs w:val="1"/>
          <w:u w:val="single" w:color="auto"/>
          <w:color w:val="auto"/>
        </w:rPr>
        <w:t xml:space="preserve">Publicity. </w:t>
      </w:r>
      <w:r>
        <w:rPr>
          <w:rFonts w:ascii="Arial" w:cs="Arial" w:eastAsia="Arial" w:hAnsi="Arial"/>
          <w:sz w:val="14"/>
          <w:szCs w:val="14"/>
          <w:color w:val="auto"/>
        </w:rPr>
        <w:t>Except as expressly permitted in the Reprogramming License Agreement, Century and its Affiliates shall not use the name of FCDI in any other form of publicity or logo</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without the prior written approval of the entity or person whose name is being used. Notwithstanding the foregoing:</w:t>
      </w:r>
    </w:p>
    <w:p>
      <w:pPr>
        <w:spacing w:after="0" w:line="127" w:lineRule="exact"/>
        <w:rPr>
          <w:sz w:val="20"/>
          <w:szCs w:val="20"/>
          <w:color w:val="auto"/>
        </w:rPr>
      </w:pPr>
    </w:p>
    <w:p>
      <w:pPr>
        <w:ind w:left="1360" w:hanging="264"/>
        <w:spacing w:after="0"/>
        <w:tabs>
          <w:tab w:leader="none" w:pos="136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FCDI shall have the right to disclose to existing and potential customers the fact that FCDI has entered into this Agreement with Century;</w:t>
      </w:r>
    </w:p>
    <w:p>
      <w:pPr>
        <w:spacing w:after="0" w:line="184" w:lineRule="exact"/>
        <w:rPr>
          <w:rFonts w:ascii="Arial" w:cs="Arial" w:eastAsia="Arial" w:hAnsi="Arial"/>
          <w:sz w:val="14"/>
          <w:szCs w:val="14"/>
          <w:color w:val="auto"/>
        </w:rPr>
      </w:pPr>
    </w:p>
    <w:p>
      <w:pPr>
        <w:ind w:left="1360" w:hanging="264"/>
        <w:spacing w:after="0" w:line="288" w:lineRule="auto"/>
        <w:tabs>
          <w:tab w:leader="none" w:pos="1360" w:val="left"/>
        </w:tabs>
        <w:numPr>
          <w:ilvl w:val="0"/>
          <w:numId w:val="369"/>
        </w:numPr>
        <w:rPr>
          <w:rFonts w:ascii="Arial" w:cs="Arial" w:eastAsia="Arial" w:hAnsi="Arial"/>
          <w:sz w:val="14"/>
          <w:szCs w:val="14"/>
          <w:color w:val="auto"/>
        </w:rPr>
      </w:pPr>
      <w:r>
        <w:rPr>
          <w:rFonts w:ascii="Arial" w:cs="Arial" w:eastAsia="Arial" w:hAnsi="Arial"/>
          <w:sz w:val="14"/>
          <w:szCs w:val="14"/>
          <w:color w:val="auto"/>
        </w:rPr>
        <w:t>Century shall have the right to disclose the fact that Century has entered into this Agreement with FCDI and the terms and conditions of this Agreement to (i) existing and potential investors, lenders, sublicensees,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18/24</w:t>
            </w:r>
          </w:p>
        </w:tc>
      </w:tr>
    </w:tbl>
    <w:p>
      <w:pPr>
        <w:sectPr>
          <w:pgSz w:w="11900" w:h="16838" w:orient="portrait"/>
          <w:cols w:equalWidth="0" w:num="1">
            <w:col w:w="11280"/>
          </w:cols>
          <w:pgMar w:left="300" w:top="582" w:right="319" w:bottom="1440" w:gutter="0" w:footer="0" w:header="0"/>
        </w:sectPr>
      </w:pPr>
    </w:p>
    <w:bookmarkStart w:id="519" w:name="page520"/>
    <w:bookmarkEnd w:id="519"/>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267" w:lineRule="auto"/>
        <w:rPr>
          <w:sz w:val="20"/>
          <w:szCs w:val="20"/>
          <w:color w:val="auto"/>
        </w:rPr>
      </w:pPr>
      <w:r>
        <w:rPr>
          <w:rFonts w:ascii="Arial" w:cs="Arial" w:eastAsia="Arial" w:hAnsi="Arial"/>
          <w:sz w:val="14"/>
          <w:szCs w:val="14"/>
          <w:color w:val="auto"/>
        </w:rPr>
        <w:t xml:space="preserve">licensees, licensors, or collaborators, and (ii) acquirers or merger partners that have entered into a letter of intent or are actively negotiating a definitive acquisition or merger agreement with Century, in each case on a need to know basis and provided, that, prior to disclosure of any of the terms and conditions hereof to any such Third Party, such Third Party is obligated by written or professional ethical obligations of confidentiality and non-use substantially as restrictive as the provisions of </w:t>
      </w:r>
      <w:r>
        <w:rPr>
          <w:rFonts w:ascii="Arial" w:cs="Arial" w:eastAsia="Arial" w:hAnsi="Arial"/>
          <w:sz w:val="14"/>
          <w:szCs w:val="14"/>
          <w:b w:val="1"/>
          <w:bCs w:val="1"/>
          <w:color w:val="auto"/>
        </w:rPr>
        <w:t>Article 7</w:t>
      </w:r>
      <w:r>
        <w:rPr>
          <w:rFonts w:ascii="Arial" w:cs="Arial" w:eastAsia="Arial" w:hAnsi="Arial"/>
          <w:sz w:val="14"/>
          <w:szCs w:val="14"/>
          <w:color w:val="auto"/>
        </w:rPr>
        <w:t xml:space="preserve"> hereof and that Century will be responsible for any breach of such obligations by any such Third Party; and</w:t>
      </w:r>
    </w:p>
    <w:p>
      <w:pPr>
        <w:spacing w:after="0" w:line="147" w:lineRule="exact"/>
        <w:rPr>
          <w:sz w:val="20"/>
          <w:szCs w:val="20"/>
          <w:color w:val="auto"/>
        </w:rPr>
      </w:pPr>
    </w:p>
    <w:p>
      <w:pPr>
        <w:jc w:val="both"/>
        <w:ind w:left="1360" w:hanging="264"/>
        <w:spacing w:after="0" w:line="267" w:lineRule="auto"/>
        <w:tabs>
          <w:tab w:leader="none" w:pos="1360" w:val="left"/>
        </w:tabs>
        <w:numPr>
          <w:ilvl w:val="0"/>
          <w:numId w:val="370"/>
        </w:numPr>
        <w:rPr>
          <w:rFonts w:ascii="Arial" w:cs="Arial" w:eastAsia="Arial" w:hAnsi="Arial"/>
          <w:sz w:val="14"/>
          <w:szCs w:val="14"/>
          <w:color w:val="auto"/>
        </w:rPr>
      </w:pPr>
      <w:r>
        <w:rPr>
          <w:rFonts w:ascii="Arial" w:cs="Arial" w:eastAsia="Arial" w:hAnsi="Arial"/>
          <w:sz w:val="14"/>
          <w:szCs w:val="14"/>
          <w:color w:val="auto"/>
        </w:rPr>
        <w:t>Either Party may disclose the name or logo of the other Party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three (3) business days advance written notice of any such legally required disclosure to comment and the disclosing Party shall reasonably consider such comments provided by such other Party on the proposed disclosure.</w:t>
      </w:r>
    </w:p>
    <w:p>
      <w:pPr>
        <w:spacing w:after="0" w:line="143" w:lineRule="exact"/>
        <w:rPr>
          <w:sz w:val="20"/>
          <w:szCs w:val="20"/>
          <w:color w:val="auto"/>
        </w:rPr>
      </w:pPr>
    </w:p>
    <w:p>
      <w:pPr>
        <w:jc w:val="both"/>
        <w:ind w:left="520" w:hanging="517"/>
        <w:spacing w:after="0" w:line="296" w:lineRule="auto"/>
        <w:tabs>
          <w:tab w:leader="none" w:pos="50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3"/>
          <w:szCs w:val="13"/>
          <w:b w:val="1"/>
          <w:bCs w:val="1"/>
          <w:u w:val="single" w:color="auto"/>
          <w:color w:val="auto"/>
        </w:rPr>
        <w:t xml:space="preserve">Notices. </w:t>
      </w:r>
      <w:r>
        <w:rPr>
          <w:rFonts w:ascii="Arial" w:cs="Arial" w:eastAsia="Arial" w:hAnsi="Arial"/>
          <w:sz w:val="13"/>
          <w:szCs w:val="13"/>
          <w:color w:val="auto"/>
        </w:rPr>
        <w:t>All notices, consents or approvals required or permitted hereunder must be written and sent to a Party at its address as set forth on page one of this Agreement and in accordance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of this </w:t>
      </w:r>
      <w:r>
        <w:rPr>
          <w:rFonts w:ascii="Arial" w:cs="Arial" w:eastAsia="Arial" w:hAnsi="Arial"/>
          <w:sz w:val="13"/>
          <w:szCs w:val="13"/>
          <w:b w:val="1"/>
          <w:bCs w:val="1"/>
          <w:color w:val="auto"/>
        </w:rPr>
        <w:t>Section 10.5</w:t>
      </w:r>
      <w:r>
        <w:rPr>
          <w:rFonts w:ascii="Arial" w:cs="Arial" w:eastAsia="Arial" w:hAnsi="Arial"/>
          <w:sz w:val="13"/>
          <w:szCs w:val="13"/>
          <w:color w:val="auto"/>
        </w:rPr>
        <w:t xml:space="preserve"> or to such other address of a Party designated for such purpose by written notice given to the other Party in accordance with this </w:t>
      </w:r>
      <w:r>
        <w:rPr>
          <w:rFonts w:ascii="Arial" w:cs="Arial" w:eastAsia="Arial" w:hAnsi="Arial"/>
          <w:sz w:val="13"/>
          <w:szCs w:val="13"/>
          <w:b w:val="1"/>
          <w:bCs w:val="1"/>
          <w:color w:val="auto"/>
        </w:rPr>
        <w:t>Section 10.5</w:t>
      </w:r>
      <w:r>
        <w:rPr>
          <w:rFonts w:ascii="Arial" w:cs="Arial" w:eastAsia="Arial" w:hAnsi="Arial"/>
          <w:sz w:val="13"/>
          <w:szCs w:val="13"/>
          <w:color w:val="auto"/>
        </w:rPr>
        <w:t>. All notices must be given: (a) by personal delivery, with receipt acknowledged; (b) by facsimile followed by hard copy delivered by the methods under (c) or (d); (c) by prepaid certified or registered mail, return receipt requested; or (d) by prepaid recognized next business day delivery service. Notices shall be effective upon receipt or as stated in the notice.</w:t>
      </w:r>
    </w:p>
    <w:p>
      <w:pPr>
        <w:spacing w:after="0" w:line="126"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b w:val="1"/>
          <w:bCs w:val="1"/>
          <w:u w:val="single" w:color="auto"/>
          <w:color w:val="auto"/>
        </w:rPr>
        <w:t xml:space="preserve">Assignment. </w:t>
      </w:r>
      <w:r>
        <w:rPr>
          <w:rFonts w:ascii="Arial" w:cs="Arial" w:eastAsia="Arial" w:hAnsi="Arial"/>
          <w:sz w:val="14"/>
          <w:szCs w:val="14"/>
          <w:color w:val="auto"/>
        </w:rPr>
        <w:t>This Agreement, and the rights and obligations hereunder, may not be assigned or transferred by either Party without the prior written consent of the other Party. Either Party</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may, however, assign this Agreement, in whole or in part, to an Affiliate, or in connection with a merger, consolidation, or a sale or transfer of all or substantially all of the assets to which this Agreement relates. Any assignment or transfer in circumvention of the foregoing shall be null and void.</w:t>
      </w:r>
    </w:p>
    <w:p>
      <w:pPr>
        <w:spacing w:after="0" w:line="135" w:lineRule="exact"/>
        <w:rPr>
          <w:sz w:val="20"/>
          <w:szCs w:val="20"/>
          <w:color w:val="auto"/>
        </w:rPr>
      </w:pPr>
    </w:p>
    <w:p>
      <w:pPr>
        <w:jc w:val="both"/>
        <w:ind w:left="520" w:right="60" w:hanging="517"/>
        <w:spacing w:after="0" w:line="280" w:lineRule="auto"/>
        <w:tabs>
          <w:tab w:leader="none" w:pos="50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3"/>
          <w:szCs w:val="13"/>
          <w:b w:val="1"/>
          <w:bCs w:val="1"/>
          <w:u w:val="single" w:color="auto"/>
          <w:color w:val="auto"/>
        </w:rPr>
        <w:t xml:space="preserve">Entire Agreement. </w:t>
      </w:r>
      <w:r>
        <w:rPr>
          <w:rFonts w:ascii="Arial" w:cs="Arial" w:eastAsia="Arial" w:hAnsi="Arial"/>
          <w:sz w:val="13"/>
          <w:szCs w:val="13"/>
          <w:color w:val="auto"/>
        </w:rPr>
        <w:t>This Agreement (together with the applicable Exhibit(s)) and the Reprogramming License Agreement and the Differentiation License Agreement constitute the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entire agreement of the Parties with regard to its subject matter, and supersedes all previous written or oral representations, agreements and understandings between Century and FCDI. For the avoidance of doubt, nothing herein nor any modification or the expiration or termination hereof is intended to or shall modify or otherwise affect either the Reprogramming License Agreement and the Differentiation License Agreement except that (a) </w:t>
      </w:r>
      <w:r>
        <w:rPr>
          <w:rFonts w:ascii="Arial" w:cs="Arial" w:eastAsia="Arial" w:hAnsi="Arial"/>
          <w:sz w:val="13"/>
          <w:szCs w:val="13"/>
          <w:b w:val="1"/>
          <w:bCs w:val="1"/>
          <w:color w:val="auto"/>
        </w:rPr>
        <w:t>Section 5.2</w:t>
      </w:r>
      <w:r>
        <w:rPr>
          <w:rFonts w:ascii="Arial" w:cs="Arial" w:eastAsia="Arial" w:hAnsi="Arial"/>
          <w:sz w:val="13"/>
          <w:szCs w:val="13"/>
          <w:color w:val="auto"/>
        </w:rPr>
        <w:t xml:space="preserve"> and </w:t>
      </w:r>
      <w:r>
        <w:rPr>
          <w:rFonts w:ascii="Arial" w:cs="Arial" w:eastAsia="Arial" w:hAnsi="Arial"/>
          <w:sz w:val="13"/>
          <w:szCs w:val="13"/>
          <w:b w:val="1"/>
          <w:bCs w:val="1"/>
          <w:color w:val="auto"/>
        </w:rPr>
        <w:t>Section 5.3</w:t>
      </w:r>
      <w:r>
        <w:rPr>
          <w:rFonts w:ascii="Arial" w:cs="Arial" w:eastAsia="Arial" w:hAnsi="Arial"/>
          <w:sz w:val="13"/>
          <w:szCs w:val="13"/>
          <w:color w:val="auto"/>
        </w:rPr>
        <w:t xml:space="preserve"> hereof modify in part Section 3.5(b) of the Reprogramming License Agreement, (b) the provisions of </w:t>
      </w:r>
      <w:r>
        <w:rPr>
          <w:rFonts w:ascii="Arial" w:cs="Arial" w:eastAsia="Arial" w:hAnsi="Arial"/>
          <w:sz w:val="13"/>
          <w:szCs w:val="13"/>
          <w:b w:val="1"/>
          <w:bCs w:val="1"/>
          <w:color w:val="auto"/>
        </w:rPr>
        <w:t>Section 6.2(b</w:t>
      </w:r>
      <w:r>
        <w:rPr>
          <w:rFonts w:ascii="Arial" w:cs="Arial" w:eastAsia="Arial" w:hAnsi="Arial"/>
          <w:sz w:val="13"/>
          <w:szCs w:val="13"/>
          <w:color w:val="auto"/>
        </w:rPr>
        <w:t xml:space="preserve">) and </w:t>
      </w:r>
      <w:r>
        <w:rPr>
          <w:rFonts w:ascii="Arial" w:cs="Arial" w:eastAsia="Arial" w:hAnsi="Arial"/>
          <w:sz w:val="13"/>
          <w:szCs w:val="13"/>
          <w:b w:val="1"/>
          <w:bCs w:val="1"/>
          <w:color w:val="auto"/>
        </w:rPr>
        <w:t>Section 6.2(c</w:t>
      </w:r>
      <w:r>
        <w:rPr>
          <w:rFonts w:ascii="Arial" w:cs="Arial" w:eastAsia="Arial" w:hAnsi="Arial"/>
          <w:sz w:val="13"/>
          <w:szCs w:val="13"/>
          <w:color w:val="auto"/>
        </w:rPr>
        <w:t>) hereof regarding FCDI’s ownership of certain Deliverables and the unauthorized uses and activities with respect to Deliverables described therein affect the licenses and other rights granted to Century under the Reprogramming License Agreement and/or the Differentiation License Agreement, and</w:t>
      </w:r>
    </w:p>
    <w:p>
      <w:pPr>
        <w:spacing w:after="0" w:line="3" w:lineRule="exact"/>
        <w:rPr>
          <w:sz w:val="20"/>
          <w:szCs w:val="20"/>
          <w:color w:val="auto"/>
        </w:rPr>
      </w:pPr>
    </w:p>
    <w:p>
      <w:pPr>
        <w:ind w:left="520" w:right="80" w:firstLine="4"/>
        <w:spacing w:after="0" w:line="274" w:lineRule="auto"/>
        <w:tabs>
          <w:tab w:leader="none" w:pos="741" w:val="left"/>
        </w:tabs>
        <w:numPr>
          <w:ilvl w:val="0"/>
          <w:numId w:val="371"/>
        </w:numPr>
        <w:rPr>
          <w:rFonts w:ascii="Arial" w:cs="Arial" w:eastAsia="Arial" w:hAnsi="Arial"/>
          <w:sz w:val="14"/>
          <w:szCs w:val="14"/>
          <w:color w:val="auto"/>
        </w:rPr>
      </w:pPr>
      <w:r>
        <w:rPr>
          <w:rFonts w:ascii="Arial" w:cs="Arial" w:eastAsia="Arial" w:hAnsi="Arial"/>
          <w:sz w:val="14"/>
          <w:szCs w:val="14"/>
          <w:color w:val="auto"/>
        </w:rPr>
        <w:t xml:space="preserve">the additional licenses granted to Century by FCDI in </w:t>
      </w:r>
      <w:r>
        <w:rPr>
          <w:rFonts w:ascii="Arial" w:cs="Arial" w:eastAsia="Arial" w:hAnsi="Arial"/>
          <w:sz w:val="14"/>
          <w:szCs w:val="14"/>
          <w:b w:val="1"/>
          <w:bCs w:val="1"/>
          <w:color w:val="auto"/>
        </w:rPr>
        <w:t>Sections 6.2(b</w:t>
      </w:r>
      <w:r>
        <w:rPr>
          <w:rFonts w:ascii="Arial" w:cs="Arial" w:eastAsia="Arial" w:hAnsi="Arial"/>
          <w:sz w:val="14"/>
          <w:szCs w:val="14"/>
          <w:color w:val="auto"/>
        </w:rPr>
        <w:t xml:space="preserve">) and </w:t>
      </w:r>
      <w:r>
        <w:rPr>
          <w:rFonts w:ascii="Arial" w:cs="Arial" w:eastAsia="Arial" w:hAnsi="Arial"/>
          <w:sz w:val="14"/>
          <w:szCs w:val="14"/>
          <w:b w:val="1"/>
          <w:bCs w:val="1"/>
          <w:color w:val="auto"/>
        </w:rPr>
        <w:t>6.2(c</w:t>
      </w:r>
      <w:r>
        <w:rPr>
          <w:rFonts w:ascii="Arial" w:cs="Arial" w:eastAsia="Arial" w:hAnsi="Arial"/>
          <w:sz w:val="14"/>
          <w:szCs w:val="14"/>
          <w:color w:val="auto"/>
        </w:rPr>
        <w:t>) supplement and thereby affect the licenses and other rights granted to Century under the Reprogramming License Agreement and/or the Differentiation License Agreement.</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3"/>
          <w:szCs w:val="13"/>
          <w:b w:val="1"/>
          <w:bCs w:val="1"/>
          <w:u w:val="single" w:color="auto"/>
          <w:color w:val="auto"/>
        </w:rPr>
        <w:t xml:space="preserve">No Modification. </w:t>
      </w:r>
      <w:r>
        <w:rPr>
          <w:rFonts w:ascii="Arial" w:cs="Arial" w:eastAsia="Arial" w:hAnsi="Arial"/>
          <w:sz w:val="13"/>
          <w:szCs w:val="13"/>
          <w:color w:val="auto"/>
        </w:rPr>
        <w:t>The provisions of this Agreement may be changed only by a writing signed by authorized representatives of both Parties.</w:t>
      </w:r>
    </w:p>
    <w:p>
      <w:pPr>
        <w:spacing w:after="0" w:line="206"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3"/>
          <w:szCs w:val="13"/>
          <w:b w:val="1"/>
          <w:bCs w:val="1"/>
          <w:u w:val="single" w:color="auto"/>
          <w:color w:val="auto"/>
        </w:rPr>
        <w:t xml:space="preserve">Severability; Reformation. </w:t>
      </w:r>
      <w:r>
        <w:rPr>
          <w:rFonts w:ascii="Arial" w:cs="Arial" w:eastAsia="Arial" w:hAnsi="Arial"/>
          <w:sz w:val="13"/>
          <w:szCs w:val="13"/>
          <w:color w:val="auto"/>
        </w:rPr>
        <w:t>Each provision in this Agreement is independent and severable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19/24</w:t>
            </w:r>
          </w:p>
        </w:tc>
      </w:tr>
    </w:tbl>
    <w:p>
      <w:pPr>
        <w:sectPr>
          <w:pgSz w:w="11900" w:h="16838" w:orient="portrait"/>
          <w:cols w:equalWidth="0" w:num="1">
            <w:col w:w="11280"/>
          </w:cols>
          <w:pgMar w:left="300" w:top="582" w:right="319" w:bottom="1440" w:gutter="0" w:footer="0" w:header="0"/>
        </w:sectPr>
      </w:pPr>
    </w:p>
    <w:bookmarkStart w:id="520" w:name="page521"/>
    <w:bookmarkEnd w:id="520"/>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520"/>
        <w:spacing w:after="0" w:line="329" w:lineRule="auto"/>
        <w:rPr>
          <w:sz w:val="20"/>
          <w:szCs w:val="20"/>
          <w:color w:val="auto"/>
        </w:rPr>
      </w:pPr>
      <w:r>
        <w:rPr>
          <w:rFonts w:ascii="Arial" w:cs="Arial" w:eastAsia="Arial" w:hAnsi="Arial"/>
          <w:sz w:val="13"/>
          <w:szCs w:val="13"/>
          <w:color w:val="auto"/>
        </w:rPr>
        <w:t>from the others, and no provision shall be rendered unenforceable as a result of any other provision(s) being held to be invalid or unenforceable in whole or in part. If any provision of this Agreement is invalid, unenforceable or too broad, that provision shall be appropriately limited and reformed to the maximum extent permitted by applicable law.</w:t>
      </w:r>
    </w:p>
    <w:p>
      <w:pPr>
        <w:spacing w:after="0" w:line="104"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4"/>
          <w:szCs w:val="14"/>
          <w:b w:val="1"/>
          <w:bCs w:val="1"/>
          <w:u w:val="single" w:color="auto"/>
          <w:color w:val="auto"/>
        </w:rPr>
        <w:t xml:space="preserve">Governing Law and Jurisdiction. </w:t>
      </w:r>
      <w:r>
        <w:rPr>
          <w:rFonts w:ascii="Arial" w:cs="Arial" w:eastAsia="Arial" w:hAnsi="Arial"/>
          <w:sz w:val="14"/>
          <w:szCs w:val="14"/>
          <w:color w:val="auto"/>
        </w:rPr>
        <w:t>This Agreement shall be construed and interpreted, and its performance shall be, governed by the laws of the State of Wisconsin, without giving effect</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to the doctrine of conflict of laws.</w:t>
      </w:r>
    </w:p>
    <w:p>
      <w:pPr>
        <w:spacing w:after="0" w:line="123"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10.11</w:t>
      </w:r>
      <w:r>
        <w:rPr>
          <w:sz w:val="20"/>
          <w:szCs w:val="20"/>
          <w:color w:val="auto"/>
        </w:rPr>
        <w:tab/>
      </w:r>
      <w:r>
        <w:rPr>
          <w:rFonts w:ascii="Arial" w:cs="Arial" w:eastAsia="Arial" w:hAnsi="Arial"/>
          <w:sz w:val="14"/>
          <w:szCs w:val="14"/>
          <w:b w:val="1"/>
          <w:bCs w:val="1"/>
          <w:u w:val="single" w:color="auto"/>
          <w:color w:val="auto"/>
        </w:rPr>
        <w:t xml:space="preserve">Waiver. </w:t>
      </w:r>
      <w:r>
        <w:rPr>
          <w:rFonts w:ascii="Arial" w:cs="Arial" w:eastAsia="Arial" w:hAnsi="Arial"/>
          <w:sz w:val="14"/>
          <w:szCs w:val="14"/>
          <w:color w:val="auto"/>
        </w:rPr>
        <w:t>No waiver of any term, provision or condition of this Agreement (whether by conduct or otherwise) in any one or more instances shall be deemed to be or construed as a further</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or continuing waiver of any such term, provision or condition of this Agreement.</w:t>
      </w:r>
    </w:p>
    <w:p>
      <w:pPr>
        <w:spacing w:after="0" w:line="123"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4"/>
          <w:szCs w:val="14"/>
          <w:b w:val="1"/>
          <w:bCs w:val="1"/>
          <w:u w:val="single" w:color="auto"/>
          <w:color w:val="auto"/>
        </w:rPr>
        <w:t xml:space="preserve">Counterparts and Signatures. </w:t>
      </w:r>
      <w:r>
        <w:rPr>
          <w:rFonts w:ascii="Arial" w:cs="Arial" w:eastAsia="Arial" w:hAnsi="Arial"/>
          <w:sz w:val="14"/>
          <w:szCs w:val="14"/>
          <w:color w:val="auto"/>
        </w:rPr>
        <w:t>This Agreement may be executed in one or more counterparts, each of which shall be deemed an original, and all of which together shall be deemed to be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one and the same instrument. Signatures to this Agreement transmitted by facsimile transmission, by electronic mail in “portable document format” (“.pdf”) form, or by any other electronic means intended to preserve the originals graphic and pictorial appearance of a document, shall have the same effect as physical delivery of the paper document bearing the original signatures, and shall be deemed original signatures by both Parties.</w:t>
      </w:r>
    </w:p>
    <w:p>
      <w:pPr>
        <w:spacing w:after="0" w:line="141"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10.13</w:t>
      </w:r>
      <w:r>
        <w:rPr>
          <w:sz w:val="20"/>
          <w:szCs w:val="20"/>
          <w:color w:val="auto"/>
        </w:rPr>
        <w:tab/>
      </w:r>
      <w:r>
        <w:rPr>
          <w:rFonts w:ascii="Arial" w:cs="Arial" w:eastAsia="Arial" w:hAnsi="Arial"/>
          <w:sz w:val="14"/>
          <w:szCs w:val="14"/>
          <w:b w:val="1"/>
          <w:bCs w:val="1"/>
          <w:u w:val="single" w:color="auto"/>
          <w:color w:val="auto"/>
        </w:rPr>
        <w:t xml:space="preserve">Headings; Use of Certain Words. </w:t>
      </w:r>
      <w:r>
        <w:rPr>
          <w:rFonts w:ascii="Arial" w:cs="Arial" w:eastAsia="Arial" w:hAnsi="Arial"/>
          <w:sz w:val="14"/>
          <w:szCs w:val="14"/>
          <w:color w:val="auto"/>
        </w:rPr>
        <w:t>This Agreement contains headings only for convenience and the headings do not constitute or form a part of this Agreement, and should not be used in</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the construction of this Agreement. As used herein, the words “include” or “including” shall be construed as incorporating, also, “but not limited to” or “without limitation;” words of any gender include each other gender, and words using the singular or plural number also include the plural or singular number, respectively.</w:t>
      </w:r>
    </w:p>
    <w:p>
      <w:pPr>
        <w:spacing w:after="0" w:line="135"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10.14</w:t>
      </w:r>
      <w:r>
        <w:rPr>
          <w:sz w:val="20"/>
          <w:szCs w:val="20"/>
          <w:color w:val="auto"/>
        </w:rPr>
        <w:tab/>
      </w:r>
      <w:r>
        <w:rPr>
          <w:rFonts w:ascii="Arial" w:cs="Arial" w:eastAsia="Arial" w:hAnsi="Arial"/>
          <w:sz w:val="12"/>
          <w:szCs w:val="12"/>
          <w:b w:val="1"/>
          <w:bCs w:val="1"/>
          <w:u w:val="single" w:color="auto"/>
          <w:color w:val="auto"/>
        </w:rPr>
        <w:t>Dispute Resolution</w:t>
      </w:r>
      <w:r>
        <w:rPr>
          <w:rFonts w:ascii="Arial" w:cs="Arial" w:eastAsia="Arial" w:hAnsi="Arial"/>
          <w:sz w:val="12"/>
          <w:szCs w:val="12"/>
          <w:color w:val="auto"/>
        </w:rPr>
        <w:t>.</w:t>
      </w:r>
    </w:p>
    <w:p>
      <w:pPr>
        <w:spacing w:after="0" w:line="188" w:lineRule="exact"/>
        <w:rPr>
          <w:sz w:val="20"/>
          <w:szCs w:val="20"/>
          <w:color w:val="auto"/>
        </w:rPr>
      </w:pPr>
    </w:p>
    <w:p>
      <w:pPr>
        <w:jc w:val="both"/>
        <w:ind w:left="660" w:hanging="524"/>
        <w:spacing w:after="0" w:line="267" w:lineRule="auto"/>
        <w:tabs>
          <w:tab w:leader="none" w:pos="66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 xml:space="preserve">If any dispute arises out of or relates to this Agreement, the Parties agree to first seek to resolve such dispute by referring such dispute to the respective Chief Executive Officers of each Party for resolution. Such referral shall take place within thirty (30) days after a written request by either Party to the other Party that resolution by the Chief Executive Officers be attempted. If, within sixty (60) days following the dispute being referred to the Chief Executive Officers of the Parties, the Chief Executive Officers of the Parties have not resolved the dispute, and a Party wishes to pursue the matter, such Party may initiate binding arbitration in accordance with </w:t>
      </w:r>
      <w:r>
        <w:rPr>
          <w:rFonts w:ascii="Arial" w:cs="Arial" w:eastAsia="Arial" w:hAnsi="Arial"/>
          <w:sz w:val="14"/>
          <w:szCs w:val="14"/>
          <w:b w:val="1"/>
          <w:bCs w:val="1"/>
          <w:color w:val="auto"/>
        </w:rPr>
        <w:t>Section 10.14</w:t>
      </w:r>
      <w:r>
        <w:rPr>
          <w:rFonts w:ascii="Arial" w:cs="Arial" w:eastAsia="Arial" w:hAnsi="Arial"/>
          <w:sz w:val="14"/>
          <w:szCs w:val="14"/>
          <w:color w:val="auto"/>
        </w:rPr>
        <w:t>.</w:t>
      </w:r>
    </w:p>
    <w:p>
      <w:pPr>
        <w:spacing w:after="0" w:line="142" w:lineRule="exact"/>
        <w:rPr>
          <w:rFonts w:ascii="Arial" w:cs="Arial" w:eastAsia="Arial" w:hAnsi="Arial"/>
          <w:sz w:val="14"/>
          <w:szCs w:val="14"/>
          <w:color w:val="auto"/>
        </w:rPr>
      </w:pPr>
    </w:p>
    <w:p>
      <w:pPr>
        <w:jc w:val="both"/>
        <w:ind w:left="660" w:hanging="524"/>
        <w:spacing w:after="0" w:line="291" w:lineRule="auto"/>
        <w:tabs>
          <w:tab w:leader="none" w:pos="660" w:val="left"/>
        </w:tabs>
        <w:numPr>
          <w:ilvl w:val="0"/>
          <w:numId w:val="372"/>
        </w:numPr>
        <w:rPr>
          <w:rFonts w:ascii="Arial" w:cs="Arial" w:eastAsia="Arial" w:hAnsi="Arial"/>
          <w:sz w:val="13"/>
          <w:szCs w:val="13"/>
          <w:color w:val="auto"/>
        </w:rPr>
      </w:pPr>
      <w:r>
        <w:rPr>
          <w:rFonts w:ascii="Arial" w:cs="Arial" w:eastAsia="Arial" w:hAnsi="Arial"/>
          <w:sz w:val="13"/>
          <w:szCs w:val="13"/>
          <w:color w:val="auto"/>
        </w:rPr>
        <w:t xml:space="preserve">Any dispute arising out of or relating to this Agreement that has not been resolved pursuant to </w:t>
      </w:r>
      <w:r>
        <w:rPr>
          <w:rFonts w:ascii="Arial" w:cs="Arial" w:eastAsia="Arial" w:hAnsi="Arial"/>
          <w:sz w:val="13"/>
          <w:szCs w:val="13"/>
          <w:b w:val="1"/>
          <w:bCs w:val="1"/>
          <w:color w:val="auto"/>
        </w:rPr>
        <w:t>Section 10.14(a</w:t>
      </w:r>
      <w:r>
        <w:rPr>
          <w:rFonts w:ascii="Arial" w:cs="Arial" w:eastAsia="Arial" w:hAnsi="Arial"/>
          <w:sz w:val="13"/>
          <w:szCs w:val="13"/>
          <w:color w:val="auto"/>
        </w:rPr>
        <w:t>) shall be exclusively and finally settled, in Tokyo in the event Century is the claimant requesting arbitration and in New York in the event FCDI is the claimant requesting arbitration, under the Rules of Arbitration of the International Chamber of Commerce. The arbitral tribunal shall consist of three arbitrators, one selected by the claimant in the request for arbitration, the second selected by the respondent within thirty (30) days of receipt of the request for arbitration, and the third, who shall act as presiding arbitrator, selected by the two-party appointed arbitrators within thirty (30) days of the selection of the second arbitrator. If any arbitrators are not selected within these time periods, the International Court of Arbitration shall, upon the request of any Party, make the selection(s).</w:t>
      </w:r>
    </w:p>
    <w:p>
      <w:pPr>
        <w:spacing w:after="0" w:line="129" w:lineRule="exact"/>
        <w:rPr>
          <w:rFonts w:ascii="Arial" w:cs="Arial" w:eastAsia="Arial" w:hAnsi="Arial"/>
          <w:sz w:val="13"/>
          <w:szCs w:val="13"/>
          <w:color w:val="auto"/>
        </w:rPr>
      </w:pPr>
    </w:p>
    <w:p>
      <w:pPr>
        <w:jc w:val="both"/>
        <w:ind w:left="660" w:hanging="524"/>
        <w:spacing w:after="0" w:line="276" w:lineRule="auto"/>
        <w:tabs>
          <w:tab w:leader="none" w:pos="66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 xml:space="preserve">Nothing in this </w:t>
      </w:r>
      <w:r>
        <w:rPr>
          <w:rFonts w:ascii="Arial" w:cs="Arial" w:eastAsia="Arial" w:hAnsi="Arial"/>
          <w:sz w:val="14"/>
          <w:szCs w:val="14"/>
          <w:b w:val="1"/>
          <w:bCs w:val="1"/>
          <w:color w:val="auto"/>
        </w:rPr>
        <w:t>Section 10.14</w:t>
      </w:r>
      <w:r>
        <w:rPr>
          <w:rFonts w:ascii="Arial" w:cs="Arial" w:eastAsia="Arial" w:hAnsi="Arial"/>
          <w:sz w:val="14"/>
          <w:szCs w:val="14"/>
          <w:color w:val="auto"/>
        </w:rPr>
        <w:t xml:space="preserve"> shall be construed as limiting in any way the right of a Party to seek a preliminary injunction or other provisional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20/24</w:t>
            </w:r>
          </w:p>
        </w:tc>
      </w:tr>
    </w:tbl>
    <w:p>
      <w:pPr>
        <w:sectPr>
          <w:pgSz w:w="11900" w:h="16838" w:orient="portrait"/>
          <w:cols w:equalWidth="0" w:num="1">
            <w:col w:w="11280"/>
          </w:cols>
          <w:pgMar w:left="300" w:top="582" w:right="319" w:bottom="1440" w:gutter="0" w:footer="0" w:header="0"/>
        </w:sectPr>
      </w:pPr>
    </w:p>
    <w:bookmarkStart w:id="521" w:name="page522"/>
    <w:bookmarkEnd w:id="521"/>
    <w:p>
      <w:pPr>
        <w:ind w:left="10220"/>
        <w:spacing w:after="0"/>
        <w:rPr>
          <w:sz w:val="20"/>
          <w:szCs w:val="20"/>
          <w:color w:val="auto"/>
        </w:rPr>
      </w:pPr>
      <w:r>
        <w:rPr>
          <w:rFonts w:ascii="Arial" w:cs="Arial" w:eastAsia="Arial" w:hAnsi="Arial"/>
          <w:sz w:val="13"/>
          <w:szCs w:val="13"/>
          <w:color w:val="auto"/>
        </w:rPr>
        <w:t>Execution Version</w:t>
      </w:r>
    </w:p>
    <w:p>
      <w:pPr>
        <w:spacing w:after="0" w:line="196" w:lineRule="exact"/>
        <w:rPr>
          <w:sz w:val="20"/>
          <w:szCs w:val="20"/>
          <w:color w:val="auto"/>
        </w:rPr>
      </w:pPr>
    </w:p>
    <w:p>
      <w:pPr>
        <w:jc w:val="both"/>
        <w:ind w:left="660"/>
        <w:spacing w:after="0" w:line="288" w:lineRule="auto"/>
        <w:rPr>
          <w:sz w:val="20"/>
          <w:szCs w:val="20"/>
          <w:color w:val="auto"/>
        </w:rPr>
      </w:pPr>
      <w:r>
        <w:rPr>
          <w:rFonts w:ascii="Arial" w:cs="Arial" w:eastAsia="Arial" w:hAnsi="Arial"/>
          <w:sz w:val="14"/>
          <w:szCs w:val="14"/>
          <w:color w:val="auto"/>
        </w:rPr>
        <w:t>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Parties have executed this Agreement as of the date first set forth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LLC</w:t>
            </w:r>
          </w:p>
        </w:tc>
        <w:tc>
          <w:tcPr>
            <w:tcW w:w="7400" w:type="dxa"/>
            <w:vAlign w:val="bottom"/>
            <w:gridSpan w:val="2"/>
          </w:tcPr>
          <w:p>
            <w:pPr>
              <w:ind w:left="2340"/>
              <w:spacing w:after="0"/>
              <w:rPr>
                <w:sz w:val="20"/>
                <w:szCs w:val="20"/>
                <w:color w:val="auto"/>
              </w:rPr>
            </w:pPr>
            <w:r>
              <w:rPr>
                <w:rFonts w:ascii="Arial" w:cs="Arial" w:eastAsia="Arial" w:hAnsi="Arial"/>
                <w:sz w:val="14"/>
                <w:szCs w:val="14"/>
                <w:b w:val="1"/>
                <w:bCs w:val="1"/>
                <w:color w:val="auto"/>
              </w:rPr>
              <w:t>FUJIFILM CELLULAR DYNAMICS, INC.</w:t>
            </w:r>
          </w:p>
        </w:tc>
      </w:tr>
      <w:tr>
        <w:trPr>
          <w:trHeight w:val="336"/>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3400" w:type="dxa"/>
            <w:vAlign w:val="bottom"/>
          </w:tcPr>
          <w:p>
            <w:pPr>
              <w:ind w:left="100"/>
              <w:spacing w:after="0"/>
              <w:rPr>
                <w:sz w:val="20"/>
                <w:szCs w:val="20"/>
                <w:color w:val="auto"/>
              </w:rPr>
            </w:pPr>
            <w:r>
              <w:rPr>
                <w:rFonts w:ascii="Arial" w:cs="Arial" w:eastAsia="Arial" w:hAnsi="Arial"/>
                <w:sz w:val="14"/>
                <w:szCs w:val="14"/>
                <w:color w:val="auto"/>
              </w:rPr>
              <w:t>/s/ Osvaldo Flores</w:t>
            </w:r>
          </w:p>
        </w:tc>
        <w:tc>
          <w:tcPr>
            <w:tcW w:w="2800" w:type="dxa"/>
            <w:vAlign w:val="bottom"/>
          </w:tcPr>
          <w:p>
            <w:pPr>
              <w:ind w:left="2340"/>
              <w:spacing w:after="0"/>
              <w:rPr>
                <w:sz w:val="20"/>
                <w:szCs w:val="20"/>
                <w:color w:val="auto"/>
              </w:rPr>
            </w:pPr>
            <w:r>
              <w:rPr>
                <w:rFonts w:ascii="Arial" w:cs="Arial" w:eastAsia="Arial" w:hAnsi="Arial"/>
                <w:sz w:val="14"/>
                <w:szCs w:val="14"/>
                <w:color w:val="auto"/>
              </w:rPr>
              <w:t>By:</w:t>
            </w:r>
          </w:p>
        </w:tc>
        <w:tc>
          <w:tcPr>
            <w:tcW w:w="4600" w:type="dxa"/>
            <w:vAlign w:val="bottom"/>
          </w:tcPr>
          <w:p>
            <w:pPr>
              <w:ind w:left="100"/>
              <w:spacing w:after="0"/>
              <w:rPr>
                <w:sz w:val="20"/>
                <w:szCs w:val="20"/>
                <w:color w:val="auto"/>
              </w:rPr>
            </w:pPr>
            <w:r>
              <w:rPr>
                <w:rFonts w:ascii="Arial" w:cs="Arial" w:eastAsia="Arial" w:hAnsi="Arial"/>
                <w:sz w:val="14"/>
                <w:szCs w:val="14"/>
                <w:color w:val="auto"/>
              </w:rPr>
              <w:t>/s/ Takeshi Yamamato</w:t>
            </w:r>
          </w:p>
        </w:tc>
      </w:tr>
      <w:tr>
        <w:trPr>
          <w:trHeight w:val="173"/>
        </w:trPr>
        <w:tc>
          <w:tcPr>
            <w:tcW w:w="480" w:type="dxa"/>
            <w:vAlign w:val="bottom"/>
          </w:tcPr>
          <w:p>
            <w:pPr>
              <w:spacing w:after="0"/>
              <w:rPr>
                <w:sz w:val="20"/>
                <w:szCs w:val="20"/>
                <w:color w:val="auto"/>
              </w:rPr>
            </w:pPr>
            <w:r>
              <w:rPr>
                <w:rFonts w:ascii="Arial" w:cs="Arial" w:eastAsia="Arial" w:hAnsi="Arial"/>
                <w:sz w:val="14"/>
                <w:szCs w:val="14"/>
                <w:color w:val="auto"/>
              </w:rPr>
              <w:t>Name:</w:t>
            </w:r>
          </w:p>
        </w:tc>
        <w:tc>
          <w:tcPr>
            <w:tcW w:w="3400" w:type="dxa"/>
            <w:vAlign w:val="bottom"/>
          </w:tcPr>
          <w:p>
            <w:pPr>
              <w:ind w:left="100"/>
              <w:spacing w:after="0"/>
              <w:rPr>
                <w:sz w:val="20"/>
                <w:szCs w:val="20"/>
                <w:color w:val="auto"/>
              </w:rPr>
            </w:pPr>
            <w:r>
              <w:rPr>
                <w:rFonts w:ascii="Arial" w:cs="Arial" w:eastAsia="Arial" w:hAnsi="Arial"/>
                <w:sz w:val="14"/>
                <w:szCs w:val="14"/>
                <w:color w:val="auto"/>
              </w:rPr>
              <w:t>Osvaldo (Lalo) Flores, PhD</w:t>
            </w:r>
          </w:p>
        </w:tc>
        <w:tc>
          <w:tcPr>
            <w:tcW w:w="2800" w:type="dxa"/>
            <w:vAlign w:val="bottom"/>
          </w:tcPr>
          <w:p>
            <w:pPr>
              <w:ind w:left="2340"/>
              <w:spacing w:after="0"/>
              <w:rPr>
                <w:sz w:val="20"/>
                <w:szCs w:val="20"/>
                <w:color w:val="auto"/>
              </w:rPr>
            </w:pPr>
            <w:r>
              <w:rPr>
                <w:rFonts w:ascii="Arial" w:cs="Arial" w:eastAsia="Arial" w:hAnsi="Arial"/>
                <w:sz w:val="14"/>
                <w:szCs w:val="14"/>
                <w:color w:val="auto"/>
              </w:rPr>
              <w:t>Name:</w:t>
            </w:r>
          </w:p>
        </w:tc>
        <w:tc>
          <w:tcPr>
            <w:tcW w:w="4600" w:type="dxa"/>
            <w:vAlign w:val="bottom"/>
          </w:tcPr>
          <w:p>
            <w:pPr>
              <w:ind w:left="100"/>
              <w:spacing w:after="0"/>
              <w:rPr>
                <w:sz w:val="20"/>
                <w:szCs w:val="20"/>
                <w:color w:val="auto"/>
              </w:rPr>
            </w:pPr>
            <w:r>
              <w:rPr>
                <w:rFonts w:ascii="Arial" w:cs="Arial" w:eastAsia="Arial" w:hAnsi="Arial"/>
                <w:sz w:val="14"/>
                <w:szCs w:val="14"/>
                <w:color w:val="auto"/>
              </w:rPr>
              <w:t>Takeshi Yamamato</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3400" w:type="dxa"/>
            <w:vAlign w:val="bottom"/>
          </w:tcPr>
          <w:p>
            <w:pPr>
              <w:ind w:left="100"/>
              <w:spacing w:after="0"/>
              <w:rPr>
                <w:sz w:val="20"/>
                <w:szCs w:val="20"/>
                <w:color w:val="auto"/>
              </w:rPr>
            </w:pPr>
            <w:r>
              <w:rPr>
                <w:rFonts w:ascii="Arial" w:cs="Arial" w:eastAsia="Arial" w:hAnsi="Arial"/>
                <w:sz w:val="14"/>
                <w:szCs w:val="14"/>
                <w:color w:val="auto"/>
              </w:rPr>
              <w:t>Chief Executive Officer</w:t>
            </w:r>
          </w:p>
        </w:tc>
        <w:tc>
          <w:tcPr>
            <w:tcW w:w="2800" w:type="dxa"/>
            <w:vAlign w:val="bottom"/>
          </w:tcPr>
          <w:p>
            <w:pPr>
              <w:ind w:left="2340"/>
              <w:spacing w:after="0"/>
              <w:rPr>
                <w:sz w:val="20"/>
                <w:szCs w:val="20"/>
                <w:color w:val="auto"/>
              </w:rPr>
            </w:pPr>
            <w:r>
              <w:rPr>
                <w:rFonts w:ascii="Arial" w:cs="Arial" w:eastAsia="Arial" w:hAnsi="Arial"/>
                <w:sz w:val="14"/>
                <w:szCs w:val="14"/>
                <w:color w:val="auto"/>
              </w:rPr>
              <w:t>Title:</w:t>
            </w:r>
          </w:p>
        </w:tc>
        <w:tc>
          <w:tcPr>
            <w:tcW w:w="4600" w:type="dxa"/>
            <w:vAlign w:val="bottom"/>
          </w:tcPr>
          <w:p>
            <w:pPr>
              <w:ind w:left="100"/>
              <w:spacing w:after="0"/>
              <w:rPr>
                <w:sz w:val="20"/>
                <w:szCs w:val="20"/>
                <w:color w:val="auto"/>
              </w:rPr>
            </w:pPr>
            <w:r>
              <w:rPr>
                <w:rFonts w:ascii="Arial" w:cs="Arial" w:eastAsia="Arial" w:hAnsi="Arial"/>
                <w:sz w:val="14"/>
                <w:szCs w:val="14"/>
                <w:color w:val="auto"/>
              </w:rPr>
              <w:t>President &amp; CEO</w:t>
            </w:r>
          </w:p>
        </w:tc>
      </w:tr>
      <w:tr>
        <w:trPr>
          <w:trHeight w:val="518"/>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Confidential</w:t>
            </w:r>
          </w:p>
        </w:tc>
        <w:tc>
          <w:tcPr>
            <w:tcW w:w="280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21/24</w:t>
            </w: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82" w:right="319" w:bottom="1440" w:gutter="0" w:footer="0" w:header="0"/>
        </w:sectPr>
      </w:pPr>
    </w:p>
    <w:bookmarkStart w:id="522" w:name="page523"/>
    <w:bookmarkEnd w:id="522"/>
    <w:p>
      <w:pPr>
        <w:jc w:val="right"/>
        <w:spacing w:after="0"/>
        <w:rPr>
          <w:sz w:val="20"/>
          <w:szCs w:val="20"/>
          <w:color w:val="auto"/>
        </w:rPr>
      </w:pPr>
      <w:r>
        <w:rPr>
          <w:rFonts w:ascii="Arial" w:cs="Arial" w:eastAsia="Arial" w:hAnsi="Arial"/>
          <w:sz w:val="14"/>
          <w:szCs w:val="14"/>
          <w:color w:val="auto"/>
        </w:rPr>
        <w:t>Execution Version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rPr>
              <w:t>EXHIBIT A</w:t>
            </w:r>
          </w:p>
        </w:tc>
        <w:tc>
          <w:tcPr>
            <w:tcW w:w="6260" w:type="dxa"/>
            <w:vAlign w:val="bottom"/>
            <w:gridSpan w:val="2"/>
          </w:tcPr>
          <w:p>
            <w:pPr>
              <w:ind w:left="1620"/>
              <w:spacing w:after="0"/>
              <w:rPr>
                <w:sz w:val="20"/>
                <w:szCs w:val="20"/>
                <w:color w:val="auto"/>
              </w:rPr>
            </w:pPr>
            <w:r>
              <w:rPr>
                <w:rFonts w:ascii="Arial" w:cs="Arial" w:eastAsia="Arial" w:hAnsi="Arial"/>
                <w:sz w:val="14"/>
                <w:szCs w:val="14"/>
                <w:b w:val="1"/>
                <w:bCs w:val="1"/>
                <w:color w:val="auto"/>
              </w:rPr>
              <w:t>Research Plan</w:t>
            </w:r>
          </w:p>
        </w:tc>
      </w:tr>
      <w:tr>
        <w:trPr>
          <w:trHeight w:val="356"/>
        </w:trPr>
        <w:tc>
          <w:tcPr>
            <w:tcW w:w="3760" w:type="dxa"/>
            <w:vAlign w:val="bottom"/>
          </w:tcPr>
          <w:p>
            <w:pP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518"/>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Confidential</w:t>
            </w:r>
          </w:p>
        </w:tc>
        <w:tc>
          <w:tcPr>
            <w:tcW w:w="2500" w:type="dxa"/>
            <w:vAlign w:val="bottom"/>
            <w:tcBorders>
              <w:bottom w:val="single" w:sz="8" w:color="auto"/>
            </w:tcBorders>
          </w:tcPr>
          <w:p>
            <w:pPr>
              <w:jc w:val="right"/>
              <w:ind w:right="1608"/>
              <w:spacing w:after="0"/>
              <w:rPr>
                <w:sz w:val="20"/>
                <w:szCs w:val="20"/>
                <w:color w:val="auto"/>
              </w:rPr>
            </w:pPr>
            <w:r>
              <w:rPr>
                <w:rFonts w:ascii="Arial" w:cs="Arial" w:eastAsia="Arial" w:hAnsi="Arial"/>
                <w:sz w:val="14"/>
                <w:szCs w:val="14"/>
                <w:color w:val="auto"/>
              </w:rPr>
              <w:t>22/24</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82" w:right="319" w:bottom="1440" w:gutter="0" w:footer="0" w:header="0"/>
        </w:sectPr>
      </w:pPr>
    </w:p>
    <w:bookmarkStart w:id="523" w:name="page524"/>
    <w:bookmarkEnd w:id="523"/>
    <w:p>
      <w:pPr>
        <w:jc w:val="right"/>
        <w:spacing w:after="0"/>
        <w:rPr>
          <w:sz w:val="20"/>
          <w:szCs w:val="20"/>
          <w:color w:val="auto"/>
        </w:rPr>
      </w:pPr>
      <w:r>
        <w:rPr>
          <w:rFonts w:ascii="Arial" w:cs="Arial" w:eastAsia="Arial" w:hAnsi="Arial"/>
          <w:sz w:val="14"/>
          <w:szCs w:val="14"/>
          <w:color w:val="auto"/>
        </w:rPr>
        <w:t>Execution Version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4"/>
                <w:szCs w:val="14"/>
                <w:b w:val="1"/>
                <w:bCs w:val="1"/>
                <w:color w:val="auto"/>
              </w:rPr>
              <w:t>EXHIBIT B</w:t>
            </w:r>
          </w:p>
        </w:tc>
        <w:tc>
          <w:tcPr>
            <w:tcW w:w="6500" w:type="dxa"/>
            <w:vAlign w:val="bottom"/>
            <w:gridSpan w:val="2"/>
          </w:tcPr>
          <w:p>
            <w:pPr>
              <w:ind w:left="680"/>
              <w:spacing w:after="0"/>
              <w:rPr>
                <w:sz w:val="20"/>
                <w:szCs w:val="20"/>
                <w:color w:val="auto"/>
              </w:rPr>
            </w:pPr>
            <w:r>
              <w:rPr>
                <w:rFonts w:ascii="Arial" w:cs="Arial" w:eastAsia="Arial" w:hAnsi="Arial"/>
                <w:sz w:val="14"/>
                <w:szCs w:val="14"/>
                <w:b w:val="1"/>
                <w:bCs w:val="1"/>
                <w:color w:val="auto"/>
              </w:rPr>
              <w:t>COMPENSATION; FEE STRUCTURE</w:t>
            </w:r>
          </w:p>
        </w:tc>
      </w:tr>
      <w:tr>
        <w:trPr>
          <w:trHeight w:val="356"/>
        </w:trPr>
        <w:tc>
          <w:tcPr>
            <w:tcW w:w="336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518"/>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Confidential</w:t>
            </w:r>
          </w:p>
        </w:tc>
        <w:tc>
          <w:tcPr>
            <w:tcW w:w="3160" w:type="dxa"/>
            <w:vAlign w:val="bottom"/>
            <w:tcBorders>
              <w:bottom w:val="single" w:sz="8" w:color="auto"/>
            </w:tcBorders>
          </w:tcPr>
          <w:p>
            <w:pPr>
              <w:jc w:val="right"/>
              <w:ind w:right="2028"/>
              <w:spacing w:after="0"/>
              <w:rPr>
                <w:sz w:val="20"/>
                <w:szCs w:val="20"/>
                <w:color w:val="auto"/>
              </w:rPr>
            </w:pPr>
            <w:r>
              <w:rPr>
                <w:rFonts w:ascii="Arial" w:cs="Arial" w:eastAsia="Arial" w:hAnsi="Arial"/>
                <w:sz w:val="14"/>
                <w:szCs w:val="14"/>
                <w:color w:val="auto"/>
              </w:rPr>
              <w:t>23/24</w:t>
            </w: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83" w:right="319" w:bottom="1440" w:gutter="0" w:footer="0" w:header="0"/>
        </w:sectPr>
      </w:pPr>
    </w:p>
    <w:bookmarkStart w:id="524" w:name="page525"/>
    <w:bookmarkEnd w:id="524"/>
    <w:p>
      <w:pPr>
        <w:jc w:val="right"/>
        <w:spacing w:after="0"/>
        <w:rPr>
          <w:sz w:val="20"/>
          <w:szCs w:val="20"/>
          <w:color w:val="auto"/>
        </w:rPr>
      </w:pPr>
      <w:r>
        <w:rPr>
          <w:rFonts w:ascii="Arial" w:cs="Arial" w:eastAsia="Arial" w:hAnsi="Arial"/>
          <w:sz w:val="14"/>
          <w:szCs w:val="14"/>
          <w:color w:val="auto"/>
        </w:rPr>
        <w:t>Execution Version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EXHIBIT C</w:t>
      </w:r>
    </w:p>
    <w:p>
      <w:pPr>
        <w:spacing w:after="0" w:line="25" w:lineRule="exact"/>
        <w:rPr>
          <w:sz w:val="20"/>
          <w:szCs w:val="20"/>
          <w:color w:val="auto"/>
        </w:rPr>
      </w:pPr>
    </w:p>
    <w:p>
      <w:pPr>
        <w:ind w:left="4480"/>
        <w:spacing w:after="0"/>
        <w:rPr>
          <w:sz w:val="20"/>
          <w:szCs w:val="20"/>
          <w:color w:val="auto"/>
        </w:rPr>
      </w:pPr>
      <w:r>
        <w:rPr>
          <w:rFonts w:ascii="Arial" w:cs="Arial" w:eastAsia="Arial" w:hAnsi="Arial"/>
          <w:sz w:val="14"/>
          <w:szCs w:val="14"/>
          <w:b w:val="1"/>
          <w:bCs w:val="1"/>
          <w:u w:val="single" w:color="auto"/>
          <w:color w:val="auto"/>
        </w:rPr>
        <w:t>APPROVED RESEARCH BUDGET</w:t>
      </w:r>
    </w:p>
    <w:p>
      <w:pPr>
        <w:spacing w:after="0" w:line="12"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(for the first three (3) Contract Years)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Confidential</w:t>
            </w:r>
          </w:p>
        </w:tc>
        <w:tc>
          <w:tcPr>
            <w:tcW w:w="8160" w:type="dxa"/>
            <w:vAlign w:val="bottom"/>
            <w:tcBorders>
              <w:bottom w:val="single" w:sz="8" w:color="auto"/>
            </w:tcBorders>
          </w:tcPr>
          <w:p>
            <w:pPr>
              <w:jc w:val="right"/>
              <w:ind w:right="5368"/>
              <w:spacing w:after="0"/>
              <w:rPr>
                <w:sz w:val="20"/>
                <w:szCs w:val="20"/>
                <w:color w:val="auto"/>
              </w:rPr>
            </w:pPr>
            <w:r>
              <w:rPr>
                <w:rFonts w:ascii="Arial" w:cs="Arial" w:eastAsia="Arial" w:hAnsi="Arial"/>
                <w:sz w:val="14"/>
                <w:szCs w:val="14"/>
                <w:color w:val="auto"/>
              </w:rPr>
              <w:t>24/24</w:t>
            </w:r>
          </w:p>
        </w:tc>
      </w:tr>
    </w:tbl>
    <w:p>
      <w:pPr>
        <w:sectPr>
          <w:pgSz w:w="11900" w:h="16838" w:orient="portrait"/>
          <w:cols w:equalWidth="0" w:num="1">
            <w:col w:w="11280"/>
          </w:cols>
          <w:pgMar w:left="300" w:top="582" w:right="319" w:bottom="1440" w:gutter="0" w:footer="0" w:header="0"/>
        </w:sectPr>
      </w:pPr>
    </w:p>
    <w:bookmarkStart w:id="525" w:name="page526"/>
    <w:bookmarkEnd w:id="525"/>
    <w:p>
      <w:pPr>
        <w:jc w:val="right"/>
        <w:spacing w:after="0"/>
        <w:rPr>
          <w:sz w:val="20"/>
          <w:szCs w:val="20"/>
          <w:color w:val="auto"/>
        </w:rPr>
      </w:pPr>
      <w:r>
        <w:rPr>
          <w:rFonts w:ascii="Arial" w:cs="Arial" w:eastAsia="Arial" w:hAnsi="Arial"/>
          <w:sz w:val="17"/>
          <w:szCs w:val="17"/>
          <w:b w:val="1"/>
          <w:bCs w:val="1"/>
          <w:color w:val="auto"/>
        </w:rPr>
        <w:t>Exhibit 10.17</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AMENDMENT NO. 1</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MASTER COLLABORATION AGREEMENT</w:t>
      </w:r>
    </w:p>
    <w:p>
      <w:pPr>
        <w:spacing w:after="0" w:line="171"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3"/>
          <w:szCs w:val="13"/>
          <w:b w:val="1"/>
          <w:bCs w:val="1"/>
          <w:color w:val="auto"/>
        </w:rPr>
        <w:t xml:space="preserve">THIS AMENDMENT NO. 1 TO MASTER COLLABORATION AGREEMENT </w:t>
      </w:r>
      <w:r>
        <w:rPr>
          <w:rFonts w:ascii="Arial" w:cs="Arial" w:eastAsia="Arial" w:hAnsi="Arial"/>
          <w:sz w:val="13"/>
          <w:szCs w:val="13"/>
          <w:color w:val="auto"/>
        </w:rPr>
        <w:t>(this “</w:t>
      </w:r>
      <w:r>
        <w:rPr>
          <w:rFonts w:ascii="Arial" w:cs="Arial" w:eastAsia="Arial" w:hAnsi="Arial"/>
          <w:sz w:val="13"/>
          <w:szCs w:val="13"/>
          <w:b w:val="1"/>
          <w:bCs w:val="1"/>
          <w:color w:val="auto"/>
        </w:rPr>
        <w:t>Amendment No. 1</w:t>
      </w:r>
      <w:r>
        <w:rPr>
          <w:rFonts w:ascii="Arial" w:cs="Arial" w:eastAsia="Arial" w:hAnsi="Arial"/>
          <w:sz w:val="13"/>
          <w:szCs w:val="13"/>
          <w:color w:val="auto"/>
        </w:rPr>
        <w:t>”) is made as of July 17, 2020</w:t>
      </w:r>
      <w:r>
        <w:rPr>
          <w:rFonts w:ascii="Arial" w:cs="Arial" w:eastAsia="Arial" w:hAnsi="Arial"/>
          <w:sz w:val="13"/>
          <w:szCs w:val="13"/>
          <w:b w:val="1"/>
          <w:bCs w:val="1"/>
          <w:color w:val="auto"/>
        </w:rPr>
        <w:t xml:space="preserve"> (“Amendment No. 1 Signing Date”) </w:t>
      </w:r>
      <w:r>
        <w:rPr>
          <w:rFonts w:ascii="Arial" w:cs="Arial" w:eastAsia="Arial" w:hAnsi="Arial"/>
          <w:sz w:val="13"/>
          <w:szCs w:val="13"/>
          <w:color w:val="auto"/>
        </w:rPr>
        <w:t>by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between </w:t>
      </w:r>
      <w:r>
        <w:rPr>
          <w:rFonts w:ascii="Arial" w:cs="Arial" w:eastAsia="Arial" w:hAnsi="Arial"/>
          <w:sz w:val="13"/>
          <w:szCs w:val="13"/>
          <w:b w:val="1"/>
          <w:bCs w:val="1"/>
          <w:color w:val="auto"/>
        </w:rPr>
        <w:t>CENTURY THERAPEUTICS, LLC</w:t>
      </w:r>
      <w:r>
        <w:rPr>
          <w:rFonts w:ascii="Arial" w:cs="Arial" w:eastAsia="Arial" w:hAnsi="Arial"/>
          <w:sz w:val="13"/>
          <w:szCs w:val="13"/>
          <w:color w:val="auto"/>
        </w:rPr>
        <w:t>, having a principal place of business at 3675 Market St., Philadelphia, PA 19104 USA (“</w:t>
      </w:r>
      <w:r>
        <w:rPr>
          <w:rFonts w:ascii="Arial" w:cs="Arial" w:eastAsia="Arial" w:hAnsi="Arial"/>
          <w:sz w:val="13"/>
          <w:szCs w:val="13"/>
          <w:b w:val="1"/>
          <w:bCs w:val="1"/>
          <w:color w:val="auto"/>
        </w:rPr>
        <w:t>Century</w:t>
      </w:r>
      <w:r>
        <w:rPr>
          <w:rFonts w:ascii="Arial" w:cs="Arial" w:eastAsia="Arial" w:hAnsi="Arial"/>
          <w:sz w:val="13"/>
          <w:szCs w:val="13"/>
          <w:color w:val="auto"/>
        </w:rPr>
        <w:t xml:space="preserve">”) and </w:t>
      </w:r>
      <w:r>
        <w:rPr>
          <w:rFonts w:ascii="Arial" w:cs="Arial" w:eastAsia="Arial" w:hAnsi="Arial"/>
          <w:sz w:val="13"/>
          <w:szCs w:val="13"/>
          <w:b w:val="1"/>
          <w:bCs w:val="1"/>
          <w:color w:val="auto"/>
        </w:rPr>
        <w:t>FUJIFILM Cellular Dynamics, Inc.</w:t>
      </w:r>
      <w:r>
        <w:rPr>
          <w:rFonts w:ascii="Arial" w:cs="Arial" w:eastAsia="Arial" w:hAnsi="Arial"/>
          <w:sz w:val="13"/>
          <w:szCs w:val="13"/>
          <w:color w:val="auto"/>
        </w:rPr>
        <w:t>, having a principal place of business at 525 Science Drive, Madison WI 53711, USA (“</w:t>
      </w:r>
      <w:r>
        <w:rPr>
          <w:rFonts w:ascii="Arial" w:cs="Arial" w:eastAsia="Arial" w:hAnsi="Arial"/>
          <w:sz w:val="13"/>
          <w:szCs w:val="13"/>
          <w:b w:val="1"/>
          <w:bCs w:val="1"/>
          <w:color w:val="auto"/>
        </w:rPr>
        <w:t>FCDI</w:t>
      </w:r>
      <w:r>
        <w:rPr>
          <w:rFonts w:ascii="Arial" w:cs="Arial" w:eastAsia="Arial" w:hAnsi="Arial"/>
          <w:sz w:val="13"/>
          <w:szCs w:val="13"/>
          <w:color w:val="auto"/>
        </w:rPr>
        <w:t>”). Century and FCDI are each referred to as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referred to as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and FCDI are parties to a certain Master Collaboration Agreement having a Signing Date of October 21, 2019 (the or this “</w:t>
      </w:r>
      <w:r>
        <w:rPr>
          <w:rFonts w:ascii="Arial" w:cs="Arial" w:eastAsia="Arial" w:hAnsi="Arial"/>
          <w:sz w:val="14"/>
          <w:szCs w:val="14"/>
          <w:b w:val="1"/>
          <w:bCs w:val="1"/>
          <w:color w:val="auto"/>
        </w:rPr>
        <w:t>Agreement</w:t>
      </w:r>
      <w:r>
        <w:rPr>
          <w:rFonts w:ascii="Arial" w:cs="Arial" w:eastAsia="Arial" w:hAnsi="Arial"/>
          <w:sz w:val="14"/>
          <w:szCs w:val="14"/>
          <w:color w:val="auto"/>
        </w:rPr>
        <w: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FCDI has certain Reprogrammed iPS Cells that Century desires be made available to Eurofins Lancaster Laboratories, Inc. (“</w:t>
      </w:r>
      <w:r>
        <w:rPr>
          <w:rFonts w:ascii="Arial" w:cs="Arial" w:eastAsia="Arial" w:hAnsi="Arial"/>
          <w:sz w:val="14"/>
          <w:szCs w:val="14"/>
          <w:b w:val="1"/>
          <w:bCs w:val="1"/>
          <w:color w:val="auto"/>
        </w:rPr>
        <w:t>Century’s CRO</w:t>
      </w:r>
      <w:r>
        <w:rPr>
          <w:rFonts w:ascii="Arial" w:cs="Arial" w:eastAsia="Arial" w:hAnsi="Arial"/>
          <w:sz w:val="14"/>
          <w:szCs w:val="14"/>
          <w:color w:val="auto"/>
        </w:rPr>
        <w:t>”), which is a party to a</w:t>
      </w:r>
      <w:r>
        <w:rPr>
          <w:rFonts w:ascii="Arial" w:cs="Arial" w:eastAsia="Arial" w:hAnsi="Arial"/>
          <w:sz w:val="14"/>
          <w:szCs w:val="14"/>
          <w:b w:val="1"/>
          <w:bCs w:val="1"/>
          <w:color w:val="auto"/>
        </w:rPr>
        <w:t xml:space="preserve"> </w:t>
      </w:r>
      <w:r>
        <w:rPr>
          <w:rFonts w:ascii="Arial" w:cs="Arial" w:eastAsia="Arial" w:hAnsi="Arial"/>
          <w:sz w:val="14"/>
          <w:szCs w:val="14"/>
          <w:color w:val="auto"/>
        </w:rPr>
        <w:t>certain Quality Agreement with Century having an Effective Date of May 21, 2019, as hereafter may be amended (the “</w:t>
      </w:r>
      <w:r>
        <w:rPr>
          <w:rFonts w:ascii="Arial" w:cs="Arial" w:eastAsia="Arial" w:hAnsi="Arial"/>
          <w:sz w:val="14"/>
          <w:szCs w:val="14"/>
          <w:b w:val="1"/>
          <w:bCs w:val="1"/>
          <w:color w:val="auto"/>
        </w:rPr>
        <w:t>Quality Agreement</w:t>
      </w:r>
      <w:r>
        <w:rPr>
          <w:rFonts w:ascii="Arial" w:cs="Arial" w:eastAsia="Arial" w:hAnsi="Arial"/>
          <w:sz w:val="14"/>
          <w:szCs w:val="14"/>
          <w:color w:val="auto"/>
        </w:rPr>
        <w:t>”), for Century’s CRO’s use in certain training as described below in this Amendment No. 1;</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FCDI is willing to transfer such Reprogrammed iPS Cells to Century for such purpose subject to and upon the terms and conditions set forth in this Amendment No. 1; and</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and FCDI desire to amend the Agreement as set forth therein.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THEREFORE</w:t>
      </w:r>
      <w:r>
        <w:rPr>
          <w:rFonts w:ascii="Arial" w:cs="Arial" w:eastAsia="Arial" w:hAnsi="Arial"/>
          <w:sz w:val="14"/>
          <w:szCs w:val="14"/>
          <w:color w:val="auto"/>
        </w:rPr>
        <w:t>, the Parties agree as follows:</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Article 1.</w:t>
      </w:r>
      <w:r>
        <w:rPr>
          <w:sz w:val="20"/>
          <w:szCs w:val="20"/>
          <w:color w:val="auto"/>
        </w:rPr>
        <w:tab/>
      </w:r>
      <w:r>
        <w:rPr>
          <w:rFonts w:ascii="Arial" w:cs="Arial" w:eastAsia="Arial" w:hAnsi="Arial"/>
          <w:sz w:val="14"/>
          <w:szCs w:val="14"/>
          <w:b w:val="1"/>
          <w:bCs w:val="1"/>
          <w:u w:val="single" w:color="auto"/>
          <w:color w:val="auto"/>
        </w:rPr>
        <w:t>AMENDMENTS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u w:val="single" w:color="auto"/>
          <w:color w:val="auto"/>
        </w:rPr>
        <w:t>Amendment of Article 1.</w:t>
      </w:r>
      <w:r>
        <w:rPr>
          <w:rFonts w:ascii="Arial" w:cs="Arial" w:eastAsia="Arial" w:hAnsi="Arial"/>
          <w:sz w:val="14"/>
          <w:szCs w:val="14"/>
          <w:color w:val="auto"/>
        </w:rPr>
        <w:t xml:space="preserve"> Article 1 of the Agreement hereby is amended by inserting at the end of such article the following:</w:t>
      </w:r>
    </w:p>
    <w:p>
      <w:pPr>
        <w:spacing w:after="0" w:line="184" w:lineRule="exact"/>
        <w:rPr>
          <w:sz w:val="20"/>
          <w:szCs w:val="20"/>
          <w:color w:val="auto"/>
        </w:rPr>
      </w:pPr>
    </w:p>
    <w:p>
      <w:pPr>
        <w:jc w:val="both"/>
        <w:ind w:left="520"/>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FCDI Training Samples</w:t>
      </w:r>
      <w:r>
        <w:rPr>
          <w:rFonts w:ascii="Arial" w:cs="Arial" w:eastAsia="Arial" w:hAnsi="Arial"/>
          <w:sz w:val="14"/>
          <w:szCs w:val="14"/>
          <w:color w:val="auto"/>
        </w:rPr>
        <w:t xml:space="preserve">” means samples of one or more Reprogrammed iPS cell lines provided by FCDI to Century as contemplated in </w:t>
      </w:r>
      <w:r>
        <w:rPr>
          <w:rFonts w:ascii="Arial" w:cs="Arial" w:eastAsia="Arial" w:hAnsi="Arial"/>
          <w:sz w:val="14"/>
          <w:szCs w:val="14"/>
          <w:b w:val="1"/>
          <w:bCs w:val="1"/>
          <w:color w:val="auto"/>
        </w:rPr>
        <w:t>Section 6.4</w:t>
      </w:r>
      <w:r>
        <w:rPr>
          <w:rFonts w:ascii="Arial" w:cs="Arial" w:eastAsia="Arial" w:hAnsi="Arial"/>
          <w:sz w:val="14"/>
          <w:szCs w:val="14"/>
          <w:color w:val="auto"/>
        </w:rPr>
        <w:t>, including any progeny (i.e., an unmodified descendant) propagated therefrom by Century or Century’s CRO.”</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u w:val="single" w:color="auto"/>
          <w:color w:val="auto"/>
        </w:rPr>
        <w:t>Amendment of Agreement including Article 6.</w:t>
      </w:r>
      <w:r>
        <w:rPr>
          <w:rFonts w:ascii="Arial" w:cs="Arial" w:eastAsia="Arial" w:hAnsi="Arial"/>
          <w:sz w:val="14"/>
          <w:szCs w:val="14"/>
          <w:color w:val="auto"/>
        </w:rPr>
        <w:t xml:space="preserve"> Article 6 of the Agreement hereby is amended by inserting at the end of such article the following:</w:t>
      </w:r>
    </w:p>
    <w:p>
      <w:pPr>
        <w:spacing w:after="0" w:line="184" w:lineRule="exact"/>
        <w:rPr>
          <w:sz w:val="20"/>
          <w:szCs w:val="20"/>
          <w:color w:val="auto"/>
        </w:rPr>
      </w:pPr>
    </w:p>
    <w:p>
      <w:pPr>
        <w:jc w:val="both"/>
        <w:ind w:left="820" w:hanging="301"/>
        <w:spacing w:after="0" w:line="262"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b w:val="1"/>
          <w:bCs w:val="1"/>
          <w:u w:val="single" w:color="auto"/>
          <w:color w:val="auto"/>
        </w:rPr>
        <w:t>FCDI Training Samples</w:t>
      </w:r>
      <w:r>
        <w:rPr>
          <w:rFonts w:ascii="Arial" w:cs="Arial" w:eastAsia="Arial" w:hAnsi="Arial"/>
          <w:sz w:val="14"/>
          <w:szCs w:val="14"/>
          <w:color w:val="auto"/>
        </w:rPr>
        <w:t xml:space="preserve">. FCDI shall transfer FCDI Training Samples in the quantities set forth in </w:t>
      </w:r>
      <w:r>
        <w:rPr>
          <w:rFonts w:ascii="Arial" w:cs="Arial" w:eastAsia="Arial" w:hAnsi="Arial"/>
          <w:sz w:val="14"/>
          <w:szCs w:val="14"/>
          <w:b w:val="1"/>
          <w:bCs w:val="1"/>
          <w:u w:val="single" w:color="auto"/>
          <w:color w:val="auto"/>
        </w:rPr>
        <w:t>Exhibit E</w:t>
      </w:r>
      <w:r>
        <w:rPr>
          <w:rFonts w:ascii="Arial" w:cs="Arial" w:eastAsia="Arial" w:hAnsi="Arial"/>
          <w:sz w:val="14"/>
          <w:szCs w:val="14"/>
          <w:color w:val="auto"/>
        </w:rPr>
        <w:t xml:space="preserve"> attached hereto (the “</w:t>
      </w:r>
      <w:r>
        <w:rPr>
          <w:rFonts w:ascii="Arial" w:cs="Arial" w:eastAsia="Arial" w:hAnsi="Arial"/>
          <w:sz w:val="14"/>
          <w:szCs w:val="14"/>
          <w:b w:val="1"/>
          <w:bCs w:val="1"/>
          <w:color w:val="auto"/>
        </w:rPr>
        <w:t>Training Samples Work Plan</w:t>
      </w:r>
      <w:r>
        <w:rPr>
          <w:rFonts w:ascii="Arial" w:cs="Arial" w:eastAsia="Arial" w:hAnsi="Arial"/>
          <w:sz w:val="14"/>
          <w:szCs w:val="14"/>
          <w:color w:val="auto"/>
        </w:rPr>
        <w:t xml:space="preserve">”) to Century subject to and upon the terms and conditions set forth in the Training Samples Work Plan and in this Section 6.4. Century hereby acknowledges that the FCDI Training Samples are transferred to Century “AS IS” and, accordingly, for purposes of Section 3.5 of the Agreement, without any of the representations and warranties set forth in Article 3 being applicable with respect thereto. FCDI shall remain the sole and exclusive owner of all right, title and interest in and to any and all FCDI Training Samples and all Reprogrammed iPS Cell Derivative Materials therefrom. Century has a limited right to transfer the FCDI Training Samples to Century’s CRO for its use solely in the performance of the Training Samples Work Plan, subject to and upon the terms and conditions set forth in this </w:t>
      </w:r>
      <w:r>
        <w:rPr>
          <w:rFonts w:ascii="Arial" w:cs="Arial" w:eastAsia="Arial" w:hAnsi="Arial"/>
          <w:sz w:val="14"/>
          <w:szCs w:val="14"/>
          <w:b w:val="1"/>
          <w:bCs w:val="1"/>
          <w:color w:val="auto"/>
        </w:rPr>
        <w:t>Section 6.</w:t>
      </w:r>
      <w:r>
        <w:rPr>
          <w:rFonts w:ascii="Arial" w:cs="Arial" w:eastAsia="Arial" w:hAnsi="Arial"/>
          <w:sz w:val="14"/>
          <w:szCs w:val="14"/>
          <w:color w:val="auto"/>
        </w:rPr>
        <w:t>4 and in the Training Samples Work Plan. Century shall cause Century’s CRO to, and Century’s CRO shall, (i) use the FCDI Training Samples solely in the performance of the Training Samples Work Plan and, accordingly, without limitation to the foregoing clause (i) but by way of further explication, (ii) be subject to the restrictions, and have the obligations of Century,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7159625"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6" w:name="page527"/>
    <w:bookmarkEnd w:id="526"/>
    <w:p>
      <w:pPr>
        <w:jc w:val="both"/>
        <w:ind w:left="820"/>
        <w:spacing w:after="0" w:line="262" w:lineRule="auto"/>
        <w:rPr>
          <w:sz w:val="20"/>
          <w:szCs w:val="20"/>
          <w:color w:val="auto"/>
        </w:rPr>
      </w:pPr>
      <w:r>
        <w:rPr>
          <w:rFonts w:ascii="Arial" w:cs="Arial" w:eastAsia="Arial" w:hAnsi="Arial"/>
          <w:sz w:val="14"/>
          <w:szCs w:val="14"/>
          <w:color w:val="auto"/>
        </w:rPr>
        <w:t xml:space="preserve">set forth in the third and fourth sentences of </w:t>
      </w:r>
      <w:r>
        <w:rPr>
          <w:rFonts w:ascii="Arial" w:cs="Arial" w:eastAsia="Arial" w:hAnsi="Arial"/>
          <w:sz w:val="14"/>
          <w:szCs w:val="14"/>
          <w:b w:val="1"/>
          <w:bCs w:val="1"/>
          <w:color w:val="auto"/>
        </w:rPr>
        <w:t>Section 6.2(c)</w:t>
      </w:r>
      <w:r>
        <w:rPr>
          <w:rFonts w:ascii="Arial" w:cs="Arial" w:eastAsia="Arial" w:hAnsi="Arial"/>
          <w:sz w:val="14"/>
          <w:szCs w:val="14"/>
          <w:color w:val="auto"/>
        </w:rPr>
        <w:t xml:space="preserve"> of this Agreement with respect to the FCDI Training Samples but (A) with all references therein to “Deliverables” instead being to “all FCDI Training Samples and all Reprogrammed iPS Cell Derivative Materials therefrom” and (B) with the parenthetical in clause (I) of such third sentence replaced with “(except for the propagation of FCDI Training Samples as expressly permitted in the Training Samples Work Plan)”. Century shall have the same responsibility for the acts and omissions of Century’s CRO with respect to this </w:t>
      </w:r>
      <w:r>
        <w:rPr>
          <w:rFonts w:ascii="Arial" w:cs="Arial" w:eastAsia="Arial" w:hAnsi="Arial"/>
          <w:sz w:val="14"/>
          <w:szCs w:val="14"/>
          <w:b w:val="1"/>
          <w:bCs w:val="1"/>
          <w:color w:val="auto"/>
        </w:rPr>
        <w:t>Section 6.4</w:t>
      </w:r>
      <w:r>
        <w:rPr>
          <w:rFonts w:ascii="Arial" w:cs="Arial" w:eastAsia="Arial" w:hAnsi="Arial"/>
          <w:sz w:val="14"/>
          <w:szCs w:val="14"/>
          <w:color w:val="auto"/>
        </w:rPr>
        <w:t xml:space="preserve">, the FCDI Training Materials, and the Training Samples Work Plan as if those acts and omissions were directly those of Century (being subject to all provisions in this </w:t>
      </w:r>
      <w:r>
        <w:rPr>
          <w:rFonts w:ascii="Arial" w:cs="Arial" w:eastAsia="Arial" w:hAnsi="Arial"/>
          <w:sz w:val="14"/>
          <w:szCs w:val="14"/>
          <w:b w:val="1"/>
          <w:bCs w:val="1"/>
          <w:color w:val="auto"/>
        </w:rPr>
        <w:t>Section 6.4</w:t>
      </w:r>
      <w:r>
        <w:rPr>
          <w:rFonts w:ascii="Arial" w:cs="Arial" w:eastAsia="Arial" w:hAnsi="Arial"/>
          <w:sz w:val="14"/>
          <w:szCs w:val="14"/>
          <w:color w:val="auto"/>
        </w:rPr>
        <w:t xml:space="preserve"> and the Training Samples Work Plan applicable to Century’s CRO). Subject to the foregoing, FCDI hereby consents to (i) as contemplated in clause (III) of the third sentence of </w:t>
      </w:r>
      <w:r>
        <w:rPr>
          <w:rFonts w:ascii="Arial" w:cs="Arial" w:eastAsia="Arial" w:hAnsi="Arial"/>
          <w:sz w:val="14"/>
          <w:szCs w:val="14"/>
          <w:b w:val="1"/>
          <w:bCs w:val="1"/>
          <w:color w:val="auto"/>
        </w:rPr>
        <w:t>Section 6.2(c)</w:t>
      </w:r>
      <w:r>
        <w:rPr>
          <w:rFonts w:ascii="Arial" w:cs="Arial" w:eastAsia="Arial" w:hAnsi="Arial"/>
          <w:sz w:val="14"/>
          <w:szCs w:val="14"/>
          <w:color w:val="auto"/>
        </w:rPr>
        <w:t xml:space="preserve">, the transfer by Century of FCDI Training Samples to Century’s CRO and (ii) if applicable as contemplated in clause (IV) of the third sentence of </w:t>
      </w:r>
      <w:r>
        <w:rPr>
          <w:rFonts w:ascii="Arial" w:cs="Arial" w:eastAsia="Arial" w:hAnsi="Arial"/>
          <w:sz w:val="14"/>
          <w:szCs w:val="14"/>
          <w:b w:val="1"/>
          <w:bCs w:val="1"/>
          <w:color w:val="auto"/>
        </w:rPr>
        <w:t>Section 6.2(c)</w:t>
      </w:r>
      <w:r>
        <w:rPr>
          <w:rFonts w:ascii="Arial" w:cs="Arial" w:eastAsia="Arial" w:hAnsi="Arial"/>
          <w:sz w:val="14"/>
          <w:szCs w:val="14"/>
          <w:color w:val="auto"/>
        </w:rPr>
        <w:t>, to the use by Century’s CRO of the FCDI Training Materials to perform, as services for Century, the activities expressly permitted in the Training Samples Work Plan.”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b w:val="1"/>
          <w:bCs w:val="1"/>
          <w:u w:val="single" w:color="auto"/>
          <w:color w:val="auto"/>
        </w:rPr>
        <w:t>Amendment of Agreement.</w:t>
      </w:r>
      <w:r>
        <w:rPr>
          <w:rFonts w:ascii="Arial" w:cs="Arial" w:eastAsia="Arial" w:hAnsi="Arial"/>
          <w:sz w:val="14"/>
          <w:szCs w:val="14"/>
          <w:color w:val="auto"/>
        </w:rPr>
        <w:t xml:space="preserve"> The Agreement is hereby amended by making the Training Samples Work Plan a part thereof.</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Article 2.</w:t>
      </w:r>
      <w:r>
        <w:rPr>
          <w:sz w:val="20"/>
          <w:szCs w:val="20"/>
          <w:color w:val="auto"/>
        </w:rPr>
        <w:tab/>
      </w:r>
      <w:r>
        <w:rPr>
          <w:rFonts w:ascii="Arial" w:cs="Arial" w:eastAsia="Arial" w:hAnsi="Arial"/>
          <w:sz w:val="14"/>
          <w:szCs w:val="14"/>
          <w:b w:val="1"/>
          <w:bCs w:val="1"/>
          <w:u w:val="single" w:color="auto"/>
          <w:color w:val="auto"/>
        </w:rPr>
        <w:t>MISCELLANEOUS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u w:val="single" w:color="auto"/>
          <w:color w:val="auto"/>
        </w:rPr>
        <w:t>Capitalized Terms.</w:t>
      </w:r>
      <w:r>
        <w:rPr>
          <w:rFonts w:ascii="Arial" w:cs="Arial" w:eastAsia="Arial" w:hAnsi="Arial"/>
          <w:sz w:val="14"/>
          <w:szCs w:val="14"/>
          <w:color w:val="auto"/>
        </w:rPr>
        <w:t xml:space="preserve"> Capitalized terms used, but not otherwise defined herein, shall have the meanings assigned to them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b w:val="1"/>
          <w:bCs w:val="1"/>
          <w:u w:val="single" w:color="auto"/>
          <w:color w:val="auto"/>
        </w:rPr>
        <w:t>No Other Amendments.</w:t>
      </w:r>
      <w:r>
        <w:rPr>
          <w:rFonts w:ascii="Arial" w:cs="Arial" w:eastAsia="Arial" w:hAnsi="Arial"/>
          <w:sz w:val="13"/>
          <w:szCs w:val="13"/>
          <w:color w:val="auto"/>
        </w:rPr>
        <w:t xml:space="preserve"> Except as expressly set forth in this Amendment No. 1, all of the terms and conditions of the Agreement shall remain unchanged and in full force and effect.</w:t>
      </w:r>
    </w:p>
    <w:p>
      <w:pPr>
        <w:spacing w:after="0" w:line="196" w:lineRule="exact"/>
        <w:rPr>
          <w:sz w:val="20"/>
          <w:szCs w:val="20"/>
          <w:color w:val="auto"/>
        </w:rPr>
      </w:pPr>
    </w:p>
    <w:p>
      <w:pPr>
        <w:jc w:val="both"/>
        <w:ind w:left="260" w:hanging="258"/>
        <w:spacing w:after="0" w:line="33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b w:val="1"/>
          <w:bCs w:val="1"/>
          <w:u w:val="single" w:color="auto"/>
          <w:color w:val="auto"/>
        </w:rPr>
        <w:t>Additional Understanding.</w:t>
      </w:r>
      <w:r>
        <w:rPr>
          <w:rFonts w:ascii="Arial" w:cs="Arial" w:eastAsia="Arial" w:hAnsi="Arial"/>
          <w:sz w:val="13"/>
          <w:szCs w:val="13"/>
          <w:color w:val="auto"/>
        </w:rPr>
        <w:t xml:space="preserve"> Century and FCDI further agree as set forth in the Addendum attached hereto subject to WARF’s agreement thereto. Century and FCDI shall execute and deliver such Addendum simultaneously with the execution and delivery hereof, and FCDI shall submit such partially executed Addendum to WARF for the purpose of obtaining its agreement thereto.</w:t>
      </w:r>
    </w:p>
    <w:p>
      <w:pPr>
        <w:spacing w:after="0" w:line="99" w:lineRule="exact"/>
        <w:rPr>
          <w:sz w:val="20"/>
          <w:szCs w:val="20"/>
          <w:color w:val="auto"/>
        </w:rPr>
      </w:pPr>
    </w:p>
    <w:p>
      <w:pPr>
        <w:jc w:val="both"/>
        <w:ind w:left="260" w:hanging="258"/>
        <w:spacing w:after="0" w:line="269"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u w:val="single" w:color="auto"/>
          <w:color w:val="auto"/>
        </w:rPr>
        <w:t>Counterparts and Signatures.</w:t>
      </w:r>
      <w:r>
        <w:rPr>
          <w:rFonts w:ascii="Arial" w:cs="Arial" w:eastAsia="Arial" w:hAnsi="Arial"/>
          <w:sz w:val="14"/>
          <w:szCs w:val="14"/>
          <w:color w:val="auto"/>
        </w:rPr>
        <w:t xml:space="preserve"> This Amendment No. 1 may be executed in one or more counterparts, each of which shall be deemed an original, and all of which together shall be deemed to be one and the same instrument. Signatures to this Amendment No. 1 transmitted by facsimile transmission, by electronic mail in “portable document format” (“.pdf”) form, or by any other electronic means intended to preserve the originals graphic and pictorial appearance of a document, shall have the same effect as physical delivery of the paper document bearing the original signatures, and shall be deemed original signatures by both Parties.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WITNESS WHEREOF, the Parties have executed this Amendment No. 1 as of the date first set forth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LLC</w:t>
            </w:r>
          </w:p>
        </w:tc>
        <w:tc>
          <w:tcPr>
            <w:tcW w:w="4700" w:type="dxa"/>
            <w:vAlign w:val="bottom"/>
            <w:gridSpan w:val="2"/>
          </w:tcPr>
          <w:p>
            <w:pPr>
              <w:ind w:left="1980"/>
              <w:spacing w:after="0"/>
              <w:rPr>
                <w:sz w:val="20"/>
                <w:szCs w:val="20"/>
                <w:color w:val="auto"/>
              </w:rPr>
            </w:pPr>
            <w:r>
              <w:rPr>
                <w:rFonts w:ascii="Arial" w:cs="Arial" w:eastAsia="Arial" w:hAnsi="Arial"/>
                <w:sz w:val="14"/>
                <w:szCs w:val="14"/>
                <w:b w:val="1"/>
                <w:bCs w:val="1"/>
                <w:color w:val="auto"/>
              </w:rPr>
              <w:t>FUJIFILM CELLULAR DYNAMICS, INC.</w:t>
            </w:r>
          </w:p>
        </w:tc>
      </w:tr>
      <w:tr>
        <w:trPr>
          <w:trHeight w:val="336"/>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3760" w:type="dxa"/>
            <w:vAlign w:val="bottom"/>
          </w:tcPr>
          <w:p>
            <w:pPr>
              <w:ind w:left="100"/>
              <w:spacing w:after="0"/>
              <w:rPr>
                <w:sz w:val="20"/>
                <w:szCs w:val="20"/>
                <w:color w:val="auto"/>
              </w:rPr>
            </w:pPr>
            <w:r>
              <w:rPr>
                <w:rFonts w:ascii="Arial" w:cs="Arial" w:eastAsia="Arial" w:hAnsi="Arial"/>
                <w:sz w:val="14"/>
                <w:szCs w:val="14"/>
                <w:color w:val="auto"/>
              </w:rPr>
              <w:t>/s/ Janelle Anderson</w:t>
            </w:r>
          </w:p>
        </w:tc>
        <w:tc>
          <w:tcPr>
            <w:tcW w:w="2440" w:type="dxa"/>
            <w:vAlign w:val="bottom"/>
          </w:tcPr>
          <w:p>
            <w:pPr>
              <w:ind w:left="1980"/>
              <w:spacing w:after="0"/>
              <w:rPr>
                <w:sz w:val="20"/>
                <w:szCs w:val="20"/>
                <w:color w:val="auto"/>
              </w:rPr>
            </w:pPr>
            <w:r>
              <w:rPr>
                <w:rFonts w:ascii="Arial" w:cs="Arial" w:eastAsia="Arial" w:hAnsi="Arial"/>
                <w:sz w:val="14"/>
                <w:szCs w:val="14"/>
                <w:color w:val="auto"/>
              </w:rPr>
              <w:t>By:</w:t>
            </w:r>
          </w:p>
        </w:tc>
        <w:tc>
          <w:tcPr>
            <w:tcW w:w="2260" w:type="dxa"/>
            <w:vAlign w:val="bottom"/>
          </w:tcPr>
          <w:p>
            <w:pPr>
              <w:ind w:left="100"/>
              <w:spacing w:after="0"/>
              <w:rPr>
                <w:sz w:val="20"/>
                <w:szCs w:val="20"/>
                <w:color w:val="auto"/>
              </w:rPr>
            </w:pPr>
            <w:r>
              <w:rPr>
                <w:rFonts w:ascii="Arial" w:cs="Arial" w:eastAsia="Arial" w:hAnsi="Arial"/>
                <w:sz w:val="14"/>
                <w:szCs w:val="14"/>
                <w:color w:val="auto"/>
              </w:rPr>
              <w:t>/s/ Nicholas Manusos</w:t>
            </w:r>
          </w:p>
        </w:tc>
      </w:tr>
      <w:tr>
        <w:trPr>
          <w:trHeight w:val="173"/>
        </w:trPr>
        <w:tc>
          <w:tcPr>
            <w:tcW w:w="480" w:type="dxa"/>
            <w:vAlign w:val="bottom"/>
          </w:tcPr>
          <w:p>
            <w:pPr>
              <w:spacing w:after="0"/>
              <w:rPr>
                <w:sz w:val="20"/>
                <w:szCs w:val="20"/>
                <w:color w:val="auto"/>
              </w:rPr>
            </w:pPr>
            <w:r>
              <w:rPr>
                <w:rFonts w:ascii="Arial" w:cs="Arial" w:eastAsia="Arial" w:hAnsi="Arial"/>
                <w:sz w:val="14"/>
                <w:szCs w:val="14"/>
                <w:color w:val="auto"/>
              </w:rPr>
              <w:t>Name:</w:t>
            </w:r>
          </w:p>
        </w:tc>
        <w:tc>
          <w:tcPr>
            <w:tcW w:w="3760" w:type="dxa"/>
            <w:vAlign w:val="bottom"/>
          </w:tcPr>
          <w:p>
            <w:pPr>
              <w:ind w:left="100"/>
              <w:spacing w:after="0"/>
              <w:rPr>
                <w:sz w:val="20"/>
                <w:szCs w:val="20"/>
                <w:color w:val="auto"/>
              </w:rPr>
            </w:pPr>
            <w:r>
              <w:rPr>
                <w:rFonts w:ascii="Arial" w:cs="Arial" w:eastAsia="Arial" w:hAnsi="Arial"/>
                <w:sz w:val="14"/>
                <w:szCs w:val="14"/>
                <w:color w:val="auto"/>
              </w:rPr>
              <w:t>Janelle Anderson, PhD</w:t>
            </w:r>
          </w:p>
        </w:tc>
        <w:tc>
          <w:tcPr>
            <w:tcW w:w="2440" w:type="dxa"/>
            <w:vAlign w:val="bottom"/>
          </w:tcPr>
          <w:p>
            <w:pPr>
              <w:ind w:left="1980"/>
              <w:spacing w:after="0"/>
              <w:rPr>
                <w:sz w:val="20"/>
                <w:szCs w:val="20"/>
                <w:color w:val="auto"/>
              </w:rPr>
            </w:pPr>
            <w:r>
              <w:rPr>
                <w:rFonts w:ascii="Arial" w:cs="Arial" w:eastAsia="Arial" w:hAnsi="Arial"/>
                <w:sz w:val="14"/>
                <w:szCs w:val="14"/>
                <w:color w:val="auto"/>
              </w:rPr>
              <w:t>Name:</w:t>
            </w:r>
          </w:p>
        </w:tc>
        <w:tc>
          <w:tcPr>
            <w:tcW w:w="2260" w:type="dxa"/>
            <w:vAlign w:val="bottom"/>
          </w:tcPr>
          <w:p>
            <w:pPr>
              <w:ind w:left="100"/>
              <w:spacing w:after="0"/>
              <w:rPr>
                <w:sz w:val="20"/>
                <w:szCs w:val="20"/>
                <w:color w:val="auto"/>
              </w:rPr>
            </w:pPr>
            <w:r>
              <w:rPr>
                <w:rFonts w:ascii="Arial" w:cs="Arial" w:eastAsia="Arial" w:hAnsi="Arial"/>
                <w:sz w:val="14"/>
                <w:szCs w:val="14"/>
                <w:color w:val="auto"/>
              </w:rPr>
              <w:t>Nicholas Manusos</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3760" w:type="dxa"/>
            <w:vAlign w:val="bottom"/>
          </w:tcPr>
          <w:p>
            <w:pPr>
              <w:ind w:left="100"/>
              <w:spacing w:after="0"/>
              <w:rPr>
                <w:sz w:val="20"/>
                <w:szCs w:val="20"/>
                <w:color w:val="auto"/>
              </w:rPr>
            </w:pPr>
            <w:r>
              <w:rPr>
                <w:rFonts w:ascii="Arial" w:cs="Arial" w:eastAsia="Arial" w:hAnsi="Arial"/>
                <w:sz w:val="14"/>
                <w:szCs w:val="14"/>
                <w:color w:val="auto"/>
              </w:rPr>
              <w:t>Chief Strategy Officer</w:t>
            </w:r>
          </w:p>
        </w:tc>
        <w:tc>
          <w:tcPr>
            <w:tcW w:w="2440" w:type="dxa"/>
            <w:vAlign w:val="bottom"/>
          </w:tcPr>
          <w:p>
            <w:pPr>
              <w:ind w:left="1980"/>
              <w:spacing w:after="0"/>
              <w:rPr>
                <w:sz w:val="20"/>
                <w:szCs w:val="20"/>
                <w:color w:val="auto"/>
              </w:rPr>
            </w:pPr>
            <w:r>
              <w:rPr>
                <w:rFonts w:ascii="Arial" w:cs="Arial" w:eastAsia="Arial" w:hAnsi="Arial"/>
                <w:sz w:val="14"/>
                <w:szCs w:val="14"/>
                <w:color w:val="auto"/>
              </w:rPr>
              <w:t>Title:</w:t>
            </w:r>
          </w:p>
        </w:tc>
        <w:tc>
          <w:tcPr>
            <w:tcW w:w="2260" w:type="dxa"/>
            <w:vAlign w:val="bottom"/>
          </w:tcPr>
          <w:p>
            <w:pPr>
              <w:ind w:left="100"/>
              <w:spacing w:after="0"/>
              <w:rPr>
                <w:sz w:val="20"/>
                <w:szCs w:val="20"/>
                <w:color w:val="auto"/>
              </w:rPr>
            </w:pPr>
            <w:r>
              <w:rPr>
                <w:rFonts w:ascii="Arial" w:cs="Arial" w:eastAsia="Arial" w:hAnsi="Arial"/>
                <w:sz w:val="14"/>
                <w:szCs w:val="14"/>
                <w:color w:val="auto"/>
              </w:rPr>
              <w:t>COO</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56" w:right="319" w:bottom="1440" w:gutter="0" w:footer="0" w:header="0"/>
        </w:sectPr>
      </w:pPr>
    </w:p>
    <w:bookmarkStart w:id="527" w:name="page528"/>
    <w:bookmarkEnd w:id="527"/>
    <w:p>
      <w:pPr>
        <w:jc w:val="center"/>
        <w:ind w:right="-1100"/>
        <w:spacing w:after="0"/>
        <w:rPr>
          <w:sz w:val="20"/>
          <w:szCs w:val="20"/>
          <w:color w:val="auto"/>
        </w:rPr>
      </w:pPr>
      <w:r>
        <w:rPr>
          <w:rFonts w:ascii="Arial" w:cs="Arial" w:eastAsia="Arial" w:hAnsi="Arial"/>
          <w:sz w:val="14"/>
          <w:szCs w:val="14"/>
          <w:b w:val="1"/>
          <w:bCs w:val="1"/>
          <w:color w:val="auto"/>
        </w:rPr>
        <w:t>EXHIBIT E</w:t>
      </w:r>
    </w:p>
    <w:p>
      <w:pPr>
        <w:spacing w:after="0" w:line="25"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TRAINING SAMPLES WORK PLAN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Confidential</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bookmarkStart w:id="528" w:name="page529"/>
    <w:bookmarkEnd w:id="528"/>
    <w:p>
      <w:pPr>
        <w:ind w:left="10300"/>
        <w:spacing w:after="0"/>
        <w:rPr>
          <w:sz w:val="20"/>
          <w:szCs w:val="20"/>
          <w:color w:val="auto"/>
        </w:rPr>
      </w:pPr>
      <w:r>
        <w:rPr>
          <w:rFonts w:ascii="Arial" w:cs="Arial" w:eastAsia="Arial" w:hAnsi="Arial"/>
          <w:sz w:val="16"/>
          <w:szCs w:val="16"/>
          <w:b w:val="1"/>
          <w:bCs w:val="1"/>
          <w:color w:val="auto"/>
        </w:rPr>
        <w:t>Exhibit 10.18</w:t>
      </w:r>
    </w:p>
    <w:p>
      <w:pPr>
        <w:spacing w:after="0" w:line="216" w:lineRule="exact"/>
        <w:rPr>
          <w:sz w:val="20"/>
          <w:szCs w:val="20"/>
          <w:color w:val="auto"/>
        </w:rPr>
      </w:pPr>
    </w:p>
    <w:p>
      <w:pPr>
        <w:jc w:val="center"/>
        <w:ind w:left="4700" w:right="60" w:hanging="4631"/>
        <w:spacing w:after="0" w:line="288" w:lineRule="auto"/>
        <w:tabs>
          <w:tab w:leader="none" w:pos="425" w:val="left"/>
        </w:tabs>
        <w:numPr>
          <w:ilvl w:val="0"/>
          <w:numId w:val="373"/>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Confidential</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NO.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MASTER COLLABORATION AGREEMENT</w:t>
      </w:r>
    </w:p>
    <w:p>
      <w:pPr>
        <w:spacing w:after="0" w:line="171" w:lineRule="exact"/>
        <w:rPr>
          <w:sz w:val="20"/>
          <w:szCs w:val="20"/>
          <w:color w:val="auto"/>
        </w:rPr>
      </w:pPr>
    </w:p>
    <w:p>
      <w:pPr>
        <w:jc w:val="both"/>
        <w:ind w:firstLine="1036"/>
        <w:spacing w:after="0" w:line="291" w:lineRule="auto"/>
        <w:rPr>
          <w:sz w:val="20"/>
          <w:szCs w:val="20"/>
          <w:color w:val="auto"/>
        </w:rPr>
      </w:pPr>
      <w:r>
        <w:rPr>
          <w:rFonts w:ascii="Arial" w:cs="Arial" w:eastAsia="Arial" w:hAnsi="Arial"/>
          <w:sz w:val="13"/>
          <w:szCs w:val="13"/>
          <w:color w:val="auto"/>
        </w:rPr>
        <w:t>This Amendment No. 2 to Master Collaboration Agreement (the “</w:t>
      </w:r>
      <w:r>
        <w:rPr>
          <w:rFonts w:ascii="Arial" w:cs="Arial" w:eastAsia="Arial" w:hAnsi="Arial"/>
          <w:sz w:val="13"/>
          <w:szCs w:val="13"/>
          <w:b w:val="1"/>
          <w:bCs w:val="1"/>
          <w:color w:val="auto"/>
        </w:rPr>
        <w:t>Amendment No. 2</w:t>
      </w:r>
      <w:r>
        <w:rPr>
          <w:rFonts w:ascii="Arial" w:cs="Arial" w:eastAsia="Arial" w:hAnsi="Arial"/>
          <w:sz w:val="13"/>
          <w:szCs w:val="13"/>
          <w:color w:val="auto"/>
        </w:rPr>
        <w:t>”) is made and effective as of March 23, 2021 (the “</w:t>
      </w:r>
      <w:r>
        <w:rPr>
          <w:rFonts w:ascii="Arial" w:cs="Arial" w:eastAsia="Arial" w:hAnsi="Arial"/>
          <w:sz w:val="13"/>
          <w:szCs w:val="13"/>
          <w:b w:val="1"/>
          <w:bCs w:val="1"/>
          <w:color w:val="auto"/>
        </w:rPr>
        <w:t>Amendment No. 2 Effective Date</w:t>
      </w:r>
      <w:r>
        <w:rPr>
          <w:rFonts w:ascii="Arial" w:cs="Arial" w:eastAsia="Arial" w:hAnsi="Arial"/>
          <w:sz w:val="13"/>
          <w:szCs w:val="13"/>
          <w:color w:val="auto"/>
        </w:rPr>
        <w:t>”) between Century Therapeutics, Inc. (f/k/a Century Therapeutics, LLC), a Delaware corporation (“</w:t>
      </w:r>
      <w:r>
        <w:rPr>
          <w:rFonts w:ascii="Arial" w:cs="Arial" w:eastAsia="Arial" w:hAnsi="Arial"/>
          <w:sz w:val="13"/>
          <w:szCs w:val="13"/>
          <w:b w:val="1"/>
          <w:bCs w:val="1"/>
          <w:color w:val="auto"/>
        </w:rPr>
        <w:t>Century</w:t>
      </w:r>
      <w:r>
        <w:rPr>
          <w:rFonts w:ascii="Arial" w:cs="Arial" w:eastAsia="Arial" w:hAnsi="Arial"/>
          <w:sz w:val="13"/>
          <w:szCs w:val="13"/>
          <w:color w:val="auto"/>
        </w:rPr>
        <w:t>”) having a principal place of business at 3675 Market Street, Philadelphia, PA 19104 USA, and FUJIFILM Cellular Dynamics, Inc., a Wisconsin corporation (“</w:t>
      </w:r>
      <w:r>
        <w:rPr>
          <w:rFonts w:ascii="Arial" w:cs="Arial" w:eastAsia="Arial" w:hAnsi="Arial"/>
          <w:sz w:val="13"/>
          <w:szCs w:val="13"/>
          <w:b w:val="1"/>
          <w:bCs w:val="1"/>
          <w:color w:val="auto"/>
        </w:rPr>
        <w:t>FCDI</w:t>
      </w:r>
      <w:r>
        <w:rPr>
          <w:rFonts w:ascii="Arial" w:cs="Arial" w:eastAsia="Arial" w:hAnsi="Arial"/>
          <w:sz w:val="13"/>
          <w:szCs w:val="13"/>
          <w:color w:val="auto"/>
        </w:rPr>
        <w:t>”) having an address at 525 Science Drive, Madison, WI 53711 USA, and amends the Master Collaboration Agreement entered into between Century and CDI, signed as of October 21, 2019 and as amended by that certain Amendment No. 1 to Master Collaboration Agreement, dated as of July 17, 2020 (the “</w:t>
      </w:r>
      <w:r>
        <w:rPr>
          <w:rFonts w:ascii="Arial" w:cs="Arial" w:eastAsia="Arial" w:hAnsi="Arial"/>
          <w:sz w:val="13"/>
          <w:szCs w:val="13"/>
          <w:b w:val="1"/>
          <w:bCs w:val="1"/>
          <w:color w:val="auto"/>
        </w:rPr>
        <w:t>Collaboration Agreement</w:t>
      </w:r>
      <w:r>
        <w:rPr>
          <w:rFonts w:ascii="Arial" w:cs="Arial" w:eastAsia="Arial" w:hAnsi="Arial"/>
          <w:sz w:val="13"/>
          <w:szCs w:val="13"/>
          <w:color w:val="auto"/>
        </w:rPr>
        <w:t>”). All capitalized terms used but not otherwise defined herein shall have the meaning set forth in the Collaboration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WHEREAS, on October 21, 2019, Century and FCDI entered into the Collaboration Agreement; and</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WHEREAS, Century and FCDI desire that the Collaboration Agreement be amended as set forth herein.</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THEREFORE, in consideration of the mutual covenants and conditions set forth in this Amendment No. 2, it is agreed as follows:</w:t>
      </w:r>
    </w:p>
    <w:p>
      <w:pPr>
        <w:spacing w:after="0" w:line="184" w:lineRule="exact"/>
        <w:rPr>
          <w:sz w:val="20"/>
          <w:szCs w:val="20"/>
          <w:color w:val="auto"/>
        </w:rPr>
      </w:pPr>
    </w:p>
    <w:p>
      <w:pPr>
        <w:ind w:left="520" w:hanging="514"/>
        <w:spacing w:after="0"/>
        <w:tabs>
          <w:tab w:leader="none" w:pos="520" w:val="left"/>
        </w:tabs>
        <w:numPr>
          <w:ilvl w:val="0"/>
          <w:numId w:val="374"/>
        </w:numPr>
        <w:rPr>
          <w:rFonts w:ascii="Arial" w:cs="Arial" w:eastAsia="Arial" w:hAnsi="Arial"/>
          <w:sz w:val="14"/>
          <w:szCs w:val="14"/>
          <w:color w:val="auto"/>
        </w:rPr>
      </w:pPr>
      <w:r>
        <w:rPr>
          <w:rFonts w:ascii="Arial" w:cs="Arial" w:eastAsia="Arial" w:hAnsi="Arial"/>
          <w:sz w:val="14"/>
          <w:szCs w:val="14"/>
          <w:u w:val="single" w:color="auto"/>
          <w:color w:val="auto"/>
        </w:rPr>
        <w:t>Amendments to the Collaboration Agreement</w:t>
      </w:r>
      <w:r>
        <w:rPr>
          <w:rFonts w:ascii="Arial" w:cs="Arial" w:eastAsia="Arial" w:hAnsi="Arial"/>
          <w:sz w:val="14"/>
          <w:szCs w:val="14"/>
          <w:color w:val="auto"/>
        </w:rPr>
        <w:t>.</w:t>
      </w:r>
    </w:p>
    <w:p>
      <w:pPr>
        <w:spacing w:after="0" w:line="184"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Article 1 of the Collaboration Agreement shall be amended to add the following definitions, in appropriate alphabetical and numerical order, and the section numbers of Article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 of the Collaboration Agreement and all cross references thereto in the Collaboration are hereby updated to reflect the addition of such defined terms:</w:t>
      </w:r>
    </w:p>
    <w:p>
      <w:pPr>
        <w:spacing w:after="0" w:line="171" w:lineRule="exact"/>
        <w:rPr>
          <w:sz w:val="20"/>
          <w:szCs w:val="20"/>
          <w:color w:val="auto"/>
        </w:rPr>
      </w:pPr>
    </w:p>
    <w:p>
      <w:pPr>
        <w:jc w:val="both"/>
        <w:ind w:left="520" w:firstLine="518"/>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Century Engineered Cells</w:t>
      </w:r>
      <w:r>
        <w:rPr>
          <w:rFonts w:ascii="Arial" w:cs="Arial" w:eastAsia="Arial" w:hAnsi="Arial"/>
          <w:sz w:val="14"/>
          <w:szCs w:val="14"/>
          <w:color w:val="auto"/>
        </w:rPr>
        <w:t>” means iPSCs (including TiPSCs), Reprogrammed iPS Cells and Reprogrammed iPS Cell Derivative Materials that have been genetically modified or otherwise modified by Century.”</w:t>
      </w:r>
    </w:p>
    <w:p>
      <w:pPr>
        <w:spacing w:after="0" w:line="123" w:lineRule="exact"/>
        <w:rPr>
          <w:sz w:val="20"/>
          <w:szCs w:val="20"/>
          <w:color w:val="auto"/>
        </w:rPr>
      </w:pPr>
    </w:p>
    <w:p>
      <w:pPr>
        <w:jc w:val="both"/>
        <w:ind w:left="520" w:firstLine="518"/>
        <w:spacing w:after="0" w:line="28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FCDI Regulatory Documentation</w:t>
      </w:r>
      <w:r>
        <w:rPr>
          <w:rFonts w:ascii="Arial" w:cs="Arial" w:eastAsia="Arial" w:hAnsi="Arial"/>
          <w:sz w:val="13"/>
          <w:szCs w:val="13"/>
          <w:color w:val="auto"/>
        </w:rPr>
        <w:t>” means (i) all applications, registrations, licenses, authorizations and approvals (including all Regulatory Approvals, if any), all correspondence submitted to or received from Regulatory Authorities (including minutes and official contact reports relating to any communications with any Regulatory Authority) and all supporting documents and all clinical studies and tests, in each case to the extent relating to (a) any Reprogrammed iPS Cells (including TiPSCs) manufactured by FCDI, (b) the manufacture by FCDI of any such Reprogrammed iPS Cells (wherein such manufacture includes all activities performed by or on behalf FCDI through (inclusive of) cryopreservation of such Reprogrammed iPS Cells) and/or (c) the reprogramming plasmids used by FCDI in any such manufacture and (ii) all data contained in any of the foregoing in clause (i), including all INDs, Regulatory Approvals, regulatory drug lists, advertising and promotion documents, manufacturing data, drug master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159625"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9" w:name="page530"/>
    <w:bookmarkEnd w:id="529"/>
    <w:p>
      <w:pPr>
        <w:ind w:left="520"/>
        <w:spacing w:after="0"/>
        <w:rPr>
          <w:sz w:val="20"/>
          <w:szCs w:val="20"/>
          <w:color w:val="auto"/>
        </w:rPr>
      </w:pPr>
      <w:r>
        <w:rPr>
          <w:rFonts w:ascii="Arial" w:cs="Arial" w:eastAsia="Arial" w:hAnsi="Arial"/>
          <w:sz w:val="14"/>
          <w:szCs w:val="14"/>
          <w:color w:val="auto"/>
        </w:rPr>
        <w:t>clinical data, adverse event files and complaint files; and in each case of (i) and (ii), to the extent owned and controlled by FCDI.”</w:t>
      </w:r>
    </w:p>
    <w:p>
      <w:pPr>
        <w:spacing w:after="0" w:line="180" w:lineRule="exact"/>
        <w:rPr>
          <w:sz w:val="20"/>
          <w:szCs w:val="20"/>
          <w:color w:val="auto"/>
        </w:rPr>
      </w:pPr>
    </w:p>
    <w:p>
      <w:pPr>
        <w:jc w:val="both"/>
        <w:ind w:left="520" w:firstLine="518"/>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Quality Agreement</w:t>
      </w:r>
      <w:r>
        <w:rPr>
          <w:rFonts w:ascii="Arial" w:cs="Arial" w:eastAsia="Arial" w:hAnsi="Arial"/>
          <w:sz w:val="14"/>
          <w:szCs w:val="14"/>
          <w:color w:val="auto"/>
        </w:rPr>
        <w:t>” means that certain Quality Agreement between FCDI and Century, which has a signing date of June 29, 2020, as hereafter may be amended as set forth in a writing signed by an authorized representative of each of FCDI and Century.”</w:t>
      </w:r>
    </w:p>
    <w:p>
      <w:pPr>
        <w:spacing w:after="0" w:line="123" w:lineRule="exact"/>
        <w:rPr>
          <w:sz w:val="20"/>
          <w:szCs w:val="20"/>
          <w:color w:val="auto"/>
        </w:rPr>
      </w:pPr>
    </w:p>
    <w:p>
      <w:pPr>
        <w:jc w:val="both"/>
        <w:ind w:left="520" w:firstLine="518"/>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Regulatory Documentation</w:t>
      </w:r>
      <w:r>
        <w:rPr>
          <w:rFonts w:ascii="Arial" w:cs="Arial" w:eastAsia="Arial" w:hAnsi="Arial"/>
          <w:sz w:val="13"/>
          <w:szCs w:val="13"/>
          <w:color w:val="auto"/>
        </w:rPr>
        <w:t>” means all applications, registrations, licenses, authorizations and approvals (including all Regulatory Approvals), all correspondence submitted to or received from Regulatory Authorities (including minutes and official contact reports relating to any communications with any Regulatory Authority) and all supporting documents and all clinical studies and tests, relating to the Licensed Products and all data contained in any of the foregoing, including all INDs, Regulatory Approvals, regulatory drug lists, advertising and promotion documents, manufacturing data, drug master files, clinical data, adverse event files and complaint files, but excluding all FCDI Regulatory Documentation.”</w:t>
      </w:r>
    </w:p>
    <w:p>
      <w:pPr>
        <w:spacing w:after="0" w:line="130"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1.2. Article 4 of the Collaboration Agreement shall be amended (i) by replacing the heading “INSPECTIONS; RECORDS” with “INSPECTIONS; RECORDS; REGULATORY RELATED MATTERS”, (ii) by deleting Sections 4.1 and 4.2 in their entirety, (iii) by re-designating Sections 4.3 and 4.4 as Sections 4.2 and 4.3, respectively, and (iv) to include a new Section 4.1 and Section 4.4 as follows:</w:t>
      </w:r>
    </w:p>
    <w:p>
      <w:pPr>
        <w:spacing w:after="0" w:line="137"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b w:val="1"/>
          <w:bCs w:val="1"/>
          <w:u w:val="single" w:color="auto"/>
          <w:color w:val="auto"/>
        </w:rPr>
        <w:t>Right of Reference</w:t>
      </w:r>
      <w:r>
        <w:rPr>
          <w:rFonts w:ascii="Arial" w:cs="Arial" w:eastAsia="Arial" w:hAnsi="Arial"/>
          <w:sz w:val="14"/>
          <w:szCs w:val="14"/>
          <w:color w:val="auto"/>
        </w:rPr>
        <w:t>.</w:t>
      </w:r>
    </w:p>
    <w:p>
      <w:pPr>
        <w:spacing w:after="0" w:line="188" w:lineRule="exact"/>
        <w:rPr>
          <w:sz w:val="20"/>
          <w:szCs w:val="20"/>
          <w:color w:val="auto"/>
        </w:rPr>
      </w:pPr>
    </w:p>
    <w:p>
      <w:pPr>
        <w:jc w:val="both"/>
        <w:ind w:left="1560"/>
        <w:spacing w:after="0" w:line="287" w:lineRule="auto"/>
        <w:tabs>
          <w:tab w:leader="none" w:pos="1993" w:val="left"/>
        </w:tabs>
        <w:numPr>
          <w:ilvl w:val="0"/>
          <w:numId w:val="375"/>
        </w:numPr>
        <w:rPr>
          <w:rFonts w:ascii="Arial" w:cs="Arial" w:eastAsia="Arial" w:hAnsi="Arial"/>
          <w:sz w:val="13"/>
          <w:szCs w:val="13"/>
          <w:color w:val="auto"/>
        </w:rPr>
      </w:pPr>
      <w:r>
        <w:rPr>
          <w:rFonts w:ascii="Arial" w:cs="Arial" w:eastAsia="Arial" w:hAnsi="Arial"/>
          <w:sz w:val="13"/>
          <w:szCs w:val="13"/>
          <w:color w:val="auto"/>
        </w:rPr>
        <w:t>Century hereby grants, in addition to the rights thereto granted under the Reprogramming License Agreement and/or Differentiation License Agreement (i.e., to the extent a license under Century’s Regulatory Documentation is not already granted thereunder), to FCDI a non-exclusive, perpetual, irrevocable, fully paid-up, royalty-free, sublicensable (through multiple tiers), license and right of reference, with the right to grant sublicenses through multiple tiers and further rights of reference under any Regulatory Documentation Owned or Controlled by Century in connection with obtaining Regulatory Approval for Licensed Products within the Field, outside the Territory, for manufacturing and process development activities in respect of Licensed Products within the Field outside the Territory, and for manufacturing and process development activities outside of the Field for cells other than human iPSC (including TiPSC)-derived T cells, NK cells, macrophages and dendritic cells.</w:t>
      </w:r>
    </w:p>
    <w:p>
      <w:pPr>
        <w:spacing w:after="0" w:line="135" w:lineRule="exact"/>
        <w:rPr>
          <w:rFonts w:ascii="Arial" w:cs="Arial" w:eastAsia="Arial" w:hAnsi="Arial"/>
          <w:sz w:val="13"/>
          <w:szCs w:val="13"/>
          <w:color w:val="auto"/>
        </w:rPr>
      </w:pPr>
    </w:p>
    <w:p>
      <w:pPr>
        <w:jc w:val="both"/>
        <w:ind w:left="1560"/>
        <w:spacing w:after="0" w:line="267" w:lineRule="auto"/>
        <w:tabs>
          <w:tab w:leader="none" w:pos="1979" w:val="left"/>
        </w:tabs>
        <w:numPr>
          <w:ilvl w:val="0"/>
          <w:numId w:val="375"/>
        </w:numPr>
        <w:rPr>
          <w:rFonts w:ascii="Arial" w:cs="Arial" w:eastAsia="Arial" w:hAnsi="Arial"/>
          <w:sz w:val="14"/>
          <w:szCs w:val="14"/>
          <w:color w:val="auto"/>
        </w:rPr>
      </w:pPr>
      <w:r>
        <w:rPr>
          <w:rFonts w:ascii="Arial" w:cs="Arial" w:eastAsia="Arial" w:hAnsi="Arial"/>
          <w:sz w:val="14"/>
          <w:szCs w:val="14"/>
          <w:color w:val="auto"/>
        </w:rPr>
        <w:t>FCDI hereby grants, in addition to the rights thereto granted under the Reprogramming License Agreement and/or Differentiation License Agreement, to Century a non-exclusive, perpetual, irrevocable, fully paid-up, royalty-free, sublicensable (through multiple tiers), license and right of reference, with the right to grant sublicenses through multiple tiers and further rights of reference under any master file included in the FCDI Regulatory Documentation in connection with obtaining Regulatory Approval for Licensed Products within the Field within the Territory.</w:t>
      </w:r>
    </w:p>
    <w:p>
      <w:pPr>
        <w:spacing w:after="0" w:line="146" w:lineRule="exact"/>
        <w:rPr>
          <w:rFonts w:ascii="Arial" w:cs="Arial" w:eastAsia="Arial" w:hAnsi="Arial"/>
          <w:sz w:val="14"/>
          <w:szCs w:val="14"/>
          <w:color w:val="auto"/>
        </w:rPr>
      </w:pPr>
    </w:p>
    <w:p>
      <w:pPr>
        <w:jc w:val="both"/>
        <w:ind w:left="1560"/>
        <w:spacing w:after="0" w:line="273" w:lineRule="auto"/>
        <w:tabs>
          <w:tab w:leader="none" w:pos="1982" w:val="left"/>
        </w:tabs>
        <w:numPr>
          <w:ilvl w:val="0"/>
          <w:numId w:val="375"/>
        </w:numPr>
        <w:rPr>
          <w:rFonts w:ascii="Arial" w:cs="Arial" w:eastAsia="Arial" w:hAnsi="Arial"/>
          <w:sz w:val="14"/>
          <w:szCs w:val="14"/>
          <w:color w:val="auto"/>
        </w:rPr>
      </w:pPr>
      <w:r>
        <w:rPr>
          <w:rFonts w:ascii="Arial" w:cs="Arial" w:eastAsia="Arial" w:hAnsi="Arial"/>
          <w:sz w:val="14"/>
          <w:szCs w:val="14"/>
          <w:color w:val="auto"/>
        </w:rPr>
        <w:t>FCDI hereby grants, in addition to the rights thereto granted under the Reprogramming License Agreement and/or Differentiation License Agreement (i.e., to the extent a license under FCDI’s Regulatory Documentation is not already granted thereunder), to Century a non-exclusive, perpetual, irrevocable, fully paid-up, royalty-free, sublicensable (through multiple tiers), license and right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530" w:name="page531"/>
    <w:bookmarkEnd w:id="530"/>
    <w:p>
      <w:pPr>
        <w:jc w:val="both"/>
        <w:ind w:left="1560"/>
        <w:spacing w:after="0" w:line="273" w:lineRule="auto"/>
        <w:rPr>
          <w:sz w:val="20"/>
          <w:szCs w:val="20"/>
          <w:color w:val="auto"/>
        </w:rPr>
      </w:pPr>
      <w:r>
        <w:rPr>
          <w:rFonts w:ascii="Arial" w:cs="Arial" w:eastAsia="Arial" w:hAnsi="Arial"/>
          <w:sz w:val="14"/>
          <w:szCs w:val="14"/>
          <w:color w:val="auto"/>
        </w:rPr>
        <w:t>reference, with the right to grant sublicenses through multiple tiers and further rights of reference under any Regulatory Documentation Owned or Controlled by FCDI in connection with obtaining Regulatory Approval for Licensed Products within the Field within the Territory, and for manufacturing and process development activities in respect of Licensed Products within the Field within the Territory.</w:t>
      </w:r>
    </w:p>
    <w:p>
      <w:pPr>
        <w:spacing w:after="0" w:line="137" w:lineRule="exact"/>
        <w:rPr>
          <w:sz w:val="20"/>
          <w:szCs w:val="20"/>
          <w:color w:val="auto"/>
        </w:rPr>
      </w:pPr>
    </w:p>
    <w:p>
      <w:pPr>
        <w:ind w:left="1560"/>
        <w:spacing w:after="0" w:line="294" w:lineRule="auto"/>
        <w:tabs>
          <w:tab w:leader="none" w:pos="2012" w:val="left"/>
        </w:tabs>
        <w:numPr>
          <w:ilvl w:val="0"/>
          <w:numId w:val="376"/>
        </w:numPr>
        <w:rPr>
          <w:rFonts w:ascii="Arial" w:cs="Arial" w:eastAsia="Arial" w:hAnsi="Arial"/>
          <w:sz w:val="14"/>
          <w:szCs w:val="14"/>
          <w:color w:val="auto"/>
        </w:rPr>
      </w:pPr>
      <w:r>
        <w:rPr>
          <w:rFonts w:ascii="Arial" w:cs="Arial" w:eastAsia="Arial" w:hAnsi="Arial"/>
          <w:sz w:val="14"/>
          <w:szCs w:val="14"/>
          <w:color w:val="auto"/>
        </w:rPr>
        <w:t xml:space="preserve">The provisions of this </w:t>
      </w:r>
      <w:r>
        <w:rPr>
          <w:rFonts w:ascii="Arial" w:cs="Arial" w:eastAsia="Arial" w:hAnsi="Arial"/>
          <w:sz w:val="14"/>
          <w:szCs w:val="14"/>
          <w:b w:val="1"/>
          <w:bCs w:val="1"/>
          <w:color w:val="auto"/>
        </w:rPr>
        <w:t>Section 4.1</w:t>
      </w:r>
      <w:r>
        <w:rPr>
          <w:rFonts w:ascii="Arial" w:cs="Arial" w:eastAsia="Arial" w:hAnsi="Arial"/>
          <w:sz w:val="14"/>
          <w:szCs w:val="14"/>
          <w:color w:val="auto"/>
        </w:rPr>
        <w:t xml:space="preserve"> shall survive the expiration or termination of this Agreement, the Reprogramming License Agreement and/or Differentiation License Agreement.</w:t>
      </w:r>
    </w:p>
    <w:p>
      <w:pPr>
        <w:spacing w:after="0" w:line="123"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b w:val="1"/>
          <w:bCs w:val="1"/>
          <w:u w:val="single" w:color="auto"/>
          <w:color w:val="auto"/>
        </w:rPr>
        <w:t>Regulatory Related Matters</w:t>
      </w:r>
      <w:r>
        <w:rPr>
          <w:rFonts w:ascii="Arial" w:cs="Arial" w:eastAsia="Arial" w:hAnsi="Arial"/>
          <w:sz w:val="14"/>
          <w:szCs w:val="14"/>
          <w:color w:val="auto"/>
        </w:rPr>
        <w:t xml:space="preserve">. The provisions of Section 8 of the Quality Agreement and Section 2.0 of the Table set forth in the Quality Agreement shall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the extent the Quality Agreement expires or is terminated prior to the expiration or earlier termination of this Agreement, such provisions of the Quality Agreement will survive such expiration or termination for purposes of this Article 4, and be incorporated herein by reference.”</w:t>
      </w:r>
    </w:p>
    <w:p>
      <w:pPr>
        <w:spacing w:after="0" w:line="139"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color w:val="auto"/>
        </w:rPr>
        <w:t>Section 6.2(a) of the Collaboration Agreement shall be amended and restated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20" w:type="dxa"/>
            <w:vAlign w:val="bottom"/>
          </w:tcPr>
          <w:p>
            <w:pPr>
              <w:ind w:left="1040"/>
              <w:spacing w:after="0"/>
              <w:rPr>
                <w:sz w:val="20"/>
                <w:szCs w:val="20"/>
                <w:color w:val="auto"/>
              </w:rPr>
            </w:pPr>
            <w:r>
              <w:rPr>
                <w:rFonts w:ascii="Arial" w:cs="Arial" w:eastAsia="Arial" w:hAnsi="Arial"/>
                <w:sz w:val="14"/>
                <w:szCs w:val="14"/>
                <w:color w:val="auto"/>
              </w:rPr>
              <w:t>“(a)</w:t>
            </w:r>
          </w:p>
        </w:tc>
        <w:tc>
          <w:tcPr>
            <w:tcW w:w="9860" w:type="dxa"/>
            <w:vAlign w:val="bottom"/>
          </w:tcPr>
          <w:p>
            <w:pPr>
              <w:ind w:left="140"/>
              <w:spacing w:after="0"/>
              <w:rPr>
                <w:sz w:val="20"/>
                <w:szCs w:val="20"/>
                <w:color w:val="auto"/>
              </w:rPr>
            </w:pPr>
            <w:r>
              <w:rPr>
                <w:rFonts w:ascii="Arial" w:cs="Arial" w:eastAsia="Arial" w:hAnsi="Arial"/>
                <w:sz w:val="14"/>
                <w:szCs w:val="14"/>
                <w:color w:val="auto"/>
                <w:w w:val="97"/>
              </w:rPr>
              <w:t xml:space="preserve">Except as set forth in </w:t>
            </w:r>
            <w:r>
              <w:rPr>
                <w:rFonts w:ascii="Arial" w:cs="Arial" w:eastAsia="Arial" w:hAnsi="Arial"/>
                <w:sz w:val="14"/>
                <w:szCs w:val="14"/>
                <w:b w:val="1"/>
                <w:bCs w:val="1"/>
                <w:color w:val="auto"/>
                <w:w w:val="97"/>
              </w:rPr>
              <w:t>Section 6.2(b) or Section 6.2(c)</w:t>
            </w:r>
            <w:r>
              <w:rPr>
                <w:rFonts w:ascii="Arial" w:cs="Arial" w:eastAsia="Arial" w:hAnsi="Arial"/>
                <w:sz w:val="14"/>
                <w:szCs w:val="14"/>
                <w:color w:val="auto"/>
                <w:w w:val="97"/>
              </w:rPr>
              <w:t>, Century is and will be the sole and exclusive owner of all right, title and interest in and to the Deliverables</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9"/>
              </w:rPr>
              <w:t>(excluding Century Engineered Cells that are pluripotent), including all intellectual property rights therein. Any Deliverables produced by FCDI in the course of</w:t>
            </w:r>
          </w:p>
        </w:tc>
      </w:tr>
      <w:tr>
        <w:trPr>
          <w:trHeight w:val="169"/>
        </w:trPr>
        <w:tc>
          <w:tcPr>
            <w:tcW w:w="1420" w:type="dxa"/>
            <w:vAlign w:val="bottom"/>
          </w:tcPr>
          <w:p>
            <w:pPr>
              <w:spacing w:after="0"/>
              <w:rPr>
                <w:sz w:val="14"/>
                <w:szCs w:val="14"/>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5"/>
              </w:rPr>
              <w:t>providing Services pursuant to this Agreement shall be promptly and fully disclosed to Century in accordance with the terms of this Agreement. Except as set forth in</w:t>
            </w:r>
          </w:p>
        </w:tc>
      </w:tr>
      <w:tr>
        <w:trPr>
          <w:trHeight w:val="177"/>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b w:val="1"/>
                <w:bCs w:val="1"/>
                <w:color w:val="auto"/>
                <w:w w:val="94"/>
              </w:rPr>
              <w:t>Section 6.2(b) or Section 6.2(c)</w:t>
            </w:r>
            <w:r>
              <w:rPr>
                <w:rFonts w:ascii="Arial" w:cs="Arial" w:eastAsia="Arial" w:hAnsi="Arial"/>
                <w:sz w:val="14"/>
                <w:szCs w:val="14"/>
                <w:color w:val="auto"/>
                <w:w w:val="94"/>
              </w:rPr>
              <w:t>, FCDI hereby assigns to Century all of its right, title and interest in and to all Deliverables (excluding pluripotent Century Engineered</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7"/>
              </w:rPr>
              <w:t>Cells), including all intellectual property rights therein. FCDI acknowledges and agrees that each of the Licensed Patent Rights (as defined in the Reprogramming</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7"/>
              </w:rPr>
              <w:t>License Agreement) and the Licensed Technology (as defined in the Differentiation License Agreement) includes FCDI Technology to the extent described in the</w:t>
            </w:r>
          </w:p>
        </w:tc>
      </w:tr>
      <w:tr>
        <w:trPr>
          <w:trHeight w:val="169"/>
        </w:trPr>
        <w:tc>
          <w:tcPr>
            <w:tcW w:w="1420" w:type="dxa"/>
            <w:vAlign w:val="bottom"/>
          </w:tcPr>
          <w:p>
            <w:pPr>
              <w:spacing w:after="0"/>
              <w:rPr>
                <w:sz w:val="14"/>
                <w:szCs w:val="14"/>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8"/>
              </w:rPr>
              <w:t>definition of each such former term. Century hereby grants to FCDI, during the Term, a fully paid-up, royalty-free, non-transferable, non-sublicensable (except to</w:t>
            </w:r>
          </w:p>
        </w:tc>
      </w:tr>
      <w:tr>
        <w:trPr>
          <w:trHeight w:val="177"/>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4"/>
              </w:rPr>
              <w:t xml:space="preserve">permitted subcontractors in accordance with </w:t>
            </w:r>
            <w:r>
              <w:rPr>
                <w:rFonts w:ascii="Arial" w:cs="Arial" w:eastAsia="Arial" w:hAnsi="Arial"/>
                <w:sz w:val="14"/>
                <w:szCs w:val="14"/>
                <w:b w:val="1"/>
                <w:bCs w:val="1"/>
                <w:color w:val="auto"/>
                <w:w w:val="94"/>
              </w:rPr>
              <w:t>Section 2.4</w:t>
            </w:r>
            <w:r>
              <w:rPr>
                <w:rFonts w:ascii="Arial" w:cs="Arial" w:eastAsia="Arial" w:hAnsi="Arial"/>
                <w:sz w:val="14"/>
                <w:szCs w:val="14"/>
                <w:color w:val="auto"/>
                <w:w w:val="94"/>
              </w:rPr>
              <w:t>), non-exclusive right and license to practice any and all intellectual property rights in the Deliverables that are</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5"/>
              </w:rPr>
              <w:t>solely and exclusively owned by Century in accordance herewith to the extent necessary or useful to perform the Services. Notwithstanding anything to the contrary</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6"/>
              </w:rPr>
              <w:t>herein, (i) any and all Reprogrammed iPS Cells and pluripotent Reprogrammed iPS Cell Derivative Materials (A) that are or were obtained, created, or derived from</w:t>
            </w:r>
          </w:p>
        </w:tc>
      </w:tr>
      <w:tr>
        <w:trPr>
          <w:trHeight w:val="169"/>
        </w:trPr>
        <w:tc>
          <w:tcPr>
            <w:tcW w:w="1420" w:type="dxa"/>
            <w:vAlign w:val="bottom"/>
          </w:tcPr>
          <w:p>
            <w:pPr>
              <w:spacing w:after="0"/>
              <w:rPr>
                <w:sz w:val="14"/>
                <w:szCs w:val="14"/>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9"/>
              </w:rPr>
              <w:t>Reprogrammed iPS Cells that were transferred by FCDI to Century pursuant to the MTA, or (B) that otherwise were transferred by FCDI to Century prior to the</w:t>
            </w:r>
          </w:p>
        </w:tc>
      </w:tr>
      <w:tr>
        <w:trPr>
          <w:trHeight w:val="177"/>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8"/>
              </w:rPr>
              <w:t xml:space="preserve">Amendment No. 2 Effective Date and that are identified on </w:t>
            </w:r>
            <w:r>
              <w:rPr>
                <w:rFonts w:ascii="Arial" w:cs="Arial" w:eastAsia="Arial" w:hAnsi="Arial"/>
                <w:sz w:val="14"/>
                <w:szCs w:val="14"/>
                <w:b w:val="1"/>
                <w:bCs w:val="1"/>
                <w:color w:val="auto"/>
                <w:w w:val="98"/>
              </w:rPr>
              <w:t>Schedule 6.2(a)</w:t>
            </w:r>
            <w:r>
              <w:rPr>
                <w:rFonts w:ascii="Arial" w:cs="Arial" w:eastAsia="Arial" w:hAnsi="Arial"/>
                <w:sz w:val="14"/>
                <w:szCs w:val="14"/>
                <w:color w:val="auto"/>
                <w:w w:val="98"/>
              </w:rPr>
              <w:t xml:space="preserve"> attached hereto, or (C) that are transferred by FCDI to Century hereunder after the</w:t>
            </w:r>
          </w:p>
        </w:tc>
      </w:tr>
      <w:tr>
        <w:trPr>
          <w:trHeight w:val="169"/>
        </w:trPr>
        <w:tc>
          <w:tcPr>
            <w:tcW w:w="1420" w:type="dxa"/>
            <w:vAlign w:val="bottom"/>
          </w:tcPr>
          <w:p>
            <w:pPr>
              <w:spacing w:after="0"/>
              <w:rPr>
                <w:sz w:val="14"/>
                <w:szCs w:val="14"/>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6"/>
              </w:rPr>
              <w:t>Amendment No. 2 Effective Date other than as contemplated in the Research Plan (as in effect at the time of any such transfer) and that are identified on a written</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2"/>
              </w:rPr>
              <w:t xml:space="preserve">addendum to </w:t>
            </w:r>
            <w:r>
              <w:rPr>
                <w:rFonts w:ascii="Arial" w:cs="Arial" w:eastAsia="Arial" w:hAnsi="Arial"/>
                <w:sz w:val="14"/>
                <w:szCs w:val="14"/>
                <w:b w:val="1"/>
                <w:bCs w:val="1"/>
                <w:color w:val="auto"/>
                <w:w w:val="92"/>
              </w:rPr>
              <w:t>Schedule 6.2(a)</w:t>
            </w:r>
            <w:r>
              <w:rPr>
                <w:rFonts w:ascii="Arial" w:cs="Arial" w:eastAsia="Arial" w:hAnsi="Arial"/>
                <w:sz w:val="14"/>
                <w:szCs w:val="14"/>
                <w:color w:val="auto"/>
                <w:w w:val="92"/>
              </w:rPr>
              <w:t xml:space="preserve"> attached hereto agreed upon by the Parties (which agreement may be via email), which addendum by such agreement will become a part</w:t>
            </w:r>
          </w:p>
        </w:tc>
      </w:tr>
      <w:tr>
        <w:trPr>
          <w:trHeight w:val="177"/>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8"/>
              </w:rPr>
              <w:t xml:space="preserve">of </w:t>
            </w:r>
            <w:r>
              <w:rPr>
                <w:rFonts w:ascii="Arial" w:cs="Arial" w:eastAsia="Arial" w:hAnsi="Arial"/>
                <w:sz w:val="14"/>
                <w:szCs w:val="14"/>
                <w:b w:val="1"/>
                <w:bCs w:val="1"/>
                <w:color w:val="auto"/>
                <w:w w:val="98"/>
              </w:rPr>
              <w:t>Schedule 6.2(a)</w:t>
            </w:r>
            <w:r>
              <w:rPr>
                <w:rFonts w:ascii="Arial" w:cs="Arial" w:eastAsia="Arial" w:hAnsi="Arial"/>
                <w:sz w:val="14"/>
                <w:szCs w:val="14"/>
                <w:color w:val="auto"/>
                <w:w w:val="98"/>
              </w:rPr>
              <w:t>)(“</w:t>
            </w:r>
            <w:r>
              <w:rPr>
                <w:rFonts w:ascii="Arial" w:cs="Arial" w:eastAsia="Arial" w:hAnsi="Arial"/>
                <w:sz w:val="14"/>
                <w:szCs w:val="14"/>
                <w:b w:val="1"/>
                <w:bCs w:val="1"/>
                <w:color w:val="auto"/>
                <w:w w:val="98"/>
              </w:rPr>
              <w:t>Additional R&amp;D Cells</w:t>
            </w:r>
            <w:r>
              <w:rPr>
                <w:rFonts w:ascii="Arial" w:cs="Arial" w:eastAsia="Arial" w:hAnsi="Arial"/>
                <w:sz w:val="14"/>
                <w:szCs w:val="14"/>
                <w:color w:val="auto"/>
                <w:w w:val="98"/>
              </w:rPr>
              <w:t>”) and all pluripotent Century Engineered Cells derived therefrom that are not described in the immediately following</w:t>
            </w:r>
          </w:p>
        </w:tc>
      </w:tr>
      <w:tr>
        <w:trPr>
          <w:trHeight w:val="182"/>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rPr>
              <w:t>clause (ii) shall be deemed to be Deliverables transferred by FCDI to Century hereunder, and (ii) any and all</w:t>
            </w:r>
          </w:p>
        </w:tc>
      </w:tr>
      <w:tr>
        <w:trPr>
          <w:trHeight w:val="346"/>
        </w:trPr>
        <w:tc>
          <w:tcPr>
            <w:tcW w:w="142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18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80"/>
          </w:cols>
          <w:pgMar w:left="300" w:top="582" w:right="319" w:bottom="1440" w:gutter="0" w:footer="0" w:header="0"/>
        </w:sectPr>
      </w:pPr>
    </w:p>
    <w:bookmarkStart w:id="531" w:name="page532"/>
    <w:bookmarkEnd w:id="531"/>
    <w:p>
      <w:pPr>
        <w:jc w:val="both"/>
        <w:ind w:left="1040"/>
        <w:spacing w:after="0" w:line="267" w:lineRule="auto"/>
        <w:rPr>
          <w:sz w:val="20"/>
          <w:szCs w:val="20"/>
          <w:color w:val="auto"/>
        </w:rPr>
      </w:pPr>
      <w:r>
        <w:rPr>
          <w:rFonts w:ascii="Arial" w:cs="Arial" w:eastAsia="Arial" w:hAnsi="Arial"/>
          <w:sz w:val="14"/>
          <w:szCs w:val="14"/>
          <w:color w:val="auto"/>
        </w:rPr>
        <w:t xml:space="preserve">Deliverables that are Reprogrammed iPS Cells or pluripotent Reprogrammed iPS Cell Derivative Materials that are transferred by FCDI to Century hereunder, then furnished by Century to FCDI for its use in the course of performing Services, and then further transferred by FCDI to Century hereunder shall at all times remain and be Deliverables subject to this </w:t>
      </w:r>
      <w:r>
        <w:rPr>
          <w:rFonts w:ascii="Arial" w:cs="Arial" w:eastAsia="Arial" w:hAnsi="Arial"/>
          <w:sz w:val="14"/>
          <w:szCs w:val="14"/>
          <w:b w:val="1"/>
          <w:bCs w:val="1"/>
          <w:color w:val="auto"/>
        </w:rPr>
        <w:t>Section 6.2</w:t>
      </w:r>
      <w:r>
        <w:rPr>
          <w:rFonts w:ascii="Arial" w:cs="Arial" w:eastAsia="Arial" w:hAnsi="Arial"/>
          <w:sz w:val="14"/>
          <w:szCs w:val="14"/>
          <w:color w:val="auto"/>
        </w:rPr>
        <w:t xml:space="preserve"> and not be Materials subject to </w:t>
      </w:r>
      <w:r>
        <w:rPr>
          <w:rFonts w:ascii="Arial" w:cs="Arial" w:eastAsia="Arial" w:hAnsi="Arial"/>
          <w:sz w:val="14"/>
          <w:szCs w:val="14"/>
          <w:b w:val="1"/>
          <w:bCs w:val="1"/>
          <w:color w:val="auto"/>
        </w:rPr>
        <w:t>Section 6.1</w:t>
      </w:r>
      <w:r>
        <w:rPr>
          <w:rFonts w:ascii="Arial" w:cs="Arial" w:eastAsia="Arial" w:hAnsi="Arial"/>
          <w:sz w:val="14"/>
          <w:szCs w:val="14"/>
          <w:color w:val="auto"/>
        </w:rPr>
        <w:t>. For the avoidance of doubt, pluripotent Reprogrammed iPS Cell Derivative Materials include pluripotent Century Engineered Cells.”</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color w:val="auto"/>
        </w:rPr>
        <w:t>Section 6.2(b) of the Collaboration Agreement shall be amended and restated as follows: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 Notwithstanding anything to the contrary herein:</w:t>
      </w:r>
    </w:p>
    <w:p>
      <w:pPr>
        <w:spacing w:after="0" w:line="180" w:lineRule="exact"/>
        <w:rPr>
          <w:sz w:val="20"/>
          <w:szCs w:val="20"/>
          <w:color w:val="auto"/>
        </w:rPr>
      </w:pPr>
    </w:p>
    <w:p>
      <w:pPr>
        <w:jc w:val="both"/>
        <w:ind w:left="520" w:firstLine="520"/>
        <w:spacing w:after="0" w:line="269" w:lineRule="auto"/>
        <w:tabs>
          <w:tab w:leader="none" w:pos="1211" w:val="left"/>
        </w:tabs>
        <w:numPr>
          <w:ilvl w:val="0"/>
          <w:numId w:val="377"/>
        </w:numPr>
        <w:rPr>
          <w:rFonts w:ascii="Arial" w:cs="Arial" w:eastAsia="Arial" w:hAnsi="Arial"/>
          <w:sz w:val="14"/>
          <w:szCs w:val="14"/>
          <w:color w:val="auto"/>
        </w:rPr>
      </w:pPr>
      <w:r>
        <w:rPr>
          <w:rFonts w:ascii="Arial" w:cs="Arial" w:eastAsia="Arial" w:hAnsi="Arial"/>
          <w:sz w:val="14"/>
          <w:szCs w:val="14"/>
          <w:color w:val="auto"/>
        </w:rPr>
        <w:t xml:space="preserve">except as expressly otherwise provided in </w:t>
      </w:r>
      <w:r>
        <w:rPr>
          <w:rFonts w:ascii="Arial" w:cs="Arial" w:eastAsia="Arial" w:hAnsi="Arial"/>
          <w:sz w:val="14"/>
          <w:szCs w:val="14"/>
          <w:b w:val="1"/>
          <w:bCs w:val="1"/>
          <w:color w:val="auto"/>
        </w:rPr>
        <w:t>Section 6.2(c)</w:t>
      </w:r>
      <w:r>
        <w:rPr>
          <w:rFonts w:ascii="Arial" w:cs="Arial" w:eastAsia="Arial" w:hAnsi="Arial"/>
          <w:sz w:val="14"/>
          <w:szCs w:val="14"/>
          <w:color w:val="auto"/>
        </w:rPr>
        <w:t xml:space="preserve"> with respect to the Selected Cell Lines (as defined below in </w:t>
      </w:r>
      <w:r>
        <w:rPr>
          <w:rFonts w:ascii="Arial" w:cs="Arial" w:eastAsia="Arial" w:hAnsi="Arial"/>
          <w:sz w:val="14"/>
          <w:szCs w:val="14"/>
          <w:b w:val="1"/>
          <w:bCs w:val="1"/>
          <w:color w:val="auto"/>
        </w:rPr>
        <w:t>Section 6.2(c)</w:t>
      </w:r>
      <w:r>
        <w:rPr>
          <w:rFonts w:ascii="Arial" w:cs="Arial" w:eastAsia="Arial" w:hAnsi="Arial"/>
          <w:sz w:val="14"/>
          <w:szCs w:val="14"/>
          <w:color w:val="auto"/>
        </w:rPr>
        <w:t>), FCDI shall remain the sole and exclusive owner of all right, title and interest in and to any and all Deliverables that are Reprogrammed iPS Cells or pluripotent Reprogrammed iPS Cell Derivative Materials (including, for the avoidance of doubt, any pluripotent Century Engineered Cells) and Century’s rights with respect to any such Deliverables shall be limited to the use thereof in accordance with and subject to the Reprogramming License Agreement and the Differentiation License Agreement;</w:t>
      </w:r>
    </w:p>
    <w:p>
      <w:pPr>
        <w:spacing w:after="0" w:line="145" w:lineRule="exact"/>
        <w:rPr>
          <w:rFonts w:ascii="Arial" w:cs="Arial" w:eastAsia="Arial" w:hAnsi="Arial"/>
          <w:sz w:val="14"/>
          <w:szCs w:val="14"/>
          <w:color w:val="auto"/>
        </w:rPr>
      </w:pPr>
    </w:p>
    <w:p>
      <w:pPr>
        <w:jc w:val="both"/>
        <w:ind w:left="520" w:firstLine="520"/>
        <w:spacing w:after="0" w:line="273" w:lineRule="auto"/>
        <w:tabs>
          <w:tab w:leader="none" w:pos="1262" w:val="left"/>
        </w:tabs>
        <w:numPr>
          <w:ilvl w:val="1"/>
          <w:numId w:val="377"/>
        </w:numPr>
        <w:rPr>
          <w:rFonts w:ascii="Arial" w:cs="Arial" w:eastAsia="Arial" w:hAnsi="Arial"/>
          <w:sz w:val="14"/>
          <w:szCs w:val="14"/>
          <w:color w:val="auto"/>
        </w:rPr>
      </w:pPr>
      <w:r>
        <w:rPr>
          <w:rFonts w:ascii="Arial" w:cs="Arial" w:eastAsia="Arial" w:hAnsi="Arial"/>
          <w:sz w:val="14"/>
          <w:szCs w:val="14"/>
          <w:color w:val="auto"/>
        </w:rPr>
        <w:t>FCDI shall remain the sole and exclusive owner of all right, title and interest in and to the Licensed Patent Rights and the Licensed Technology and its retained rights pursuant to Section 2.6(a) of the Differentiation License Agreement including those pertaining to or embodied or incorporated in any Deliverables as to which Century shall have solely the rights granted in the Reprogramming License Agreement and the Differentiation License Agreement;</w:t>
      </w:r>
    </w:p>
    <w:p>
      <w:pPr>
        <w:spacing w:after="0" w:line="141" w:lineRule="exact"/>
        <w:rPr>
          <w:rFonts w:ascii="Arial" w:cs="Arial" w:eastAsia="Arial" w:hAnsi="Arial"/>
          <w:sz w:val="14"/>
          <w:szCs w:val="14"/>
          <w:color w:val="auto"/>
        </w:rPr>
      </w:pPr>
    </w:p>
    <w:p>
      <w:pPr>
        <w:ind w:left="520" w:firstLine="434"/>
        <w:spacing w:after="0" w:line="288" w:lineRule="auto"/>
        <w:tabs>
          <w:tab w:leader="none" w:pos="1212" w:val="left"/>
        </w:tabs>
        <w:numPr>
          <w:ilvl w:val="0"/>
          <w:numId w:val="378"/>
        </w:numPr>
        <w:rPr>
          <w:rFonts w:ascii="Arial" w:cs="Arial" w:eastAsia="Arial" w:hAnsi="Arial"/>
          <w:sz w:val="14"/>
          <w:szCs w:val="14"/>
          <w:color w:val="auto"/>
        </w:rPr>
      </w:pPr>
      <w:r>
        <w:rPr>
          <w:rFonts w:ascii="Arial" w:cs="Arial" w:eastAsia="Arial" w:hAnsi="Arial"/>
          <w:sz w:val="14"/>
          <w:szCs w:val="14"/>
          <w:color w:val="auto"/>
        </w:rPr>
        <w:t>FCDI shall remain the sole and exclusive owner of all right, title and interest in and to any and all products, materials, tools, Know-How, and intellectual property rights therein and Patent Rights and other similar rights (e.g., copyright registrations) with respect thereto, that are:</w:t>
      </w:r>
    </w:p>
    <w:p>
      <w:pPr>
        <w:spacing w:after="0" w:line="131" w:lineRule="exact"/>
        <w:rPr>
          <w:rFonts w:ascii="Arial" w:cs="Arial" w:eastAsia="Arial" w:hAnsi="Arial"/>
          <w:sz w:val="14"/>
          <w:szCs w:val="14"/>
          <w:color w:val="auto"/>
        </w:rPr>
      </w:pPr>
    </w:p>
    <w:p>
      <w:pPr>
        <w:ind w:left="960" w:firstLine="512"/>
        <w:spacing w:after="0" w:line="264" w:lineRule="auto"/>
        <w:tabs>
          <w:tab w:leader="none" w:pos="1716" w:val="left"/>
        </w:tabs>
        <w:numPr>
          <w:ilvl w:val="2"/>
          <w:numId w:val="378"/>
        </w:numPr>
        <w:rPr>
          <w:rFonts w:ascii="Arial" w:cs="Arial" w:eastAsia="Arial" w:hAnsi="Arial"/>
          <w:sz w:val="14"/>
          <w:szCs w:val="14"/>
          <w:color w:val="auto"/>
        </w:rPr>
      </w:pPr>
      <w:r>
        <w:rPr>
          <w:rFonts w:ascii="Arial" w:cs="Arial" w:eastAsia="Arial" w:hAnsi="Arial"/>
          <w:sz w:val="14"/>
          <w:szCs w:val="14"/>
          <w:color w:val="auto"/>
        </w:rPr>
        <w:t>made, conceived, reduced to practice or otherwise discovered firstly by its employees, consultants or other contractors, or agents outside of the course of the performance of the Services and without use of, reference to or incorporation</w:t>
      </w:r>
    </w:p>
    <w:p>
      <w:pPr>
        <w:ind w:left="960"/>
        <w:spacing w:after="0"/>
        <w:rPr>
          <w:rFonts w:ascii="Arial" w:cs="Arial" w:eastAsia="Arial" w:hAnsi="Arial"/>
          <w:sz w:val="14"/>
          <w:szCs w:val="14"/>
          <w:color w:val="auto"/>
        </w:rPr>
      </w:pPr>
      <w:r>
        <w:rPr>
          <w:rFonts w:ascii="Arial" w:cs="Arial" w:eastAsia="Arial" w:hAnsi="Arial"/>
          <w:sz w:val="14"/>
          <w:szCs w:val="14"/>
          <w:color w:val="auto"/>
        </w:rPr>
        <w:t>of Century’s Confidential Information,</w:t>
      </w:r>
    </w:p>
    <w:p>
      <w:pPr>
        <w:spacing w:after="0" w:line="174" w:lineRule="exact"/>
        <w:rPr>
          <w:rFonts w:ascii="Arial" w:cs="Arial" w:eastAsia="Arial" w:hAnsi="Arial"/>
          <w:sz w:val="14"/>
          <w:szCs w:val="14"/>
          <w:color w:val="auto"/>
        </w:rPr>
      </w:pPr>
    </w:p>
    <w:p>
      <w:pPr>
        <w:ind w:left="960" w:firstLine="512"/>
        <w:spacing w:after="0" w:line="264" w:lineRule="auto"/>
        <w:tabs>
          <w:tab w:leader="none" w:pos="1729" w:val="left"/>
        </w:tabs>
        <w:numPr>
          <w:ilvl w:val="2"/>
          <w:numId w:val="378"/>
        </w:numPr>
        <w:rPr>
          <w:rFonts w:ascii="Arial" w:cs="Arial" w:eastAsia="Arial" w:hAnsi="Arial"/>
          <w:sz w:val="14"/>
          <w:szCs w:val="14"/>
          <w:color w:val="auto"/>
        </w:rPr>
      </w:pPr>
      <w:r>
        <w:rPr>
          <w:rFonts w:ascii="Arial" w:cs="Arial" w:eastAsia="Arial" w:hAnsi="Arial"/>
          <w:sz w:val="14"/>
          <w:szCs w:val="14"/>
          <w:color w:val="auto"/>
        </w:rPr>
        <w:t>improvements, variations, modifications or enhancements of anything described in this sentence that are first made, conceived, reduced to practice or otherwise discovered by, or on behalf of, FCDI after the Effective Date in the</w:t>
      </w:r>
    </w:p>
    <w:p>
      <w:pPr>
        <w:jc w:val="both"/>
        <w:ind w:left="960"/>
        <w:spacing w:after="0" w:line="295" w:lineRule="auto"/>
        <w:rPr>
          <w:rFonts w:ascii="Arial" w:cs="Arial" w:eastAsia="Arial" w:hAnsi="Arial"/>
          <w:sz w:val="14"/>
          <w:szCs w:val="14"/>
          <w:color w:val="auto"/>
        </w:rPr>
      </w:pPr>
      <w:r>
        <w:rPr>
          <w:rFonts w:ascii="Arial" w:cs="Arial" w:eastAsia="Arial" w:hAnsi="Arial"/>
          <w:sz w:val="13"/>
          <w:szCs w:val="13"/>
          <w:color w:val="auto"/>
        </w:rPr>
        <w:t>course of FCDI’s performance of the Services (other than as explicitly set forth in an SOW) and that do not use or incorporate any of Century’s Confidential Information and that are useful for, and to be practiced in, the development, manufacture or commercialization of iPSCs (including TiPSC) (derived by any reprogramming method) or any one or more iPSC derived cell(s) other than solely iPSC (including TiPSC)-derived T cells, NK cells, dendritic cells, or macrophages; or</w:t>
      </w:r>
    </w:p>
    <w:p>
      <w:pPr>
        <w:spacing w:after="0" w:line="125" w:lineRule="exact"/>
        <w:rPr>
          <w:rFonts w:ascii="Arial" w:cs="Arial" w:eastAsia="Arial" w:hAnsi="Arial"/>
          <w:sz w:val="14"/>
          <w:szCs w:val="14"/>
          <w:color w:val="auto"/>
        </w:rPr>
      </w:pPr>
    </w:p>
    <w:p>
      <w:pPr>
        <w:ind w:left="1920" w:hanging="448"/>
        <w:spacing w:after="0"/>
        <w:tabs>
          <w:tab w:leader="none" w:pos="1920" w:val="left"/>
        </w:tabs>
        <w:numPr>
          <w:ilvl w:val="2"/>
          <w:numId w:val="378"/>
        </w:numPr>
        <w:rPr>
          <w:rFonts w:ascii="Arial" w:cs="Arial" w:eastAsia="Arial" w:hAnsi="Arial"/>
          <w:sz w:val="14"/>
          <w:szCs w:val="14"/>
          <w:color w:val="auto"/>
        </w:rPr>
      </w:pPr>
      <w:r>
        <w:rPr>
          <w:rFonts w:ascii="Arial" w:cs="Arial" w:eastAsia="Arial" w:hAnsi="Arial"/>
          <w:sz w:val="14"/>
          <w:szCs w:val="14"/>
          <w:color w:val="auto"/>
        </w:rPr>
        <w:t>third party intellectual property rights in licensed or otherwise acquired by FCDI independent of this Agreement (“</w:t>
      </w:r>
      <w:r>
        <w:rPr>
          <w:rFonts w:ascii="Arial" w:cs="Arial" w:eastAsia="Arial" w:hAnsi="Arial"/>
          <w:sz w:val="14"/>
          <w:szCs w:val="14"/>
          <w:b w:val="1"/>
          <w:bCs w:val="1"/>
          <w:color w:val="auto"/>
        </w:rPr>
        <w:t>FCDI Technology</w:t>
      </w:r>
      <w:r>
        <w:rPr>
          <w:rFonts w:ascii="Arial" w:cs="Arial" w:eastAsia="Arial" w:hAnsi="Arial"/>
          <w:sz w:val="14"/>
          <w:szCs w:val="14"/>
          <w:color w:val="auto"/>
        </w:rPr>
        <w:t>”);</w:t>
      </w:r>
    </w:p>
    <w:p>
      <w:pPr>
        <w:spacing w:after="0" w:line="188"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13970</wp:posOffset>
            </wp:positionV>
            <wp:extent cx="7159625" cy="698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582" w:right="319" w:bottom="1440" w:gutter="0" w:footer="0" w:header="0"/>
        </w:sectPr>
      </w:pPr>
    </w:p>
    <w:bookmarkStart w:id="532" w:name="page533"/>
    <w:bookmarkEnd w:id="532"/>
    <w:p>
      <w:pPr>
        <w:ind w:left="960"/>
        <w:spacing w:after="0"/>
        <w:rPr>
          <w:sz w:val="20"/>
          <w:szCs w:val="20"/>
          <w:color w:val="auto"/>
        </w:rPr>
      </w:pPr>
      <w:r>
        <w:rPr>
          <w:rFonts w:ascii="Arial" w:cs="Arial" w:eastAsia="Arial" w:hAnsi="Arial"/>
          <w:sz w:val="14"/>
          <w:szCs w:val="14"/>
          <w:color w:val="auto"/>
        </w:rPr>
        <w: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For the avoidance of doubt, FCDI shall remain the sole and exclusive owner of all right, title and interest in any and all products, materials, tools, Know-How, and any and all improvements, variations, modifications or enhancements of any of the foregoing, that are made, conceived, reduced to practice or otherwise discovered firstly by its employees, consultants or other contractors, or agents outside of the course of the performance of the Services (and accordingly are not funded in whole or in part by Century) and without use of, reference to or incorporation of Century’s Confidential Information, and any and all intellectual property rights therein and Patent Rights and other similar rights (e.g., copyright registrations) with respect thereto. FCDI hereby grants, in addition to the rights thereto granted under the Reprogramming License Agreement and/or Differentiation License Agreement (i.e., to the extent a license under the FCDI Technology to do (I) and (II) below is not already granted thereunder), to Century a non-exclusive, perpetual, irrevocable, fully paid-up. royalty-free, sublicensable (through multiple tiers), worldwide license under all FCDI Technology described in </w:t>
      </w:r>
      <w:r>
        <w:rPr>
          <w:rFonts w:ascii="Arial" w:cs="Arial" w:eastAsia="Arial" w:hAnsi="Arial"/>
          <w:sz w:val="13"/>
          <w:szCs w:val="13"/>
          <w:b w:val="1"/>
          <w:bCs w:val="1"/>
          <w:color w:val="auto"/>
        </w:rPr>
        <w:t>Section 6.2(b)(iii)(B)</w:t>
      </w:r>
      <w:r>
        <w:rPr>
          <w:rFonts w:ascii="Arial" w:cs="Arial" w:eastAsia="Arial" w:hAnsi="Arial"/>
          <w:sz w:val="13"/>
          <w:szCs w:val="13"/>
          <w:color w:val="auto"/>
        </w:rPr>
        <w:t xml:space="preserve"> pertaining to or embodied within the Deliverables, (I) to fully exploit any product or service based on, embodying, incorporating, or derived from the Deliverables that are owned by Century, and (II) to exercise any and all other present or future rights in the Deliverables for any and all purposes (excluding, for the avoidance of doubt, any rights under the Licensed Patent Rights, the Licensed Know-How or FCDI Technology as to which Century shall have</w:t>
      </w:r>
    </w:p>
    <w:p>
      <w:pPr>
        <w:spacing w:after="0" w:line="142"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13970</wp:posOffset>
            </wp:positionV>
            <wp:extent cx="7159625"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240"/>
          </w:cols>
          <w:pgMar w:left="1340" w:top="755" w:right="319" w:bottom="1440" w:gutter="0" w:footer="0" w:header="0"/>
        </w:sectPr>
      </w:pPr>
    </w:p>
    <w:bookmarkStart w:id="533" w:name="page534"/>
    <w:bookmarkEnd w:id="533"/>
    <w:p>
      <w:pPr>
        <w:jc w:val="both"/>
        <w:ind w:left="1040"/>
        <w:spacing w:after="0" w:line="288" w:lineRule="auto"/>
        <w:rPr>
          <w:sz w:val="20"/>
          <w:szCs w:val="20"/>
          <w:color w:val="auto"/>
        </w:rPr>
      </w:pPr>
      <w:r>
        <w:rPr>
          <w:rFonts w:ascii="Arial" w:cs="Arial" w:eastAsia="Arial" w:hAnsi="Arial"/>
          <w:sz w:val="14"/>
          <w:szCs w:val="14"/>
          <w:color w:val="auto"/>
        </w:rPr>
        <w:t>solely the rights granted under the Reprogramming License Agreement and/or Differentiation License Agreement or otherwise expressly granted herein) or to fully Exploit the Licensed Products and any product or service described in either of the immediately preceding clauses (I) and (II) of this sentence.</w:t>
      </w:r>
    </w:p>
    <w:p>
      <w:pPr>
        <w:spacing w:after="0" w:line="128" w:lineRule="exact"/>
        <w:rPr>
          <w:sz w:val="20"/>
          <w:szCs w:val="20"/>
          <w:color w:val="auto"/>
        </w:rPr>
      </w:pPr>
    </w:p>
    <w:p>
      <w:pPr>
        <w:jc w:val="both"/>
        <w:ind w:left="1040"/>
        <w:spacing w:after="0" w:line="269" w:lineRule="auto"/>
        <w:rPr>
          <w:sz w:val="20"/>
          <w:szCs w:val="20"/>
          <w:color w:val="auto"/>
        </w:rPr>
      </w:pPr>
      <w:r>
        <w:rPr>
          <w:rFonts w:ascii="Arial" w:cs="Arial" w:eastAsia="Arial" w:hAnsi="Arial"/>
          <w:sz w:val="14"/>
          <w:szCs w:val="14"/>
          <w:color w:val="auto"/>
        </w:rPr>
        <w:t xml:space="preserve">As used in this </w:t>
      </w:r>
      <w:r>
        <w:rPr>
          <w:rFonts w:ascii="Arial" w:cs="Arial" w:eastAsia="Arial" w:hAnsi="Arial"/>
          <w:sz w:val="14"/>
          <w:szCs w:val="14"/>
          <w:b w:val="1"/>
          <w:bCs w:val="1"/>
          <w:color w:val="auto"/>
        </w:rPr>
        <w:t>Section 6.2(b), “Relevant Century Activities”</w:t>
      </w:r>
      <w:r>
        <w:rPr>
          <w:rFonts w:ascii="Arial" w:cs="Arial" w:eastAsia="Arial" w:hAnsi="Arial"/>
          <w:sz w:val="14"/>
          <w:szCs w:val="14"/>
          <w:color w:val="auto"/>
        </w:rPr>
        <w:t xml:space="preserve"> means Century’s Board of Directors-approved and budgeted (with appropriate resources therefor available to Century or planned to be acquired by it) ongoing or anticipated activities and strategies, which in the case of anticipated activities and strategies are to be carried out within the succeeding eighteen (18) month period, as of the time that FCDI would request any consent from Century pursuant to the first proviso in the first sentence of this </w:t>
      </w:r>
      <w:r>
        <w:rPr>
          <w:rFonts w:ascii="Arial" w:cs="Arial" w:eastAsia="Arial" w:hAnsi="Arial"/>
          <w:sz w:val="14"/>
          <w:szCs w:val="14"/>
          <w:b w:val="1"/>
          <w:bCs w:val="1"/>
          <w:color w:val="auto"/>
        </w:rPr>
        <w:t>Section</w:t>
      </w:r>
      <w:r>
        <w:rPr>
          <w:rFonts w:ascii="Arial" w:cs="Arial" w:eastAsia="Arial" w:hAnsi="Arial"/>
          <w:sz w:val="14"/>
          <w:szCs w:val="14"/>
          <w:color w:val="auto"/>
        </w:rPr>
        <w:t xml:space="preserve"> </w:t>
      </w:r>
      <w:r>
        <w:rPr>
          <w:rFonts w:ascii="Arial" w:cs="Arial" w:eastAsia="Arial" w:hAnsi="Arial"/>
          <w:sz w:val="14"/>
          <w:szCs w:val="14"/>
          <w:b w:val="1"/>
          <w:bCs w:val="1"/>
          <w:color w:val="auto"/>
        </w:rPr>
        <w:t>6.2(b)</w:t>
      </w:r>
      <w:r>
        <w:rPr>
          <w:rFonts w:ascii="Arial" w:cs="Arial" w:eastAsia="Arial" w:hAnsi="Arial"/>
          <w:sz w:val="14"/>
          <w:szCs w:val="14"/>
          <w:color w:val="auto"/>
        </w:rPr>
        <w:t>.”</w:t>
      </w:r>
    </w:p>
    <w:p>
      <w:pPr>
        <w:spacing w:after="0" w:line="145"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color w:val="auto"/>
        </w:rPr>
        <w:t>Section 6.2(c) of the Collaboration Agreement shall be amended and restated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20" w:type="dxa"/>
            <w:vAlign w:val="bottom"/>
          </w:tcPr>
          <w:p>
            <w:pPr>
              <w:ind w:left="1040"/>
              <w:spacing w:after="0"/>
              <w:rPr>
                <w:sz w:val="20"/>
                <w:szCs w:val="20"/>
                <w:color w:val="auto"/>
              </w:rPr>
            </w:pPr>
            <w:r>
              <w:rPr>
                <w:rFonts w:ascii="Arial" w:cs="Arial" w:eastAsia="Arial" w:hAnsi="Arial"/>
                <w:sz w:val="14"/>
                <w:szCs w:val="14"/>
                <w:color w:val="auto"/>
              </w:rPr>
              <w:t>“(c)</w:t>
            </w:r>
          </w:p>
        </w:tc>
        <w:tc>
          <w:tcPr>
            <w:tcW w:w="9860" w:type="dxa"/>
            <w:vAlign w:val="bottom"/>
          </w:tcPr>
          <w:p>
            <w:pPr>
              <w:ind w:left="140"/>
              <w:spacing w:after="0"/>
              <w:rPr>
                <w:sz w:val="20"/>
                <w:szCs w:val="20"/>
                <w:color w:val="auto"/>
              </w:rPr>
            </w:pPr>
            <w:r>
              <w:rPr>
                <w:rFonts w:ascii="Arial" w:cs="Arial" w:eastAsia="Arial" w:hAnsi="Arial"/>
                <w:sz w:val="14"/>
                <w:szCs w:val="14"/>
                <w:color w:val="auto"/>
                <w:w w:val="95"/>
              </w:rPr>
              <w:t xml:space="preserve">Century shall: (i) use all Deliverables that are owned by FCDI in accordance with </w:t>
            </w:r>
            <w:r>
              <w:rPr>
                <w:rFonts w:ascii="Arial" w:cs="Arial" w:eastAsia="Arial" w:hAnsi="Arial"/>
                <w:sz w:val="14"/>
                <w:szCs w:val="14"/>
                <w:b w:val="1"/>
                <w:bCs w:val="1"/>
                <w:color w:val="auto"/>
                <w:w w:val="95"/>
              </w:rPr>
              <w:t>Section 6.2(b)(i)</w:t>
            </w:r>
            <w:r>
              <w:rPr>
                <w:rFonts w:ascii="Arial" w:cs="Arial" w:eastAsia="Arial" w:hAnsi="Arial"/>
                <w:sz w:val="14"/>
                <w:szCs w:val="14"/>
                <w:color w:val="auto"/>
                <w:w w:val="95"/>
              </w:rPr>
              <w:t xml:space="preserve"> (i.e., Reprogrammed iPS Cells or pluripotent Reprogrammed iPS</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5"/>
              </w:rPr>
              <w:t>Cell Derivative Materials, which include, for the avoidance of doubt, pluripotent Century Engineered Cells) solely (A) to perform the activities to be performed by it as</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4"/>
              </w:rPr>
              <w:t>set forth in the Research Plan, and/or (B) otherwise in internal research to develop Licensed Products in the Field, and (C) solely in the case of the Selected Cell Lines</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9"/>
              </w:rPr>
              <w:t>(as defined below), to otherwise Exploit Licensed Products, in accordance with and/or subject to this Agreement, the Reprogramming License Agreement, the</w:t>
            </w:r>
          </w:p>
        </w:tc>
      </w:tr>
      <w:tr>
        <w:trPr>
          <w:trHeight w:val="169"/>
        </w:trPr>
        <w:tc>
          <w:tcPr>
            <w:tcW w:w="1420" w:type="dxa"/>
            <w:vAlign w:val="bottom"/>
          </w:tcPr>
          <w:p>
            <w:pPr>
              <w:spacing w:after="0"/>
              <w:rPr>
                <w:sz w:val="14"/>
                <w:szCs w:val="14"/>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7"/>
              </w:rPr>
              <w:t>Differentiation License Agreement and/or the Manufacturing and Supply Agreement (from and after the time when the same hereafter becomes effective between</w:t>
            </w:r>
          </w:p>
        </w:tc>
      </w:tr>
      <w:tr>
        <w:trPr>
          <w:trHeight w:val="177"/>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7"/>
              </w:rPr>
              <w:t xml:space="preserve">Century and FCDI), as applicable. In order to effect the permitted use in </w:t>
            </w:r>
            <w:r>
              <w:rPr>
                <w:rFonts w:ascii="Arial" w:cs="Arial" w:eastAsia="Arial" w:hAnsi="Arial"/>
                <w:sz w:val="14"/>
                <w:szCs w:val="14"/>
                <w:b w:val="1"/>
                <w:bCs w:val="1"/>
                <w:color w:val="auto"/>
                <w:w w:val="97"/>
              </w:rPr>
              <w:t>Section 6.2(c)(i)(A)</w:t>
            </w:r>
            <w:r>
              <w:rPr>
                <w:rFonts w:ascii="Arial" w:cs="Arial" w:eastAsia="Arial" w:hAnsi="Arial"/>
                <w:sz w:val="14"/>
                <w:szCs w:val="14"/>
                <w:color w:val="auto"/>
                <w:w w:val="97"/>
              </w:rPr>
              <w:t xml:space="preserve"> (i.e., to the extent a license under such intellectual property rights to</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4"/>
              </w:rPr>
              <w:t>perform such activities is not already granted under the Reprogramming License Agreement and/or Differentiation License Agreement), FCDI hereby grants to Century</w:t>
            </w:r>
          </w:p>
        </w:tc>
      </w:tr>
      <w:tr>
        <w:trPr>
          <w:trHeight w:val="173"/>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w w:val="95"/>
              </w:rPr>
              <w:t>during the Term a fully paid-up, royalty-free, sublicensable, non-exclusive right and license to practice any and all intellectual property rights in such Deliverables that</w:t>
            </w:r>
          </w:p>
        </w:tc>
      </w:tr>
      <w:tr>
        <w:trPr>
          <w:trHeight w:val="182"/>
        </w:trPr>
        <w:tc>
          <w:tcPr>
            <w:tcW w:w="1420" w:type="dxa"/>
            <w:vAlign w:val="bottom"/>
          </w:tcPr>
          <w:p>
            <w:pPr>
              <w:spacing w:after="0"/>
              <w:rPr>
                <w:sz w:val="15"/>
                <w:szCs w:val="15"/>
                <w:color w:val="auto"/>
              </w:rPr>
            </w:pPr>
          </w:p>
        </w:tc>
        <w:tc>
          <w:tcPr>
            <w:tcW w:w="9860" w:type="dxa"/>
            <w:vAlign w:val="bottom"/>
          </w:tcPr>
          <w:p>
            <w:pPr>
              <w:ind w:left="140"/>
              <w:spacing w:after="0"/>
              <w:rPr>
                <w:sz w:val="20"/>
                <w:szCs w:val="20"/>
                <w:color w:val="auto"/>
              </w:rPr>
            </w:pPr>
            <w:r>
              <w:rPr>
                <w:rFonts w:ascii="Arial" w:cs="Arial" w:eastAsia="Arial" w:hAnsi="Arial"/>
                <w:sz w:val="14"/>
                <w:szCs w:val="14"/>
                <w:color w:val="auto"/>
              </w:rPr>
              <w:t>are owned by FCDI to the extent necessary or useful to perform the activities to be performed by Century as set forth in the Research Plan.</w:t>
            </w:r>
          </w:p>
        </w:tc>
      </w:tr>
      <w:tr>
        <w:trPr>
          <w:trHeight w:val="346"/>
        </w:trPr>
        <w:tc>
          <w:tcPr>
            <w:tcW w:w="142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ind w:left="4180"/>
              <w:spacing w:after="0"/>
              <w:rPr>
                <w:sz w:val="20"/>
                <w:szCs w:val="20"/>
                <w:color w:val="auto"/>
              </w:rPr>
            </w:pPr>
            <w:r>
              <w:rPr>
                <w:rFonts w:ascii="Arial" w:cs="Arial" w:eastAsia="Arial" w:hAnsi="Arial"/>
                <w:sz w:val="14"/>
                <w:szCs w:val="14"/>
                <w:color w:val="auto"/>
              </w:rPr>
              <w:t>6</w:t>
            </w:r>
          </w:p>
        </w:tc>
      </w:tr>
    </w:tbl>
    <w:p>
      <w:pPr>
        <w:sectPr>
          <w:pgSz w:w="11900" w:h="16838" w:orient="portrait"/>
          <w:cols w:equalWidth="0" w:num="1">
            <w:col w:w="11280"/>
          </w:cols>
          <w:pgMar w:left="300" w:top="583" w:right="319" w:bottom="1440" w:gutter="0" w:footer="0" w:header="0"/>
        </w:sectPr>
      </w:pPr>
    </w:p>
    <w:bookmarkStart w:id="534" w:name="page535"/>
    <w:bookmarkEnd w:id="534"/>
    <w:p>
      <w:pPr>
        <w:jc w:val="both"/>
        <w:ind w:left="420"/>
        <w:spacing w:after="0" w:line="261" w:lineRule="auto"/>
        <w:rPr>
          <w:sz w:val="20"/>
          <w:szCs w:val="20"/>
          <w:color w:val="auto"/>
        </w:rPr>
      </w:pPr>
      <w:r>
        <w:rPr>
          <w:rFonts w:ascii="Arial" w:cs="Arial" w:eastAsia="Arial" w:hAnsi="Arial"/>
          <w:sz w:val="14"/>
          <w:szCs w:val="14"/>
          <w:color w:val="auto"/>
        </w:rPr>
        <w:t xml:space="preserve">Notwithstanding anything to the contrary in this Agreement, Century shall not: (i) use any such Deliverables to make Reprogrammed iPS Cells or pluripotent Reprogrammed iPS Cell Derivative Materials (except as expressly permitted in this Agreement and/or the Reprogramming License Agreement), have made, offer to sell, or sell any such Deliverables; (ii) use any such Deliverables in the manufacture of any products (except Selected Cell Lines to manufacture Licensed Products as expressly described in clause (i)(C) of the first sentence of this </w:t>
      </w:r>
      <w:r>
        <w:rPr>
          <w:rFonts w:ascii="Arial" w:cs="Arial" w:eastAsia="Arial" w:hAnsi="Arial"/>
          <w:sz w:val="14"/>
          <w:szCs w:val="14"/>
          <w:b w:val="1"/>
          <w:bCs w:val="1"/>
          <w:color w:val="auto"/>
        </w:rPr>
        <w:t>Section 6.2(c))</w:t>
      </w:r>
      <w:r>
        <w:rPr>
          <w:rFonts w:ascii="Arial" w:cs="Arial" w:eastAsia="Arial" w:hAnsi="Arial"/>
          <w:sz w:val="14"/>
          <w:szCs w:val="14"/>
          <w:color w:val="auto"/>
        </w:rPr>
        <w:t xml:space="preserve">; (iii) transfer any such Deliverables except Selected Cell Lines solely for Exploitation as expressly described in clause (i)(C) of the first sentence of this </w:t>
      </w:r>
      <w:r>
        <w:rPr>
          <w:rFonts w:ascii="Arial" w:cs="Arial" w:eastAsia="Arial" w:hAnsi="Arial"/>
          <w:sz w:val="14"/>
          <w:szCs w:val="14"/>
          <w:b w:val="1"/>
          <w:bCs w:val="1"/>
          <w:color w:val="auto"/>
        </w:rPr>
        <w:t>Section 6.2(c)</w:t>
      </w:r>
      <w:r>
        <w:rPr>
          <w:rFonts w:ascii="Arial" w:cs="Arial" w:eastAsia="Arial" w:hAnsi="Arial"/>
          <w:sz w:val="14"/>
          <w:szCs w:val="14"/>
          <w:color w:val="auto"/>
        </w:rPr>
        <w:t>to any third party without FCDI’s express prior written consent; (iv) use any such Deliverables in any services for a third party, including sponsored research with a third party, without FCDI’s express prior written consent; (v) reverse engineer any such Deliverables (which shall not include full characterization as contemplated in the immediately following clause (vi) of this sentence); (vi) perform any whole genome sequencing (“</w:t>
      </w:r>
      <w:r>
        <w:rPr>
          <w:rFonts w:ascii="Arial" w:cs="Arial" w:eastAsia="Arial" w:hAnsi="Arial"/>
          <w:sz w:val="14"/>
          <w:szCs w:val="14"/>
          <w:b w:val="1"/>
          <w:bCs w:val="1"/>
          <w:color w:val="auto"/>
        </w:rPr>
        <w:t>WGS</w:t>
      </w:r>
      <w:r>
        <w:rPr>
          <w:rFonts w:ascii="Arial" w:cs="Arial" w:eastAsia="Arial" w:hAnsi="Arial"/>
          <w:sz w:val="14"/>
          <w:szCs w:val="14"/>
          <w:color w:val="auto"/>
        </w:rPr>
        <w:t>”) of any such Deliverables other than subject to and in accordance with compliance with the provision of the immediately following paragraph; and (vii) (A) use any such</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13970</wp:posOffset>
            </wp:positionV>
            <wp:extent cx="7159625"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40"/>
          </w:cols>
          <w:pgMar w:left="1440" w:top="582" w:right="319" w:bottom="1440" w:gutter="0" w:footer="0" w:header="0"/>
        </w:sectPr>
      </w:pPr>
    </w:p>
    <w:bookmarkStart w:id="535" w:name="page536"/>
    <w:bookmarkEnd w:id="535"/>
    <w:p>
      <w:pPr>
        <w:jc w:val="both"/>
        <w:ind w:left="420"/>
        <w:spacing w:after="0" w:line="280" w:lineRule="auto"/>
        <w:rPr>
          <w:sz w:val="20"/>
          <w:szCs w:val="20"/>
          <w:color w:val="auto"/>
        </w:rPr>
      </w:pPr>
      <w:r>
        <w:rPr>
          <w:rFonts w:ascii="Arial" w:cs="Arial" w:eastAsia="Arial" w:hAnsi="Arial"/>
          <w:sz w:val="13"/>
          <w:szCs w:val="13"/>
          <w:color w:val="auto"/>
        </w:rPr>
        <w:t xml:space="preserve">Deliverables in humans, in clinical trials, for diagnostic purposes involving human subjects, or for any therapeutic use; or (B) attempt in any way to determine the identity of the donor(s) of the biological materials from which Deliverables directly or indirectly are derived or were made; (viii) use (A) any Reprogrammed iPS Cells that are identified on </w:t>
      </w:r>
      <w:r>
        <w:rPr>
          <w:rFonts w:ascii="Arial" w:cs="Arial" w:eastAsia="Arial" w:hAnsi="Arial"/>
          <w:sz w:val="13"/>
          <w:szCs w:val="13"/>
          <w:b w:val="1"/>
          <w:bCs w:val="1"/>
          <w:color w:val="auto"/>
        </w:rPr>
        <w:t>Schedule 6.2(a)</w:t>
      </w:r>
      <w:r>
        <w:rPr>
          <w:rFonts w:ascii="Arial" w:cs="Arial" w:eastAsia="Arial" w:hAnsi="Arial"/>
          <w:sz w:val="13"/>
          <w:szCs w:val="13"/>
          <w:color w:val="auto"/>
        </w:rPr>
        <w:t xml:space="preserve"> as iPSCs of either the R&amp;D HDWCB or R&amp;D bank type (under Section 1, Reprogrammed iPS Cells, of such </w:t>
      </w:r>
      <w:r>
        <w:rPr>
          <w:rFonts w:ascii="Arial" w:cs="Arial" w:eastAsia="Arial" w:hAnsi="Arial"/>
          <w:sz w:val="13"/>
          <w:szCs w:val="13"/>
          <w:b w:val="1"/>
          <w:bCs w:val="1"/>
          <w:color w:val="auto"/>
        </w:rPr>
        <w:t>Schedule 6.2(a)</w:t>
      </w:r>
      <w:r>
        <w:rPr>
          <w:rFonts w:ascii="Arial" w:cs="Arial" w:eastAsia="Arial" w:hAnsi="Arial"/>
          <w:sz w:val="13"/>
          <w:szCs w:val="13"/>
          <w:color w:val="auto"/>
        </w:rPr>
        <w:t xml:space="preserve">) or any Additional R&amp;D Cells that are Reprogrammed iPS Cells, or (B) any pluripotent or non-pluripotent Reprogrammed iPS Cell Derivative Materials that are obtained, created, or derived from any such Reprogrammed iPS Cells (including, for the avoidance of doubt, Century Engineered Cells) other than solely in internal research performed by Century at its facility, which internal research excludes, use to develop any product(s) (i.e., for purposes of this </w:t>
      </w:r>
      <w:r>
        <w:rPr>
          <w:rFonts w:ascii="Arial" w:cs="Arial" w:eastAsia="Arial" w:hAnsi="Arial"/>
          <w:sz w:val="13"/>
          <w:szCs w:val="13"/>
          <w:b w:val="1"/>
          <w:bCs w:val="1"/>
          <w:color w:val="auto"/>
        </w:rPr>
        <w:t>Section 6.2(c)</w:t>
      </w:r>
      <w:r>
        <w:rPr>
          <w:rFonts w:ascii="Arial" w:cs="Arial" w:eastAsia="Arial" w:hAnsi="Arial"/>
          <w:sz w:val="13"/>
          <w:szCs w:val="13"/>
          <w:color w:val="auto"/>
        </w:rPr>
        <w:t xml:space="preserve">, use in any of the steps of manufacture of a product); (ix) use (A) any Reprogrammed iPS Cells that are identified on </w:t>
      </w:r>
      <w:r>
        <w:rPr>
          <w:rFonts w:ascii="Arial" w:cs="Arial" w:eastAsia="Arial" w:hAnsi="Arial"/>
          <w:sz w:val="13"/>
          <w:szCs w:val="13"/>
          <w:b w:val="1"/>
          <w:bCs w:val="1"/>
          <w:color w:val="auto"/>
        </w:rPr>
        <w:t>Schedule 6.2(a)</w:t>
      </w:r>
      <w:r>
        <w:rPr>
          <w:rFonts w:ascii="Arial" w:cs="Arial" w:eastAsia="Arial" w:hAnsi="Arial"/>
          <w:sz w:val="13"/>
          <w:szCs w:val="13"/>
          <w:color w:val="auto"/>
        </w:rPr>
        <w:t xml:space="preserve"> as TiPSCs (under Section 2, Reprogrammed iPS Cells and Reprogrammed iPS Cell Derivative Materials, of such </w:t>
      </w:r>
      <w:r>
        <w:rPr>
          <w:rFonts w:ascii="Arial" w:cs="Arial" w:eastAsia="Arial" w:hAnsi="Arial"/>
          <w:sz w:val="13"/>
          <w:szCs w:val="13"/>
          <w:b w:val="1"/>
          <w:bCs w:val="1"/>
          <w:color w:val="auto"/>
        </w:rPr>
        <w:t>Schedule 6.2(a)</w:t>
      </w:r>
      <w:r>
        <w:rPr>
          <w:rFonts w:ascii="Arial" w:cs="Arial" w:eastAsia="Arial" w:hAnsi="Arial"/>
          <w:sz w:val="13"/>
          <w:szCs w:val="13"/>
          <w:color w:val="auto"/>
        </w:rPr>
        <w:t xml:space="preserve">) or (B) any pluripotent or non-pluripotent Reprogrammed iPS Cell Derivative Materials that are obtained, created, or derived from such Reprogrammed iPS Cells (including, for the avoidance of doubt, Century Engineered Cells) other than solely in internal research performed by Century at its facility and solely consisting of research use of such TiPSCs to practice, using Century’s (or a third party’s) feeder-free differentiation protocol, differentiation of TiPSCs into gamma delta T cells in order to gain expertise and technical competence in performing such differentiation as well as insights into the efficiency of such differentiation (and to get a read on functional activity of cells resulting from such research), which internal research excludes, use to develop any product(s); (vii) use any Reprogrammed iPS Cell Derivative Materials that are identified on </w:t>
      </w:r>
      <w:r>
        <w:rPr>
          <w:rFonts w:ascii="Arial" w:cs="Arial" w:eastAsia="Arial" w:hAnsi="Arial"/>
          <w:sz w:val="13"/>
          <w:szCs w:val="13"/>
          <w:b w:val="1"/>
          <w:bCs w:val="1"/>
          <w:color w:val="auto"/>
        </w:rPr>
        <w:t>Schedule 6.2(a)</w:t>
      </w:r>
      <w:r>
        <w:rPr>
          <w:rFonts w:ascii="Arial" w:cs="Arial" w:eastAsia="Arial" w:hAnsi="Arial"/>
          <w:sz w:val="13"/>
          <w:szCs w:val="13"/>
          <w:color w:val="auto"/>
        </w:rPr>
        <w:t xml:space="preserve"> as either [***] or [***] (under Section 2, Reprogrammed iPS Cells and Reprogrammed iPS Cell Derivative Materials, of such </w:t>
      </w:r>
      <w:r>
        <w:rPr>
          <w:rFonts w:ascii="Arial" w:cs="Arial" w:eastAsia="Arial" w:hAnsi="Arial"/>
          <w:sz w:val="13"/>
          <w:szCs w:val="13"/>
          <w:b w:val="1"/>
          <w:bCs w:val="1"/>
          <w:color w:val="auto"/>
        </w:rPr>
        <w:t>Schedule 6.2(a)</w:t>
      </w:r>
      <w:r>
        <w:rPr>
          <w:rFonts w:ascii="Arial" w:cs="Arial" w:eastAsia="Arial" w:hAnsi="Arial"/>
          <w:sz w:val="13"/>
          <w:szCs w:val="13"/>
          <w:color w:val="auto"/>
        </w:rPr>
        <w:t xml:space="preserve">) other than solely in internal research performed by Century at its facility, which internal research excludes use to develop any product(s); and (x) any use(s) of Additional R&amp;D Cells that are expressly prohibited in the addendum to </w:t>
      </w:r>
      <w:r>
        <w:rPr>
          <w:rFonts w:ascii="Arial" w:cs="Arial" w:eastAsia="Arial" w:hAnsi="Arial"/>
          <w:sz w:val="13"/>
          <w:szCs w:val="13"/>
          <w:b w:val="1"/>
          <w:bCs w:val="1"/>
          <w:color w:val="auto"/>
        </w:rPr>
        <w:t xml:space="preserve">Schedule 6.2(a) </w:t>
      </w:r>
      <w:r>
        <w:rPr>
          <w:rFonts w:ascii="Arial" w:cs="Arial" w:eastAsia="Arial" w:hAnsi="Arial"/>
          <w:sz w:val="13"/>
          <w:szCs w:val="13"/>
          <w:color w:val="auto"/>
        </w:rPr>
        <w:t>whereby such Reprogrammed iPS Cells or Reprogrammed iPS Cell Derivative Materials, as applicable, become Additional R&amp;D Cells hereunder. No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rights to take any action or undertake any activities prohibited by any provision of this </w:t>
      </w:r>
      <w:r>
        <w:rPr>
          <w:rFonts w:ascii="Arial" w:cs="Arial" w:eastAsia="Arial" w:hAnsi="Arial"/>
          <w:sz w:val="13"/>
          <w:szCs w:val="13"/>
          <w:b w:val="1"/>
          <w:bCs w:val="1"/>
          <w:color w:val="auto"/>
        </w:rPr>
        <w:t>Section 6.2(c)</w:t>
      </w:r>
      <w:r>
        <w:rPr>
          <w:rFonts w:ascii="Arial" w:cs="Arial" w:eastAsia="Arial" w:hAnsi="Arial"/>
          <w:sz w:val="13"/>
          <w:szCs w:val="13"/>
          <w:color w:val="auto"/>
        </w:rPr>
        <w:t xml:space="preserve"> are conveyed or shall be implied by the transfer of the Deliverables under the MTA or hereunder (or a transfer thereof deemed made hereunder). Century shall use the Deliverables in accordance with all applicable laws and regulations and any applicable institutional review board approved protocol.</w:t>
      </w:r>
    </w:p>
    <w:p>
      <w:pPr>
        <w:spacing w:after="0" w:line="139" w:lineRule="exact"/>
        <w:rPr>
          <w:sz w:val="20"/>
          <w:szCs w:val="20"/>
          <w:color w:val="auto"/>
        </w:rPr>
      </w:pPr>
    </w:p>
    <w:p>
      <w:pPr>
        <w:jc w:val="both"/>
        <w:ind w:left="420"/>
        <w:spacing w:after="0" w:line="265" w:lineRule="auto"/>
        <w:rPr>
          <w:sz w:val="20"/>
          <w:szCs w:val="20"/>
          <w:color w:val="auto"/>
        </w:rPr>
      </w:pPr>
      <w:r>
        <w:rPr>
          <w:rFonts w:ascii="Arial" w:cs="Arial" w:eastAsia="Arial" w:hAnsi="Arial"/>
          <w:sz w:val="14"/>
          <w:szCs w:val="14"/>
          <w:color w:val="auto"/>
        </w:rPr>
        <w:t>All WGS will be performed by solely Century at its facility or on behalf of Century by an Approved CRO (as defined below in this paragraph) at the Approved CRO’s facility and will be solely [***]. For such purposes, “</w:t>
      </w:r>
      <w:r>
        <w:rPr>
          <w:rFonts w:ascii="Arial" w:cs="Arial" w:eastAsia="Arial" w:hAnsi="Arial"/>
          <w:sz w:val="14"/>
          <w:szCs w:val="14"/>
          <w:b w:val="1"/>
          <w:bCs w:val="1"/>
          <w:color w:val="auto"/>
        </w:rPr>
        <w:t>Approved CRO</w:t>
      </w:r>
      <w:r>
        <w:rPr>
          <w:rFonts w:ascii="Arial" w:cs="Arial" w:eastAsia="Arial" w:hAnsi="Arial"/>
          <w:sz w:val="14"/>
          <w:szCs w:val="14"/>
          <w:color w:val="auto"/>
        </w:rPr>
        <w:t>” means a third-party contract research organization (“</w:t>
      </w:r>
      <w:r>
        <w:rPr>
          <w:rFonts w:ascii="Arial" w:cs="Arial" w:eastAsia="Arial" w:hAnsi="Arial"/>
          <w:sz w:val="14"/>
          <w:szCs w:val="14"/>
          <w:b w:val="1"/>
          <w:bCs w:val="1"/>
          <w:color w:val="auto"/>
        </w:rPr>
        <w:t>CRO</w:t>
      </w:r>
      <w:r>
        <w:rPr>
          <w:rFonts w:ascii="Arial" w:cs="Arial" w:eastAsia="Arial" w:hAnsi="Arial"/>
          <w:sz w:val="14"/>
          <w:szCs w:val="14"/>
          <w:color w:val="auto"/>
        </w:rPr>
        <w:t>”) who has been expressly approved in writing by FCDI prior to the transfer to such CRO of any Deliverables on which such CRO would perform WGS and for whose acts or omissions, with respect to any and all Deliverables transferred to such CRO and any and all data resulting from any WGS performed by such CRO, Century is responsible as though such acts and omissions were those of Century itself. FCDI’s approval of any CRO proposed by Century</w:t>
      </w:r>
    </w:p>
    <w:p>
      <w:pPr>
        <w:spacing w:after="0" w:line="147"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13970</wp:posOffset>
            </wp:positionV>
            <wp:extent cx="7159625"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40"/>
          </w:cols>
          <w:pgMar w:left="1440" w:top="583" w:right="319" w:bottom="1440" w:gutter="0" w:footer="0" w:header="0"/>
        </w:sectPr>
      </w:pPr>
    </w:p>
    <w:bookmarkStart w:id="536" w:name="page537"/>
    <w:bookmarkEnd w:id="536"/>
    <w:p>
      <w:pPr>
        <w:jc w:val="both"/>
        <w:ind w:left="420"/>
        <w:spacing w:after="0" w:line="262" w:lineRule="auto"/>
        <w:rPr>
          <w:sz w:val="20"/>
          <w:szCs w:val="20"/>
          <w:color w:val="auto"/>
        </w:rPr>
      </w:pPr>
      <w:r>
        <w:rPr>
          <w:rFonts w:ascii="Arial" w:cs="Arial" w:eastAsia="Arial" w:hAnsi="Arial"/>
          <w:sz w:val="14"/>
          <w:szCs w:val="14"/>
          <w:color w:val="auto"/>
        </w:rPr>
        <w:t>to be an Approved CRO will not be unreasonably withheld, conditioned or delayed and may be provided via email. All data resulting from such WGS of any and all Deliverables other than Selected Cells Lines are Confidential Information of FCDI owned by it, and Century may use such data solely as a baseline or control for comparison of engineered vs parental lines and will not disclose any such data to any other person (other than FCDI) without FCDI’s express prior written consent thereto. All data resulting from such WGS of any and all Deliverables that are Selected Cells Lines are Confidential Information of Century owned by it subject to FCDI’s right to use such data in its internal research but not to disclose any such data to any third party. Promptly after Century (or its Approved CRO, as applicable) has performed WGS or analyzed raw data resulting from WGS, Century will disclose to FCDI all raw data resulting from such WGS or all analyzed data resulting from such analysis, as applicable.</w:t>
      </w:r>
    </w:p>
    <w:p>
      <w:pPr>
        <w:spacing w:after="0" w:line="147" w:lineRule="exact"/>
        <w:rPr>
          <w:sz w:val="20"/>
          <w:szCs w:val="20"/>
          <w:color w:val="auto"/>
        </w:rPr>
      </w:pPr>
    </w:p>
    <w:p>
      <w:pPr>
        <w:jc w:val="both"/>
        <w:ind w:left="420"/>
        <w:spacing w:after="0" w:line="280" w:lineRule="auto"/>
        <w:rPr>
          <w:sz w:val="20"/>
          <w:szCs w:val="20"/>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b w:val="1"/>
          <w:bCs w:val="1"/>
          <w:color w:val="auto"/>
        </w:rPr>
        <w:t>Section 6.2(c)</w:t>
      </w:r>
      <w:r>
        <w:rPr>
          <w:rFonts w:ascii="Arial" w:cs="Arial" w:eastAsia="Arial" w:hAnsi="Arial"/>
          <w:sz w:val="13"/>
          <w:szCs w:val="13"/>
          <w:color w:val="auto"/>
        </w:rPr>
        <w:t xml:space="preserve">, Century may possess and use (x) those Deliverables that are Reprogrammed iPS Cells or are pluripotent Reprogrammed iPS Cell Derivative Materials, or Century Engineered Cells, that are directly or indirectly derived or made from cells selected by Century from the clones that are identified on </w:t>
      </w:r>
      <w:r>
        <w:rPr>
          <w:rFonts w:ascii="Arial" w:cs="Arial" w:eastAsia="Arial" w:hAnsi="Arial"/>
          <w:sz w:val="13"/>
          <w:szCs w:val="13"/>
          <w:b w:val="1"/>
          <w:bCs w:val="1"/>
          <w:color w:val="auto"/>
        </w:rPr>
        <w:t>Schedule 6.2(c)</w:t>
      </w:r>
      <w:r>
        <w:rPr>
          <w:rFonts w:ascii="Arial" w:cs="Arial" w:eastAsia="Arial" w:hAnsi="Arial"/>
          <w:sz w:val="13"/>
          <w:szCs w:val="13"/>
          <w:color w:val="auto"/>
        </w:rPr>
        <w:t xml:space="preserve"> attached hereto, as set forth in a written notice thereof given by Century to FCDI prior [***] as the [***] as may be mutually agreed in writing by the Parties) to be used for the Exploitation of Licensed Products as contemplated in the Research Plan (collectively, the “</w:t>
      </w:r>
      <w:r>
        <w:rPr>
          <w:rFonts w:ascii="Arial" w:cs="Arial" w:eastAsia="Arial" w:hAnsi="Arial"/>
          <w:sz w:val="13"/>
          <w:szCs w:val="13"/>
          <w:b w:val="1"/>
          <w:bCs w:val="1"/>
          <w:color w:val="auto"/>
        </w:rPr>
        <w:t>Selected Cell</w:t>
      </w:r>
      <w:r>
        <w:rPr>
          <w:rFonts w:ascii="Arial" w:cs="Arial" w:eastAsia="Arial" w:hAnsi="Arial"/>
          <w:sz w:val="13"/>
          <w:szCs w:val="13"/>
          <w:color w:val="auto"/>
        </w:rPr>
        <w:t xml:space="preserve"> </w:t>
      </w:r>
      <w:r>
        <w:rPr>
          <w:rFonts w:ascii="Arial" w:cs="Arial" w:eastAsia="Arial" w:hAnsi="Arial"/>
          <w:sz w:val="13"/>
          <w:szCs w:val="13"/>
          <w:b w:val="1"/>
          <w:bCs w:val="1"/>
          <w:color w:val="auto"/>
        </w:rPr>
        <w:t>Lines</w:t>
      </w:r>
      <w:r>
        <w:rPr>
          <w:rFonts w:ascii="Arial" w:cs="Arial" w:eastAsia="Arial" w:hAnsi="Arial"/>
          <w:sz w:val="13"/>
          <w:szCs w:val="13"/>
          <w:color w:val="auto"/>
        </w:rPr>
        <w:t>”) and (y) Deliverables or Century Engineered Cells, as applicable, that are directly or indirectly derived or made from the Selected Cell Lines to Exploit Licensed</w:t>
      </w:r>
      <w:r>
        <w:rPr>
          <w:rFonts w:ascii="Arial" w:cs="Arial" w:eastAsia="Arial" w:hAnsi="Arial"/>
          <w:sz w:val="13"/>
          <w:szCs w:val="13"/>
          <w:b w:val="1"/>
          <w:bCs w:val="1"/>
          <w:color w:val="auto"/>
        </w:rPr>
        <w:t xml:space="preserve"> </w:t>
      </w:r>
      <w:r>
        <w:rPr>
          <w:rFonts w:ascii="Arial" w:cs="Arial" w:eastAsia="Arial" w:hAnsi="Arial"/>
          <w:sz w:val="13"/>
          <w:szCs w:val="13"/>
          <w:color w:val="auto"/>
        </w:rPr>
        <w:t>Products in the Field in accordance with and subject to this Agreement, the Reprogramming License Agreement and the Differentiation License Agreement. Title with respect to such Selected Cell Line and all Deliverables or Century Engineered Cells, as applicable, that are directly or indirectly derived or made from the Selected Cell Lines passes to Century upon Century’s giving of written notice of its selection of a Selected Cell Line to FCDI in accordance with this paragraph for use, further transfer, and other exploitation thereof, subject to the terms and conditions of the Reprogramming License Agreement and WARF License Agreement and under the Licensed Patent Rights to Exploit the Licensed Products within the Field in the Territory. Notwithstanding any term or implication herein to the contrary and for the sake of clarity, the foregoing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 of a Licensed Product other than a Licensed Product that is being researched, developed or commercialized by or on behalf of Century or its Affiliates or Sublicensees. For clarity, the foregoing shall not be deemed to transfer title of Reprogrammed iPS Cells or pluripotent Reprogrammed iPS Cell Derivative Materials that are Controlled by FCDI (in each case, as defined in the Reprogramming License Agreement) that have not been genetically modified or otherwise modified by Century or on Century’s request or</w:t>
      </w: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13970</wp:posOffset>
            </wp:positionV>
            <wp:extent cx="7159625"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40"/>
          </w:cols>
          <w:pgMar w:left="1440" w:top="582" w:right="319" w:bottom="1440" w:gutter="0" w:footer="0" w:header="0"/>
        </w:sectPr>
      </w:pPr>
    </w:p>
    <w:bookmarkStart w:id="537" w:name="page538"/>
    <w:bookmarkEnd w:id="537"/>
    <w:p>
      <w:pPr>
        <w:jc w:val="both"/>
        <w:ind w:left="1560"/>
        <w:spacing w:after="0" w:line="288" w:lineRule="auto"/>
        <w:rPr>
          <w:sz w:val="20"/>
          <w:szCs w:val="20"/>
          <w:color w:val="auto"/>
        </w:rPr>
      </w:pPr>
      <w:r>
        <w:rPr>
          <w:rFonts w:ascii="Arial" w:cs="Arial" w:eastAsia="Arial" w:hAnsi="Arial"/>
          <w:sz w:val="14"/>
          <w:szCs w:val="14"/>
          <w:color w:val="auto"/>
        </w:rPr>
        <w:t>direction pursuant to any Work Order. Capitalized terms used but not defined in this paragraph have the meanings assigned to them in the Reprogramming License Agreement.</w:t>
      </w:r>
    </w:p>
    <w:p>
      <w:pPr>
        <w:spacing w:after="0" w:line="132" w:lineRule="exact"/>
        <w:rPr>
          <w:sz w:val="20"/>
          <w:szCs w:val="20"/>
          <w:color w:val="auto"/>
        </w:rPr>
      </w:pPr>
    </w:p>
    <w:p>
      <w:pPr>
        <w:jc w:val="both"/>
        <w:ind w:left="1560"/>
        <w:spacing w:after="0" w:line="280" w:lineRule="auto"/>
        <w:rPr>
          <w:sz w:val="20"/>
          <w:szCs w:val="20"/>
          <w:color w:val="auto"/>
        </w:rPr>
      </w:pPr>
      <w:r>
        <w:rPr>
          <w:rFonts w:ascii="Arial" w:cs="Arial" w:eastAsia="Arial" w:hAnsi="Arial"/>
          <w:sz w:val="13"/>
          <w:szCs w:val="13"/>
          <w:color w:val="auto"/>
        </w:rPr>
        <w:t xml:space="preserve">At any time after the third Contract Year when there is no Approved Research Budget in effect (and there is no ongoing discussions between the Parties or dispute resolution seeking a determination that there be an Approved Research Budget), FCDI may give Century written notice requiring Century, at FCDI’s election, (X) to return or destroy all Deliverables that are Reprogrammed iPS Cells or are pluripotent Reprogrammed iPS Cell Derivative Materials and all Century Engineered Cells) other than the Selected Cell Lines and pluripotent Reprogrammed iPS Cell Derivative Materials (including, for the avoidance of doubt, Century Engineered Cells) derived from the Selected Cell Lines, and destroy all Deliverables that are non-pluripotent Reprogrammed iPS Cell Derivative Materials other than non-pluripotent Reprogrammed iPS Cell Derivative Materials (including, for the avoidance of doubt, Century Engineered Cells) derived from the Selected Cell Lines or (Y) to destroy all Deliverables that are Reprogrammed iPS Cells or are Reprogrammed iPS Cell Derivative Materials and all Century Engineered Cells other than the Selected Cell Lines, Reprogrammed iPS Cell Derivative Materials derived from the Selected Cell Lines and Century Engineered Cells derived from the Selected Cell Lines; provided, however, that, no later than January 31, 2022, Century shall complete the destruction contemplated in clause (Y) of the immediately preceding provision and destroy all other Reprogrammed iPS Cells and Reprogrammed iPS Cell Derivative Materials and all other Century Engineered Cells except that Century may continue to possess and use solely [1] Reprogrammed iPS Cells, and pluripotent Reprogrammed iPS Cell Derivative Materials that were genome edited or engineered by Century in accordance with this Agreement, the Reprogramming License Agreement and the Differentiation License Agreement, and [2] non-pluripotent Reprogrammed iPS Cell Derivative Materials derived therefrom, in the case of each of [1] and [2] solely in internal research to develop Licensed Products in the Field in accordance with and subject to this Agreement and the Reprogramming License Agreement and the Differentiation License Agreement. If so requested by FCDI in writing in accordance with this Agreement, Century will confirm the destruction of any Deliverables as required pursuant to this </w:t>
      </w:r>
      <w:r>
        <w:rPr>
          <w:rFonts w:ascii="Arial" w:cs="Arial" w:eastAsia="Arial" w:hAnsi="Arial"/>
          <w:sz w:val="13"/>
          <w:szCs w:val="13"/>
          <w:b w:val="1"/>
          <w:bCs w:val="1"/>
          <w:color w:val="auto"/>
        </w:rPr>
        <w:t>Section 6.2(c)</w:t>
      </w:r>
      <w:r>
        <w:rPr>
          <w:rFonts w:ascii="Arial" w:cs="Arial" w:eastAsia="Arial" w:hAnsi="Arial"/>
          <w:sz w:val="13"/>
          <w:szCs w:val="13"/>
          <w:color w:val="auto"/>
        </w:rPr>
        <w:t xml:space="preserve"> in a writing delivered to FCDI.”</w:t>
      </w:r>
    </w:p>
    <w:p>
      <w:pPr>
        <w:spacing w:after="0" w:line="146"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3"/>
          <w:szCs w:val="13"/>
          <w:color w:val="auto"/>
        </w:rPr>
        <w:t>Article 7 of the Collaboration Agreement shall be amended (i) by re-designating Section 7.5 as Section 7.8, and (ii) to include a new Section 7.5, Section 7.6, and Section 7.7 as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71" w:lineRule="exact"/>
        <w:rPr>
          <w:sz w:val="20"/>
          <w:szCs w:val="20"/>
          <w:color w:val="auto"/>
        </w:rPr>
      </w:pPr>
    </w:p>
    <w:p>
      <w:pPr>
        <w:jc w:val="both"/>
        <w:ind w:left="1560" w:hanging="519"/>
        <w:spacing w:after="0" w:line="264" w:lineRule="auto"/>
        <w:tabs>
          <w:tab w:leader="none" w:pos="15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b w:val="1"/>
          <w:bCs w:val="1"/>
          <w:u w:val="single" w:color="auto"/>
          <w:color w:val="auto"/>
        </w:rPr>
        <w:t>Publication</w:t>
      </w:r>
      <w:r>
        <w:rPr>
          <w:rFonts w:ascii="Arial" w:cs="Arial" w:eastAsia="Arial" w:hAnsi="Arial"/>
          <w:sz w:val="14"/>
          <w:szCs w:val="14"/>
          <w:color w:val="auto"/>
        </w:rPr>
        <w:t>. Each Party shall submit any proposed scientific publication containing Confidential Information of the other Party relating to its development and/or</w:t>
      </w:r>
      <w:r>
        <w:rPr>
          <w:rFonts w:ascii="Arial" w:cs="Arial" w:eastAsia="Arial" w:hAnsi="Arial"/>
          <w:sz w:val="14"/>
          <w:szCs w:val="14"/>
          <w:b w:val="1"/>
          <w:bCs w:val="1"/>
          <w:color w:val="auto"/>
        </w:rPr>
        <w:t xml:space="preserve"> </w:t>
      </w:r>
      <w:r>
        <w:rPr>
          <w:rFonts w:ascii="Arial" w:cs="Arial" w:eastAsia="Arial" w:hAnsi="Arial"/>
          <w:sz w:val="14"/>
          <w:szCs w:val="14"/>
          <w:color w:val="auto"/>
        </w:rPr>
        <w:t>Exploitation activities relating to the Services or Licensed Products at least seven (7) days in advance of submission of an abstract of a proposed publication, if any, and again at least seven (7) days in advance of submission of the scientific publication, to allow such other Party to review such planned public disclosure. The reviewing Party will promptly review such publication and make any objections that it may have to the publication of the Confidential Information contained therein. The reviewing Party may, at its option, delay any such proposed publication or presentation for an additional sixty (60) day period, in order to file any patent applications on the inventions disclosed therein. Should the reviewing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38" w:name="page539"/>
    <w:bookmarkEnd w:id="538"/>
    <w:p>
      <w:pPr>
        <w:jc w:val="both"/>
        <w:ind w:left="1040"/>
        <w:spacing w:after="0" w:line="287" w:lineRule="auto"/>
        <w:rPr>
          <w:sz w:val="20"/>
          <w:szCs w:val="20"/>
          <w:color w:val="auto"/>
        </w:rPr>
      </w:pPr>
      <w:r>
        <w:rPr>
          <w:rFonts w:ascii="Arial" w:cs="Arial" w:eastAsia="Arial" w:hAnsi="Arial"/>
          <w:sz w:val="13"/>
          <w:szCs w:val="13"/>
          <w:color w:val="auto"/>
        </w:rPr>
        <w:t>Party make an objection to the publication of the Confidential Information or require its modification, then the Parties will discuss the merits of publishing and any such modifications; provided, however, that in any case, no publication of Confidential Information of the other Party shall take place under this Section without the other Party’s prior written approval thereof or unless the obligations of confidentiality as to such Confidential Information shall be waived or disclosure of Confidential Information of the other Party is otherwise authorized under this Article 7. For purposes of this Section 7.5 and notwithstanding anything to the contrary herein, Confidential Information of FCDI shall include, without limitation, information and data regarding and relating to the genotypic characteristics of, the phenotypic characteristics of, and the functionality of the Deliverables other than Deliverables that are Selected Cell Lines or are derived from Selected Cell Lines.”</w:t>
      </w:r>
    </w:p>
    <w:p>
      <w:pPr>
        <w:spacing w:after="0" w:line="132" w:lineRule="exact"/>
        <w:rPr>
          <w:sz w:val="20"/>
          <w:szCs w:val="20"/>
          <w:color w:val="auto"/>
        </w:rPr>
      </w:pPr>
    </w:p>
    <w:p>
      <w:pPr>
        <w:jc w:val="both"/>
        <w:ind w:left="1040" w:hanging="519"/>
        <w:spacing w:after="0" w:line="288" w:lineRule="auto"/>
        <w:tabs>
          <w:tab w:leader="none" w:pos="1020" w:val="left"/>
        </w:tabs>
        <w:rPr>
          <w:sz w:val="20"/>
          <w:szCs w:val="20"/>
          <w:color w:val="auto"/>
        </w:rPr>
      </w:pPr>
      <w:r>
        <w:rPr>
          <w:rFonts w:ascii="Arial" w:cs="Arial" w:eastAsia="Arial" w:hAnsi="Arial"/>
          <w:sz w:val="13"/>
          <w:szCs w:val="13"/>
          <w:color w:val="auto"/>
        </w:rPr>
        <w:t>“7.6.</w:t>
      </w:r>
      <w:r>
        <w:rPr>
          <w:sz w:val="20"/>
          <w:szCs w:val="20"/>
          <w:color w:val="auto"/>
        </w:rPr>
        <w:tab/>
      </w:r>
      <w:r>
        <w:rPr>
          <w:rFonts w:ascii="Arial" w:cs="Arial" w:eastAsia="Arial" w:hAnsi="Arial"/>
          <w:sz w:val="13"/>
          <w:szCs w:val="13"/>
          <w:b w:val="1"/>
          <w:bCs w:val="1"/>
          <w:u w:val="single" w:color="auto"/>
          <w:color w:val="auto"/>
        </w:rPr>
        <w:t>Publication of Clinical Trial Results</w:t>
      </w:r>
      <w:r>
        <w:rPr>
          <w:rFonts w:ascii="Arial" w:cs="Arial" w:eastAsia="Arial" w:hAnsi="Arial"/>
          <w:sz w:val="13"/>
          <w:szCs w:val="13"/>
          <w:b w:val="1"/>
          <w:bCs w:val="1"/>
          <w:color w:val="auto"/>
        </w:rPr>
        <w:t xml:space="preserve">. </w:t>
      </w:r>
      <w:r>
        <w:rPr>
          <w:rFonts w:ascii="Arial" w:cs="Arial" w:eastAsia="Arial" w:hAnsi="Arial"/>
          <w:sz w:val="13"/>
          <w:szCs w:val="13"/>
          <w:color w:val="auto"/>
        </w:rPr>
        <w:t>Each Party mutually supports a policy to register and report results of clinical trials and agrees that this Agreement is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such policy. Each Party agrees that it will permit the party conducting or sponsoring a clinical trial with respect to any Licensed Product and the Affiliates of such conducting or sponsoring party (the “</w:t>
      </w:r>
      <w:r>
        <w:rPr>
          <w:rFonts w:ascii="Arial" w:cs="Arial" w:eastAsia="Arial" w:hAnsi="Arial"/>
          <w:sz w:val="13"/>
          <w:szCs w:val="13"/>
          <w:b w:val="1"/>
          <w:bCs w:val="1"/>
          <w:color w:val="auto"/>
        </w:rPr>
        <w:t>Clinical Trial Sponsor</w:t>
      </w:r>
      <w:r>
        <w:rPr>
          <w:rFonts w:ascii="Arial" w:cs="Arial" w:eastAsia="Arial" w:hAnsi="Arial"/>
          <w:sz w:val="13"/>
          <w:szCs w:val="13"/>
          <w:color w:val="auto"/>
        </w:rPr>
        <w:t>”) to register and publish the data in accordance with such policy. The other Party further agrees to provide the Clinical Trial Sponsor such reasonable assistance as such Party may require in connection with fulfilling the requirements to register and report results of any such clinical trial. Notwithstanding anything to the contrary in this Agreement, the Clinical Trial Sponsor’s compliance with the terms of this policy will not result in a breach of any provision of this Agreement, including without limitation, the obligations of confidentiality and non-use.”</w:t>
      </w:r>
    </w:p>
    <w:p>
      <w:pPr>
        <w:spacing w:after="0" w:line="132" w:lineRule="exact"/>
        <w:rPr>
          <w:sz w:val="20"/>
          <w:szCs w:val="20"/>
          <w:color w:val="auto"/>
        </w:rPr>
      </w:pPr>
    </w:p>
    <w:p>
      <w:pPr>
        <w:jc w:val="both"/>
        <w:ind w:left="1040" w:hanging="519"/>
        <w:spacing w:after="0" w:line="262" w:lineRule="auto"/>
        <w:tabs>
          <w:tab w:leader="none" w:pos="102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b w:val="1"/>
          <w:bCs w:val="1"/>
          <w:u w:val="single" w:color="auto"/>
          <w:color w:val="auto"/>
        </w:rPr>
        <w:t>Public Announcement</w:t>
      </w:r>
      <w:r>
        <w:rPr>
          <w:rFonts w:ascii="Arial" w:cs="Arial" w:eastAsia="Arial" w:hAnsi="Arial"/>
          <w:sz w:val="14"/>
          <w:szCs w:val="14"/>
          <w:color w:val="auto"/>
        </w:rPr>
        <w:t>. Neither Party shall originate any publicity, news release or public announcements, written or oral, whether to the public or press, stockholders</w:t>
      </w:r>
      <w:r>
        <w:rPr>
          <w:rFonts w:ascii="Arial" w:cs="Arial" w:eastAsia="Arial" w:hAnsi="Arial"/>
          <w:sz w:val="14"/>
          <w:szCs w:val="14"/>
          <w:b w:val="1"/>
          <w:bCs w:val="1"/>
          <w:color w:val="auto"/>
        </w:rPr>
        <w:t xml:space="preserve"> </w:t>
      </w:r>
      <w:r>
        <w:rPr>
          <w:rFonts w:ascii="Arial" w:cs="Arial" w:eastAsia="Arial" w:hAnsi="Arial"/>
          <w:sz w:val="14"/>
          <w:szCs w:val="14"/>
          <w:color w:val="auto"/>
        </w:rPr>
        <w:t>or otherwise, relating to this Agreement, including its existence, the subject matter to which it relates, performance under it or any of its terms, to any amendment hereto or performances hereunder without the prior written consent of the other Party, save only such announcements that are required by law to be made or that are otherwise expressly agreed to in writing in advance by the Parties. Such announcements shall be brief and factual. If a Party decides to make an announcement required by law, it shall give the other Party at least five (5) Business Days advance notice, where possible, of the text of the announcement so that the other Party shall have an opportunity to comment upon the announcement. To the extent that the receiving Party reasonably requests the deletion of any information in the materials, the disclosing Party shall delete such information unless, in the opinion of the disclosing Party’s legal counsel, such Confidential Information is legally required to be fully disclosed.”</w:t>
      </w:r>
    </w:p>
    <w:p>
      <w:pPr>
        <w:spacing w:after="0" w:line="152"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3"/>
          <w:szCs w:val="13"/>
          <w:color w:val="auto"/>
        </w:rPr>
        <w:t>The Collaboration Agreement shall be amended to include a new Schedule 6.2(a) in the form attached hereto as Exhibit A.</w:t>
      </w:r>
    </w:p>
    <w:p>
      <w:pPr>
        <w:spacing w:after="0" w:line="184"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3"/>
          <w:szCs w:val="13"/>
          <w:color w:val="auto"/>
        </w:rPr>
        <w:t>The Collaboration Agreement shall be amended to include a new Schedule 6.2(c) in the form attached hereto as Exhibit B.</w:t>
      </w:r>
    </w:p>
    <w:p>
      <w:pPr>
        <w:spacing w:after="0" w:line="184"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13970</wp:posOffset>
            </wp:positionV>
            <wp:extent cx="7159625"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582" w:right="319" w:bottom="1440" w:gutter="0" w:footer="0" w:header="0"/>
        </w:sectPr>
      </w:pPr>
    </w:p>
    <w:bookmarkStart w:id="539" w:name="page540"/>
    <w:bookmarkEnd w:id="539"/>
    <w:p>
      <w:pPr>
        <w:ind w:left="520" w:hanging="514"/>
        <w:spacing w:after="0"/>
        <w:tabs>
          <w:tab w:leader="none" w:pos="520" w:val="left"/>
        </w:tabs>
        <w:numPr>
          <w:ilvl w:val="0"/>
          <w:numId w:val="379"/>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Effect of this Amendment No. 2</w:t>
      </w:r>
      <w:r>
        <w:rPr>
          <w:rFonts w:ascii="Arial" w:cs="Arial" w:eastAsia="Arial" w:hAnsi="Arial"/>
          <w:sz w:val="13"/>
          <w:szCs w:val="13"/>
          <w:color w:val="auto"/>
        </w:rPr>
        <w:t>. This Amendment No. 2 amends the terms of the Collaboration Agreement and is deemed incorporated into, and governed by all other terms of, the Collaboration Agreement. To the extent that the Collaboration Agreement is explicitly amended by this Amendment No. 2, the terms of this Amendment No. 2 will control where the terms of the Collaboration Agreement are contrary to or conflict with the terms of this Amendment No. 2. All other terms and conditions of the Collaboration Agreement not explicitly amended by this Amendment No. 2 shall remain in full force and effect. The Collaboration Agreement shall, together with this Amendment No. 2, be read and construed as a single instrument.</w:t>
      </w:r>
    </w:p>
    <w:p>
      <w:pPr>
        <w:spacing w:after="0" w:line="13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No. 2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[remainder of page intentionally left blank]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40" w:name="page541"/>
    <w:bookmarkEnd w:id="540"/>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executed this Amendment No. 2 as of the Amendment No. 2 Effective Date.</w:t>
      </w:r>
    </w:p>
    <w:p>
      <w:pPr>
        <w:spacing w:after="0" w:line="196"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ind w:left="4600"/>
        <w:spacing w:after="0"/>
        <w:tabs>
          <w:tab w:leader="none" w:pos="4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Osvaldo Flores</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Name: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-100965</wp:posOffset>
            </wp:positionV>
            <wp:extent cx="3364230"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4"/>
          <w:szCs w:val="14"/>
          <w:color w:val="auto"/>
        </w:rPr>
        <w:t>Title: President and Chief Executive Officer</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FUJIFILM CELLULAR DYNAMICS, INC.</w:t>
      </w:r>
    </w:p>
    <w:p>
      <w:pPr>
        <w:spacing w:after="0" w:line="188" w:lineRule="exact"/>
        <w:rPr>
          <w:sz w:val="20"/>
          <w:szCs w:val="20"/>
          <w:color w:val="auto"/>
        </w:rPr>
      </w:pPr>
    </w:p>
    <w:p>
      <w:pPr>
        <w:ind w:left="4600"/>
        <w:spacing w:after="0"/>
        <w:tabs>
          <w:tab w:leader="none" w:pos="4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Takeshi Yamamoto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Name: Takeshi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-100965</wp:posOffset>
            </wp:positionV>
            <wp:extent cx="3364230"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4"/>
          <w:szCs w:val="14"/>
          <w:color w:val="auto"/>
        </w:rPr>
        <w:t>Title: President and CEO</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i w:val="1"/>
          <w:iCs w:val="1"/>
          <w:color w:val="auto"/>
        </w:rPr>
        <w:t>[Signature page to Amendment No. 2 to Master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247015</wp:posOffset>
            </wp:positionV>
            <wp:extent cx="7159625"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119"/>
          </w:cols>
          <w:pgMar w:left="1340" w:top="578" w:right="1440" w:bottom="1440" w:gutter="0" w:footer="0" w:header="0"/>
        </w:sectPr>
      </w:pPr>
    </w:p>
    <w:bookmarkStart w:id="541" w:name="page542"/>
    <w:bookmarkEnd w:id="541"/>
    <w:p>
      <w:pPr>
        <w:jc w:val="center"/>
        <w:ind w:right="-1120"/>
        <w:spacing w:after="0"/>
        <w:rPr>
          <w:sz w:val="20"/>
          <w:szCs w:val="20"/>
          <w:color w:val="auto"/>
        </w:rPr>
      </w:pPr>
      <w:r>
        <w:rPr>
          <w:rFonts w:ascii="Arial" w:cs="Arial" w:eastAsia="Arial" w:hAnsi="Arial"/>
          <w:sz w:val="14"/>
          <w:szCs w:val="14"/>
          <w:b w:val="1"/>
          <w:bCs w:val="1"/>
          <w:color w:val="auto"/>
        </w:rPr>
        <w:t>EXHIBIT A</w:t>
      </w:r>
    </w:p>
    <w:p>
      <w:pPr>
        <w:spacing w:after="0" w:line="184"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Schedule 6.2(a)</w:t>
      </w:r>
    </w:p>
    <w:p>
      <w:pPr>
        <w:spacing w:after="0" w:line="184" w:lineRule="exact"/>
        <w:rPr>
          <w:sz w:val="20"/>
          <w:szCs w:val="20"/>
          <w:color w:val="auto"/>
        </w:rPr>
      </w:pPr>
    </w:p>
    <w:p>
      <w:pPr>
        <w:jc w:val="right"/>
        <w:ind w:right="1939"/>
        <w:spacing w:after="0"/>
        <w:rPr>
          <w:sz w:val="20"/>
          <w:szCs w:val="20"/>
          <w:color w:val="auto"/>
        </w:rPr>
      </w:pPr>
      <w:r>
        <w:rPr>
          <w:rFonts w:ascii="Arial" w:cs="Arial" w:eastAsia="Arial" w:hAnsi="Arial"/>
          <w:sz w:val="14"/>
          <w:szCs w:val="14"/>
          <w:b w:val="1"/>
          <w:bCs w:val="1"/>
          <w:color w:val="auto"/>
        </w:rPr>
        <w:t>Certain Reprogrammed iPS Cells and Reprogrammed iPS Cell Derivative Materials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247015</wp:posOffset>
            </wp:positionV>
            <wp:extent cx="7159625"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bookmarkStart w:id="542" w:name="page543"/>
    <w:bookmarkEnd w:id="542"/>
    <w:p>
      <w:pPr>
        <w:jc w:val="center"/>
        <w:ind w:right="-1140"/>
        <w:spacing w:after="0"/>
        <w:rPr>
          <w:sz w:val="20"/>
          <w:szCs w:val="20"/>
          <w:color w:val="auto"/>
        </w:rPr>
      </w:pPr>
      <w:r>
        <w:rPr>
          <w:rFonts w:ascii="Arial" w:cs="Arial" w:eastAsia="Arial" w:hAnsi="Arial"/>
          <w:sz w:val="14"/>
          <w:szCs w:val="14"/>
          <w:b w:val="1"/>
          <w:bCs w:val="1"/>
          <w:color w:val="auto"/>
        </w:rPr>
        <w:t>EXHIBIT B</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Schedule 6.2(c)</w:t>
      </w:r>
    </w:p>
    <w:p>
      <w:pPr>
        <w:spacing w:after="0" w:line="184" w:lineRule="exact"/>
        <w:rPr>
          <w:sz w:val="20"/>
          <w:szCs w:val="20"/>
          <w:color w:val="auto"/>
        </w:rPr>
      </w:pPr>
    </w:p>
    <w:p>
      <w:pPr>
        <w:jc w:val="right"/>
        <w:ind w:right="3299"/>
        <w:spacing w:after="0"/>
        <w:rPr>
          <w:sz w:val="20"/>
          <w:szCs w:val="20"/>
          <w:color w:val="auto"/>
        </w:rPr>
      </w:pPr>
      <w:r>
        <w:rPr>
          <w:rFonts w:ascii="Arial" w:cs="Arial" w:eastAsia="Arial" w:hAnsi="Arial"/>
          <w:sz w:val="14"/>
          <w:szCs w:val="14"/>
          <w:b w:val="1"/>
          <w:bCs w:val="1"/>
          <w:color w:val="auto"/>
        </w:rPr>
        <w:t>Clones eligible to be Selected Cell Lines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247015</wp:posOffset>
            </wp:positionV>
            <wp:extent cx="7159625"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384" w:right="1440" w:bottom="1440" w:gutter="0" w:footer="0" w:header="0"/>
        </w:sectPr>
      </w:pPr>
    </w:p>
    <w:bookmarkStart w:id="543" w:name="page544"/>
    <w:bookmarkEnd w:id="543"/>
    <w:p>
      <w:pPr>
        <w:jc w:val="right"/>
        <w:spacing w:after="0"/>
        <w:rPr>
          <w:sz w:val="20"/>
          <w:szCs w:val="20"/>
          <w:color w:val="auto"/>
        </w:rPr>
      </w:pPr>
      <w:r>
        <w:rPr>
          <w:rFonts w:ascii="Arial" w:cs="Arial" w:eastAsia="Arial" w:hAnsi="Arial"/>
          <w:sz w:val="17"/>
          <w:szCs w:val="17"/>
          <w:b w:val="1"/>
          <w:bCs w:val="1"/>
          <w:color w:val="auto"/>
        </w:rPr>
        <w:t>Exhibit 10.19</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AMENDMENT NO. 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MASTER COLLABORATION AGREEMENT</w:t>
      </w:r>
    </w:p>
    <w:p>
      <w:pPr>
        <w:spacing w:after="0" w:line="177" w:lineRule="exact"/>
        <w:rPr>
          <w:sz w:val="20"/>
          <w:szCs w:val="20"/>
          <w:color w:val="auto"/>
        </w:rPr>
      </w:pPr>
    </w:p>
    <w:p>
      <w:pPr>
        <w:jc w:val="both"/>
        <w:ind w:firstLine="518"/>
        <w:spacing w:after="0" w:line="234" w:lineRule="auto"/>
        <w:rPr>
          <w:sz w:val="20"/>
          <w:szCs w:val="20"/>
          <w:color w:val="auto"/>
        </w:rPr>
      </w:pPr>
      <w:r>
        <w:rPr>
          <w:rFonts w:ascii="Arial" w:cs="Arial" w:eastAsia="Arial" w:hAnsi="Arial"/>
          <w:sz w:val="14"/>
          <w:szCs w:val="14"/>
          <w:b w:val="1"/>
          <w:bCs w:val="1"/>
          <w:color w:val="auto"/>
        </w:rPr>
        <w:t xml:space="preserve">THIS AMENDMENT NO. 3 TO MASTER COLLABORATION AGREEMENT </w:t>
      </w:r>
      <w:r>
        <w:rPr>
          <w:rFonts w:ascii="Arial" w:cs="Arial" w:eastAsia="Arial" w:hAnsi="Arial"/>
          <w:sz w:val="14"/>
          <w:szCs w:val="14"/>
          <w:color w:val="auto"/>
        </w:rPr>
        <w:t>(this “</w:t>
      </w:r>
      <w:r>
        <w:rPr>
          <w:rFonts w:ascii="Arial" w:cs="Arial" w:eastAsia="Arial" w:hAnsi="Arial"/>
          <w:sz w:val="14"/>
          <w:szCs w:val="14"/>
          <w:b w:val="1"/>
          <w:bCs w:val="1"/>
          <w:color w:val="auto"/>
        </w:rPr>
        <w:t>Amendment No. 3</w:t>
      </w:r>
      <w:r>
        <w:rPr>
          <w:rFonts w:ascii="Arial" w:cs="Arial" w:eastAsia="Arial" w:hAnsi="Arial"/>
          <w:sz w:val="14"/>
          <w:szCs w:val="14"/>
          <w:color w:val="auto"/>
        </w:rPr>
        <w:t>”) is made as of 29</w:t>
      </w:r>
      <w:r>
        <w:rPr>
          <w:rFonts w:ascii="Arial" w:cs="Arial" w:eastAsia="Arial" w:hAnsi="Arial"/>
          <w:sz w:val="23"/>
          <w:szCs w:val="23"/>
          <w:color w:val="auto"/>
          <w:vertAlign w:val="superscript"/>
        </w:rPr>
        <w:t>th</w:t>
      </w:r>
      <w:r>
        <w:rPr>
          <w:rFonts w:ascii="Arial" w:cs="Arial" w:eastAsia="Arial" w:hAnsi="Arial"/>
          <w:sz w:val="14"/>
          <w:szCs w:val="14"/>
          <w:b w:val="1"/>
          <w:bCs w:val="1"/>
          <w:color w:val="auto"/>
        </w:rPr>
        <w:t xml:space="preserve"> </w:t>
      </w:r>
      <w:r>
        <w:rPr>
          <w:rFonts w:ascii="Arial" w:cs="Arial" w:eastAsia="Arial" w:hAnsi="Arial"/>
          <w:sz w:val="14"/>
          <w:szCs w:val="14"/>
          <w:color w:val="auto"/>
        </w:rPr>
        <w:t>March, 2021 (the “</w:t>
      </w:r>
      <w:r>
        <w:rPr>
          <w:rFonts w:ascii="Arial" w:cs="Arial" w:eastAsia="Arial" w:hAnsi="Arial"/>
          <w:sz w:val="14"/>
          <w:szCs w:val="14"/>
          <w:b w:val="1"/>
          <w:bCs w:val="1"/>
          <w:color w:val="auto"/>
        </w:rPr>
        <w:t>Amendment No. 3 Signing Date</w:t>
      </w:r>
      <w:r>
        <w:rPr>
          <w:rFonts w:ascii="Arial" w:cs="Arial" w:eastAsia="Arial" w:hAnsi="Arial"/>
          <w:sz w:val="14"/>
          <w:szCs w:val="14"/>
          <w:color w:val="auto"/>
        </w:rPr>
        <w:t>”) by and between</w:t>
      </w:r>
      <w:r>
        <w:rPr>
          <w:rFonts w:ascii="Arial" w:cs="Arial" w:eastAsia="Arial" w:hAnsi="Arial"/>
          <w:sz w:val="14"/>
          <w:szCs w:val="14"/>
          <w:b w:val="1"/>
          <w:bCs w:val="1"/>
          <w:color w:val="auto"/>
        </w:rPr>
        <w:t xml:space="preserve"> CENTURY THERAPEUTICS, INC. </w:t>
      </w:r>
      <w:r>
        <w:rPr>
          <w:rFonts w:ascii="Arial" w:cs="Arial" w:eastAsia="Arial" w:hAnsi="Arial"/>
          <w:sz w:val="14"/>
          <w:szCs w:val="14"/>
          <w:color w:val="auto"/>
        </w:rPr>
        <w:t>(f/k/a Century Therapeutics, LLC) having a principal place of business at 3675 Market St., Philadelphia, PA 19104 USA</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Century</w:t>
      </w:r>
      <w:r>
        <w:rPr>
          <w:rFonts w:ascii="Arial" w:cs="Arial" w:eastAsia="Arial" w:hAnsi="Arial"/>
          <w:sz w:val="14"/>
          <w:szCs w:val="14"/>
          <w:color w:val="auto"/>
        </w:rPr>
        <w:t xml:space="preserve">”) and </w:t>
      </w:r>
      <w:r>
        <w:rPr>
          <w:rFonts w:ascii="Arial" w:cs="Arial" w:eastAsia="Arial" w:hAnsi="Arial"/>
          <w:sz w:val="14"/>
          <w:szCs w:val="14"/>
          <w:b w:val="1"/>
          <w:bCs w:val="1"/>
          <w:color w:val="auto"/>
        </w:rPr>
        <w:t>FUJIFILM Cellular Dynamics, Inc.</w:t>
      </w:r>
      <w:r>
        <w:rPr>
          <w:rFonts w:ascii="Arial" w:cs="Arial" w:eastAsia="Arial" w:hAnsi="Arial"/>
          <w:sz w:val="14"/>
          <w:szCs w:val="14"/>
          <w:color w:val="auto"/>
        </w:rPr>
        <w:t>, having a principal place of business at 525 Science Drive, Madison WI 53711, USA (“</w:t>
      </w:r>
      <w:r>
        <w:rPr>
          <w:rFonts w:ascii="Arial" w:cs="Arial" w:eastAsia="Arial" w:hAnsi="Arial"/>
          <w:sz w:val="14"/>
          <w:szCs w:val="14"/>
          <w:b w:val="1"/>
          <w:bCs w:val="1"/>
          <w:color w:val="auto"/>
        </w:rPr>
        <w:t>FCDI</w:t>
      </w:r>
      <w:r>
        <w:rPr>
          <w:rFonts w:ascii="Arial" w:cs="Arial" w:eastAsia="Arial" w:hAnsi="Arial"/>
          <w:sz w:val="14"/>
          <w:szCs w:val="14"/>
          <w:color w:val="auto"/>
        </w:rPr>
        <w:t>”). Century and FCDI are each referred to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referred to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61"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and FCDI are parties to a certain Master Collaboration Agreement having a Signing Date of October 21, 2019, as amended by Amendment No. 1 having an</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 No. 1 Signing Date of June 24, 2020 and Amendment No. 2 having an Amendment Effective Date of March 23, 2021 (the or this “</w:t>
      </w:r>
      <w:r>
        <w:rPr>
          <w:rFonts w:ascii="Arial" w:cs="Arial" w:eastAsia="Arial" w:hAnsi="Arial"/>
          <w:sz w:val="14"/>
          <w:szCs w:val="14"/>
          <w:b w:val="1"/>
          <w:bCs w:val="1"/>
          <w:color w:val="auto"/>
        </w:rPr>
        <w:t>Agreement</w:t>
      </w:r>
      <w:r>
        <w:rPr>
          <w:rFonts w:ascii="Arial" w:cs="Arial" w:eastAsia="Arial" w:hAnsi="Arial"/>
          <w:sz w:val="14"/>
          <w:szCs w:val="14"/>
          <w:color w:val="auto"/>
        </w:rPr>
        <w:t>”);</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and FCDI desire to confirm their understanding to remove certain Services and/or Supporting Activities from the Research Plan and make related adjustments to</w:t>
      </w:r>
      <w:r>
        <w:rPr>
          <w:rFonts w:ascii="Arial" w:cs="Arial" w:eastAsia="Arial" w:hAnsi="Arial"/>
          <w:sz w:val="14"/>
          <w:szCs w:val="14"/>
          <w:b w:val="1"/>
          <w:bCs w:val="1"/>
          <w:color w:val="auto"/>
        </w:rPr>
        <w:t xml:space="preserve"> </w:t>
      </w:r>
      <w:r>
        <w:rPr>
          <w:rFonts w:ascii="Arial" w:cs="Arial" w:eastAsia="Arial" w:hAnsi="Arial"/>
          <w:sz w:val="14"/>
          <w:szCs w:val="14"/>
          <w:color w:val="auto"/>
        </w:rPr>
        <w:t>the Research Budget effective as of August 1, 2020;</w:t>
      </w:r>
    </w:p>
    <w:p>
      <w:pPr>
        <w:spacing w:after="0" w:line="12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and FCDI desire to add certain Services and/or Supporting Activities to the Research Plan and make related adjustments to the Research Budget; Notwithstanding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anything to the contrary herein, the terms and conditions of the Agreement, as amended hereby, will govern the Services and Supporting Activities which have been performed and payments which have been made therefor between August 1, 2020 (the “</w:t>
      </w:r>
      <w:r>
        <w:rPr>
          <w:rFonts w:ascii="Arial" w:cs="Arial" w:eastAsia="Arial" w:hAnsi="Arial"/>
          <w:sz w:val="14"/>
          <w:szCs w:val="14"/>
          <w:b w:val="1"/>
          <w:bCs w:val="1"/>
          <w:color w:val="auto"/>
        </w:rPr>
        <w:t>Amendment No. 3 Effective Date</w:t>
      </w:r>
      <w:r>
        <w:rPr>
          <w:rFonts w:ascii="Arial" w:cs="Arial" w:eastAsia="Arial" w:hAnsi="Arial"/>
          <w:sz w:val="14"/>
          <w:szCs w:val="14"/>
          <w:color w:val="auto"/>
        </w:rPr>
        <w:t>”) and the Amendment No. 3 Signing Date.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and FCDI desire to amend the Agreement as set forth herein.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THEREFORE</w:t>
      </w:r>
      <w:r>
        <w:rPr>
          <w:rFonts w:ascii="Arial" w:cs="Arial" w:eastAsia="Arial" w:hAnsi="Arial"/>
          <w:sz w:val="14"/>
          <w:szCs w:val="14"/>
          <w:color w:val="auto"/>
        </w:rPr>
        <w:t>, the Parties agree as follows:</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Article 1</w:t>
      </w:r>
      <w:r>
        <w:rPr>
          <w:sz w:val="20"/>
          <w:szCs w:val="20"/>
          <w:color w:val="auto"/>
        </w:rPr>
        <w:tab/>
      </w:r>
      <w:r>
        <w:rPr>
          <w:rFonts w:ascii="Arial" w:cs="Arial" w:eastAsia="Arial" w:hAnsi="Arial"/>
          <w:sz w:val="14"/>
          <w:szCs w:val="14"/>
          <w:b w:val="1"/>
          <w:bCs w:val="1"/>
          <w:u w:val="single" w:color="auto"/>
          <w:color w:val="auto"/>
        </w:rPr>
        <w:t>AMENDMENTS</w:t>
      </w:r>
    </w:p>
    <w:p>
      <w:pPr>
        <w:spacing w:after="0" w:line="184"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b w:val="1"/>
          <w:bCs w:val="1"/>
          <w:u w:val="single" w:color="auto"/>
          <w:color w:val="auto"/>
        </w:rPr>
        <w:t xml:space="preserve">Amendment of Research Plan. </w:t>
      </w:r>
      <w:r>
        <w:rPr>
          <w:rFonts w:ascii="Arial" w:cs="Arial" w:eastAsia="Arial" w:hAnsi="Arial"/>
          <w:sz w:val="13"/>
          <w:szCs w:val="13"/>
          <w:color w:val="auto"/>
        </w:rPr>
        <w:t>The Research Plan as attached to the Agreement for the period commencing on the Amendment No. 3 Effective Date and ending June 30, 2023 hereby is</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 xml:space="preserve">amended to be the Research Plan as attached as </w:t>
      </w:r>
      <w:r>
        <w:rPr>
          <w:rFonts w:ascii="Arial" w:cs="Arial" w:eastAsia="Arial" w:hAnsi="Arial"/>
          <w:sz w:val="13"/>
          <w:szCs w:val="13"/>
          <w:b w:val="1"/>
          <w:bCs w:val="1"/>
          <w:color w:val="auto"/>
        </w:rPr>
        <w:t>Exhibit A-1</w:t>
      </w:r>
      <w:r>
        <w:rPr>
          <w:rFonts w:ascii="Arial" w:cs="Arial" w:eastAsia="Arial" w:hAnsi="Arial"/>
          <w:sz w:val="13"/>
          <w:szCs w:val="13"/>
          <w:color w:val="auto"/>
        </w:rPr>
        <w:t xml:space="preserve"> to this Amendment No. 3. The Parties acknowledge and agree that the Approved Research Plan as attached as </w:t>
      </w:r>
      <w:r>
        <w:rPr>
          <w:rFonts w:ascii="Arial" w:cs="Arial" w:eastAsia="Arial" w:hAnsi="Arial"/>
          <w:sz w:val="13"/>
          <w:szCs w:val="13"/>
          <w:b w:val="1"/>
          <w:bCs w:val="1"/>
          <w:color w:val="auto"/>
        </w:rPr>
        <w:t>Exhibit A-1</w:t>
      </w:r>
      <w:r>
        <w:rPr>
          <w:rFonts w:ascii="Arial" w:cs="Arial" w:eastAsia="Arial" w:hAnsi="Arial"/>
          <w:sz w:val="13"/>
          <w:szCs w:val="13"/>
          <w:color w:val="auto"/>
        </w:rPr>
        <w:t xml:space="preserve"> to this Amendment No. 3 reflects the Parties’ agreement, with respect to the Services and Supporting Activities not yet performed as of the Amendment No. 3 Effective Date, (a) to amend to the Research Plan as originally attached to the Agreement (i) to delete T Cell Objectives 2a.5, 2b, 3, 4c.4, 4c.5, 4d, 5, 6 and 7 in their entirety from the Research Plan and (b) that the Services and Supporting Activities with respect to all other Objectives in the Research Plan as originally attached to the Agreement were either completed or initiated but not completed. References in the Research Plan as attached as </w:t>
      </w:r>
      <w:r>
        <w:rPr>
          <w:rFonts w:ascii="Arial" w:cs="Arial" w:eastAsia="Arial" w:hAnsi="Arial"/>
          <w:sz w:val="13"/>
          <w:szCs w:val="13"/>
          <w:b w:val="1"/>
          <w:bCs w:val="1"/>
          <w:color w:val="auto"/>
        </w:rPr>
        <w:t>Exhibit A-1</w:t>
      </w:r>
      <w:r>
        <w:rPr>
          <w:rFonts w:ascii="Arial" w:cs="Arial" w:eastAsia="Arial" w:hAnsi="Arial"/>
          <w:sz w:val="13"/>
          <w:szCs w:val="13"/>
          <w:color w:val="auto"/>
        </w:rPr>
        <w:t xml:space="preserve"> to this Amendment No. 3 to “CTx” shall mean Century.</w:t>
      </w:r>
    </w:p>
    <w:p>
      <w:pPr>
        <w:spacing w:after="0" w:line="132"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b w:val="1"/>
          <w:bCs w:val="1"/>
          <w:u w:val="single" w:color="auto"/>
          <w:color w:val="auto"/>
        </w:rPr>
        <w:t xml:space="preserve">Amendment of Approved Research Budget. </w:t>
      </w:r>
      <w:r>
        <w:rPr>
          <w:rFonts w:ascii="Arial" w:cs="Arial" w:eastAsia="Arial" w:hAnsi="Arial"/>
          <w:sz w:val="14"/>
          <w:szCs w:val="14"/>
          <w:color w:val="auto"/>
        </w:rPr>
        <w:t>The Approved Research Budget as attached to the Agreement for the period commencing August 1, 2020 hereby is amended to be the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 xml:space="preserve">Approved Research Budget as attached as </w:t>
      </w:r>
      <w:r>
        <w:rPr>
          <w:rFonts w:ascii="Arial" w:cs="Arial" w:eastAsia="Arial" w:hAnsi="Arial"/>
          <w:sz w:val="14"/>
          <w:szCs w:val="14"/>
          <w:b w:val="1"/>
          <w:bCs w:val="1"/>
          <w:color w:val="auto"/>
        </w:rPr>
        <w:t>Exhibit C-1</w:t>
      </w:r>
      <w:r>
        <w:rPr>
          <w:rFonts w:ascii="Arial" w:cs="Arial" w:eastAsia="Arial" w:hAnsi="Arial"/>
          <w:sz w:val="14"/>
          <w:szCs w:val="14"/>
          <w:color w:val="auto"/>
        </w:rPr>
        <w:t xml:space="preserve"> to this Amendment No. 3.</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Article 2</w:t>
      </w:r>
      <w:r>
        <w:rPr>
          <w:sz w:val="20"/>
          <w:szCs w:val="20"/>
          <w:color w:val="auto"/>
        </w:rPr>
        <w:tab/>
      </w:r>
      <w:r>
        <w:rPr>
          <w:rFonts w:ascii="Arial" w:cs="Arial" w:eastAsia="Arial" w:hAnsi="Arial"/>
          <w:sz w:val="14"/>
          <w:szCs w:val="14"/>
          <w:b w:val="1"/>
          <w:bCs w:val="1"/>
          <w:u w:val="single" w:color="auto"/>
          <w:color w:val="auto"/>
        </w:rPr>
        <w:t>MISCELLANEOUS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2"/>
          <w:szCs w:val="12"/>
          <w:b w:val="1"/>
          <w:bCs w:val="1"/>
          <w:u w:val="single" w:color="auto"/>
          <w:color w:val="auto"/>
        </w:rPr>
        <w:t xml:space="preserve">Capitalized Terms. </w:t>
      </w:r>
      <w:r>
        <w:rPr>
          <w:rFonts w:ascii="Arial" w:cs="Arial" w:eastAsia="Arial" w:hAnsi="Arial"/>
          <w:sz w:val="12"/>
          <w:szCs w:val="12"/>
          <w:color w:val="auto"/>
        </w:rPr>
        <w:t>Capitalized terms used, but not otherwise defined herein, shall have the meanings assigned to them in the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44" w:name="page545"/>
    <w:bookmarkEnd w:id="544"/>
    <w:p>
      <w:pPr>
        <w:ind w:left="10220"/>
        <w:spacing w:after="0"/>
        <w:rPr>
          <w:sz w:val="20"/>
          <w:szCs w:val="20"/>
          <w:color w:val="auto"/>
        </w:rPr>
      </w:pPr>
      <w:r>
        <w:rPr>
          <w:rFonts w:ascii="Arial" w:cs="Arial" w:eastAsia="Arial" w:hAnsi="Arial"/>
          <w:sz w:val="13"/>
          <w:szCs w:val="13"/>
          <w:color w:val="auto"/>
        </w:rPr>
        <w:t>Execution Version</w:t>
      </w:r>
    </w:p>
    <w:p>
      <w:pPr>
        <w:spacing w:after="0" w:line="21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b w:val="1"/>
          <w:bCs w:val="1"/>
          <w:u w:val="single" w:color="auto"/>
          <w:color w:val="auto"/>
        </w:rPr>
        <w:t xml:space="preserve">No Other Amendments. </w:t>
      </w:r>
      <w:r>
        <w:rPr>
          <w:rFonts w:ascii="Arial" w:cs="Arial" w:eastAsia="Arial" w:hAnsi="Arial"/>
          <w:sz w:val="13"/>
          <w:szCs w:val="13"/>
          <w:color w:val="auto"/>
        </w:rPr>
        <w:t>Except as expressly set forth in this Amendment No. 3, all of the terms and conditions of the Agreement shall remain unchanged and in full force and effect.</w:t>
      </w:r>
    </w:p>
    <w:p>
      <w:pPr>
        <w:spacing w:after="0" w:line="184"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b w:val="1"/>
          <w:bCs w:val="1"/>
          <w:u w:val="single" w:color="auto"/>
          <w:color w:val="auto"/>
        </w:rPr>
        <w:t xml:space="preserve">Counterparts and Signatures. </w:t>
      </w:r>
      <w:r>
        <w:rPr>
          <w:rFonts w:ascii="Arial" w:cs="Arial" w:eastAsia="Arial" w:hAnsi="Arial"/>
          <w:sz w:val="14"/>
          <w:szCs w:val="14"/>
          <w:color w:val="auto"/>
        </w:rPr>
        <w:t>This Amendment No. 3 may be executed in one or more counterparts, each of which shall be deemed an original, and all of which together shall be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deemed to be one and the same instrument. Signatures to this Amendment No. 3 transmitted by facsimile transmission, by electronic mail in “portable document format” (“.pdf”) form, or by any other electronic means intended to preserve the originals graphic and pictorial appearance of a document, shall have the same effect as physical delivery of the paper document bearing the original signatures, and shall be deemed original signatures by both Parties.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45" w:name="page546"/>
    <w:bookmarkEnd w:id="545"/>
    <w:p>
      <w:pPr>
        <w:jc w:val="right"/>
        <w:spacing w:after="0"/>
        <w:rPr>
          <w:sz w:val="20"/>
          <w:szCs w:val="20"/>
          <w:color w:val="auto"/>
        </w:rPr>
      </w:pPr>
      <w:r>
        <w:rPr>
          <w:rFonts w:ascii="Arial" w:cs="Arial" w:eastAsia="Arial" w:hAnsi="Arial"/>
          <w:sz w:val="14"/>
          <w:szCs w:val="14"/>
          <w:color w:val="auto"/>
        </w:rPr>
        <w:t>Execution Version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WITNESS WHEREOF, the Parties have executed this Amendment No. 3 as of the Amendment No. 3 Signing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INC.</w:t>
            </w:r>
          </w:p>
        </w:tc>
        <w:tc>
          <w:tcPr>
            <w:tcW w:w="5840" w:type="dxa"/>
            <w:vAlign w:val="bottom"/>
            <w:gridSpan w:val="3"/>
          </w:tcPr>
          <w:p>
            <w:pPr>
              <w:ind w:left="440"/>
              <w:spacing w:after="0"/>
              <w:rPr>
                <w:sz w:val="20"/>
                <w:szCs w:val="20"/>
                <w:color w:val="auto"/>
              </w:rPr>
            </w:pPr>
            <w:r>
              <w:rPr>
                <w:rFonts w:ascii="Arial" w:cs="Arial" w:eastAsia="Arial" w:hAnsi="Arial"/>
                <w:sz w:val="14"/>
                <w:szCs w:val="14"/>
                <w:b w:val="1"/>
                <w:bCs w:val="1"/>
                <w:color w:val="auto"/>
              </w:rPr>
              <w:t>FUJIFILM CELLULAR DYNAMICS, INC.</w:t>
            </w:r>
          </w:p>
        </w:tc>
      </w:tr>
      <w:tr>
        <w:trPr>
          <w:trHeight w:val="345"/>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4860" w:type="dxa"/>
            <w:vAlign w:val="bottom"/>
          </w:tcPr>
          <w:p>
            <w:pPr>
              <w:spacing w:after="0"/>
              <w:rPr>
                <w:sz w:val="20"/>
                <w:szCs w:val="20"/>
                <w:color w:val="auto"/>
              </w:rPr>
            </w:pPr>
            <w:r>
              <w:rPr>
                <w:rFonts w:ascii="Arial" w:cs="Arial" w:eastAsia="Arial" w:hAnsi="Arial"/>
                <w:sz w:val="14"/>
                <w:szCs w:val="14"/>
                <w:color w:val="auto"/>
              </w:rPr>
              <w:t>/s/ Osvaldo Flores</w:t>
            </w:r>
          </w:p>
        </w:tc>
        <w:tc>
          <w:tcPr>
            <w:tcW w:w="900" w:type="dxa"/>
            <w:vAlign w:val="bottom"/>
          </w:tcPr>
          <w:p>
            <w:pPr>
              <w:ind w:left="440"/>
              <w:spacing w:after="0"/>
              <w:rPr>
                <w:sz w:val="20"/>
                <w:szCs w:val="20"/>
                <w:color w:val="auto"/>
              </w:rPr>
            </w:pPr>
            <w:r>
              <w:rPr>
                <w:rFonts w:ascii="Arial" w:cs="Arial" w:eastAsia="Arial" w:hAnsi="Arial"/>
                <w:sz w:val="14"/>
                <w:szCs w:val="14"/>
                <w:color w:val="auto"/>
              </w:rPr>
              <w:t>By:</w:t>
            </w:r>
          </w:p>
        </w:tc>
        <w:tc>
          <w:tcPr>
            <w:tcW w:w="4940" w:type="dxa"/>
            <w:vAlign w:val="bottom"/>
            <w:gridSpan w:val="2"/>
          </w:tcPr>
          <w:p>
            <w:pPr>
              <w:ind w:left="100"/>
              <w:spacing w:after="0"/>
              <w:rPr>
                <w:sz w:val="20"/>
                <w:szCs w:val="20"/>
                <w:color w:val="auto"/>
              </w:rPr>
            </w:pPr>
            <w:r>
              <w:rPr>
                <w:rFonts w:ascii="Arial" w:cs="Arial" w:eastAsia="Arial" w:hAnsi="Arial"/>
                <w:sz w:val="14"/>
                <w:szCs w:val="14"/>
                <w:color w:val="auto"/>
              </w:rPr>
              <w:t>/s/ Takeshi Yamamoto</w:t>
            </w:r>
          </w:p>
        </w:tc>
      </w:tr>
      <w:tr>
        <w:trPr>
          <w:trHeight w:val="154"/>
        </w:trPr>
        <w:tc>
          <w:tcPr>
            <w:tcW w:w="580" w:type="dxa"/>
            <w:vAlign w:val="bottom"/>
          </w:tcPr>
          <w:p>
            <w:pPr>
              <w:spacing w:after="0" w:line="154" w:lineRule="exact"/>
              <w:rPr>
                <w:sz w:val="20"/>
                <w:szCs w:val="20"/>
                <w:color w:val="auto"/>
              </w:rPr>
            </w:pPr>
            <w:r>
              <w:rPr>
                <w:rFonts w:ascii="Arial" w:cs="Arial" w:eastAsia="Arial" w:hAnsi="Arial"/>
                <w:sz w:val="14"/>
                <w:szCs w:val="14"/>
                <w:color w:val="auto"/>
              </w:rPr>
              <w:t>Name:</w:t>
            </w:r>
          </w:p>
        </w:tc>
        <w:tc>
          <w:tcPr>
            <w:tcW w:w="486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4"/>
                <w:szCs w:val="14"/>
                <w:color w:val="auto"/>
              </w:rPr>
              <w:t>Osvaldo Flores, Ph.D.</w:t>
            </w:r>
          </w:p>
        </w:tc>
        <w:tc>
          <w:tcPr>
            <w:tcW w:w="900" w:type="dxa"/>
            <w:vAlign w:val="bottom"/>
          </w:tcPr>
          <w:p>
            <w:pPr>
              <w:ind w:left="440"/>
              <w:spacing w:after="0" w:line="154" w:lineRule="exact"/>
              <w:rPr>
                <w:sz w:val="20"/>
                <w:szCs w:val="20"/>
                <w:color w:val="auto"/>
              </w:rPr>
            </w:pPr>
            <w:r>
              <w:rPr>
                <w:rFonts w:ascii="Arial" w:cs="Arial" w:eastAsia="Arial" w:hAnsi="Arial"/>
                <w:sz w:val="14"/>
                <w:szCs w:val="14"/>
                <w:color w:val="auto"/>
              </w:rPr>
              <w:t>Name:</w:t>
            </w:r>
          </w:p>
        </w:tc>
        <w:tc>
          <w:tcPr>
            <w:tcW w:w="100" w:type="dxa"/>
            <w:vAlign w:val="bottom"/>
          </w:tcPr>
          <w:p>
            <w:pPr>
              <w:spacing w:after="0"/>
              <w:rPr>
                <w:sz w:val="13"/>
                <w:szCs w:val="13"/>
                <w:color w:val="auto"/>
              </w:rPr>
            </w:pPr>
          </w:p>
        </w:tc>
        <w:tc>
          <w:tcPr>
            <w:tcW w:w="4840" w:type="dxa"/>
            <w:vAlign w:val="bottom"/>
            <w:tcBorders>
              <w:top w:val="single" w:sz="8" w:color="auto"/>
            </w:tcBorders>
          </w:tcPr>
          <w:p>
            <w:pPr>
              <w:ind w:left="220"/>
              <w:spacing w:after="0" w:line="154" w:lineRule="exact"/>
              <w:rPr>
                <w:sz w:val="20"/>
                <w:szCs w:val="20"/>
                <w:color w:val="auto"/>
              </w:rPr>
            </w:pPr>
            <w:r>
              <w:rPr>
                <w:rFonts w:ascii="Arial" w:cs="Arial" w:eastAsia="Arial" w:hAnsi="Arial"/>
                <w:sz w:val="14"/>
                <w:szCs w:val="14"/>
                <w:color w:val="auto"/>
              </w:rPr>
              <w:t>Takeshi Yamamoto</w:t>
            </w:r>
          </w:p>
        </w:tc>
      </w:t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4860" w:type="dxa"/>
            <w:vAlign w:val="bottom"/>
          </w:tcPr>
          <w:p>
            <w:pPr>
              <w:ind w:left="220"/>
              <w:spacing w:after="0"/>
              <w:rPr>
                <w:sz w:val="20"/>
                <w:szCs w:val="20"/>
                <w:color w:val="auto"/>
              </w:rPr>
            </w:pPr>
            <w:r>
              <w:rPr>
                <w:rFonts w:ascii="Arial" w:cs="Arial" w:eastAsia="Arial" w:hAnsi="Arial"/>
                <w:sz w:val="14"/>
                <w:szCs w:val="14"/>
                <w:color w:val="auto"/>
              </w:rPr>
              <w:t>President and CEO</w:t>
            </w:r>
          </w:p>
        </w:tc>
        <w:tc>
          <w:tcPr>
            <w:tcW w:w="900" w:type="dxa"/>
            <w:vAlign w:val="bottom"/>
          </w:tcPr>
          <w:p>
            <w:pPr>
              <w:ind w:left="440"/>
              <w:spacing w:after="0"/>
              <w:rPr>
                <w:sz w:val="20"/>
                <w:szCs w:val="20"/>
                <w:color w:val="auto"/>
              </w:rPr>
            </w:pPr>
            <w:r>
              <w:rPr>
                <w:rFonts w:ascii="Arial" w:cs="Arial" w:eastAsia="Arial" w:hAnsi="Arial"/>
                <w:sz w:val="14"/>
                <w:szCs w:val="14"/>
                <w:color w:val="auto"/>
              </w:rPr>
              <w:t>Title:</w:t>
            </w:r>
          </w:p>
        </w:tc>
        <w:tc>
          <w:tcPr>
            <w:tcW w:w="100" w:type="dxa"/>
            <w:vAlign w:val="bottom"/>
          </w:tcPr>
          <w:p>
            <w:pPr>
              <w:spacing w:after="0"/>
              <w:rPr>
                <w:sz w:val="15"/>
                <w:szCs w:val="15"/>
                <w:color w:val="auto"/>
              </w:rPr>
            </w:pPr>
          </w:p>
        </w:tc>
        <w:tc>
          <w:tcPr>
            <w:tcW w:w="4840" w:type="dxa"/>
            <w:vAlign w:val="bottom"/>
          </w:tcPr>
          <w:p>
            <w:pPr>
              <w:ind w:left="220"/>
              <w:spacing w:after="0"/>
              <w:rPr>
                <w:sz w:val="20"/>
                <w:szCs w:val="20"/>
                <w:color w:val="auto"/>
              </w:rPr>
            </w:pPr>
            <w:r>
              <w:rPr>
                <w:rFonts w:ascii="Arial" w:cs="Arial" w:eastAsia="Arial" w:hAnsi="Arial"/>
                <w:sz w:val="14"/>
                <w:szCs w:val="14"/>
                <w:color w:val="auto"/>
              </w:rPr>
              <w:t>President and Chief Executive Officer</w:t>
            </w:r>
          </w:p>
        </w:tc>
      </w:tr>
    </w:tbl>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[Signature page to Amendment No. 3 to Master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7159625"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46" w:name="page547"/>
    <w:bookmarkEnd w:id="546"/>
    <w:p>
      <w:pPr>
        <w:ind w:left="4200"/>
        <w:spacing w:after="0"/>
        <w:tabs>
          <w:tab w:leader="none" w:pos="6200" w:val="left"/>
        </w:tabs>
        <w:rPr>
          <w:sz w:val="20"/>
          <w:szCs w:val="20"/>
          <w:color w:val="auto"/>
        </w:rPr>
      </w:pPr>
      <w:r>
        <w:rPr>
          <w:rFonts w:ascii="Arial" w:cs="Arial" w:eastAsia="Arial" w:hAnsi="Arial"/>
          <w:sz w:val="14"/>
          <w:szCs w:val="14"/>
          <w:b w:val="1"/>
          <w:bCs w:val="1"/>
          <w:color w:val="auto"/>
        </w:rPr>
        <w:t>Exhibit A 1</w:t>
      </w:r>
      <w:r>
        <w:rPr>
          <w:sz w:val="20"/>
          <w:szCs w:val="20"/>
          <w:color w:val="auto"/>
        </w:rPr>
        <w:tab/>
      </w:r>
      <w:r>
        <w:rPr>
          <w:rFonts w:ascii="Arial" w:cs="Arial" w:eastAsia="Arial" w:hAnsi="Arial"/>
          <w:sz w:val="12"/>
          <w:szCs w:val="12"/>
          <w:b w:val="1"/>
          <w:bCs w:val="1"/>
          <w:color w:val="auto"/>
        </w:rPr>
        <w:t>Research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-3175</wp:posOffset>
            </wp:positionV>
            <wp:extent cx="1844675"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844675"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547" w:name="page548"/>
    <w:bookmarkEnd w:id="547"/>
    <w:p>
      <w:pPr>
        <w:jc w:val="center"/>
        <w:spacing w:after="0"/>
        <w:tabs>
          <w:tab w:leader="none" w:pos="180" w:val="left"/>
        </w:tabs>
        <w:rPr>
          <w:sz w:val="20"/>
          <w:szCs w:val="20"/>
          <w:color w:val="auto"/>
        </w:rPr>
      </w:pPr>
      <w:r>
        <w:rPr>
          <w:rFonts w:ascii="Arial" w:cs="Arial" w:eastAsia="Arial" w:hAnsi="Arial"/>
          <w:sz w:val="14"/>
          <w:szCs w:val="14"/>
          <w:b w:val="1"/>
          <w:bCs w:val="1"/>
          <w:color w:val="auto"/>
        </w:rPr>
        <w:t>Exhibit C-1</w:t>
      </w:r>
      <w:r>
        <w:rPr>
          <w:sz w:val="20"/>
          <w:szCs w:val="20"/>
          <w:color w:val="auto"/>
        </w:rPr>
        <w:tab/>
      </w:r>
      <w:r>
        <w:rPr>
          <w:rFonts w:ascii="Arial" w:cs="Arial" w:eastAsia="Arial" w:hAnsi="Arial"/>
          <w:sz w:val="12"/>
          <w:szCs w:val="12"/>
          <w:b w:val="1"/>
          <w:bCs w:val="1"/>
          <w:color w:val="auto"/>
        </w:rPr>
        <w:t>Approved Research Budget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548" w:name="page549"/>
    <w:bookmarkEnd w:id="548"/>
    <w:p>
      <w:pPr>
        <w:jc w:val="right"/>
        <w:spacing w:after="0"/>
        <w:rPr>
          <w:sz w:val="20"/>
          <w:szCs w:val="20"/>
          <w:color w:val="auto"/>
        </w:rPr>
      </w:pPr>
      <w:r>
        <w:rPr>
          <w:rFonts w:ascii="Arial" w:cs="Arial" w:eastAsia="Arial" w:hAnsi="Arial"/>
          <w:sz w:val="14"/>
          <w:szCs w:val="14"/>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126365</wp:posOffset>
            </wp:positionV>
            <wp:extent cx="1075690" cy="30861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0756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CONFIDENTIAL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2 July 2019</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Wisconsin Alumni Research Foundation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Attn: Andy DeTienne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614 Walnut Street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53726</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b w:val="1"/>
          <w:bCs w:val="1"/>
          <w:color w:val="auto"/>
        </w:rPr>
        <w:t>RE:</w:t>
        <w:tab/>
        <w:t>Letter Agreement Regarding WARF/CDI License Agreement and CDI/Century Sublicense Agreement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Pursuant to its sublicensing rights under that certain License Agreement by and between Wisconsin Alumni Research Foundation (“</w:t>
      </w:r>
      <w:r>
        <w:rPr>
          <w:rFonts w:ascii="Arial" w:cs="Arial" w:eastAsia="Arial" w:hAnsi="Arial"/>
          <w:sz w:val="13"/>
          <w:szCs w:val="13"/>
          <w:b w:val="1"/>
          <w:bCs w:val="1"/>
          <w:color w:val="auto"/>
        </w:rPr>
        <w:t>WARF</w:t>
      </w:r>
      <w:r>
        <w:rPr>
          <w:rFonts w:ascii="Arial" w:cs="Arial" w:eastAsia="Arial" w:hAnsi="Arial"/>
          <w:sz w:val="13"/>
          <w:szCs w:val="13"/>
          <w:color w:val="auto"/>
        </w:rPr>
        <w:t>”) and FUJIFILM Cellular Dynamics, Inc. (formerly known as Cellular Dynamics International, Inc.) (“</w:t>
      </w:r>
      <w:r>
        <w:rPr>
          <w:rFonts w:ascii="Arial" w:cs="Arial" w:eastAsia="Arial" w:hAnsi="Arial"/>
          <w:sz w:val="13"/>
          <w:szCs w:val="13"/>
          <w:b w:val="1"/>
          <w:bCs w:val="1"/>
          <w:color w:val="auto"/>
        </w:rPr>
        <w:t>CDI</w:t>
      </w:r>
      <w:r>
        <w:rPr>
          <w:rFonts w:ascii="Arial" w:cs="Arial" w:eastAsia="Arial" w:hAnsi="Arial"/>
          <w:sz w:val="13"/>
          <w:szCs w:val="13"/>
          <w:color w:val="auto"/>
        </w:rPr>
        <w:t>”), WARF Agreement No. 11-00206, dated effective as of June 6, 2012, as amended (the “</w:t>
      </w:r>
      <w:r>
        <w:rPr>
          <w:rFonts w:ascii="Arial" w:cs="Arial" w:eastAsia="Arial" w:hAnsi="Arial"/>
          <w:sz w:val="13"/>
          <w:szCs w:val="13"/>
          <w:b w:val="1"/>
          <w:bCs w:val="1"/>
          <w:color w:val="auto"/>
        </w:rPr>
        <w:t>License Agreement</w:t>
      </w:r>
      <w:r>
        <w:rPr>
          <w:rFonts w:ascii="Arial" w:cs="Arial" w:eastAsia="Arial" w:hAnsi="Arial"/>
          <w:sz w:val="13"/>
          <w:szCs w:val="13"/>
          <w:color w:val="auto"/>
        </w:rPr>
        <w:t>”), CDI sublicensed certain rights to Century Therapeutics, LLC (“</w:t>
      </w:r>
      <w:r>
        <w:rPr>
          <w:rFonts w:ascii="Arial" w:cs="Arial" w:eastAsia="Arial" w:hAnsi="Arial"/>
          <w:sz w:val="13"/>
          <w:szCs w:val="13"/>
          <w:b w:val="1"/>
          <w:bCs w:val="1"/>
          <w:color w:val="auto"/>
        </w:rPr>
        <w:t>Century</w:t>
      </w:r>
      <w:r>
        <w:rPr>
          <w:rFonts w:ascii="Arial" w:cs="Arial" w:eastAsia="Arial" w:hAnsi="Arial"/>
          <w:sz w:val="13"/>
          <w:szCs w:val="13"/>
          <w:color w:val="auto"/>
        </w:rPr>
        <w:t>”) under the Licensed Patents as set forth in a sublicense agreement between CDI and Century, as may be amended or restated in the future by CDI and Century (the “</w:t>
      </w:r>
      <w:r>
        <w:rPr>
          <w:rFonts w:ascii="Arial" w:cs="Arial" w:eastAsia="Arial" w:hAnsi="Arial"/>
          <w:sz w:val="13"/>
          <w:szCs w:val="13"/>
          <w:b w:val="1"/>
          <w:bCs w:val="1"/>
          <w:color w:val="auto"/>
        </w:rPr>
        <w:t>Sublicense Agreement</w:t>
      </w:r>
      <w:r>
        <w:rPr>
          <w:rFonts w:ascii="Arial" w:cs="Arial" w:eastAsia="Arial" w:hAnsi="Arial"/>
          <w:sz w:val="13"/>
          <w:szCs w:val="13"/>
          <w:color w:val="auto"/>
        </w:rPr>
        <w:t>”). This letter agreement (this “</w:t>
      </w:r>
      <w:r>
        <w:rPr>
          <w:rFonts w:ascii="Arial" w:cs="Arial" w:eastAsia="Arial" w:hAnsi="Arial"/>
          <w:sz w:val="13"/>
          <w:szCs w:val="13"/>
          <w:b w:val="1"/>
          <w:bCs w:val="1"/>
          <w:color w:val="auto"/>
        </w:rPr>
        <w:t>Letter Agreement</w:t>
      </w:r>
      <w:r>
        <w:rPr>
          <w:rFonts w:ascii="Arial" w:cs="Arial" w:eastAsia="Arial" w:hAnsi="Arial"/>
          <w:sz w:val="13"/>
          <w:szCs w:val="13"/>
          <w:color w:val="auto"/>
        </w:rPr>
        <w:t>”) confirms the understanding between CDI, Century and WARF with respect to the License Agreement and Sublicense Agreement, notwithstanding any terms to the contrary in the License Agreement or Sublicense Agreement. Capitalized terms not otherwise defined herein shall have the meanings ascribed to such terms in the License Agreement. CDI, Century and WARF are sometimes referred to herein individually as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as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132" w:lineRule="exact"/>
        <w:rPr>
          <w:sz w:val="20"/>
          <w:szCs w:val="20"/>
          <w:color w:val="auto"/>
        </w:rPr>
      </w:pPr>
    </w:p>
    <w:p>
      <w:pPr>
        <w:jc w:val="both"/>
        <w:ind w:firstLine="6"/>
        <w:spacing w:after="0" w:line="285" w:lineRule="auto"/>
        <w:tabs>
          <w:tab w:leader="none" w:pos="550" w:val="left"/>
        </w:tabs>
        <w:numPr>
          <w:ilvl w:val="0"/>
          <w:numId w:val="380"/>
        </w:numPr>
        <w:rPr>
          <w:rFonts w:ascii="Arial" w:cs="Arial" w:eastAsia="Arial" w:hAnsi="Arial"/>
          <w:sz w:val="13"/>
          <w:szCs w:val="13"/>
          <w:color w:val="auto"/>
        </w:rPr>
      </w:pPr>
      <w:r>
        <w:rPr>
          <w:rFonts w:ascii="Arial" w:cs="Arial" w:eastAsia="Arial" w:hAnsi="Arial"/>
          <w:sz w:val="13"/>
          <w:szCs w:val="13"/>
          <w:b w:val="1"/>
          <w:bCs w:val="1"/>
          <w:color w:val="auto"/>
        </w:rPr>
        <w:t xml:space="preserve">Century’s Right </w:t>
      </w:r>
      <w:r>
        <w:rPr>
          <w:rFonts w:ascii="Arial" w:cs="Arial" w:eastAsia="Arial" w:hAnsi="Arial"/>
          <w:sz w:val="13"/>
          <w:szCs w:val="13"/>
          <w:b w:val="1"/>
          <w:bCs w:val="1"/>
          <w:color w:val="353535"/>
        </w:rPr>
        <w:t>to Sublicense</w:t>
      </w:r>
      <w:r>
        <w:rPr>
          <w:rFonts w:ascii="Arial" w:cs="Arial" w:eastAsia="Arial" w:hAnsi="Arial"/>
          <w:sz w:val="13"/>
          <w:szCs w:val="13"/>
          <w:color w:val="353535"/>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Century</w:t>
      </w:r>
      <w:r>
        <w:rPr>
          <w:rFonts w:ascii="Arial" w:cs="Arial" w:eastAsia="Arial" w:hAnsi="Arial"/>
          <w:sz w:val="13"/>
          <w:szCs w:val="13"/>
          <w:b w:val="1"/>
          <w:bCs w:val="1"/>
          <w:color w:val="auto"/>
        </w:rPr>
        <w:t xml:space="preserve"> </w:t>
      </w:r>
      <w:r>
        <w:rPr>
          <w:rFonts w:ascii="Arial" w:cs="Arial" w:eastAsia="Arial" w:hAnsi="Arial"/>
          <w:sz w:val="13"/>
          <w:szCs w:val="13"/>
          <w:color w:val="353535"/>
        </w:rPr>
        <w:t>shall have</w:t>
      </w:r>
      <w:r>
        <w:rPr>
          <w:rFonts w:ascii="Arial" w:cs="Arial" w:eastAsia="Arial" w:hAnsi="Arial"/>
          <w:sz w:val="13"/>
          <w:szCs w:val="13"/>
          <w:b w:val="1"/>
          <w:bCs w:val="1"/>
          <w:color w:val="auto"/>
        </w:rPr>
        <w:t xml:space="preserve"> </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3"/>
          <w:szCs w:val="13"/>
          <w:color w:val="353535"/>
        </w:rPr>
        <w:t>right</w:t>
      </w:r>
      <w:r>
        <w:rPr>
          <w:rFonts w:ascii="Arial" w:cs="Arial" w:eastAsia="Arial" w:hAnsi="Arial"/>
          <w:sz w:val="13"/>
          <w:szCs w:val="13"/>
          <w:b w:val="1"/>
          <w:bCs w:val="1"/>
          <w:color w:val="auto"/>
        </w:rPr>
        <w:t xml:space="preserve"> </w:t>
      </w:r>
      <w:r>
        <w:rPr>
          <w:rFonts w:ascii="Arial" w:cs="Arial" w:eastAsia="Arial" w:hAnsi="Arial"/>
          <w:sz w:val="13"/>
          <w:szCs w:val="13"/>
          <w:color w:val="auto"/>
        </w:rPr>
        <w:t>to grant non-exclusive further sublicenses (through multiple tiers) (each a</w:t>
      </w:r>
      <w:r>
        <w:rPr>
          <w:rFonts w:ascii="Arial" w:cs="Arial" w:eastAsia="Arial" w:hAnsi="Arial"/>
          <w:sz w:val="13"/>
          <w:szCs w:val="13"/>
          <w:b w:val="1"/>
          <w:bCs w:val="1"/>
          <w:color w:val="auto"/>
        </w:rPr>
        <w:t xml:space="preserve"> </w:t>
      </w:r>
      <w:r>
        <w:rPr>
          <w:rFonts w:ascii="Arial" w:cs="Arial" w:eastAsia="Arial" w:hAnsi="Arial"/>
          <w:sz w:val="13"/>
          <w:szCs w:val="13"/>
          <w:color w:val="353535"/>
        </w:rPr>
        <w:t>“Sub-Sublicense”)</w:t>
      </w:r>
      <w:r>
        <w:rPr>
          <w:rFonts w:ascii="Arial" w:cs="Arial" w:eastAsia="Arial" w:hAnsi="Arial"/>
          <w:sz w:val="13"/>
          <w:szCs w:val="13"/>
          <w:b w:val="1"/>
          <w:bCs w:val="1"/>
          <w:color w:val="auto"/>
        </w:rPr>
        <w:t xml:space="preserve"> </w:t>
      </w:r>
      <w:r>
        <w:rPr>
          <w:rFonts w:ascii="Arial" w:cs="Arial" w:eastAsia="Arial" w:hAnsi="Arial"/>
          <w:sz w:val="13"/>
          <w:szCs w:val="13"/>
          <w:color w:val="auto"/>
        </w:rPr>
        <w:t>of the rights and licenses to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Licensed Patents granted to </w:t>
      </w:r>
      <w:r>
        <w:rPr>
          <w:rFonts w:ascii="Arial" w:cs="Arial" w:eastAsia="Arial" w:hAnsi="Arial"/>
          <w:sz w:val="13"/>
          <w:szCs w:val="13"/>
          <w:color w:val="353535"/>
        </w:rPr>
        <w:t>Century under</w:t>
      </w:r>
      <w:r>
        <w:rPr>
          <w:rFonts w:ascii="Arial" w:cs="Arial" w:eastAsia="Arial" w:hAnsi="Arial"/>
          <w:sz w:val="13"/>
          <w:szCs w:val="13"/>
          <w:color w:val="auto"/>
        </w:rPr>
        <w:t xml:space="preserve"> the Sublicense Agreement to </w:t>
      </w:r>
      <w:r>
        <w:rPr>
          <w:rFonts w:ascii="Arial" w:cs="Arial" w:eastAsia="Arial" w:hAnsi="Arial"/>
          <w:sz w:val="13"/>
          <w:szCs w:val="13"/>
          <w:color w:val="353535"/>
        </w:rPr>
        <w:t>third</w:t>
      </w:r>
      <w:r>
        <w:rPr>
          <w:rFonts w:ascii="Arial" w:cs="Arial" w:eastAsia="Arial" w:hAnsi="Arial"/>
          <w:sz w:val="13"/>
          <w:szCs w:val="13"/>
          <w:color w:val="auto"/>
        </w:rPr>
        <w:t xml:space="preserve"> parties </w:t>
      </w:r>
      <w:r>
        <w:rPr>
          <w:rFonts w:ascii="Arial" w:cs="Arial" w:eastAsia="Arial" w:hAnsi="Arial"/>
          <w:sz w:val="13"/>
          <w:szCs w:val="13"/>
          <w:color w:val="353535"/>
        </w:rPr>
        <w:t>(without</w:t>
      </w:r>
      <w:r>
        <w:rPr>
          <w:rFonts w:ascii="Arial" w:cs="Arial" w:eastAsia="Arial" w:hAnsi="Arial"/>
          <w:sz w:val="13"/>
          <w:szCs w:val="13"/>
          <w:color w:val="auto"/>
        </w:rPr>
        <w:t xml:space="preserve"> any limitations on Geography or on therapeutic indication, except as otherwise provided in the Sublicense Agreement), with </w:t>
      </w:r>
      <w:r>
        <w:rPr>
          <w:rFonts w:ascii="Arial" w:cs="Arial" w:eastAsia="Arial" w:hAnsi="Arial"/>
          <w:sz w:val="13"/>
          <w:szCs w:val="13"/>
          <w:color w:val="353535"/>
        </w:rPr>
        <w:t>prior</w:t>
      </w:r>
      <w:r>
        <w:rPr>
          <w:rFonts w:ascii="Arial" w:cs="Arial" w:eastAsia="Arial" w:hAnsi="Arial"/>
          <w:sz w:val="13"/>
          <w:szCs w:val="13"/>
          <w:color w:val="auto"/>
        </w:rPr>
        <w:t xml:space="preserve"> written notice to </w:t>
      </w:r>
      <w:r>
        <w:rPr>
          <w:rFonts w:ascii="Arial" w:cs="Arial" w:eastAsia="Arial" w:hAnsi="Arial"/>
          <w:sz w:val="13"/>
          <w:szCs w:val="13"/>
          <w:color w:val="353535"/>
        </w:rPr>
        <w:t>WARF</w:t>
      </w:r>
      <w:r>
        <w:rPr>
          <w:rFonts w:ascii="Arial" w:cs="Arial" w:eastAsia="Arial" w:hAnsi="Arial"/>
          <w:sz w:val="13"/>
          <w:szCs w:val="13"/>
          <w:color w:val="auto"/>
        </w:rPr>
        <w:t xml:space="preserve"> but otherwise in accordance with Section 2B(iii) (but excluding subclauses </w:t>
      </w:r>
      <w:r>
        <w:rPr>
          <w:rFonts w:ascii="Arial" w:cs="Arial" w:eastAsia="Arial" w:hAnsi="Arial"/>
          <w:sz w:val="13"/>
          <w:szCs w:val="13"/>
          <w:color w:val="353535"/>
        </w:rPr>
        <w:t>(a)</w:t>
      </w:r>
      <w:r>
        <w:rPr>
          <w:rFonts w:ascii="Arial" w:cs="Arial" w:eastAsia="Arial" w:hAnsi="Arial"/>
          <w:sz w:val="13"/>
          <w:szCs w:val="13"/>
          <w:color w:val="auto"/>
        </w:rPr>
        <w:t xml:space="preserve"> and (b)) of </w:t>
      </w:r>
      <w:r>
        <w:rPr>
          <w:rFonts w:ascii="Arial" w:cs="Arial" w:eastAsia="Arial" w:hAnsi="Arial"/>
          <w:sz w:val="13"/>
          <w:szCs w:val="13"/>
          <w:color w:val="353535"/>
        </w:rPr>
        <w:t>the</w:t>
      </w:r>
      <w:r>
        <w:rPr>
          <w:rFonts w:ascii="Arial" w:cs="Arial" w:eastAsia="Arial" w:hAnsi="Arial"/>
          <w:sz w:val="13"/>
          <w:szCs w:val="13"/>
          <w:color w:val="auto"/>
        </w:rPr>
        <w:t xml:space="preserve"> License Agreement and </w:t>
      </w:r>
      <w:r>
        <w:rPr>
          <w:rFonts w:ascii="Arial" w:cs="Arial" w:eastAsia="Arial" w:hAnsi="Arial"/>
          <w:sz w:val="13"/>
          <w:szCs w:val="13"/>
          <w:color w:val="353535"/>
        </w:rPr>
        <w:t>not</w:t>
      </w:r>
      <w:r>
        <w:rPr>
          <w:rFonts w:ascii="Arial" w:cs="Arial" w:eastAsia="Arial" w:hAnsi="Arial"/>
          <w:sz w:val="13"/>
          <w:szCs w:val="13"/>
          <w:color w:val="auto"/>
        </w:rPr>
        <w:t xml:space="preserve"> exceeding the scope of rights (e.g., </w:t>
      </w:r>
      <w:r>
        <w:rPr>
          <w:rFonts w:ascii="Arial" w:cs="Arial" w:eastAsia="Arial" w:hAnsi="Arial"/>
          <w:sz w:val="13"/>
          <w:szCs w:val="13"/>
          <w:color w:val="353535"/>
        </w:rPr>
        <w:t>the</w:t>
      </w:r>
      <w:r>
        <w:rPr>
          <w:rFonts w:ascii="Arial" w:cs="Arial" w:eastAsia="Arial" w:hAnsi="Arial"/>
          <w:sz w:val="13"/>
          <w:szCs w:val="13"/>
          <w:color w:val="auto"/>
        </w:rPr>
        <w:t xml:space="preserve"> Licensed Field and Licensed Territory) granted to </w:t>
      </w:r>
      <w:r>
        <w:rPr>
          <w:rFonts w:ascii="Arial" w:cs="Arial" w:eastAsia="Arial" w:hAnsi="Arial"/>
          <w:sz w:val="13"/>
          <w:szCs w:val="13"/>
          <w:color w:val="353535"/>
        </w:rPr>
        <w:t>CDI</w:t>
      </w:r>
      <w:r>
        <w:rPr>
          <w:rFonts w:ascii="Arial" w:cs="Arial" w:eastAsia="Arial" w:hAnsi="Arial"/>
          <w:sz w:val="13"/>
          <w:szCs w:val="13"/>
          <w:color w:val="auto"/>
        </w:rPr>
        <w:t xml:space="preserve"> under the License Agreement. The Sub-Sublicenses </w:t>
      </w:r>
      <w:r>
        <w:rPr>
          <w:rFonts w:ascii="Arial" w:cs="Arial" w:eastAsia="Arial" w:hAnsi="Arial"/>
          <w:sz w:val="13"/>
          <w:szCs w:val="13"/>
          <w:color w:val="353535"/>
        </w:rPr>
        <w:t>shall</w:t>
      </w:r>
      <w:r>
        <w:rPr>
          <w:rFonts w:ascii="Arial" w:cs="Arial" w:eastAsia="Arial" w:hAnsi="Arial"/>
          <w:sz w:val="13"/>
          <w:szCs w:val="13"/>
          <w:color w:val="auto"/>
        </w:rPr>
        <w:t xml:space="preserve"> be consistent </w:t>
      </w:r>
      <w:r>
        <w:rPr>
          <w:rFonts w:ascii="Arial" w:cs="Arial" w:eastAsia="Arial" w:hAnsi="Arial"/>
          <w:sz w:val="13"/>
          <w:szCs w:val="13"/>
          <w:color w:val="353535"/>
        </w:rPr>
        <w:t>w</w:t>
      </w:r>
      <w:r>
        <w:rPr>
          <w:rFonts w:ascii="Arial" w:cs="Arial" w:eastAsia="Arial" w:hAnsi="Arial"/>
          <w:sz w:val="13"/>
          <w:szCs w:val="13"/>
          <w:color w:val="6B6B6C"/>
        </w:rPr>
        <w:t>ith</w:t>
      </w:r>
      <w:r>
        <w:rPr>
          <w:rFonts w:ascii="Arial" w:cs="Arial" w:eastAsia="Arial" w:hAnsi="Arial"/>
          <w:sz w:val="13"/>
          <w:szCs w:val="13"/>
          <w:color w:val="auto"/>
        </w:rPr>
        <w:t xml:space="preserve"> the terms of the License Agreement and this Letter Agreement </w:t>
      </w:r>
      <w:r>
        <w:rPr>
          <w:rFonts w:ascii="Arial" w:cs="Arial" w:eastAsia="Arial" w:hAnsi="Arial"/>
          <w:sz w:val="13"/>
          <w:szCs w:val="13"/>
          <w:color w:val="353535"/>
        </w:rPr>
        <w:t>to the</w:t>
      </w:r>
      <w:r>
        <w:rPr>
          <w:rFonts w:ascii="Arial" w:cs="Arial" w:eastAsia="Arial" w:hAnsi="Arial"/>
          <w:sz w:val="13"/>
          <w:szCs w:val="13"/>
          <w:color w:val="auto"/>
        </w:rPr>
        <w:t xml:space="preserve"> extent applicable to Sub-Sublicenses of the Licensed Patents under the License Agreement. </w:t>
      </w:r>
      <w:r>
        <w:rPr>
          <w:rFonts w:ascii="Arial" w:cs="Arial" w:eastAsia="Arial" w:hAnsi="Arial"/>
          <w:sz w:val="13"/>
          <w:szCs w:val="13"/>
          <w:color w:val="353535"/>
        </w:rPr>
        <w:t>Century shall</w:t>
      </w:r>
      <w:r>
        <w:rPr>
          <w:rFonts w:ascii="Arial" w:cs="Arial" w:eastAsia="Arial" w:hAnsi="Arial"/>
          <w:sz w:val="13"/>
          <w:szCs w:val="13"/>
          <w:color w:val="auto"/>
        </w:rPr>
        <w:t xml:space="preserve"> remain responsible for the activities </w:t>
      </w:r>
      <w:r>
        <w:rPr>
          <w:rFonts w:ascii="Arial" w:cs="Arial" w:eastAsia="Arial" w:hAnsi="Arial"/>
          <w:sz w:val="13"/>
          <w:szCs w:val="13"/>
          <w:color w:val="353535"/>
        </w:rPr>
        <w:t>of</w:t>
      </w:r>
      <w:r>
        <w:rPr>
          <w:rFonts w:ascii="Arial" w:cs="Arial" w:eastAsia="Arial" w:hAnsi="Arial"/>
          <w:sz w:val="13"/>
          <w:szCs w:val="13"/>
          <w:color w:val="auto"/>
        </w:rPr>
        <w:t xml:space="preserve"> any of its sub-sublicensees as if the </w:t>
      </w:r>
      <w:r>
        <w:rPr>
          <w:rFonts w:ascii="Arial" w:cs="Arial" w:eastAsia="Arial" w:hAnsi="Arial"/>
          <w:sz w:val="13"/>
          <w:szCs w:val="13"/>
          <w:color w:val="353535"/>
        </w:rPr>
        <w:t>activities</w:t>
      </w:r>
      <w:r>
        <w:rPr>
          <w:rFonts w:ascii="Arial" w:cs="Arial" w:eastAsia="Arial" w:hAnsi="Arial"/>
          <w:sz w:val="13"/>
          <w:szCs w:val="13"/>
          <w:color w:val="auto"/>
        </w:rPr>
        <w:t xml:space="preserve"> were directly those of </w:t>
      </w:r>
      <w:r>
        <w:rPr>
          <w:rFonts w:ascii="Arial" w:cs="Arial" w:eastAsia="Arial" w:hAnsi="Arial"/>
          <w:sz w:val="13"/>
          <w:szCs w:val="13"/>
          <w:color w:val="353535"/>
        </w:rPr>
        <w:t>Century</w:t>
      </w:r>
      <w:r>
        <w:rPr>
          <w:rFonts w:ascii="Arial" w:cs="Arial" w:eastAsia="Arial" w:hAnsi="Arial"/>
          <w:sz w:val="13"/>
          <w:szCs w:val="13"/>
          <w:color w:val="auto"/>
        </w:rPr>
        <w:t>; any act or omission of Century’s sub-sublicensee shall be considered a breach of Century, provided, however, that Century shall have ninety (90) days following receipt of notice of such act or omission to cure such breach and, if Century cures such breach during the cure period, WARF and CDI agree that the Sublicense Agreement and License Agreement shall remain in effect following such cure. A termination by Century of a Sub-Sublicense shall be deemed a cure by Century of a breach by such</w:t>
      </w:r>
    </w:p>
    <w:p>
      <w:pPr>
        <w:spacing w:after="0" w:line="5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9" w:name="page550"/>
    <w:bookmarkEnd w:id="54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sub-sublicensee thereunder, provided that following such termination, Century is not in breach of the Sublicense Agreement.</w:t>
      </w:r>
    </w:p>
    <w:p>
      <w:pPr>
        <w:spacing w:after="0" w:line="180" w:lineRule="exact"/>
        <w:rPr>
          <w:sz w:val="20"/>
          <w:szCs w:val="20"/>
          <w:color w:val="auto"/>
        </w:rPr>
      </w:pPr>
    </w:p>
    <w:p>
      <w:pPr>
        <w:jc w:val="both"/>
        <w:ind w:firstLine="6"/>
        <w:spacing w:after="0" w:line="285" w:lineRule="auto"/>
        <w:tabs>
          <w:tab w:leader="none" w:pos="582" w:val="left"/>
        </w:tabs>
        <w:numPr>
          <w:ilvl w:val="0"/>
          <w:numId w:val="381"/>
        </w:numPr>
        <w:rPr>
          <w:rFonts w:ascii="Arial" w:cs="Arial" w:eastAsia="Arial" w:hAnsi="Arial"/>
          <w:sz w:val="13"/>
          <w:szCs w:val="13"/>
          <w:color w:val="auto"/>
        </w:rPr>
      </w:pPr>
      <w:r>
        <w:rPr>
          <w:rFonts w:ascii="Arial" w:cs="Arial" w:eastAsia="Arial" w:hAnsi="Arial"/>
          <w:sz w:val="13"/>
          <w:szCs w:val="13"/>
          <w:b w:val="1"/>
          <w:bCs w:val="1"/>
          <w:color w:val="auto"/>
        </w:rPr>
        <w:t>Century’s Right to Transfer or Assign</w:t>
      </w:r>
      <w:r>
        <w:rPr>
          <w:rFonts w:ascii="Arial" w:cs="Arial" w:eastAsia="Arial" w:hAnsi="Arial"/>
          <w:sz w:val="13"/>
          <w:szCs w:val="13"/>
          <w:color w:val="auto"/>
        </w:rPr>
        <w:t>. Century shall have the right to assign all of its rights and obligations under the Sublicense Agreement, provided that Century is not in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breach of the Sublicense Agreement, to an Affiliate (so long as it remains an “Affiliate” of Century) or to a third party successor with all or substantially all the business or assets to which the Sublicense Agreement relates (whether by merger, consolidation, stock sale, asset sale or otherwise), provided: (i) Century will notify WARF and CDI in writing within thirty (30) days following such assignment, including the identity of such assignee, (ii) the assignee of Sublicense Agreement agrees in writing to be bound by all of its terms and conditions (as well as Century’s obligations under this Letter Agreement) and to be responsible for all past and future obligations and liabilities thereunder, and (iii) if the assignee is an Affiliate, Century shall remain jointly liable for the performance of such Affiliate under this Agreement. Upon such transfer or assignment to an Affiliate, Century hereby guarantees the performance of its Affiliate (for such time as it remains an “Affiliate” of Century) of all obligations under the Sublicense Agreement and this Letter Agreement. Century’s right to assign its rights and obligations under the Sublicense Agreement shall otherwise be in accordance with the terms and conditions of the License Agreement applicable to sublicenses, as amended by this Letter Agreement.</w:t>
      </w:r>
    </w:p>
    <w:p>
      <w:pPr>
        <w:spacing w:after="0" w:line="133" w:lineRule="exact"/>
        <w:rPr>
          <w:rFonts w:ascii="Arial" w:cs="Arial" w:eastAsia="Arial" w:hAnsi="Arial"/>
          <w:sz w:val="13"/>
          <w:szCs w:val="13"/>
          <w:color w:val="auto"/>
        </w:rPr>
      </w:pPr>
    </w:p>
    <w:p>
      <w:pPr>
        <w:jc w:val="both"/>
        <w:ind w:firstLine="6"/>
        <w:spacing w:after="0" w:line="283" w:lineRule="auto"/>
        <w:tabs>
          <w:tab w:leader="none" w:pos="586" w:val="left"/>
        </w:tabs>
        <w:numPr>
          <w:ilvl w:val="0"/>
          <w:numId w:val="381"/>
        </w:numPr>
        <w:rPr>
          <w:rFonts w:ascii="Arial" w:cs="Arial" w:eastAsia="Arial" w:hAnsi="Arial"/>
          <w:sz w:val="13"/>
          <w:szCs w:val="13"/>
          <w:color w:val="auto"/>
        </w:rPr>
      </w:pPr>
      <w:r>
        <w:rPr>
          <w:rFonts w:ascii="Arial" w:cs="Arial" w:eastAsia="Arial" w:hAnsi="Arial"/>
          <w:sz w:val="13"/>
          <w:szCs w:val="13"/>
          <w:b w:val="1"/>
          <w:bCs w:val="1"/>
          <w:color w:val="auto"/>
        </w:rPr>
        <w:t>Acknowledgment Side Letter</w:t>
      </w:r>
      <w:r>
        <w:rPr>
          <w:rFonts w:ascii="Arial" w:cs="Arial" w:eastAsia="Arial" w:hAnsi="Arial"/>
          <w:sz w:val="13"/>
          <w:szCs w:val="13"/>
          <w:color w:val="auto"/>
        </w:rPr>
        <w:t>. With respect to the Acknowledgement Side Letter in Appendix F of the License Agreement, (a) neither Century nor sub-sublicensees of Century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required to name WARF as a third-party beneficiary to the applicable Sub-Sublicense; (b) in accordance with Paragraph 1 of this Letter Agreement, the Sub-Sublicense shall be further sublicensable provided that each tiered Sub-Sublicense will otherwise be subject to the terms and conditions of Section 2B(iii) (but excluding subclauses (a) and (b)) of the License Agreement, as amended by this Letter Agreement (including without limitation, each tiered sub-sublicensee will be required to sign the Acknowledgement Side Letter the terms of which in each instance shall be subject to the terms of this Letter Agreement); (c) in accordance with Section 2B(iii)(b)-(c) of the License Agreement and the terms of this Letter Agreement, the Sub-Sublicense may be assigned or transferred to a successor of any sub-sublicensee in connection with the merger, consolidation, reorganization or sale of all or substantially all of its assets or that portion of this business to which the Sub-Sublicense relates; and (d) Century shall not have the right to receive from its sublicensees anything of value in lieu of cash payments in consideration for the applicable Sub-Sublicense, without the express prior written consent of WARF and CDI (which consent shall not be unreasonably withheld so long as Century provides a written notice to WARF and CDI (with notice by email being acceptable) that provides the identity of the proposed sub-sublicensee, a summary of the terms of the proposed Sub-Sublicense, and the non-cash consideration together with a reasonable estimate of its fair market value), provided that </w:t>
      </w:r>
      <w:r>
        <w:rPr>
          <w:rFonts w:ascii="Arial" w:cs="Arial" w:eastAsia="Arial" w:hAnsi="Arial"/>
          <w:sz w:val="13"/>
          <w:szCs w:val="13"/>
          <w:color w:val="183454"/>
        </w:rPr>
        <w:t>if</w:t>
      </w:r>
      <w:r>
        <w:rPr>
          <w:rFonts w:ascii="Arial" w:cs="Arial" w:eastAsia="Arial" w:hAnsi="Arial"/>
          <w:sz w:val="13"/>
          <w:szCs w:val="13"/>
          <w:color w:val="auto"/>
        </w:rPr>
        <w:t xml:space="preserve"> either WARF or CDI fails to provide Century with written consent within fifteen (15) calendar days of the date of the notice from Century, WARF and CDI shall be deemed to have given express prior written consent for the purposes of this clause (d).</w:t>
      </w:r>
    </w:p>
    <w:p>
      <w:pPr>
        <w:spacing w:after="0" w:line="132" w:lineRule="exact"/>
        <w:rPr>
          <w:rFonts w:ascii="Arial" w:cs="Arial" w:eastAsia="Arial" w:hAnsi="Arial"/>
          <w:sz w:val="13"/>
          <w:szCs w:val="13"/>
          <w:color w:val="auto"/>
        </w:rPr>
      </w:pPr>
    </w:p>
    <w:p>
      <w:pPr>
        <w:ind w:firstLine="6"/>
        <w:spacing w:after="0" w:line="294" w:lineRule="auto"/>
        <w:tabs>
          <w:tab w:leader="none" w:pos="615" w:val="left"/>
        </w:tabs>
        <w:numPr>
          <w:ilvl w:val="0"/>
          <w:numId w:val="381"/>
        </w:numPr>
        <w:rPr>
          <w:rFonts w:ascii="Arial" w:cs="Arial" w:eastAsia="Arial" w:hAnsi="Arial"/>
          <w:sz w:val="14"/>
          <w:szCs w:val="14"/>
          <w:color w:val="auto"/>
        </w:rPr>
      </w:pPr>
      <w:r>
        <w:rPr>
          <w:rFonts w:ascii="Arial" w:cs="Arial" w:eastAsia="Arial" w:hAnsi="Arial"/>
          <w:sz w:val="14"/>
          <w:szCs w:val="14"/>
          <w:b w:val="1"/>
          <w:bCs w:val="1"/>
          <w:color w:val="auto"/>
        </w:rPr>
        <w:t xml:space="preserve">Survival of Sublicense Agreement and Sub-Sublicenses. </w:t>
      </w:r>
      <w:r>
        <w:rPr>
          <w:rFonts w:ascii="Arial" w:cs="Arial" w:eastAsia="Arial" w:hAnsi="Arial"/>
          <w:sz w:val="14"/>
          <w:szCs w:val="14"/>
          <w:color w:val="auto"/>
        </w:rPr>
        <w:t>Upon termination of the License Agreement by WARF for any reason (other than a reason caused by an act or omission of</w:t>
      </w:r>
      <w:r>
        <w:rPr>
          <w:rFonts w:ascii="Arial" w:cs="Arial" w:eastAsia="Arial" w:hAnsi="Arial"/>
          <w:sz w:val="14"/>
          <w:szCs w:val="14"/>
          <w:b w:val="1"/>
          <w:bCs w:val="1"/>
          <w:color w:val="auto"/>
        </w:rPr>
        <w:t xml:space="preserve"> </w:t>
      </w:r>
      <w:r>
        <w:rPr>
          <w:rFonts w:ascii="Arial" w:cs="Arial" w:eastAsia="Arial" w:hAnsi="Arial"/>
          <w:sz w:val="14"/>
          <w:szCs w:val="14"/>
          <w:color w:val="auto"/>
        </w:rPr>
        <w:t>Century), the Sublicense Agreement shall have the following survival rights: (i) the Sublicense</w:t>
      </w:r>
    </w:p>
    <w:p>
      <w:pPr>
        <w:spacing w:after="0" w:line="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550" w:name="page551"/>
    <w:bookmarkEnd w:id="550"/>
    <w:p>
      <w:pPr>
        <w:jc w:val="both"/>
        <w:spacing w:after="0" w:line="26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Agreement will survive as a direct license from WARF for a period of one hundred twenty (120) days after termination of the License Agreement (provided that no obligations will be imposed on WARF greater than those of the License Agreement) and WARF does hereby grant to Century a direct license on the terms and conditions set forth in the License Agreement, as amended by this Letter Agreement, for such one hundred twenty (120) day period (the “</w:t>
      </w:r>
      <w:r>
        <w:rPr>
          <w:rFonts w:ascii="Arial" w:cs="Arial" w:eastAsia="Arial" w:hAnsi="Arial"/>
          <w:sz w:val="14"/>
          <w:szCs w:val="14"/>
          <w:b w:val="1"/>
          <w:bCs w:val="1"/>
          <w:color w:val="auto"/>
        </w:rPr>
        <w:t>Extension Period</w:t>
      </w:r>
      <w:r>
        <w:rPr>
          <w:rFonts w:ascii="Arial" w:cs="Arial" w:eastAsia="Arial" w:hAnsi="Arial"/>
          <w:sz w:val="14"/>
          <w:szCs w:val="14"/>
          <w:color w:val="auto"/>
        </w:rPr>
        <w:t>”); and (ii) during the Extension Period, WARF and Century will cooperate in good faith to draft and enter into an amended and restated direct license agreement between them having terms substantially similar to those of the Sublicense Agreement (e.g., scope of licensed rights under the Licensed Patents) but revised to fairly include customary terms reflecting that the agreement is between WARF (a non-profit university patent management organization) and Century, rather than between Century and CDI (a for-profit company) (but, for the avoidance of doubt, not equity rights in Century or any Affiliate thereof). If WARF and Century have not executed such a direct license agreement between them during the initial Extension Period, the Extension Period shall extend, at Century’s sole discretion upon notice to WARF, for an additional one hundred twenty (120) days and thereafter, the Parties may mutually agree in good faith to extend the Extension Period for additional one hundred twenty (120) days periods, provided that the Parties are continuing to negotiate in good faith an amended and restated direct license agreement. Any Sub-Sublicenses will survive termination of the License Agreement to the same extent as the rights of Century survive in accordance with and subject to the foregoing.</w:t>
      </w:r>
    </w:p>
    <w:p>
      <w:pPr>
        <w:spacing w:after="0" w:line="151" w:lineRule="exact"/>
        <w:rPr>
          <w:sz w:val="20"/>
          <w:szCs w:val="20"/>
          <w:color w:val="auto"/>
        </w:rPr>
      </w:pPr>
    </w:p>
    <w:p>
      <w:pPr>
        <w:ind w:firstLine="6"/>
        <w:spacing w:after="0" w:line="294" w:lineRule="auto"/>
        <w:tabs>
          <w:tab w:leader="none" w:pos="582" w:val="left"/>
        </w:tabs>
        <w:numPr>
          <w:ilvl w:val="0"/>
          <w:numId w:val="382"/>
        </w:numPr>
        <w:rPr>
          <w:rFonts w:ascii="Arial" w:cs="Arial" w:eastAsia="Arial" w:hAnsi="Arial"/>
          <w:sz w:val="14"/>
          <w:szCs w:val="14"/>
          <w:color w:val="auto"/>
        </w:rPr>
      </w:pPr>
      <w:r>
        <w:rPr>
          <w:rFonts w:ascii="Arial" w:cs="Arial" w:eastAsia="Arial" w:hAnsi="Arial"/>
          <w:sz w:val="14"/>
          <w:szCs w:val="14"/>
          <w:b w:val="1"/>
          <w:bCs w:val="1"/>
          <w:color w:val="auto"/>
        </w:rPr>
        <w:t>WARF’S Right to Developments</w:t>
      </w:r>
      <w:r>
        <w:rPr>
          <w:rFonts w:ascii="Arial" w:cs="Arial" w:eastAsia="Arial" w:hAnsi="Arial"/>
          <w:sz w:val="14"/>
          <w:szCs w:val="14"/>
          <w:color w:val="auto"/>
        </w:rPr>
        <w:t>. Notwithstanding anything in Section 2.E(ii) of the License Agreement, WARF hereby agrees that Section 2.E(ii) of the License Agreement shall not</w:t>
      </w:r>
      <w:r>
        <w:rPr>
          <w:rFonts w:ascii="Arial" w:cs="Arial" w:eastAsia="Arial" w:hAnsi="Arial"/>
          <w:sz w:val="14"/>
          <w:szCs w:val="14"/>
          <w:b w:val="1"/>
          <w:bCs w:val="1"/>
          <w:color w:val="auto"/>
        </w:rPr>
        <w:t xml:space="preserve"> </w:t>
      </w:r>
      <w:r>
        <w:rPr>
          <w:rFonts w:ascii="Arial" w:cs="Arial" w:eastAsia="Arial" w:hAnsi="Arial"/>
          <w:sz w:val="14"/>
          <w:szCs w:val="14"/>
          <w:color w:val="auto"/>
        </w:rPr>
        <w:t>apply to Century and the sub-sublicensees of Century with respect to any Developments developed or created by Century or Century’s sub-sublicensees.</w:t>
      </w:r>
    </w:p>
    <w:p>
      <w:pPr>
        <w:spacing w:after="0" w:line="123" w:lineRule="exact"/>
        <w:rPr>
          <w:rFonts w:ascii="Arial" w:cs="Arial" w:eastAsia="Arial" w:hAnsi="Arial"/>
          <w:sz w:val="14"/>
          <w:szCs w:val="14"/>
          <w:color w:val="auto"/>
        </w:rPr>
      </w:pPr>
    </w:p>
    <w:p>
      <w:pPr>
        <w:jc w:val="both"/>
        <w:ind w:firstLine="6"/>
        <w:spacing w:after="0" w:line="291" w:lineRule="auto"/>
        <w:tabs>
          <w:tab w:leader="none" w:pos="571" w:val="left"/>
        </w:tabs>
        <w:numPr>
          <w:ilvl w:val="0"/>
          <w:numId w:val="382"/>
        </w:numPr>
        <w:rPr>
          <w:rFonts w:ascii="Arial" w:cs="Arial" w:eastAsia="Arial" w:hAnsi="Arial"/>
          <w:sz w:val="13"/>
          <w:szCs w:val="13"/>
          <w:color w:val="auto"/>
        </w:rPr>
      </w:pPr>
      <w:r>
        <w:rPr>
          <w:rFonts w:ascii="Arial" w:cs="Arial" w:eastAsia="Arial" w:hAnsi="Arial"/>
          <w:sz w:val="13"/>
          <w:szCs w:val="13"/>
          <w:b w:val="1"/>
          <w:bCs w:val="1"/>
          <w:color w:val="auto"/>
        </w:rPr>
        <w:t>Selling Price</w:t>
      </w:r>
      <w:r>
        <w:rPr>
          <w:rFonts w:ascii="Arial" w:cs="Arial" w:eastAsia="Arial" w:hAnsi="Arial"/>
          <w:sz w:val="13"/>
          <w:szCs w:val="13"/>
          <w:color w:val="auto"/>
        </w:rPr>
        <w:t>. In lieu of paying “earned royalties” calculated as a percentage of the “Selling Price” of Licensed Products under the Sublicense Agreement, Century and its Affiliates and</w:t>
      </w:r>
      <w:r>
        <w:rPr>
          <w:rFonts w:ascii="Arial" w:cs="Arial" w:eastAsia="Arial" w:hAnsi="Arial"/>
          <w:sz w:val="13"/>
          <w:szCs w:val="13"/>
          <w:b w:val="1"/>
          <w:bCs w:val="1"/>
          <w:color w:val="auto"/>
        </w:rPr>
        <w:t xml:space="preserve"> </w:t>
      </w:r>
      <w:r>
        <w:rPr>
          <w:rFonts w:ascii="Arial" w:cs="Arial" w:eastAsia="Arial" w:hAnsi="Arial"/>
          <w:sz w:val="13"/>
          <w:szCs w:val="13"/>
          <w:color w:val="auto"/>
        </w:rPr>
        <w:t>sub-sublicensees of Century will pay to CDI “earned royalties” calculated as a percentage of Net Sales of Licensed Products sold by Century, and its Affiliates and sub-sublicensees. “</w:t>
      </w:r>
      <w:r>
        <w:rPr>
          <w:rFonts w:ascii="Arial" w:cs="Arial" w:eastAsia="Arial" w:hAnsi="Arial"/>
          <w:sz w:val="13"/>
          <w:szCs w:val="13"/>
          <w:b w:val="1"/>
          <w:bCs w:val="1"/>
          <w:color w:val="auto"/>
        </w:rPr>
        <w:t>Net Sales</w:t>
      </w:r>
      <w:r>
        <w:rPr>
          <w:rFonts w:ascii="Arial" w:cs="Arial" w:eastAsia="Arial" w:hAnsi="Arial"/>
          <w:sz w:val="13"/>
          <w:szCs w:val="13"/>
          <w:color w:val="auto"/>
        </w:rPr>
        <w:t>” shall mean the gross amount invoiced by Century and any of its Affiliates and such sub-sublicensees for sales of Licensed Product(s), less the following, but only insofar as these items are commercially reasonable under the circumstances, documented in writing, pertain specifically to Century’s sale of the Licensed Products, were actually included and accounted for in the gross revenue, and were not given in exchange for anything of value (such as data, in-kind consideration, or commitments to purchase other products or services) :</w:t>
      </w:r>
    </w:p>
    <w:p>
      <w:pPr>
        <w:spacing w:after="0" w:line="134" w:lineRule="exact"/>
        <w:rPr>
          <w:sz w:val="20"/>
          <w:szCs w:val="20"/>
          <w:color w:val="auto"/>
        </w:rPr>
      </w:pPr>
    </w:p>
    <w:p>
      <w:pPr>
        <w:jc w:val="both"/>
        <w:ind w:left="1040" w:hanging="516"/>
        <w:spacing w:after="0" w:line="273" w:lineRule="auto"/>
        <w:tabs>
          <w:tab w:leader="none" w:pos="1040" w:val="left"/>
        </w:tabs>
        <w:numPr>
          <w:ilvl w:val="0"/>
          <w:numId w:val="383"/>
        </w:numPr>
        <w:rPr>
          <w:rFonts w:ascii="Arial" w:cs="Arial" w:eastAsia="Arial" w:hAnsi="Arial"/>
          <w:sz w:val="14"/>
          <w:szCs w:val="14"/>
          <w:color w:val="auto"/>
        </w:rPr>
      </w:pPr>
      <w:r>
        <w:rPr>
          <w:rFonts w:ascii="Arial" w:cs="Arial" w:eastAsia="Arial" w:hAnsi="Arial"/>
          <w:sz w:val="14"/>
          <w:szCs w:val="14"/>
          <w:color w:val="auto"/>
        </w:rPr>
        <w:t>sales taxes, excise taxes, use taxes, VAT and duties paid in relation to Licensed Product(s) and any other equivalent governmental charges imposed upon the importation, use or sale of Licensed Product(s) (including the annual fees due under Section 9008 of the United States Patient Protection and Affordable Care Act of 2010 (Pub. L., No. 111-48)) (excluding taxes when assessed on income derived from sales):</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551" w:name="page552"/>
    <w:bookmarkEnd w:id="551"/>
    <w:p>
      <w:pPr>
        <w:ind w:left="1040" w:hanging="516"/>
        <w:spacing w:after="0" w:line="288" w:lineRule="auto"/>
        <w:tabs>
          <w:tab w:leader="none" w:pos="1040" w:val="left"/>
        </w:tabs>
        <w:numPr>
          <w:ilvl w:val="0"/>
          <w:numId w:val="38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reasonable credits, repayments and allowances (actually allowed or paid) for defective or returned Licensed Product(s), including allowances for damaged, rejected, recalled or returned Licensed Product(s);</w:t>
      </w:r>
    </w:p>
    <w:p>
      <w:pPr>
        <w:spacing w:after="0" w:line="13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384"/>
        </w:numPr>
        <w:rPr>
          <w:rFonts w:ascii="Arial" w:cs="Arial" w:eastAsia="Arial" w:hAnsi="Arial"/>
          <w:sz w:val="14"/>
          <w:szCs w:val="14"/>
          <w:color w:val="auto"/>
        </w:rPr>
      </w:pPr>
      <w:r>
        <w:rPr>
          <w:rFonts w:ascii="Arial" w:cs="Arial" w:eastAsia="Arial" w:hAnsi="Arial"/>
          <w:sz w:val="14"/>
          <w:szCs w:val="14"/>
          <w:color w:val="auto"/>
        </w:rPr>
        <w:t>governmental and other rebates, refunds, and chargebacks (or equivalents thereof) granted to managed health care organizations, pharmacy benefit managers (or equivalents thereof), federal, state, provincial, local and other governments, their agencies and purchasers and reimbursers or to trade customers, in each case with respect to such Licensed Product(s);</w:t>
      </w:r>
    </w:p>
    <w:p>
      <w:pPr>
        <w:spacing w:after="0" w:line="141" w:lineRule="exact"/>
        <w:rPr>
          <w:rFonts w:ascii="Arial" w:cs="Arial" w:eastAsia="Arial" w:hAnsi="Arial"/>
          <w:sz w:val="14"/>
          <w:szCs w:val="14"/>
          <w:color w:val="auto"/>
        </w:rPr>
      </w:pPr>
    </w:p>
    <w:p>
      <w:pPr>
        <w:ind w:left="1040" w:hanging="516"/>
        <w:spacing w:after="0"/>
        <w:tabs>
          <w:tab w:leader="none" w:pos="1040" w:val="left"/>
        </w:tabs>
        <w:numPr>
          <w:ilvl w:val="0"/>
          <w:numId w:val="384"/>
        </w:numPr>
        <w:rPr>
          <w:rFonts w:ascii="Arial" w:cs="Arial" w:eastAsia="Arial" w:hAnsi="Arial"/>
          <w:sz w:val="14"/>
          <w:szCs w:val="14"/>
          <w:color w:val="auto"/>
        </w:rPr>
      </w:pPr>
      <w:r>
        <w:rPr>
          <w:rFonts w:ascii="Arial" w:cs="Arial" w:eastAsia="Arial" w:hAnsi="Arial"/>
          <w:sz w:val="14"/>
          <w:szCs w:val="14"/>
          <w:color w:val="auto"/>
        </w:rPr>
        <w:t>trade, cash, prompt payment or quantity discounts, actually allowed and taken directly by a third party, and mandated discounts;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384"/>
        </w:numPr>
        <w:rPr>
          <w:rFonts w:ascii="Arial" w:cs="Arial" w:eastAsia="Arial" w:hAnsi="Arial"/>
          <w:sz w:val="14"/>
          <w:szCs w:val="14"/>
          <w:color w:val="auto"/>
        </w:rPr>
      </w:pPr>
      <w:r>
        <w:rPr>
          <w:rFonts w:ascii="Arial" w:cs="Arial" w:eastAsia="Arial" w:hAnsi="Arial"/>
          <w:sz w:val="14"/>
          <w:szCs w:val="14"/>
          <w:color w:val="auto"/>
        </w:rPr>
        <w:t>freight or other transportation charges, reasonable shipping insurance charges, and customs duties; and</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384"/>
        </w:numPr>
        <w:rPr>
          <w:rFonts w:ascii="Arial" w:cs="Arial" w:eastAsia="Arial" w:hAnsi="Arial"/>
          <w:sz w:val="14"/>
          <w:szCs w:val="14"/>
          <w:color w:val="auto"/>
        </w:rPr>
      </w:pPr>
      <w:r>
        <w:rPr>
          <w:rFonts w:ascii="Arial" w:cs="Arial" w:eastAsia="Arial" w:hAnsi="Arial"/>
          <w:sz w:val="14"/>
          <w:szCs w:val="14"/>
          <w:color w:val="auto"/>
        </w:rPr>
        <w:t>allowances for bad debt and uncollectible accounts (provided that Century has undertaken commercially reasonable efforts to obtain each such debt and amount).</w:t>
      </w:r>
    </w:p>
    <w:p>
      <w:pPr>
        <w:spacing w:after="0" w:line="184" w:lineRule="exact"/>
        <w:rPr>
          <w:sz w:val="20"/>
          <w:szCs w:val="20"/>
          <w:color w:val="auto"/>
        </w:rPr>
      </w:pPr>
    </w:p>
    <w:p>
      <w:pPr>
        <w:jc w:val="both"/>
        <w:ind w:left="520"/>
        <w:spacing w:after="0" w:line="287" w:lineRule="auto"/>
        <w:rPr>
          <w:sz w:val="20"/>
          <w:szCs w:val="20"/>
          <w:color w:val="auto"/>
        </w:rPr>
      </w:pPr>
      <w:r>
        <w:rPr>
          <w:rFonts w:ascii="Arial" w:cs="Arial" w:eastAsia="Arial" w:hAnsi="Arial"/>
          <w:sz w:val="13"/>
          <w:szCs w:val="13"/>
          <w:color w:val="auto"/>
        </w:rPr>
        <w:t>For the avoidance of doubt, sales, transfers or disposition of Licensed Product(s) between any of Century, an Affiliate or a sub-sublicensee for subsequent resale by the transferee shall not be considered Net Sales hereunder provided that the subsequent resale is accounted for as Net Sales. Notwithstanding anything to the contrary herein, the supply or other transfer or disposition of Licensed Product(s) without charge, or at or below cost (i) for use in studies for regulatory approval of the Licensed Products; (ii) for use in any tests or studies for the Licensed Products that are reasonably necessary to comply with any applicable law, regulation or request by a regulatory or governmental authority; or (iii) for use in compassionate use, named patient, indigent access, patient assistance, or similar reduced pricing programs, shall be excluded from the computation of Net Sales. Further for the avoidance of doubt, each reference in the Sublicense Agreement to “Selling Price” instead shall be deemed to refer to “Net Sales” as defined herein.</w:t>
      </w:r>
    </w:p>
    <w:p>
      <w:pPr>
        <w:spacing w:after="0" w:line="132" w:lineRule="exact"/>
        <w:rPr>
          <w:sz w:val="20"/>
          <w:szCs w:val="20"/>
          <w:color w:val="auto"/>
        </w:rPr>
      </w:pPr>
    </w:p>
    <w:p>
      <w:pPr>
        <w:jc w:val="both"/>
        <w:ind w:firstLine="6"/>
        <w:spacing w:after="0" w:line="266" w:lineRule="auto"/>
        <w:tabs>
          <w:tab w:leader="none" w:pos="561" w:val="left"/>
        </w:tabs>
        <w:numPr>
          <w:ilvl w:val="0"/>
          <w:numId w:val="385"/>
        </w:numPr>
        <w:rPr>
          <w:rFonts w:ascii="Arial" w:cs="Arial" w:eastAsia="Arial" w:hAnsi="Arial"/>
          <w:sz w:val="14"/>
          <w:szCs w:val="14"/>
          <w:color w:val="auto"/>
        </w:rPr>
      </w:pPr>
      <w:r>
        <w:rPr>
          <w:rFonts w:ascii="Arial" w:cs="Arial" w:eastAsia="Arial" w:hAnsi="Arial"/>
          <w:sz w:val="14"/>
          <w:szCs w:val="14"/>
          <w:b w:val="1"/>
          <w:bCs w:val="1"/>
          <w:color w:val="auto"/>
        </w:rPr>
        <w:t>Royalty</w:t>
      </w:r>
      <w:r>
        <w:rPr>
          <w:rFonts w:ascii="Arial" w:cs="Arial" w:eastAsia="Arial" w:hAnsi="Arial"/>
          <w:sz w:val="14"/>
          <w:szCs w:val="14"/>
          <w:color w:val="auto"/>
        </w:rPr>
        <w:t>. With respect to Licensed Products sold by Century and its Affiliates and sub-sublicensees of Century, the royalty obligations set forth in Section 4.B(i) and 4C(i) of the License</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(as amended by this Letter Agreement and as applicable under the Sublicense Agreement) shall continue on a country-by-country basis as to each Licensed Product sold in such country until the date as of which the last to expire Licensed Patent that covers such Licensed Product in such country and in the country in which the Product was manufactured (if different than the country in which the Product was sold) has expired or terminated. Except as amended by this Letter Agreement, the terms and conditions set forth in the License Agreement and the Sublicense Agreement for royalty obligations applicable to sublicensees shall otherwise apply to Century, its Affiliates, and sub-sublicensees.</w:t>
      </w:r>
    </w:p>
    <w:p>
      <w:pPr>
        <w:spacing w:after="0" w:line="143" w:lineRule="exact"/>
        <w:rPr>
          <w:rFonts w:ascii="Arial" w:cs="Arial" w:eastAsia="Arial" w:hAnsi="Arial"/>
          <w:sz w:val="14"/>
          <w:szCs w:val="14"/>
          <w:color w:val="auto"/>
        </w:rPr>
      </w:pPr>
    </w:p>
    <w:p>
      <w:pPr>
        <w:ind w:left="580" w:hanging="574"/>
        <w:spacing w:after="0"/>
        <w:tabs>
          <w:tab w:leader="none" w:pos="580" w:val="left"/>
        </w:tabs>
        <w:numPr>
          <w:ilvl w:val="0"/>
          <w:numId w:val="385"/>
        </w:numPr>
        <w:rPr>
          <w:rFonts w:ascii="Arial" w:cs="Arial" w:eastAsia="Arial" w:hAnsi="Arial"/>
          <w:sz w:val="13"/>
          <w:szCs w:val="13"/>
          <w:color w:val="auto"/>
        </w:rPr>
      </w:pPr>
      <w:r>
        <w:rPr>
          <w:rFonts w:ascii="Arial" w:cs="Arial" w:eastAsia="Arial" w:hAnsi="Arial"/>
          <w:sz w:val="13"/>
          <w:szCs w:val="13"/>
          <w:b w:val="1"/>
          <w:bCs w:val="1"/>
          <w:color w:val="auto"/>
        </w:rPr>
        <w:t>Additional Royalty Terms</w:t>
      </w:r>
      <w:r>
        <w:rPr>
          <w:rFonts w:ascii="Arial" w:cs="Arial" w:eastAsia="Arial" w:hAnsi="Arial"/>
          <w:sz w:val="13"/>
          <w:szCs w:val="13"/>
          <w:color w:val="auto"/>
        </w:rPr>
        <w:t>. The terms of CDI’s royalty payments set forth in Sections 4.B(ii) and 4.B(iii) of the License Agreement shall apply under the Sublicense Agreement</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97" w:right="319" w:bottom="1440" w:gutter="0" w:footer="0" w:header="0"/>
        </w:sectPr>
      </w:pPr>
    </w:p>
    <w:bookmarkStart w:id="552" w:name="page553"/>
    <w:bookmarkEnd w:id="552"/>
    <w:p>
      <w:pPr>
        <w:jc w:val="both"/>
        <w:spacing w:after="0" w:line="265"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3250565</wp:posOffset>
            </wp:positionH>
            <wp:positionV relativeFrom="page">
              <wp:posOffset>307975</wp:posOffset>
            </wp:positionV>
            <wp:extent cx="1075690" cy="30861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 xml:space="preserve">mutatis mutandis </w:t>
      </w:r>
      <w:r>
        <w:rPr>
          <w:rFonts w:ascii="Arial" w:cs="Arial" w:eastAsia="Arial" w:hAnsi="Arial"/>
          <w:sz w:val="14"/>
          <w:szCs w:val="14"/>
          <w:color w:val="auto"/>
        </w:rPr>
        <w:t>to Century and sub-sublicensees of Century (and the Sublicense Agreement is hereby amended accordingly). However, for clarity, (a) any royalty owed to WARF by CDI under</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4C(i) due to sales by Century shall not be reduced under Section 4B(ii) on account of a separate license from CDI to Century as contemplated in clause (b) of this provision or on account of a separate license from Century or CDI to such sub-sublicensee as contemplated in clause (c) of this provision, and (b) Century may not reduce any royalty owed to CDI under the Sublicense Agreement on account of a separate license from CDI to Century and (c) a sub-sub licensee may not reduce any royalty owed to Century under any Sub-Sublicense on account of a separate license from Century or CDI to such sub-sublicensee.</w:t>
      </w:r>
    </w:p>
    <w:p>
      <w:pPr>
        <w:spacing w:after="0" w:line="143" w:lineRule="exact"/>
        <w:rPr>
          <w:sz w:val="20"/>
          <w:szCs w:val="20"/>
          <w:color w:val="auto"/>
        </w:rPr>
      </w:pPr>
    </w:p>
    <w:p>
      <w:pPr>
        <w:jc w:val="both"/>
        <w:ind w:firstLine="6"/>
        <w:spacing w:after="0" w:line="276" w:lineRule="auto"/>
        <w:tabs>
          <w:tab w:leader="none" w:pos="791" w:val="left"/>
        </w:tabs>
        <w:numPr>
          <w:ilvl w:val="0"/>
          <w:numId w:val="386"/>
        </w:numPr>
        <w:rPr>
          <w:rFonts w:ascii="Arial" w:cs="Arial" w:eastAsia="Arial" w:hAnsi="Arial"/>
          <w:sz w:val="14"/>
          <w:szCs w:val="14"/>
          <w:color w:val="auto"/>
        </w:rPr>
      </w:pPr>
      <w:r>
        <w:rPr>
          <w:rFonts w:ascii="Arial" w:cs="Arial" w:eastAsia="Arial" w:hAnsi="Arial"/>
          <w:sz w:val="14"/>
          <w:szCs w:val="14"/>
          <w:b w:val="1"/>
          <w:bCs w:val="1"/>
          <w:color w:val="auto"/>
        </w:rPr>
        <w:t>Indemnification</w:t>
      </w:r>
      <w:r>
        <w:rPr>
          <w:rFonts w:ascii="Arial" w:cs="Arial" w:eastAsia="Arial" w:hAnsi="Arial"/>
          <w:sz w:val="14"/>
          <w:szCs w:val="14"/>
          <w:color w:val="auto"/>
        </w:rPr>
        <w:t>. Century’s obligations to WARF, the Morgridge Institute for Research, the WiCell Research Institute and the University of Wisconsin under Section 8.1 of the</w:t>
      </w:r>
      <w:r>
        <w:rPr>
          <w:rFonts w:ascii="Arial" w:cs="Arial" w:eastAsia="Arial" w:hAnsi="Arial"/>
          <w:sz w:val="14"/>
          <w:szCs w:val="14"/>
          <w:b w:val="1"/>
          <w:bCs w:val="1"/>
          <w:color w:val="auto"/>
        </w:rPr>
        <w:t xml:space="preserve"> </w:t>
      </w:r>
      <w:r>
        <w:rPr>
          <w:rFonts w:ascii="Arial" w:cs="Arial" w:eastAsia="Arial" w:hAnsi="Arial"/>
          <w:sz w:val="14"/>
          <w:szCs w:val="14"/>
          <w:color w:val="auto"/>
        </w:rPr>
        <w:t>Sublicense Agreement shall only apply with respect to liabilities, demands, damages, settlements, suits, claims, proceedings, costs and expenses (including reasonable out-of-pocket legal expenses and reasonable attorneys’ fees), in each case, arising out of or relating to claims brought by third parties.</w:t>
      </w:r>
    </w:p>
    <w:p>
      <w:pPr>
        <w:spacing w:after="0" w:line="135" w:lineRule="exact"/>
        <w:rPr>
          <w:rFonts w:ascii="Arial" w:cs="Arial" w:eastAsia="Arial" w:hAnsi="Arial"/>
          <w:sz w:val="14"/>
          <w:szCs w:val="14"/>
          <w:color w:val="auto"/>
        </w:rPr>
      </w:pPr>
    </w:p>
    <w:p>
      <w:pPr>
        <w:jc w:val="both"/>
        <w:ind w:firstLine="6"/>
        <w:spacing w:after="0" w:line="285" w:lineRule="auto"/>
        <w:tabs>
          <w:tab w:leader="none" w:pos="575" w:val="left"/>
        </w:tabs>
        <w:numPr>
          <w:ilvl w:val="0"/>
          <w:numId w:val="386"/>
        </w:numPr>
        <w:rPr>
          <w:rFonts w:ascii="Arial" w:cs="Arial" w:eastAsia="Arial" w:hAnsi="Arial"/>
          <w:sz w:val="13"/>
          <w:szCs w:val="13"/>
          <w:color w:val="auto"/>
        </w:rPr>
      </w:pPr>
      <w:r>
        <w:rPr>
          <w:rFonts w:ascii="Arial" w:cs="Arial" w:eastAsia="Arial" w:hAnsi="Arial"/>
          <w:sz w:val="13"/>
          <w:szCs w:val="13"/>
          <w:b w:val="1"/>
          <w:bCs w:val="1"/>
          <w:color w:val="auto"/>
        </w:rPr>
        <w:t>Assignment</w:t>
      </w:r>
      <w:r>
        <w:rPr>
          <w:rFonts w:ascii="Arial" w:cs="Arial" w:eastAsia="Arial" w:hAnsi="Arial"/>
          <w:sz w:val="13"/>
          <w:szCs w:val="13"/>
          <w:color w:val="auto"/>
        </w:rPr>
        <w:t>. Neither this Letter Agreement nor any interest herein may be assigned, in whole or in part, by a Party without the prior written consent of the other Parties. Notwithstanding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foregoing, a party may assign its rights and obligations under this Letter Agreement to any of its Affiliates or to any successor in connection with the merger, consolidation, reorganization or sale of substantially all of its assets or that portion of its business to which this Letter Agreement relates,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(i) the assigning party will notify the other parties in writing within thirty (30) days following such assignment, including the identity of such assignee, (ii) the assignee of agrees in writing to be bound by the terms and conditions hereof and to be responsible for all past and future obligations and liabilities hereunder, and (iii) if the assignee is an Affiliate, the assigning party shall remain jointly liable for the performance of such Affiliate under this Letter Agreement. Upon such assignment to an Affiliate, the assigning party hereby guarantees the performance of its Affiliate (for such time as it remains an “Affiliate” of the assigning party) of all obligations to the other Party under the Sublicense Agreement and this Letter Agreement. Any assignment in circumvention of the foregoing shall be void. Subject to the foregoing, this Letter Agreement shall be binding upon and inure to the benefit of the Parties and their respective permitted successors and assigns.</w:t>
      </w:r>
    </w:p>
    <w:p>
      <w:pPr>
        <w:spacing w:after="0" w:line="133" w:lineRule="exact"/>
        <w:rPr>
          <w:rFonts w:ascii="Arial" w:cs="Arial" w:eastAsia="Arial" w:hAnsi="Arial"/>
          <w:sz w:val="13"/>
          <w:szCs w:val="13"/>
          <w:color w:val="auto"/>
        </w:rPr>
      </w:pPr>
    </w:p>
    <w:p>
      <w:pPr>
        <w:jc w:val="both"/>
        <w:ind w:firstLine="6"/>
        <w:spacing w:after="0" w:line="276" w:lineRule="auto"/>
        <w:tabs>
          <w:tab w:leader="none" w:pos="591" w:val="left"/>
        </w:tabs>
        <w:numPr>
          <w:ilvl w:val="0"/>
          <w:numId w:val="386"/>
        </w:numPr>
        <w:rPr>
          <w:rFonts w:ascii="Arial" w:cs="Arial" w:eastAsia="Arial" w:hAnsi="Arial"/>
          <w:sz w:val="14"/>
          <w:szCs w:val="14"/>
          <w:color w:val="auto"/>
        </w:rPr>
      </w:pPr>
      <w:r>
        <w:rPr>
          <w:rFonts w:ascii="Arial" w:cs="Arial" w:eastAsia="Arial" w:hAnsi="Arial"/>
          <w:sz w:val="14"/>
          <w:szCs w:val="14"/>
          <w:b w:val="1"/>
          <w:bCs w:val="1"/>
          <w:color w:val="auto"/>
        </w:rPr>
        <w:t>Notices</w:t>
      </w:r>
      <w:r>
        <w:rPr>
          <w:rFonts w:ascii="Arial" w:cs="Arial" w:eastAsia="Arial" w:hAnsi="Arial"/>
          <w:sz w:val="14"/>
          <w:szCs w:val="14"/>
          <w:color w:val="auto"/>
        </w:rPr>
        <w:t>. Any notice or request required or permitted to be given under or in connection with this Letter Agreement shall specifically refer to this Letter Agreement, and shall be deemed</w:t>
      </w:r>
      <w:r>
        <w:rPr>
          <w:rFonts w:ascii="Arial" w:cs="Arial" w:eastAsia="Arial" w:hAnsi="Arial"/>
          <w:sz w:val="14"/>
          <w:szCs w:val="14"/>
          <w:b w:val="1"/>
          <w:bCs w:val="1"/>
          <w:color w:val="auto"/>
        </w:rPr>
        <w:t xml:space="preserve"> </w:t>
      </w:r>
      <w:r>
        <w:rPr>
          <w:rFonts w:ascii="Arial" w:cs="Arial" w:eastAsia="Arial" w:hAnsi="Arial"/>
          <w:sz w:val="14"/>
          <w:szCs w:val="14"/>
          <w:color w:val="auto"/>
        </w:rPr>
        <w:t>to have been sufficiently given if in writing and personally delivered or sent by certified mail (return receipt requested), facsimile transmission (receipt verified), or overnight express courier service (signature required), prepaid, to the Party for which such notice is intended, at the address set forth for such Party below:</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553" w:name="page554"/>
    <w:bookmarkEnd w:id="553"/>
    <w:p>
      <w:pPr>
        <w:spacing w:after="0"/>
        <w:rPr>
          <w:sz w:val="20"/>
          <w:szCs w:val="20"/>
          <w:color w:val="auto"/>
        </w:rPr>
      </w:pPr>
      <w:r>
        <w:rPr>
          <w:rFonts w:ascii="Arial" w:cs="Arial" w:eastAsia="Arial" w:hAnsi="Arial"/>
          <w:sz w:val="14"/>
          <w:szCs w:val="14"/>
          <w:color w:val="auto"/>
        </w:rPr>
        <w:t>If to CDI: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FUJIFILM Cellular Dynamics,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-553720</wp:posOffset>
            </wp:positionV>
            <wp:extent cx="1075690" cy="30861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075690" cy="3086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525 Science Dr., Ste. 200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53711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Attention: Chief Technology Officer</w:t>
      </w:r>
    </w:p>
    <w:p>
      <w:pPr>
        <w:spacing w:after="0" w:line="186" w:lineRule="exact"/>
        <w:rPr>
          <w:sz w:val="20"/>
          <w:szCs w:val="20"/>
          <w:color w:val="auto"/>
        </w:rPr>
      </w:pPr>
    </w:p>
    <w:p>
      <w:pPr>
        <w:sectPr>
          <w:pgSz w:w="11900" w:h="16838" w:orient="portrait"/>
          <w:cols w:equalWidth="0" w:num="2">
            <w:col w:w="1540" w:space="720"/>
            <w:col w:w="9020"/>
          </w:cols>
          <w:pgMar w:left="300" w:top="1197" w:right="319" w:bottom="1440" w:gutter="0" w:footer="0" w:header="0"/>
        </w:sectPr>
      </w:pPr>
    </w:p>
    <w:p>
      <w:pPr>
        <w:spacing w:after="0"/>
        <w:rPr>
          <w:sz w:val="20"/>
          <w:szCs w:val="20"/>
          <w:color w:val="auto"/>
        </w:rPr>
      </w:pPr>
      <w:r>
        <w:rPr>
          <w:rFonts w:ascii="Arial" w:cs="Arial" w:eastAsia="Arial" w:hAnsi="Arial"/>
          <w:sz w:val="13"/>
          <w:szCs w:val="13"/>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FUJIFILM Cellular Dynamics, Inc.</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525 Science Dr., Ste. 200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53711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Attention: General Counsel</w:t>
      </w:r>
    </w:p>
    <w:p>
      <w:pPr>
        <w:spacing w:after="0" w:line="175" w:lineRule="exact"/>
        <w:rPr>
          <w:sz w:val="20"/>
          <w:szCs w:val="20"/>
          <w:color w:val="auto"/>
        </w:rPr>
      </w:pPr>
    </w:p>
    <w:p>
      <w:pPr>
        <w:sectPr>
          <w:pgSz w:w="11900" w:h="16838" w:orient="portrait"/>
          <w:cols w:equalWidth="0" w:num="2">
            <w:col w:w="1540" w:space="720"/>
            <w:col w:w="9020"/>
          </w:cols>
          <w:pgMar w:left="300" w:top="1197" w:right="319" w:bottom="1440" w:gutter="0" w:footer="0" w:header="0"/>
          <w:type w:val="continuous"/>
        </w:sectPr>
      </w:pPr>
    </w:p>
    <w:p>
      <w:pPr>
        <w:spacing w:after="0"/>
        <w:rPr>
          <w:sz w:val="20"/>
          <w:szCs w:val="20"/>
          <w:color w:val="auto"/>
        </w:rPr>
      </w:pPr>
      <w:r>
        <w:rPr>
          <w:rFonts w:ascii="Arial" w:cs="Arial" w:eastAsia="Arial" w:hAnsi="Arial"/>
          <w:sz w:val="13"/>
          <w:szCs w:val="13"/>
          <w:color w:val="auto"/>
        </w:rPr>
        <w:t>If to Century: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Century Therapeutics, LLC</w:t>
      </w:r>
    </w:p>
    <w:p>
      <w:pPr>
        <w:spacing w:after="0" w:line="33" w:lineRule="exact"/>
        <w:rPr>
          <w:sz w:val="20"/>
          <w:szCs w:val="20"/>
          <w:color w:val="auto"/>
        </w:rPr>
      </w:pPr>
    </w:p>
    <w:p>
      <w:pPr>
        <w:sectPr>
          <w:pgSz w:w="11900" w:h="16838" w:orient="portrait"/>
          <w:cols w:equalWidth="0" w:num="2">
            <w:col w:w="1540" w:space="720"/>
            <w:col w:w="9020"/>
          </w:cols>
          <w:pgMar w:left="300" w:top="1197" w:right="319" w:bottom="1440" w:gutter="0" w:footer="0" w:header="0"/>
          <w:type w:val="continuous"/>
        </w:sectPr>
      </w:pPr>
    </w:p>
    <w:p>
      <w:pPr>
        <w:ind w:left="2260"/>
        <w:spacing w:after="0"/>
        <w:rPr>
          <w:sz w:val="20"/>
          <w:szCs w:val="20"/>
          <w:color w:val="auto"/>
        </w:rPr>
      </w:pPr>
      <w:r>
        <w:rPr>
          <w:rFonts w:ascii="Arial" w:cs="Arial" w:eastAsia="Arial" w:hAnsi="Arial"/>
          <w:sz w:val="14"/>
          <w:szCs w:val="14"/>
          <w:color w:val="auto"/>
        </w:rPr>
        <w:t>54 West 21</w:t>
      </w:r>
      <w:r>
        <w:rPr>
          <w:rFonts w:ascii="Arial" w:cs="Arial" w:eastAsia="Arial" w:hAnsi="Arial"/>
          <w:sz w:val="11"/>
          <w:szCs w:val="11"/>
          <w:color w:val="auto"/>
        </w:rPr>
        <w:t>st</w:t>
      </w:r>
      <w:r>
        <w:rPr>
          <w:rFonts w:ascii="Arial" w:cs="Arial" w:eastAsia="Arial" w:hAnsi="Arial"/>
          <w:sz w:val="14"/>
          <w:szCs w:val="14"/>
          <w:color w:val="auto"/>
        </w:rPr>
        <w:t xml:space="preserve"> St., Ste. 408</w:t>
      </w:r>
    </w:p>
    <w:p>
      <w:pPr>
        <w:spacing w:after="0" w:line="44"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New York, NY 10010</w:t>
      </w:r>
    </w:p>
    <w:p>
      <w:pPr>
        <w:spacing w:after="0" w:line="12"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Attention: Chief Executive Officer</w:t>
      </w:r>
    </w:p>
    <w:p>
      <w:pPr>
        <w:sectPr>
          <w:pgSz w:w="11900" w:h="16838" w:orient="portrait"/>
          <w:cols w:equalWidth="0" w:num="1">
            <w:col w:w="11280"/>
          </w:cols>
          <w:pgMar w:left="300" w:top="1197" w:right="31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If to WARF: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Wisconsin Alumni Research Foundation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614 Walnut Street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53726</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Attention: Contracts Manager</w:t>
      </w:r>
    </w:p>
    <w:p>
      <w:pPr>
        <w:spacing w:after="0" w:line="175" w:lineRule="exact"/>
        <w:rPr>
          <w:sz w:val="20"/>
          <w:szCs w:val="20"/>
          <w:color w:val="auto"/>
        </w:rPr>
      </w:pPr>
    </w:p>
    <w:p>
      <w:pPr>
        <w:sectPr>
          <w:pgSz w:w="11900" w:h="16838" w:orient="portrait"/>
          <w:cols w:equalWidth="0" w:num="2">
            <w:col w:w="1540" w:space="720"/>
            <w:col w:w="9020"/>
          </w:cols>
          <w:pgMar w:left="300" w:top="1197" w:right="319" w:bottom="1440" w:gutter="0" w:footer="0" w:header="0"/>
          <w:type w:val="continuous"/>
        </w:sectPr>
      </w:pPr>
    </w:p>
    <w:p>
      <w:pPr>
        <w:spacing w:after="0" w:line="288" w:lineRule="auto"/>
        <w:rPr>
          <w:sz w:val="20"/>
          <w:szCs w:val="20"/>
          <w:color w:val="auto"/>
        </w:rPr>
      </w:pPr>
      <w:r>
        <w:rPr>
          <w:rFonts w:ascii="Arial" w:cs="Arial" w:eastAsia="Arial" w:hAnsi="Arial"/>
          <w:sz w:val="14"/>
          <w:szCs w:val="14"/>
          <w:color w:val="auto"/>
        </w:rPr>
        <w:t>or to such other address for such Party as it shall have specified by like notice to the other Party, provided that notices of a change of address shall be effective only upon actual receipt thereof. All notices under this Letter Agreement shall be deemed effective upon receipt.</w:t>
      </w:r>
    </w:p>
    <w:p>
      <w:pPr>
        <w:spacing w:after="0" w:line="128" w:lineRule="exact"/>
        <w:rPr>
          <w:sz w:val="20"/>
          <w:szCs w:val="20"/>
          <w:color w:val="auto"/>
        </w:rPr>
      </w:pPr>
    </w:p>
    <w:p>
      <w:pPr>
        <w:jc w:val="both"/>
        <w:ind w:firstLine="6"/>
        <w:spacing w:after="0" w:line="276" w:lineRule="auto"/>
        <w:tabs>
          <w:tab w:leader="none" w:pos="582" w:val="left"/>
        </w:tabs>
        <w:numPr>
          <w:ilvl w:val="0"/>
          <w:numId w:val="387"/>
        </w:numPr>
        <w:rPr>
          <w:rFonts w:ascii="Arial" w:cs="Arial" w:eastAsia="Arial" w:hAnsi="Arial"/>
          <w:sz w:val="14"/>
          <w:szCs w:val="14"/>
          <w:color w:val="auto"/>
        </w:rPr>
      </w:pPr>
      <w:r>
        <w:rPr>
          <w:rFonts w:ascii="Arial" w:cs="Arial" w:eastAsia="Arial" w:hAnsi="Arial"/>
          <w:sz w:val="14"/>
          <w:szCs w:val="14"/>
          <w:b w:val="1"/>
          <w:bCs w:val="1"/>
          <w:color w:val="auto"/>
        </w:rPr>
        <w:t>No Waiver of Rights</w:t>
      </w:r>
      <w:r>
        <w:rPr>
          <w:rFonts w:ascii="Arial" w:cs="Arial" w:eastAsia="Arial" w:hAnsi="Arial"/>
          <w:sz w:val="14"/>
          <w:szCs w:val="14"/>
          <w:color w:val="auto"/>
        </w:rPr>
        <w:t>. No failure or delay on the part of a Party in the exercise of any power or right under this Letter Agreement shall operate as a waiver thereof. No single or partial</w:t>
      </w:r>
      <w:r>
        <w:rPr>
          <w:rFonts w:ascii="Arial" w:cs="Arial" w:eastAsia="Arial" w:hAnsi="Arial"/>
          <w:sz w:val="14"/>
          <w:szCs w:val="14"/>
          <w:b w:val="1"/>
          <w:bCs w:val="1"/>
          <w:color w:val="auto"/>
        </w:rPr>
        <w:t xml:space="preserve"> </w:t>
      </w:r>
      <w:r>
        <w:rPr>
          <w:rFonts w:ascii="Arial" w:cs="Arial" w:eastAsia="Arial" w:hAnsi="Arial"/>
          <w:sz w:val="14"/>
          <w:szCs w:val="14"/>
          <w:color w:val="auto"/>
        </w:rPr>
        <w:t>exercise of any right or power under this Letter Agreement shall operate as a waiver of such right or of any other right or power. The waiver by a Party of a breach of any provision of this Letter Agreement shall not operate or be construed as a waiver of any other or subsequent breach under this Letter Agreement.</w:t>
      </w:r>
    </w:p>
    <w:p>
      <w:pPr>
        <w:spacing w:after="0" w:line="135" w:lineRule="exact"/>
        <w:rPr>
          <w:rFonts w:ascii="Arial" w:cs="Arial" w:eastAsia="Arial" w:hAnsi="Arial"/>
          <w:sz w:val="14"/>
          <w:szCs w:val="14"/>
          <w:color w:val="auto"/>
        </w:rPr>
      </w:pPr>
    </w:p>
    <w:p>
      <w:pPr>
        <w:jc w:val="both"/>
        <w:ind w:firstLine="6"/>
        <w:spacing w:after="0" w:line="276" w:lineRule="auto"/>
        <w:tabs>
          <w:tab w:leader="none" w:pos="611" w:val="left"/>
        </w:tabs>
        <w:numPr>
          <w:ilvl w:val="0"/>
          <w:numId w:val="387"/>
        </w:numPr>
        <w:rPr>
          <w:rFonts w:ascii="Arial" w:cs="Arial" w:eastAsia="Arial" w:hAnsi="Arial"/>
          <w:sz w:val="14"/>
          <w:szCs w:val="14"/>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 In case any one or more of the provisions contained in this Letter Agreement shall, for any reason be held to be invalid, illegal, or unenforceable in any respect, such</w:t>
      </w:r>
      <w:r>
        <w:rPr>
          <w:rFonts w:ascii="Arial" w:cs="Arial" w:eastAsia="Arial" w:hAnsi="Arial"/>
          <w:sz w:val="14"/>
          <w:szCs w:val="14"/>
          <w:b w:val="1"/>
          <w:bCs w:val="1"/>
          <w:color w:val="auto"/>
        </w:rPr>
        <w:t xml:space="preserve"> </w:t>
      </w:r>
      <w:r>
        <w:rPr>
          <w:rFonts w:ascii="Arial" w:cs="Arial" w:eastAsia="Arial" w:hAnsi="Arial"/>
          <w:sz w:val="14"/>
          <w:szCs w:val="14"/>
          <w:color w:val="auto"/>
        </w:rPr>
        <w:t>invalidity, illegality, or unenforceability, shall not affect any other provision of this Letter Agreement, and the Parties shall negotiate in good faith to modify this Letter Agreement to preserve (to the extent possible) their original intent.</w:t>
      </w:r>
    </w:p>
    <w:p>
      <w:pPr>
        <w:spacing w:after="0" w:line="135" w:lineRule="exact"/>
        <w:rPr>
          <w:rFonts w:ascii="Arial" w:cs="Arial" w:eastAsia="Arial" w:hAnsi="Arial"/>
          <w:sz w:val="14"/>
          <w:szCs w:val="14"/>
          <w:color w:val="auto"/>
        </w:rPr>
      </w:pPr>
    </w:p>
    <w:p>
      <w:pPr>
        <w:ind w:left="500" w:hanging="494"/>
        <w:spacing w:after="0"/>
        <w:tabs>
          <w:tab w:leader="none" w:pos="500" w:val="left"/>
        </w:tabs>
        <w:numPr>
          <w:ilvl w:val="0"/>
          <w:numId w:val="387"/>
        </w:numPr>
        <w:rPr>
          <w:rFonts w:ascii="Arial" w:cs="Arial" w:eastAsia="Arial" w:hAnsi="Arial"/>
          <w:sz w:val="13"/>
          <w:szCs w:val="13"/>
          <w:color w:val="auto"/>
        </w:rPr>
      </w:pPr>
      <w:r>
        <w:rPr>
          <w:rFonts w:ascii="Arial" w:cs="Arial" w:eastAsia="Arial" w:hAnsi="Arial"/>
          <w:sz w:val="13"/>
          <w:szCs w:val="13"/>
          <w:b w:val="1"/>
          <w:bCs w:val="1"/>
          <w:color w:val="auto"/>
        </w:rPr>
        <w:t>Amendments</w:t>
      </w:r>
      <w:r>
        <w:rPr>
          <w:rFonts w:ascii="Arial" w:cs="Arial" w:eastAsia="Arial" w:hAnsi="Arial"/>
          <w:sz w:val="13"/>
          <w:szCs w:val="13"/>
          <w:color w:val="auto"/>
        </w:rPr>
        <w:t>. No amendment or modification of or supplement to the terms of this Letter Agreement shall be binding on a Party unless reduced to writing and signed by both Parties.</w:t>
      </w:r>
    </w:p>
    <w:p>
      <w:pPr>
        <w:spacing w:after="0" w:line="195" w:lineRule="exact"/>
        <w:rPr>
          <w:rFonts w:ascii="Arial" w:cs="Arial" w:eastAsia="Arial" w:hAnsi="Arial"/>
          <w:sz w:val="13"/>
          <w:szCs w:val="13"/>
          <w:color w:val="auto"/>
        </w:rPr>
      </w:pPr>
    </w:p>
    <w:p>
      <w:pPr>
        <w:jc w:val="both"/>
        <w:ind w:firstLine="6"/>
        <w:spacing w:after="0" w:line="276" w:lineRule="auto"/>
        <w:tabs>
          <w:tab w:leader="none" w:pos="604" w:val="left"/>
        </w:tabs>
        <w:numPr>
          <w:ilvl w:val="0"/>
          <w:numId w:val="387"/>
        </w:numPr>
        <w:rPr>
          <w:rFonts w:ascii="Arial" w:cs="Arial" w:eastAsia="Arial" w:hAnsi="Arial"/>
          <w:sz w:val="14"/>
          <w:szCs w:val="14"/>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Letter Agreement sets forth the entire agreement among the Parties as to the subject matter hereof and supersedes all prior and contemporaneous agreements,</w:t>
      </w:r>
      <w:r>
        <w:rPr>
          <w:rFonts w:ascii="Arial" w:cs="Arial" w:eastAsia="Arial" w:hAnsi="Arial"/>
          <w:sz w:val="14"/>
          <w:szCs w:val="14"/>
          <w:b w:val="1"/>
          <w:bCs w:val="1"/>
          <w:color w:val="auto"/>
        </w:rPr>
        <w:t xml:space="preserve"> </w:t>
      </w:r>
      <w:r>
        <w:rPr>
          <w:rFonts w:ascii="Arial" w:cs="Arial" w:eastAsia="Arial" w:hAnsi="Arial"/>
          <w:sz w:val="14"/>
          <w:szCs w:val="14"/>
          <w:color w:val="auto"/>
        </w:rPr>
        <w:t>understandings, negotiations and discussions, whether oral or written, between the Parties as to the subject matter hereof. In the event of any conflict between this Letter Agreement and the License</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97" w:right="319" w:bottom="1440" w:gutter="0" w:footer="0" w:header="0"/>
          <w:type w:val="continuous"/>
        </w:sectPr>
      </w:pPr>
    </w:p>
    <w:bookmarkStart w:id="554" w:name="page555"/>
    <w:bookmarkEnd w:id="554"/>
    <w:p>
      <w:pPr>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Agreement or the Sublicense Agreement, this Letter Agreement will control. This Letter Agreement and any dispute regarding the performance or breach hereof will be governed, interpreted and construed in accordance with the laws of the State of Wisconsin, and the patent law of the United States, without respect to its conflict of laws rules.</w:t>
      </w:r>
    </w:p>
    <w:p>
      <w:pPr>
        <w:spacing w:after="0" w:line="128" w:lineRule="exact"/>
        <w:rPr>
          <w:sz w:val="20"/>
          <w:szCs w:val="20"/>
          <w:color w:val="auto"/>
        </w:rPr>
      </w:pPr>
    </w:p>
    <w:p>
      <w:pPr>
        <w:ind w:firstLine="6"/>
        <w:spacing w:after="0" w:line="294" w:lineRule="auto"/>
        <w:tabs>
          <w:tab w:leader="none" w:pos="701" w:val="left"/>
        </w:tabs>
        <w:numPr>
          <w:ilvl w:val="0"/>
          <w:numId w:val="388"/>
        </w:numPr>
        <w:rPr>
          <w:rFonts w:ascii="Arial" w:cs="Arial" w:eastAsia="Arial" w:hAnsi="Arial"/>
          <w:sz w:val="14"/>
          <w:szCs w:val="14"/>
          <w:color w:val="auto"/>
        </w:rPr>
      </w:pPr>
      <w:r>
        <w:rPr>
          <w:rFonts w:ascii="Arial" w:cs="Arial" w:eastAsia="Arial" w:hAnsi="Arial"/>
          <w:sz w:val="14"/>
          <w:szCs w:val="14"/>
          <w:b w:val="1"/>
          <w:bCs w:val="1"/>
          <w:color w:val="auto"/>
        </w:rPr>
        <w:t>Survival</w:t>
      </w:r>
      <w:r>
        <w:rPr>
          <w:rFonts w:ascii="Arial" w:cs="Arial" w:eastAsia="Arial" w:hAnsi="Arial"/>
          <w:sz w:val="14"/>
          <w:szCs w:val="14"/>
          <w:color w:val="auto"/>
        </w:rPr>
        <w:t>. The rights and obligations of the Parties under this Letter Agreement shall continue until the expiration or the earlier termination of the Sublicense Agreement or Sub-Sublicense, as applicable.</w:t>
      </w:r>
    </w:p>
    <w:p>
      <w:pPr>
        <w:spacing w:after="0" w:line="123" w:lineRule="exact"/>
        <w:rPr>
          <w:rFonts w:ascii="Arial" w:cs="Arial" w:eastAsia="Arial" w:hAnsi="Arial"/>
          <w:sz w:val="14"/>
          <w:szCs w:val="14"/>
          <w:color w:val="auto"/>
        </w:rPr>
      </w:pPr>
    </w:p>
    <w:p>
      <w:pPr>
        <w:jc w:val="both"/>
        <w:ind w:firstLine="6"/>
        <w:spacing w:after="0" w:line="269" w:lineRule="auto"/>
        <w:tabs>
          <w:tab w:leader="none" w:pos="629" w:val="left"/>
        </w:tabs>
        <w:numPr>
          <w:ilvl w:val="0"/>
          <w:numId w:val="388"/>
        </w:numPr>
        <w:rPr>
          <w:rFonts w:ascii="Arial" w:cs="Arial" w:eastAsia="Arial" w:hAnsi="Arial"/>
          <w:sz w:val="14"/>
          <w:szCs w:val="14"/>
          <w:color w:val="auto"/>
        </w:rPr>
      </w:pPr>
      <w:r>
        <w:rPr>
          <w:rFonts w:ascii="Arial" w:cs="Arial" w:eastAsia="Arial" w:hAnsi="Arial"/>
          <w:sz w:val="14"/>
          <w:szCs w:val="14"/>
          <w:b w:val="1"/>
          <w:bCs w:val="1"/>
          <w:color w:val="auto"/>
        </w:rPr>
        <w:t>Counterparts</w:t>
      </w:r>
      <w:r>
        <w:rPr>
          <w:rFonts w:ascii="Arial" w:cs="Arial" w:eastAsia="Arial" w:hAnsi="Arial"/>
          <w:sz w:val="14"/>
          <w:szCs w:val="14"/>
          <w:color w:val="auto"/>
        </w:rPr>
        <w:t>. This Letter Agreement, or any part thereof requiring signing by the Parties, may be executed in separate counterparts, each of which shall be an original as against any</w:t>
      </w:r>
      <w:r>
        <w:rPr>
          <w:rFonts w:ascii="Arial" w:cs="Arial" w:eastAsia="Arial" w:hAnsi="Arial"/>
          <w:sz w:val="14"/>
          <w:szCs w:val="14"/>
          <w:b w:val="1"/>
          <w:bCs w:val="1"/>
          <w:color w:val="auto"/>
        </w:rPr>
        <w:t xml:space="preserve"> </w:t>
      </w:r>
      <w:r>
        <w:rPr>
          <w:rFonts w:ascii="Arial" w:cs="Arial" w:eastAsia="Arial" w:hAnsi="Arial"/>
          <w:sz w:val="14"/>
          <w:szCs w:val="14"/>
          <w:color w:val="auto"/>
        </w:rPr>
        <w:t>Party whose signature appears thereon but all of which together shall constitute one and the same instrument. A facsimile or PDF transmission of the signed Letter Agreement, and those parts thereof requiring signing by the Parties, shall be legal and binding on the Parties. The Parties agree this Agreement may be electronically signed and that the electronic signatures appearing on this Agreement are the same as handwritten signatures for the purposes of validity, enforceability and admissibility.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[END OF PAGE. SIGNATURE PAGE FOLLOWS]</w:t>
      </w:r>
    </w:p>
    <w:p>
      <w:pPr>
        <w:spacing w:after="0" w:line="9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555" w:name="page556"/>
    <w:bookmarkEnd w:id="555"/>
    <w:p>
      <w:pPr>
        <w:ind w:firstLine="518"/>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This Letter Agreement is signed below by authorized representatives of CDI, Century and WARF respectively indicating the Parties’ acceptance of the terms and conditions of this Letter Agreement.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FUJIFILM CELLULAR DYNAMICS,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Nicholas Manusos</w:t>
            </w:r>
          </w:p>
        </w:tc>
      </w:tr>
      <w:tr>
        <w:trPr>
          <w:trHeight w:val="174"/>
        </w:trPr>
        <w:tc>
          <w:tcPr>
            <w:tcW w:w="80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(Signature)</w:t>
            </w:r>
          </w:p>
        </w:tc>
      </w:tr>
      <w:tr>
        <w:trPr>
          <w:trHeight w:val="335"/>
        </w:trPr>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Nick Manusos</w:t>
            </w:r>
          </w:p>
        </w:tc>
      </w:tr>
      <w:tr>
        <w:trPr>
          <w:trHeight w:val="336"/>
        </w:trPr>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COO</w:t>
            </w:r>
          </w:p>
        </w:tc>
      </w:tr>
      <w:tr>
        <w:trPr>
          <w:trHeight w:val="357"/>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LLC</w:t>
            </w:r>
          </w:p>
        </w:tc>
      </w:tr>
      <w:tr>
        <w:trPr>
          <w:trHeight w:val="346"/>
        </w:trPr>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w:t>
            </w:r>
          </w:p>
        </w:tc>
      </w:tr>
      <w:tr>
        <w:trPr>
          <w:trHeight w:val="174"/>
        </w:trPr>
        <w:tc>
          <w:tcPr>
            <w:tcW w:w="80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(Signature)</w:t>
            </w:r>
          </w:p>
        </w:tc>
      </w:tr>
      <w:tr>
        <w:trPr>
          <w:trHeight w:val="335"/>
        </w:trPr>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w:t>
            </w:r>
          </w:p>
        </w:tc>
      </w:tr>
      <w:tr>
        <w:trPr>
          <w:trHeight w:val="336"/>
        </w:trPr>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Executive Officer</w:t>
            </w:r>
          </w:p>
        </w:tc>
      </w:tr>
      <w:tr>
        <w:trPr>
          <w:trHeight w:val="357"/>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WISCONSIN ALUMNI RESEARCH FOUNDATION</w:t>
            </w:r>
          </w:p>
        </w:tc>
      </w:tr>
      <w:tr>
        <w:trPr>
          <w:trHeight w:val="346"/>
        </w:trPr>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Leigh Cagan</w:t>
            </w:r>
          </w:p>
        </w:tc>
      </w:tr>
      <w:tr>
        <w:trPr>
          <w:trHeight w:val="174"/>
        </w:trPr>
        <w:tc>
          <w:tcPr>
            <w:tcW w:w="80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(Signature)</w:t>
            </w:r>
          </w:p>
        </w:tc>
      </w:tr>
      <w:tr>
        <w:trPr>
          <w:trHeight w:val="335"/>
        </w:trPr>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Leigh Cagan</w:t>
            </w:r>
          </w:p>
        </w:tc>
      </w:tr>
      <w:tr>
        <w:trPr>
          <w:trHeight w:val="336"/>
        </w:trPr>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Technology Commercialization Officer</w:t>
            </w: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556" w:name="page557"/>
    <w:bookmarkEnd w:id="556"/>
    <w:p>
      <w:pPr>
        <w:jc w:val="right"/>
        <w:spacing w:after="0"/>
        <w:rPr>
          <w:sz w:val="20"/>
          <w:szCs w:val="20"/>
          <w:color w:val="auto"/>
        </w:rPr>
      </w:pPr>
      <w:r>
        <w:rPr>
          <w:rFonts w:ascii="Arial" w:cs="Arial" w:eastAsia="Arial" w:hAnsi="Arial"/>
          <w:sz w:val="17"/>
          <w:szCs w:val="17"/>
          <w:b w:val="1"/>
          <w:bCs w:val="1"/>
          <w:color w:val="auto"/>
        </w:rPr>
        <w:t>Exhibit 10.21</w:t>
      </w:r>
    </w:p>
    <w:p>
      <w:pPr>
        <w:spacing w:after="0" w:line="204" w:lineRule="exact"/>
        <w:rPr>
          <w:sz w:val="20"/>
          <w:szCs w:val="20"/>
          <w:color w:val="auto"/>
        </w:rPr>
      </w:pPr>
    </w:p>
    <w:p>
      <w:pPr>
        <w:jc w:val="center"/>
        <w:ind w:left="4700" w:right="60" w:hanging="4631"/>
        <w:spacing w:after="0" w:line="288" w:lineRule="auto"/>
        <w:tabs>
          <w:tab w:leader="none" w:pos="425" w:val="left"/>
        </w:tabs>
        <w:numPr>
          <w:ilvl w:val="0"/>
          <w:numId w:val="389"/>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AGREEMENT</w:t>
      </w:r>
    </w:p>
    <w:p>
      <w:pPr>
        <w:spacing w:after="0" w:line="184" w:lineRule="exact"/>
        <w:rPr>
          <w:sz w:val="20"/>
          <w:szCs w:val="20"/>
          <w:color w:val="auto"/>
        </w:rPr>
      </w:pPr>
    </w:p>
    <w:p>
      <w:pPr>
        <w:jc w:val="both"/>
        <w:ind w:firstLine="532"/>
        <w:spacing w:after="0" w:line="306" w:lineRule="auto"/>
        <w:rPr>
          <w:sz w:val="20"/>
          <w:szCs w:val="20"/>
          <w:color w:val="auto"/>
        </w:rPr>
      </w:pPr>
      <w:r>
        <w:rPr>
          <w:rFonts w:ascii="Arial" w:cs="Arial" w:eastAsia="Arial" w:hAnsi="Arial"/>
          <w:sz w:val="13"/>
          <w:szCs w:val="13"/>
          <w:color w:val="auto"/>
        </w:rPr>
        <w:t>This License Agreement (including any exhibits attached hereto, this “</w:t>
      </w:r>
      <w:r>
        <w:rPr>
          <w:rFonts w:ascii="Arial" w:cs="Arial" w:eastAsia="Arial" w:hAnsi="Arial"/>
          <w:sz w:val="13"/>
          <w:szCs w:val="13"/>
          <w:b w:val="1"/>
          <w:bCs w:val="1"/>
          <w:color w:val="auto"/>
        </w:rPr>
        <w:t>Agreement</w:t>
      </w:r>
      <w:r>
        <w:rPr>
          <w:rFonts w:ascii="Arial" w:cs="Arial" w:eastAsia="Arial" w:hAnsi="Arial"/>
          <w:sz w:val="13"/>
          <w:szCs w:val="13"/>
          <w:color w:val="auto"/>
        </w:rPr>
        <w:t>”) is made and is effective this 18th day of September, 2018 (the “</w:t>
      </w:r>
      <w:r>
        <w:rPr>
          <w:rFonts w:ascii="Arial" w:cs="Arial" w:eastAsia="Arial" w:hAnsi="Arial"/>
          <w:sz w:val="13"/>
          <w:szCs w:val="13"/>
          <w:b w:val="1"/>
          <w:bCs w:val="1"/>
          <w:color w:val="auto"/>
        </w:rPr>
        <w:t>Effective Date</w:t>
      </w:r>
      <w:r>
        <w:rPr>
          <w:rFonts w:ascii="Arial" w:cs="Arial" w:eastAsia="Arial" w:hAnsi="Arial"/>
          <w:sz w:val="13"/>
          <w:szCs w:val="13"/>
          <w:color w:val="auto"/>
        </w:rPr>
        <w:t>”) between Century Therapeutics, Inc., a Delaware corporation (“</w:t>
      </w:r>
      <w:r>
        <w:rPr>
          <w:rFonts w:ascii="Arial" w:cs="Arial" w:eastAsia="Arial" w:hAnsi="Arial"/>
          <w:sz w:val="13"/>
          <w:szCs w:val="13"/>
          <w:b w:val="1"/>
          <w:bCs w:val="1"/>
          <w:color w:val="auto"/>
        </w:rPr>
        <w:t>Century</w:t>
      </w:r>
      <w:r>
        <w:rPr>
          <w:rFonts w:ascii="Arial" w:cs="Arial" w:eastAsia="Arial" w:hAnsi="Arial"/>
          <w:sz w:val="13"/>
          <w:szCs w:val="13"/>
          <w:color w:val="auto"/>
        </w:rPr>
        <w:t>”) having an address at 52 West 21st Street, Suite 408, New York, NY 10010 USA and FUJIFILM Cellular Dynamics Inc., a Wisconsin corporation (“</w:t>
      </w:r>
      <w:r>
        <w:rPr>
          <w:rFonts w:ascii="Arial" w:cs="Arial" w:eastAsia="Arial" w:hAnsi="Arial"/>
          <w:sz w:val="13"/>
          <w:szCs w:val="13"/>
          <w:b w:val="1"/>
          <w:bCs w:val="1"/>
          <w:color w:val="auto"/>
        </w:rPr>
        <w:t>CDI</w:t>
      </w:r>
      <w:r>
        <w:rPr>
          <w:rFonts w:ascii="Arial" w:cs="Arial" w:eastAsia="Arial" w:hAnsi="Arial"/>
          <w:sz w:val="13"/>
          <w:szCs w:val="13"/>
          <w:color w:val="auto"/>
        </w:rPr>
        <w:t>”) having an address at 525 Science Drive Madison, WI 53711 USA. Century and CDI are each referred to as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referred to as the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is a biotechnology company interested in development and commercialization of cancer immunotherapy products based on T cells, NK cells, dendritic cells, and</w:t>
      </w:r>
      <w:r>
        <w:rPr>
          <w:rFonts w:ascii="Arial" w:cs="Arial" w:eastAsia="Arial" w:hAnsi="Arial"/>
          <w:sz w:val="14"/>
          <w:szCs w:val="14"/>
          <w:b w:val="1"/>
          <w:bCs w:val="1"/>
          <w:color w:val="auto"/>
        </w:rPr>
        <w:t xml:space="preserve"> </w:t>
      </w:r>
      <w:r>
        <w:rPr>
          <w:rFonts w:ascii="Arial" w:cs="Arial" w:eastAsia="Arial" w:hAnsi="Arial"/>
          <w:sz w:val="14"/>
          <w:szCs w:val="14"/>
          <w:color w:val="auto"/>
        </w:rPr>
        <w:t>macrophages derived from human iPSC (including TiPSC) exclusively manufactured by CDI;</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CDI possesses and controls certain patent rights and know-how related to (i) human iPSC exclusively manufactured by CDI (including TiPSC)-derived T cells, NK cells,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dendritic cells, and macrophages and (ii) Licensed Products (as defined below) exclusively manufactured by CDI, subject to the terms of </w:t>
      </w:r>
      <w:r>
        <w:rPr>
          <w:rFonts w:ascii="Arial" w:cs="Arial" w:eastAsia="Arial" w:hAnsi="Arial"/>
          <w:sz w:val="14"/>
          <w:szCs w:val="14"/>
          <w:u w:val="single" w:color="auto"/>
          <w:color w:val="auto"/>
        </w:rPr>
        <w:t>Section 3.7</w:t>
      </w:r>
      <w:r>
        <w:rPr>
          <w:rFonts w:ascii="Arial" w:cs="Arial" w:eastAsia="Arial" w:hAnsi="Arial"/>
          <w:sz w:val="14"/>
          <w:szCs w:val="14"/>
          <w:color w:val="auto"/>
        </w:rPr>
        <w:t xml:space="preserve"> below;</w:t>
      </w:r>
    </w:p>
    <w:p>
      <w:pPr>
        <w:spacing w:after="0" w:line="12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Century wishes to obtain, and CDI wishes to grant to Century, an exclusive, non-transferable license under the Licensed Technology (as defined below) for the research,</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and commercialization of the Licensed Products (as defined below) in the Territory (as defined below) within the Field (as defined below), with the right to grant sublicenses (through multiple tiers), in all cases subject to the terms and conditions of this Agreement;</w:t>
      </w:r>
    </w:p>
    <w:p>
      <w:pPr>
        <w:spacing w:after="0" w:line="13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CDI wishes to obtain, and Century wishes to grant to CDI, (i) an exclusive, non-transferable license under the Century Licensed Technology (as defined below)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research, development and commercialization of the Licensed Products outside the Territory within the Field, with the right to grant sublicenses (through multiple tiers), in all cases subject to the terms and conditions of this Agreement and (ii) a non-exclusive, non-transferable, worldwide sublicense under the Century Licensed Technology for the manufacture of the Licensed Products within the Field, with the right to grant sublicenses (through multiple tiers), in all cases subject to the terms and conditions of this Agreement;</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CDI and Century, intending to be legally bound, agree as follows:</w:t>
      </w:r>
    </w:p>
    <w:p>
      <w:pPr>
        <w:spacing w:after="0" w:line="184"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1</w:t>
      </w:r>
    </w:p>
    <w:p>
      <w:pPr>
        <w:spacing w:after="0" w:line="2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Definitions</w:t>
      </w:r>
    </w:p>
    <w:p>
      <w:pPr>
        <w:spacing w:after="0" w:line="171"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Abandoned Indication</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9.6.</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1.2 “</w:t>
      </w:r>
      <w:r>
        <w:rPr>
          <w:rFonts w:ascii="Arial" w:cs="Arial" w:eastAsia="Arial" w:hAnsi="Arial"/>
          <w:sz w:val="14"/>
          <w:szCs w:val="14"/>
          <w:b w:val="1"/>
          <w:bCs w:val="1"/>
          <w:color w:val="auto"/>
        </w:rPr>
        <w:t>Affiliate</w:t>
      </w:r>
      <w:r>
        <w:rPr>
          <w:rFonts w:ascii="Arial" w:cs="Arial" w:eastAsia="Arial" w:hAnsi="Arial"/>
          <w:sz w:val="14"/>
          <w:szCs w:val="14"/>
          <w:color w:val="auto"/>
        </w:rPr>
        <w:t xml:space="preserve">” means, with respect to a Party, any Person that controls, is controlled by, or is under common control with such Party. For purposes of this </w:t>
      </w:r>
      <w:r>
        <w:rPr>
          <w:rFonts w:ascii="Arial" w:cs="Arial" w:eastAsia="Arial" w:hAnsi="Arial"/>
          <w:sz w:val="14"/>
          <w:szCs w:val="14"/>
          <w:u w:val="single" w:color="auto"/>
          <w:color w:val="auto"/>
        </w:rPr>
        <w:t>Section 1.2</w:t>
      </w:r>
      <w:r>
        <w:rPr>
          <w:rFonts w:ascii="Arial" w:cs="Arial" w:eastAsia="Arial" w:hAnsi="Arial"/>
          <w:sz w:val="14"/>
          <w:szCs w:val="14"/>
          <w:color w:val="auto"/>
        </w:rPr>
        <w:t>, “control” shall refer to (a) in the case of a Person that is a corporate entity, direct or indirect ownership of more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59625"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57" w:name="page558"/>
    <w:bookmarkEnd w:id="557"/>
    <w:p>
      <w:pPr>
        <w:jc w:val="both"/>
        <w:spacing w:after="0" w:line="329" w:lineRule="auto"/>
        <w:rPr>
          <w:sz w:val="20"/>
          <w:szCs w:val="20"/>
          <w:color w:val="auto"/>
        </w:rPr>
      </w:pPr>
      <w:r>
        <w:rPr>
          <w:rFonts w:ascii="Arial" w:cs="Arial" w:eastAsia="Arial" w:hAnsi="Arial"/>
          <w:sz w:val="13"/>
          <w:szCs w:val="13"/>
          <w:color w:val="auto"/>
        </w:rPr>
        <w:t>than fifty percent (50%) of the stock or shares having the right to vote for the election of directors of such Person and (b) in the case of a Person that is not a corporate entity, the possession, directly or indirectly, of the power to direct, or cause the direction of, the management or policies of such Person, whether through the ownership of voting securities, by contract or otherwise.</w:t>
      </w:r>
    </w:p>
    <w:p>
      <w:pPr>
        <w:spacing w:after="0" w:line="104"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Bankruptcy Code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2.9(a)</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BLA</w:t>
      </w:r>
      <w:r>
        <w:rPr>
          <w:rFonts w:ascii="Arial" w:cs="Arial" w:eastAsia="Arial" w:hAnsi="Arial"/>
          <w:sz w:val="13"/>
          <w:szCs w:val="13"/>
          <w:color w:val="auto"/>
        </w:rPr>
        <w:t>” means a Biologics License Application as defined in the United States Federal Food, Drug, and Cosmetic Act and the regulations promulgated thereunder (21 C.F.R. §§</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314 et seq).</w:t>
      </w:r>
    </w:p>
    <w:p>
      <w:pPr>
        <w:spacing w:after="0" w:line="171" w:lineRule="exact"/>
        <w:rPr>
          <w:sz w:val="20"/>
          <w:szCs w:val="20"/>
          <w:color w:val="auto"/>
        </w:rPr>
      </w:pPr>
    </w:p>
    <w:p>
      <w:pPr>
        <w:ind w:left="520"/>
        <w:spacing w:after="0"/>
        <w:tabs>
          <w:tab w:leader="none" w:pos="90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Business Days</w:t>
      </w:r>
      <w:r>
        <w:rPr>
          <w:rFonts w:ascii="Arial" w:cs="Arial" w:eastAsia="Arial" w:hAnsi="Arial"/>
          <w:sz w:val="12"/>
          <w:szCs w:val="12"/>
          <w:color w:val="auto"/>
        </w:rPr>
        <w:t>” means a day that is not a Saturday, Sunday or a day on which banking institutions in Boston, Massachusetts or Wisconsin are authorized by Law to remain closed.</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1.6 “</w:t>
      </w:r>
      <w:r>
        <w:rPr>
          <w:rFonts w:ascii="Arial" w:cs="Arial" w:eastAsia="Arial" w:hAnsi="Arial"/>
          <w:sz w:val="14"/>
          <w:szCs w:val="14"/>
          <w:b w:val="1"/>
          <w:bCs w:val="1"/>
          <w:color w:val="auto"/>
        </w:rPr>
        <w:t>Calendar Year</w:t>
      </w:r>
      <w:r>
        <w:rPr>
          <w:rFonts w:ascii="Arial" w:cs="Arial" w:eastAsia="Arial" w:hAnsi="Arial"/>
          <w:sz w:val="14"/>
          <w:szCs w:val="14"/>
          <w:color w:val="auto"/>
        </w:rPr>
        <w:t xml:space="preserve">” means each successive period of twelve (12) months commencing on January 1 and ending on December 31;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first Calendar Year hereunder shall commence on the Effective Date and the final Calendar Year hereunder shall end on the effective date of termination or expiration of this Agreement.</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1.7 “</w:t>
      </w:r>
      <w:r>
        <w:rPr>
          <w:rFonts w:ascii="Arial" w:cs="Arial" w:eastAsia="Arial" w:hAnsi="Arial"/>
          <w:sz w:val="14"/>
          <w:szCs w:val="14"/>
          <w:b w:val="1"/>
          <w:bCs w:val="1"/>
          <w:color w:val="auto"/>
        </w:rPr>
        <w:t>Century Know-How</w:t>
      </w:r>
      <w:r>
        <w:rPr>
          <w:rFonts w:ascii="Arial" w:cs="Arial" w:eastAsia="Arial" w:hAnsi="Arial"/>
          <w:sz w:val="14"/>
          <w:szCs w:val="14"/>
          <w:color w:val="auto"/>
        </w:rPr>
        <w:t xml:space="preserve">” means all Know-How owned or Controlled by Century or its Affiliates, subject to </w:t>
      </w:r>
      <w:r>
        <w:rPr>
          <w:rFonts w:ascii="Arial" w:cs="Arial" w:eastAsia="Arial" w:hAnsi="Arial"/>
          <w:sz w:val="14"/>
          <w:szCs w:val="14"/>
          <w:u w:val="single" w:color="auto"/>
          <w:color w:val="auto"/>
        </w:rPr>
        <w:t>Section 10.3</w:t>
      </w:r>
      <w:r>
        <w:rPr>
          <w:rFonts w:ascii="Arial" w:cs="Arial" w:eastAsia="Arial" w:hAnsi="Arial"/>
          <w:sz w:val="14"/>
          <w:szCs w:val="14"/>
          <w:color w:val="auto"/>
        </w:rPr>
        <w:t>, (other than the Licensed Know-How) during the Term that is reasonably necessary to Exploit a Licensed Product.</w:t>
      </w:r>
    </w:p>
    <w:p>
      <w:pPr>
        <w:spacing w:after="0" w:line="123"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3"/>
          <w:szCs w:val="13"/>
          <w:color w:val="auto"/>
        </w:rPr>
        <w:t>1.8 “</w:t>
      </w:r>
      <w:r>
        <w:rPr>
          <w:rFonts w:ascii="Arial" w:cs="Arial" w:eastAsia="Arial" w:hAnsi="Arial"/>
          <w:sz w:val="13"/>
          <w:szCs w:val="13"/>
          <w:b w:val="1"/>
          <w:bCs w:val="1"/>
          <w:color w:val="auto"/>
        </w:rPr>
        <w:t>Century Licensed Technology</w:t>
      </w:r>
      <w:r>
        <w:rPr>
          <w:rFonts w:ascii="Arial" w:cs="Arial" w:eastAsia="Arial" w:hAnsi="Arial"/>
          <w:sz w:val="13"/>
          <w:szCs w:val="13"/>
          <w:color w:val="auto"/>
        </w:rPr>
        <w:t>” means Century Patent Rights and Century Know-How. For clarity, Century Licensed Technology includes (a) Improvements of the Licensed Technology owned or Controlled by Century or its Affiliates, (b) technologies of gene editing, targets &amp; binders and switches and any other technologies that are reasonably necessary to Exploit a Licensed Product and owned or Controlled by Century or its Affiliates, and (c) Know-How or Patent Rights owned or Controlled by Century that otherwise cover a Licensed Product.</w:t>
      </w:r>
    </w:p>
    <w:p>
      <w:pPr>
        <w:spacing w:after="0" w:line="119"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color w:val="auto"/>
        </w:rPr>
        <w:t>Century Patent Rights</w:t>
      </w:r>
      <w:r>
        <w:rPr>
          <w:rFonts w:ascii="Arial" w:cs="Arial" w:eastAsia="Arial" w:hAnsi="Arial"/>
          <w:sz w:val="14"/>
          <w:szCs w:val="14"/>
          <w:color w:val="auto"/>
        </w:rPr>
        <w:t xml:space="preserve">” means all Patent Rights owned or Controlled by Century or its Affiliates, subject to </w:t>
      </w:r>
      <w:r>
        <w:rPr>
          <w:rFonts w:ascii="Arial" w:cs="Arial" w:eastAsia="Arial" w:hAnsi="Arial"/>
          <w:sz w:val="14"/>
          <w:szCs w:val="14"/>
          <w:u w:val="single" w:color="auto"/>
          <w:color w:val="auto"/>
        </w:rPr>
        <w:t>Section 10.3</w:t>
      </w:r>
      <w:r>
        <w:rPr>
          <w:rFonts w:ascii="Arial" w:cs="Arial" w:eastAsia="Arial" w:hAnsi="Arial"/>
          <w:sz w:val="14"/>
          <w:szCs w:val="14"/>
          <w:color w:val="auto"/>
        </w:rPr>
        <w:t>, during the Term (other than the Licensed Patent Rights) that are reasonably necessary to Exploit a Licensed Product.</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1.10 “</w:t>
      </w:r>
      <w:r>
        <w:rPr>
          <w:rFonts w:ascii="Arial" w:cs="Arial" w:eastAsia="Arial" w:hAnsi="Arial"/>
          <w:sz w:val="14"/>
          <w:szCs w:val="14"/>
          <w:b w:val="1"/>
          <w:bCs w:val="1"/>
          <w:color w:val="auto"/>
        </w:rPr>
        <w:t>cGMP</w:t>
      </w:r>
      <w:r>
        <w:rPr>
          <w:rFonts w:ascii="Arial" w:cs="Arial" w:eastAsia="Arial" w:hAnsi="Arial"/>
          <w:sz w:val="14"/>
          <w:szCs w:val="14"/>
          <w:color w:val="auto"/>
        </w:rPr>
        <w:t>” means current good manufacturing practices as required by the FDA under provisions of 21 C.F.R. Parts 210 and 211 and all applicable FDA rules, regulations, orders and guidances, or as otherwise required by applicable Laws.</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color w:val="auto"/>
        </w:rPr>
        <w:t>Commercialize</w:t>
      </w:r>
      <w:r>
        <w:rPr>
          <w:rFonts w:ascii="Arial" w:cs="Arial" w:eastAsia="Arial" w:hAnsi="Arial"/>
          <w:sz w:val="14"/>
          <w:szCs w:val="14"/>
          <w:color w:val="auto"/>
        </w:rPr>
        <w:t>” means to engage in any and all activities directed to transporting, storing, marketing, detailing, promoting, distributing, importing, exporting, using, offering to sell or selling a product.</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color w:val="auto"/>
        </w:rPr>
        <w:t>Commercially Reasonable Best Efforts</w:t>
      </w:r>
      <w:r>
        <w:rPr>
          <w:rFonts w:ascii="Arial" w:cs="Arial" w:eastAsia="Arial" w:hAnsi="Arial"/>
          <w:sz w:val="14"/>
          <w:szCs w:val="14"/>
          <w:color w:val="auto"/>
        </w:rPr>
        <w:t>” means efforts consistent with the efforts and resources as commonly used by a pharmaceutical or biotechnology company, as applicable, of comparable size and resources of such Party for a product at a similar stage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59625"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558" w:name="page559"/>
    <w:bookmarkEnd w:id="558"/>
    <w:p>
      <w:pPr>
        <w:jc w:val="both"/>
        <w:spacing w:after="0" w:line="267" w:lineRule="auto"/>
        <w:rPr>
          <w:sz w:val="20"/>
          <w:szCs w:val="20"/>
          <w:color w:val="auto"/>
        </w:rPr>
      </w:pPr>
      <w:r>
        <w:rPr>
          <w:rFonts w:ascii="Arial" w:cs="Arial" w:eastAsia="Arial" w:hAnsi="Arial"/>
          <w:sz w:val="14"/>
          <w:szCs w:val="14"/>
          <w:color w:val="auto"/>
        </w:rPr>
        <w:t>research, development or commercialization having similar product characteristics at a similar stage in its development or product life, taking into account relevant factors including patent coverage, relative safety and efficacy, product profile, the competitiveness of the marketplace, the proprietary position of such product, the regulatory structure involved, the market potential of such product and other relevant factors, including comparative technical, legal, scientific, medical and/or economic factors, all as measured by the facts and circumstances in effect at the time when the relevant activities are conducted.</w:t>
      </w:r>
    </w:p>
    <w:p>
      <w:pPr>
        <w:spacing w:after="0" w:line="14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color w:val="auto"/>
        </w:rPr>
        <w:t>1.13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any confidential or proprietary information furnished by one Party (or its Affiliate) to the other Party (or its Affiliate) in connection with this Agreement, whether during the Term or prior to the execution hereof as expressly specified below, provided that such information is (a) specifically designated as confidential at the time of disclosure or confirmed as confidential within ten (10) days of disclosure or (b) reasonably identifiable by an individual familiar with the industry as confidential or proprietary. Without limiting the generality of the foregoing, Confidential Information includes:</w:t>
      </w:r>
    </w:p>
    <w:p>
      <w:pPr>
        <w:spacing w:after="0" w:line="145" w:lineRule="exact"/>
        <w:rPr>
          <w:sz w:val="20"/>
          <w:szCs w:val="20"/>
          <w:color w:val="auto"/>
        </w:rPr>
      </w:pPr>
    </w:p>
    <w:p>
      <w:pPr>
        <w:ind w:left="1400" w:hanging="358"/>
        <w:spacing w:after="0"/>
        <w:tabs>
          <w:tab w:leader="none" w:pos="140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 xml:space="preserve">non-public information disclosed by Century to CDI in reports submitted by Century to CDI pursuant to </w:t>
      </w:r>
      <w:r>
        <w:rPr>
          <w:rFonts w:ascii="Arial" w:cs="Arial" w:eastAsia="Arial" w:hAnsi="Arial"/>
          <w:sz w:val="14"/>
          <w:szCs w:val="14"/>
          <w:u w:val="single" w:color="auto"/>
          <w:color w:val="auto"/>
        </w:rPr>
        <w:t>Section 3.5</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400" w:hanging="358"/>
        <w:spacing w:after="0"/>
        <w:tabs>
          <w:tab w:leader="none" w:pos="140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non-public information disclosed by Century to CDI relating to patent application prosecution files for the Licensed Patent Rights;</w:t>
      </w:r>
    </w:p>
    <w:p>
      <w:pPr>
        <w:spacing w:after="0" w:line="184" w:lineRule="exact"/>
        <w:rPr>
          <w:rFonts w:ascii="Arial" w:cs="Arial" w:eastAsia="Arial" w:hAnsi="Arial"/>
          <w:sz w:val="14"/>
          <w:szCs w:val="14"/>
          <w:color w:val="auto"/>
        </w:rPr>
      </w:pPr>
    </w:p>
    <w:p>
      <w:pPr>
        <w:jc w:val="both"/>
        <w:ind w:firstLine="1042"/>
        <w:spacing w:after="0" w:line="273" w:lineRule="auto"/>
        <w:tabs>
          <w:tab w:leader="none" w:pos="1397" w:val="left"/>
        </w:tabs>
        <w:numPr>
          <w:ilvl w:val="0"/>
          <w:numId w:val="390"/>
        </w:numPr>
        <w:rPr>
          <w:rFonts w:ascii="Arial" w:cs="Arial" w:eastAsia="Arial" w:hAnsi="Arial"/>
          <w:sz w:val="14"/>
          <w:szCs w:val="14"/>
          <w:color w:val="auto"/>
        </w:rPr>
      </w:pPr>
      <w:r>
        <w:rPr>
          <w:rFonts w:ascii="Arial" w:cs="Arial" w:eastAsia="Arial" w:hAnsi="Arial"/>
          <w:sz w:val="14"/>
          <w:szCs w:val="14"/>
          <w:color w:val="auto"/>
        </w:rPr>
        <w:t>any information that constitutes “Confidential Information” under that certain Mutual Non-disclosure Agreement, dated February 14, 2018, by and between CDI, Fujifilm and Versant Venture Management, LLC (“</w:t>
      </w:r>
      <w:r>
        <w:rPr>
          <w:rFonts w:ascii="Arial" w:cs="Arial" w:eastAsia="Arial" w:hAnsi="Arial"/>
          <w:sz w:val="14"/>
          <w:szCs w:val="14"/>
          <w:b w:val="1"/>
          <w:bCs w:val="1"/>
          <w:color w:val="auto"/>
        </w:rPr>
        <w:t>Versant</w:t>
      </w:r>
      <w:r>
        <w:rPr>
          <w:rFonts w:ascii="Arial" w:cs="Arial" w:eastAsia="Arial" w:hAnsi="Arial"/>
          <w:sz w:val="14"/>
          <w:szCs w:val="14"/>
          <w:color w:val="auto"/>
        </w:rPr>
        <w:t>”) (which for purposes of this Agreement, any “Confidential Information” of Versant shall be considered the Confidential Information of Century hereunder); and</w:t>
      </w:r>
    </w:p>
    <w:p>
      <w:pPr>
        <w:spacing w:after="0" w:line="141" w:lineRule="exact"/>
        <w:rPr>
          <w:rFonts w:ascii="Arial" w:cs="Arial" w:eastAsia="Arial" w:hAnsi="Arial"/>
          <w:sz w:val="14"/>
          <w:szCs w:val="14"/>
          <w:color w:val="auto"/>
        </w:rPr>
      </w:pPr>
    </w:p>
    <w:p>
      <w:pPr>
        <w:ind w:left="1400" w:hanging="358"/>
        <w:spacing w:after="0"/>
        <w:tabs>
          <w:tab w:leader="none" w:pos="140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the terms of this Agreement.</w:t>
      </w:r>
    </w:p>
    <w:p>
      <w:pPr>
        <w:spacing w:after="0" w:line="18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Controlled</w:t>
      </w:r>
      <w:r>
        <w:rPr>
          <w:rFonts w:ascii="Arial" w:cs="Arial" w:eastAsia="Arial" w:hAnsi="Arial"/>
          <w:sz w:val="14"/>
          <w:szCs w:val="14"/>
          <w:color w:val="auto"/>
        </w:rPr>
        <w:t xml:space="preserve">” means, with respect to Patent Rights or Know-How as such relates to a Party, that such Party owns or has a license or sublicense to such Patent Rights or Know-How and has the legal right to grant a license or sublicense, including having received any necessary Third Party consents, to such Patent Rights or Know-How to the other Party as provided for in this Agreement, or has the ability to assign its right, title and interest in and to such Patent Rights or Know-How to the other Party, without violating the terms of any agreement or other arrangement with any Third Party. Notwithstanding the foregoing, with respect to any Patent Right or Know-How acquired or in-licensed for which a Party would be required to make payments to any Third Party in connection with the license or access granted to the other Party under this Agreement, such Patent Right or Know-How will only be treated as “Controlled” by the licensing Party pursuant to the terms of </w:t>
      </w:r>
      <w:r>
        <w:rPr>
          <w:rFonts w:ascii="Arial" w:cs="Arial" w:eastAsia="Arial" w:hAnsi="Arial"/>
          <w:sz w:val="14"/>
          <w:szCs w:val="14"/>
          <w:u w:val="single" w:color="auto"/>
          <w:color w:val="auto"/>
        </w:rPr>
        <w:t>Section 2.3</w:t>
      </w:r>
      <w:r>
        <w:rPr>
          <w:rFonts w:ascii="Arial" w:cs="Arial" w:eastAsia="Arial" w:hAnsi="Arial"/>
          <w:sz w:val="14"/>
          <w:szCs w:val="14"/>
          <w:color w:val="auto"/>
        </w:rPr>
        <w:t>.</w:t>
      </w:r>
    </w:p>
    <w:p>
      <w:pPr>
        <w:spacing w:after="0" w:line="146" w:lineRule="exact"/>
        <w:rPr>
          <w:sz w:val="20"/>
          <w:szCs w:val="20"/>
          <w:color w:val="auto"/>
        </w:rPr>
      </w:pPr>
    </w:p>
    <w:p>
      <w:pPr>
        <w:jc w:val="both"/>
        <w:ind w:firstLine="518"/>
        <w:spacing w:after="0" w:line="336" w:lineRule="auto"/>
        <w:rPr>
          <w:sz w:val="20"/>
          <w:szCs w:val="20"/>
          <w:color w:val="auto"/>
        </w:rPr>
      </w:pPr>
      <w:r>
        <w:rPr>
          <w:rFonts w:ascii="Arial" w:cs="Arial" w:eastAsia="Arial" w:hAnsi="Arial"/>
          <w:sz w:val="13"/>
          <w:szCs w:val="13"/>
          <w:color w:val="auto"/>
        </w:rPr>
        <w:t>1.15 “</w:t>
      </w:r>
      <w:r>
        <w:rPr>
          <w:rFonts w:ascii="Arial" w:cs="Arial" w:eastAsia="Arial" w:hAnsi="Arial"/>
          <w:sz w:val="13"/>
          <w:szCs w:val="13"/>
          <w:b w:val="1"/>
          <w:bCs w:val="1"/>
          <w:color w:val="auto"/>
        </w:rPr>
        <w:t>Development</w:t>
      </w:r>
      <w:r>
        <w:rPr>
          <w:rFonts w:ascii="Arial" w:cs="Arial" w:eastAsia="Arial" w:hAnsi="Arial"/>
          <w:sz w:val="13"/>
          <w:szCs w:val="13"/>
          <w:color w:val="auto"/>
        </w:rPr>
        <w:t>” and “</w:t>
      </w:r>
      <w:r>
        <w:rPr>
          <w:rFonts w:ascii="Arial" w:cs="Arial" w:eastAsia="Arial" w:hAnsi="Arial"/>
          <w:sz w:val="13"/>
          <w:szCs w:val="13"/>
          <w:b w:val="1"/>
          <w:bCs w:val="1"/>
          <w:color w:val="auto"/>
        </w:rPr>
        <w:t>Developments</w:t>
      </w:r>
      <w:r>
        <w:rPr>
          <w:rFonts w:ascii="Arial" w:cs="Arial" w:eastAsia="Arial" w:hAnsi="Arial"/>
          <w:sz w:val="13"/>
          <w:szCs w:val="13"/>
          <w:color w:val="auto"/>
        </w:rPr>
        <w:t>” means (i) Derivative Materials; (ii) any inventions, discoveries or developments, whether patentable, that are conceived of, reduced to practice, discovered, tested or developed through the use of the inventions of WARF Patent Rights, Reprogrammed iPS Cells or Derivative Materials; and (iii) any compositions, products or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59625"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559" w:name="page560"/>
    <w:bookmarkEnd w:id="559"/>
    <w:p>
      <w:pPr>
        <w:spacing w:after="0"/>
        <w:rPr>
          <w:sz w:val="20"/>
          <w:szCs w:val="20"/>
          <w:color w:val="auto"/>
        </w:rPr>
      </w:pPr>
      <w:r>
        <w:rPr>
          <w:rFonts w:ascii="Arial" w:cs="Arial" w:eastAsia="Arial" w:hAnsi="Arial"/>
          <w:sz w:val="14"/>
          <w:szCs w:val="14"/>
          <w:color w:val="auto"/>
        </w:rPr>
        <w:t>other materials in which the Reprogrammed iPS Cells or Derivative Materials were used in any way in their discovery or testing.</w:t>
      </w:r>
    </w:p>
    <w:p>
      <w:pPr>
        <w:spacing w:after="0" w:line="180"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1.16 “</w:t>
      </w:r>
      <w:r>
        <w:rPr>
          <w:rFonts w:ascii="Arial" w:cs="Arial" w:eastAsia="Arial" w:hAnsi="Arial"/>
          <w:sz w:val="14"/>
          <w:szCs w:val="14"/>
          <w:b w:val="1"/>
          <w:bCs w:val="1"/>
          <w:color w:val="auto"/>
        </w:rPr>
        <w:t>European Union</w:t>
      </w:r>
      <w:r>
        <w:rPr>
          <w:rFonts w:ascii="Arial" w:cs="Arial" w:eastAsia="Arial" w:hAnsi="Arial"/>
          <w:sz w:val="14"/>
          <w:szCs w:val="14"/>
          <w:color w:val="auto"/>
        </w:rPr>
        <w:t>” or “</w:t>
      </w:r>
      <w:r>
        <w:rPr>
          <w:rFonts w:ascii="Arial" w:cs="Arial" w:eastAsia="Arial" w:hAnsi="Arial"/>
          <w:sz w:val="14"/>
          <w:szCs w:val="14"/>
          <w:b w:val="1"/>
          <w:bCs w:val="1"/>
          <w:color w:val="auto"/>
        </w:rPr>
        <w:t>E.U.</w:t>
      </w:r>
      <w:r>
        <w:rPr>
          <w:rFonts w:ascii="Arial" w:cs="Arial" w:eastAsia="Arial" w:hAnsi="Arial"/>
          <w:sz w:val="14"/>
          <w:szCs w:val="14"/>
          <w:color w:val="auto"/>
        </w:rPr>
        <w:t>” means the economic, scientific, and political organization of member states known as the European Union, as its membership may be altered from time to time, and any successor thereto, and includes, for purposes of this Agreement, Great Britain (whether Great Britain is a member of the E.U. or not).</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1.17 “</w:t>
      </w:r>
      <w:r>
        <w:rPr>
          <w:rFonts w:ascii="Arial" w:cs="Arial" w:eastAsia="Arial" w:hAnsi="Arial"/>
          <w:sz w:val="14"/>
          <w:szCs w:val="14"/>
          <w:b w:val="1"/>
          <w:bCs w:val="1"/>
          <w:color w:val="auto"/>
        </w:rPr>
        <w:t>Exploit</w:t>
      </w:r>
      <w:r>
        <w:rPr>
          <w:rFonts w:ascii="Arial" w:cs="Arial" w:eastAsia="Arial" w:hAnsi="Arial"/>
          <w:sz w:val="14"/>
          <w:szCs w:val="14"/>
          <w:color w:val="auto"/>
        </w:rPr>
        <w:t>” or “</w:t>
      </w:r>
      <w:r>
        <w:rPr>
          <w:rFonts w:ascii="Arial" w:cs="Arial" w:eastAsia="Arial" w:hAnsi="Arial"/>
          <w:sz w:val="14"/>
          <w:szCs w:val="14"/>
          <w:b w:val="1"/>
          <w:bCs w:val="1"/>
          <w:color w:val="auto"/>
        </w:rPr>
        <w:t>Exploitation</w:t>
      </w:r>
      <w:r>
        <w:rPr>
          <w:rFonts w:ascii="Arial" w:cs="Arial" w:eastAsia="Arial" w:hAnsi="Arial"/>
          <w:sz w:val="14"/>
          <w:szCs w:val="14"/>
          <w:color w:val="auto"/>
        </w:rPr>
        <w:t>” means, with respect to a particular Licensed Product, to use, have used, manufacture, have manufactured, sell, have sold, offer for sale, have offered for sale, import, have imported, export and have exported, including to research, develop, commercialize or otherwise exploit such Licensed Product.</w:t>
      </w:r>
    </w:p>
    <w:p>
      <w:pPr>
        <w:spacing w:after="0" w:line="123"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FDA</w:t>
      </w:r>
      <w:r>
        <w:rPr>
          <w:rFonts w:ascii="Arial" w:cs="Arial" w:eastAsia="Arial" w:hAnsi="Arial"/>
          <w:sz w:val="13"/>
          <w:szCs w:val="13"/>
          <w:color w:val="auto"/>
        </w:rPr>
        <w:t>” means the United States Food and Drug Administration and any successor agency thereto.</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Field</w:t>
      </w:r>
      <w:r>
        <w:rPr>
          <w:rFonts w:ascii="Arial" w:cs="Arial" w:eastAsia="Arial" w:hAnsi="Arial"/>
          <w:sz w:val="12"/>
          <w:szCs w:val="12"/>
          <w:color w:val="auto"/>
        </w:rPr>
        <w:t>” means any cancer immunotherapy use.</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Fujifilm</w:t>
      </w:r>
      <w:r>
        <w:rPr>
          <w:rFonts w:ascii="Arial" w:cs="Arial" w:eastAsia="Arial" w:hAnsi="Arial"/>
          <w:sz w:val="13"/>
          <w:szCs w:val="13"/>
          <w:color w:val="auto"/>
        </w:rPr>
        <w:t>” means Fujifilm Corporation.</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ICC</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10.11(b)</w:t>
      </w:r>
      <w:r>
        <w:rPr>
          <w:rFonts w:ascii="Arial" w:cs="Arial" w:eastAsia="Arial" w:hAnsi="Arial"/>
          <w:sz w:val="13"/>
          <w:szCs w:val="13"/>
          <w:color w:val="auto"/>
        </w:rPr>
        <w:t>.</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1.22 “</w:t>
      </w:r>
      <w:r>
        <w:rPr>
          <w:rFonts w:ascii="Arial" w:cs="Arial" w:eastAsia="Arial" w:hAnsi="Arial"/>
          <w:sz w:val="14"/>
          <w:szCs w:val="14"/>
          <w:b w:val="1"/>
          <w:bCs w:val="1"/>
          <w:color w:val="auto"/>
        </w:rPr>
        <w:t>Improvements</w:t>
      </w:r>
      <w:r>
        <w:rPr>
          <w:rFonts w:ascii="Arial" w:cs="Arial" w:eastAsia="Arial" w:hAnsi="Arial"/>
          <w:sz w:val="14"/>
          <w:szCs w:val="14"/>
          <w:color w:val="auto"/>
        </w:rPr>
        <w:t>” means any Intellectual Property that is an improvement to then- existing Licensed Technology and is developed by either Party or Third Parties acting on their behalf while performing activities under this Agreement, and all intellectual property rights (including Patent Rights) thereto.</w:t>
      </w:r>
    </w:p>
    <w:p>
      <w:pPr>
        <w:spacing w:after="0" w:line="123"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w:t>
      </w:r>
      <w:r>
        <w:rPr>
          <w:rFonts w:ascii="Arial" w:cs="Arial" w:eastAsia="Arial" w:hAnsi="Arial"/>
          <w:sz w:val="13"/>
          <w:szCs w:val="13"/>
          <w:color w:val="auto"/>
        </w:rPr>
        <w:t>” means an investigational new drug application with the FDA, or the equivalent application in any foreign jurisdiction filed with another Regulatory Authority.</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1.26 “</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ideas, concepts, discoveries, inventions, developments, Know-How, trade secrets, techniques, methodologies, modifications, innovations, improvements, writings, documentation, electronic code,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w:t>
      </w:r>
    </w:p>
    <w:p>
      <w:pPr>
        <w:spacing w:after="0" w:line="13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color w:val="auto"/>
        </w:rPr>
        <w:t>1.27 “</w:t>
      </w:r>
      <w:r>
        <w:rPr>
          <w:rFonts w:ascii="Arial" w:cs="Arial" w:eastAsia="Arial" w:hAnsi="Arial"/>
          <w:sz w:val="14"/>
          <w:szCs w:val="14"/>
          <w:b w:val="1"/>
          <w:bCs w:val="1"/>
          <w:color w:val="auto"/>
        </w:rPr>
        <w:t>Know-How</w:t>
      </w:r>
      <w:r>
        <w:rPr>
          <w:rFonts w:ascii="Arial" w:cs="Arial" w:eastAsia="Arial" w:hAnsi="Arial"/>
          <w:sz w:val="14"/>
          <w:szCs w:val="14"/>
          <w:color w:val="auto"/>
        </w:rPr>
        <w:t>” means any and all commercial, technical, regulatory, scientific and other know-how and information, knowledge, technology, materials (including biological and chemical materials), methods, processes, practices, standard operating procedures, formulae, instructions, skills, techniques, procedures, assay protocols, experiences, ideas, technical assistance, designs, drawings, assembly procedures, specifications, regulatory filings, data and results (including biological, chemical, pharmacological, toxicological, pharmaceutical, physical and analytical, pre-clinical, clinical, safety, regulatory, manufacturing and quality control data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59625"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560" w:name="page561"/>
    <w:bookmarkEnd w:id="560"/>
    <w:p>
      <w:pPr>
        <w:spacing w:after="0"/>
        <w:rPr>
          <w:sz w:val="20"/>
          <w:szCs w:val="20"/>
          <w:color w:val="auto"/>
        </w:rPr>
      </w:pPr>
      <w:r>
        <w:rPr>
          <w:rFonts w:ascii="Arial" w:cs="Arial" w:eastAsia="Arial" w:hAnsi="Arial"/>
          <w:sz w:val="14"/>
          <w:szCs w:val="14"/>
          <w:color w:val="auto"/>
        </w:rPr>
        <w:t>and know-how, including study designs and protocols), whether or not confidential, proprietary or patentable, in written, electronic or any other form.</w:t>
      </w:r>
    </w:p>
    <w:p>
      <w:pPr>
        <w:spacing w:after="0" w:line="180"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means all laws, statutes, rules, codes, regulations, orders, judgments or ordinances applicable to a Party, this Agreement or the activities contemplated hereunder.</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1.29 “</w:t>
      </w:r>
      <w:r>
        <w:rPr>
          <w:rFonts w:ascii="Arial" w:cs="Arial" w:eastAsia="Arial" w:hAnsi="Arial"/>
          <w:sz w:val="14"/>
          <w:szCs w:val="14"/>
          <w:b w:val="1"/>
          <w:bCs w:val="1"/>
          <w:color w:val="auto"/>
        </w:rPr>
        <w:t>Licensed Know-How</w:t>
      </w:r>
      <w:r>
        <w:rPr>
          <w:rFonts w:ascii="Arial" w:cs="Arial" w:eastAsia="Arial" w:hAnsi="Arial"/>
          <w:sz w:val="14"/>
          <w:szCs w:val="14"/>
          <w:color w:val="auto"/>
        </w:rPr>
        <w:t>” means all Know-How that is Owned or Controlled by CDI as of the Effective Date or during the Term that is reasonably necessary to Exploit a Licensed Product, including, without limitation, any Know-How set forth on Exhibit A. For clarity, Licensed Know-How shall not include any Know-How related to the reprogramming of human somatic cells to iPSCs.</w:t>
      </w:r>
    </w:p>
    <w:p>
      <w:pPr>
        <w:spacing w:after="0" w:line="13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1.30 “</w:t>
      </w:r>
      <w:r>
        <w:rPr>
          <w:rFonts w:ascii="Arial" w:cs="Arial" w:eastAsia="Arial" w:hAnsi="Arial"/>
          <w:sz w:val="14"/>
          <w:szCs w:val="14"/>
          <w:b w:val="1"/>
          <w:bCs w:val="1"/>
          <w:color w:val="auto"/>
        </w:rPr>
        <w:t>Licensed Patent Rights</w:t>
      </w:r>
      <w:r>
        <w:rPr>
          <w:rFonts w:ascii="Arial" w:cs="Arial" w:eastAsia="Arial" w:hAnsi="Arial"/>
          <w:sz w:val="14"/>
          <w:szCs w:val="14"/>
          <w:color w:val="auto"/>
        </w:rPr>
        <w:t>” means the Patent Rights Owned or Controlled by CDI as of the Effective Date or during the Term that are reasonably necessary to Exploit a Licensed Product, including, without limitation, any Patent Rights listed on Exhibit B. For clarity, Licensed Patent Rights shall not include any Patent Rights that are licensed to Century by CDI pursuant to the Reprogramming License.</w:t>
      </w:r>
    </w:p>
    <w:p>
      <w:pPr>
        <w:spacing w:after="0" w:line="13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1.31 “</w:t>
      </w:r>
      <w:r>
        <w:rPr>
          <w:rFonts w:ascii="Arial" w:cs="Arial" w:eastAsia="Arial" w:hAnsi="Arial"/>
          <w:sz w:val="14"/>
          <w:szCs w:val="14"/>
          <w:b w:val="1"/>
          <w:bCs w:val="1"/>
          <w:color w:val="auto"/>
        </w:rPr>
        <w:t>Licensed Product</w:t>
      </w:r>
      <w:r>
        <w:rPr>
          <w:rFonts w:ascii="Arial" w:cs="Arial" w:eastAsia="Arial" w:hAnsi="Arial"/>
          <w:sz w:val="14"/>
          <w:szCs w:val="14"/>
          <w:color w:val="auto"/>
        </w:rPr>
        <w:t>” means cancer immunotherapy products (for the treatment of cancer in humans) consisting of cells that are or are modifications of T cells, NK cells, dendritic cells, and macrophages derived from human iPSC (including TiPSC) exclusively manufactured by CDI. For the sake of clarity, such “modifications” exclude materials or substances extracted, isolated from, or secreted by, such modified or unmodified cells.</w:t>
      </w:r>
    </w:p>
    <w:p>
      <w:pPr>
        <w:spacing w:after="0" w:line="135"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b w:val="1"/>
          <w:bCs w:val="1"/>
          <w:color w:val="auto"/>
        </w:rPr>
        <w:t>Licensed Technology</w:t>
      </w:r>
      <w:r>
        <w:rPr>
          <w:rFonts w:ascii="Arial" w:cs="Arial" w:eastAsia="Arial" w:hAnsi="Arial"/>
          <w:sz w:val="14"/>
          <w:szCs w:val="14"/>
          <w:color w:val="auto"/>
        </w:rPr>
        <w:t>” means Licensed Patent Rights and Licensed Know-How. For clarity, Licensed Technology includes Improvements of the Century Technology Owned or Controlled by CDI.</w:t>
      </w:r>
    </w:p>
    <w:p>
      <w:pPr>
        <w:spacing w:after="0" w:line="123" w:lineRule="exact"/>
        <w:rPr>
          <w:sz w:val="20"/>
          <w:szCs w:val="20"/>
          <w:color w:val="auto"/>
        </w:rPr>
      </w:pPr>
    </w:p>
    <w:p>
      <w:pPr>
        <w:jc w:val="both"/>
        <w:ind w:firstLine="518"/>
        <w:spacing w:after="0" w:line="336" w:lineRule="auto"/>
        <w:rPr>
          <w:sz w:val="20"/>
          <w:szCs w:val="20"/>
          <w:color w:val="auto"/>
        </w:rPr>
      </w:pPr>
      <w:r>
        <w:rPr>
          <w:rFonts w:ascii="Arial" w:cs="Arial" w:eastAsia="Arial" w:hAnsi="Arial"/>
          <w:sz w:val="13"/>
          <w:szCs w:val="13"/>
          <w:color w:val="auto"/>
        </w:rPr>
        <w:t>1.33 “</w:t>
      </w:r>
      <w:r>
        <w:rPr>
          <w:rFonts w:ascii="Arial" w:cs="Arial" w:eastAsia="Arial" w:hAnsi="Arial"/>
          <w:sz w:val="13"/>
          <w:szCs w:val="13"/>
          <w:b w:val="1"/>
          <w:bCs w:val="1"/>
          <w:color w:val="auto"/>
        </w:rPr>
        <w:t>Non-Supply Event</w:t>
      </w:r>
      <w:r>
        <w:rPr>
          <w:rFonts w:ascii="Arial" w:cs="Arial" w:eastAsia="Arial" w:hAnsi="Arial"/>
          <w:sz w:val="13"/>
          <w:szCs w:val="13"/>
          <w:color w:val="auto"/>
        </w:rPr>
        <w:t>” means CDI or its Affiliate (i) does not supply at least [***] of the Licensed Products ordered by Century, its Affiliates and Sublicensees in accordance with the Supply Agreement and the finalized Development Plan or (ii) provides Century with written notice of its election not to manufacture or have manufactured the Licensed Products.</w:t>
      </w:r>
    </w:p>
    <w:p>
      <w:pPr>
        <w:spacing w:after="0" w:line="99"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b w:val="1"/>
          <w:bCs w:val="1"/>
          <w:color w:val="auto"/>
        </w:rPr>
        <w:t>Owned</w:t>
      </w:r>
      <w:r>
        <w:rPr>
          <w:rFonts w:ascii="Arial" w:cs="Arial" w:eastAsia="Arial" w:hAnsi="Arial"/>
          <w:sz w:val="14"/>
          <w:szCs w:val="14"/>
          <w:color w:val="auto"/>
        </w:rPr>
        <w:t>” means, with respect to Patent Rights or Know-How that a Person owns, solely or jointly, in each case with the ability to grant a right, license, or access to such material, information or Intellectual Property right to another Person on the terms and conditions set forth herein, without violating the terms of any agreement or other arrangement with any of such Person’s Affiliates and/or Third Party(ies). “Ownership” has the correlative meaning.</w:t>
      </w:r>
    </w:p>
    <w:p>
      <w:pPr>
        <w:spacing w:after="0" w:line="135"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4"/>
          <w:szCs w:val="14"/>
          <w:color w:val="auto"/>
        </w:rPr>
        <w:t>1.35 “</w:t>
      </w:r>
      <w:r>
        <w:rPr>
          <w:rFonts w:ascii="Arial" w:cs="Arial" w:eastAsia="Arial" w:hAnsi="Arial"/>
          <w:sz w:val="14"/>
          <w:szCs w:val="14"/>
          <w:b w:val="1"/>
          <w:bCs w:val="1"/>
          <w:color w:val="auto"/>
        </w:rPr>
        <w:t>Patent Rights</w:t>
      </w:r>
      <w:r>
        <w:rPr>
          <w:rFonts w:ascii="Arial" w:cs="Arial" w:eastAsia="Arial" w:hAnsi="Arial"/>
          <w:sz w:val="14"/>
          <w:szCs w:val="14"/>
          <w:color w:val="auto"/>
        </w:rPr>
        <w:t>” means with respect to any patents or patent applications, (a) such patents or patent applications; (b) patents issuing from such patent applications; (c) substitutions, divisionals, renewals, continuations or continuations-in-part (only to the extent of claims that are entitled to the priority date of the parent application); (d) patents of addition, restorations, extensions, supplementary protection certificates, registration or confirmation patents, patents resulting from post-grant proceedings, re-issues and re-examinations; (e) other patents or patent applications claiming and entitled to claim priority to (i) such patents and patent applications specified in (a), (b), (c) or (d) or (ii) any patent or patent application from which such patents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59625"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561" w:name="page562"/>
    <w:bookmarkEnd w:id="561"/>
    <w:p>
      <w:pPr>
        <w:jc w:val="both"/>
        <w:spacing w:after="0" w:line="288" w:lineRule="auto"/>
        <w:rPr>
          <w:sz w:val="20"/>
          <w:szCs w:val="20"/>
          <w:color w:val="auto"/>
        </w:rPr>
      </w:pPr>
      <w:r>
        <w:rPr>
          <w:rFonts w:ascii="Arial" w:cs="Arial" w:eastAsia="Arial" w:hAnsi="Arial"/>
          <w:sz w:val="14"/>
          <w:szCs w:val="14"/>
          <w:color w:val="auto"/>
        </w:rPr>
        <w:t>patent applications specified in (a), (b), (c) or (d) claims and is entitled to claim priority; (f) all rights of priority attendant to such listed in (a) through (e); and (g) in each case of such patents and patent applications described in (a) through (e), including all counterparts and foreign equivalents thereof filed in any country, territory or jurisdiction in the world.</w:t>
      </w:r>
    </w:p>
    <w:p>
      <w:pPr>
        <w:spacing w:after="0" w:line="128"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1.36 “</w:t>
      </w:r>
      <w:r>
        <w:rPr>
          <w:rFonts w:ascii="Arial" w:cs="Arial" w:eastAsia="Arial" w:hAnsi="Arial"/>
          <w:sz w:val="14"/>
          <w:szCs w:val="14"/>
          <w:b w:val="1"/>
          <w:bCs w:val="1"/>
          <w:color w:val="auto"/>
        </w:rPr>
        <w:t>Person</w:t>
      </w:r>
      <w:r>
        <w:rPr>
          <w:rFonts w:ascii="Arial" w:cs="Arial" w:eastAsia="Arial" w:hAnsi="Arial"/>
          <w:sz w:val="14"/>
          <w:szCs w:val="14"/>
          <w:color w:val="auto"/>
        </w:rPr>
        <w:t>” means any natural person or any corporation, company, partnership, joint venture, firm or other entity, including a Party, or any government or agency or political subdivision thereof.</w:t>
      </w:r>
    </w:p>
    <w:p>
      <w:pPr>
        <w:spacing w:after="0" w:line="123"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3"/>
          <w:szCs w:val="13"/>
          <w:color w:val="auto"/>
        </w:rPr>
        <w:t>1.37 “</w:t>
      </w:r>
      <w:r>
        <w:rPr>
          <w:rFonts w:ascii="Arial" w:cs="Arial" w:eastAsia="Arial" w:hAnsi="Arial"/>
          <w:sz w:val="13"/>
          <w:szCs w:val="13"/>
          <w:b w:val="1"/>
          <w:bCs w:val="1"/>
          <w:color w:val="auto"/>
        </w:rPr>
        <w:t>Phase 1 Clinical Trial</w:t>
      </w:r>
      <w:r>
        <w:rPr>
          <w:rFonts w:ascii="Arial" w:cs="Arial" w:eastAsia="Arial" w:hAnsi="Arial"/>
          <w:sz w:val="13"/>
          <w:szCs w:val="13"/>
          <w:color w:val="auto"/>
        </w:rPr>
        <w:t>” means, as to a specific Licensed Product, a human clinical trial of a product in any country designed to satisfy the requirements of 21 C.F.R. §312.21(a) as amended from time to time, and intended to determine metabolism and pharmacologic actions of a drug in humans, the side effects associated with increasing doses and, if possible, to gain early evidence of efficacy, or any comparable trial under applicable Laws in the United States or the corresponding regulation in jurisdictions other than the United States.</w:t>
      </w:r>
    </w:p>
    <w:p>
      <w:pPr>
        <w:spacing w:after="0" w:line="119"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3"/>
          <w:szCs w:val="13"/>
          <w:color w:val="auto"/>
        </w:rPr>
        <w:t>1.38 “</w:t>
      </w:r>
      <w:r>
        <w:rPr>
          <w:rFonts w:ascii="Arial" w:cs="Arial" w:eastAsia="Arial" w:hAnsi="Arial"/>
          <w:sz w:val="13"/>
          <w:szCs w:val="13"/>
          <w:b w:val="1"/>
          <w:bCs w:val="1"/>
          <w:color w:val="auto"/>
        </w:rPr>
        <w:t>Phase 2 Clinical Trial</w:t>
      </w:r>
      <w:r>
        <w:rPr>
          <w:rFonts w:ascii="Arial" w:cs="Arial" w:eastAsia="Arial" w:hAnsi="Arial"/>
          <w:sz w:val="13"/>
          <w:szCs w:val="13"/>
          <w:color w:val="auto"/>
        </w:rPr>
        <w:t>” means a clinical study of an investigational product in subjects with the primary objective of characterizing its activity in a specific disease state as well as generating more detailed safety, tolerability, pharmacokinetics, pharmacodynamics, and dose finding information as described in 21 C.F.R. 312.21(b) as amended from time to time, or any comparable trial under applicable Laws in a country other than the United States including a human clinical trial that is also designed to satisfy the requirements of 21 C.F.R. 312.21(a) or corresponding foreign regulations and is subsequently optimized or expanded to satisfy the requirements of 21 C.F.R. 312.21(b) (or corresponding foreign regulations).</w:t>
      </w:r>
    </w:p>
    <w:p>
      <w:pPr>
        <w:spacing w:after="0" w:line="126"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1.39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Prosecuting Party</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5.2(d)</w:t>
      </w:r>
      <w:r>
        <w:rPr>
          <w:rFonts w:ascii="Arial" w:cs="Arial" w:eastAsia="Arial" w:hAnsi="Arial"/>
          <w:sz w:val="13"/>
          <w:szCs w:val="13"/>
          <w:color w:val="auto"/>
        </w:rPr>
        <w:t>.</w:t>
      </w:r>
    </w:p>
    <w:p>
      <w:pPr>
        <w:spacing w:after="0" w:line="184"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3"/>
          <w:szCs w:val="13"/>
          <w:color w:val="auto"/>
        </w:rPr>
        <w:t>1.40 “</w:t>
      </w:r>
      <w:r>
        <w:rPr>
          <w:rFonts w:ascii="Arial" w:cs="Arial" w:eastAsia="Arial" w:hAnsi="Arial"/>
          <w:sz w:val="13"/>
          <w:szCs w:val="13"/>
          <w:b w:val="1"/>
          <w:bCs w:val="1"/>
          <w:color w:val="auto"/>
        </w:rPr>
        <w:t>Prosecution and Maintenance</w:t>
      </w:r>
      <w:r>
        <w:rPr>
          <w:rFonts w:ascii="Arial" w:cs="Arial" w:eastAsia="Arial" w:hAnsi="Arial"/>
          <w:sz w:val="13"/>
          <w:szCs w:val="13"/>
          <w:color w:val="auto"/>
        </w:rPr>
        <w:t>” or “</w:t>
      </w:r>
      <w:r>
        <w:rPr>
          <w:rFonts w:ascii="Arial" w:cs="Arial" w:eastAsia="Arial" w:hAnsi="Arial"/>
          <w:sz w:val="13"/>
          <w:szCs w:val="13"/>
          <w:b w:val="1"/>
          <w:bCs w:val="1"/>
          <w:color w:val="auto"/>
        </w:rPr>
        <w:t>Prosecute and Maintain</w:t>
      </w:r>
      <w:r>
        <w:rPr>
          <w:rFonts w:ascii="Arial" w:cs="Arial" w:eastAsia="Arial" w:hAnsi="Arial"/>
          <w:sz w:val="13"/>
          <w:szCs w:val="13"/>
          <w:color w:val="auto"/>
        </w:rPr>
        <w:t>” means, with respect to the applicable Patent Rights, the preparation, filing, prosecution and maintenance of such Patent Rights, as well as re-examinations, reissues, appeals, and requests for patent term adjustments and patent term extensions with respect to such Patent Rights, together with the initiation or defense of interferences, the initiation or defense of oppositions, post grant review, and other similar proceedings with respect to the particular Patent Rights, and any appeals therefrom. For clarification, “Prosecution and Maintenance” or “Prosecute and Maintain” shall not include any other enforcement actions taken with respect to Patent Rights.</w:t>
      </w:r>
    </w:p>
    <w:p>
      <w:pPr>
        <w:spacing w:after="0" w:line="126"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1.41 “</w:t>
      </w:r>
      <w:r>
        <w:rPr>
          <w:rFonts w:ascii="Arial" w:cs="Arial" w:eastAsia="Arial" w:hAnsi="Arial"/>
          <w:sz w:val="14"/>
          <w:szCs w:val="14"/>
          <w:b w:val="1"/>
          <w:bCs w:val="1"/>
          <w:color w:val="auto"/>
        </w:rPr>
        <w:t>Regulatory Approval</w:t>
      </w:r>
      <w:r>
        <w:rPr>
          <w:rFonts w:ascii="Arial" w:cs="Arial" w:eastAsia="Arial" w:hAnsi="Arial"/>
          <w:sz w:val="14"/>
          <w:szCs w:val="14"/>
          <w:color w:val="auto"/>
        </w:rPr>
        <w:t>” means, with respect to a country or territory, the approvals (including any applicable governmental price and reimbursement approvals), licenses, registrations or authorizations of Regulatory Authorities necessary for the commercialization of a pharmaceutical product in such country or territory, including, as applicable, approval of an BLA or comparable filing in the United States or approval of a comparable filing in any other country or jurisdiction.</w:t>
      </w:r>
    </w:p>
    <w:p>
      <w:pPr>
        <w:spacing w:after="0" w:line="135"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1.42 “</w:t>
      </w:r>
      <w:r>
        <w:rPr>
          <w:rFonts w:ascii="Arial" w:cs="Arial" w:eastAsia="Arial" w:hAnsi="Arial"/>
          <w:sz w:val="14"/>
          <w:szCs w:val="14"/>
          <w:b w:val="1"/>
          <w:bCs w:val="1"/>
          <w:color w:val="auto"/>
        </w:rPr>
        <w:t>Regulatory Authority</w:t>
      </w:r>
      <w:r>
        <w:rPr>
          <w:rFonts w:ascii="Arial" w:cs="Arial" w:eastAsia="Arial" w:hAnsi="Arial"/>
          <w:sz w:val="14"/>
          <w:szCs w:val="14"/>
          <w:color w:val="auto"/>
        </w:rPr>
        <w:t>” means a federal, national, multinational, state, provincial or local regulatory agency, department, bureau or other governmental entity with authority over the testing, manufacture, use, storage, import, promotion, marketing or sale of a product in the applicable country.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562" w:name="page563"/>
    <w:bookmarkEnd w:id="562"/>
    <w:p>
      <w:pPr>
        <w:jc w:val="both"/>
        <w:ind w:firstLine="518"/>
        <w:spacing w:after="0" w:line="269"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b w:val="1"/>
          <w:bCs w:val="1"/>
          <w:color w:val="auto"/>
        </w:rPr>
        <w:t>Regulatory Documentation</w:t>
      </w:r>
      <w:r>
        <w:rPr>
          <w:rFonts w:ascii="Arial" w:cs="Arial" w:eastAsia="Arial" w:hAnsi="Arial"/>
          <w:sz w:val="14"/>
          <w:szCs w:val="14"/>
          <w:color w:val="auto"/>
        </w:rPr>
        <w:t>” shall mean all applications, registrations, licenses, authorizations and approvals (including all Regulatory Approvals), all correspondence submitted to or received from Regulatory Authorities (including minutes and official contact reports relating to any communications with any Regulatory Authority) and all supporting documents and all clinical studies and tests, relating to the Licensed Products and all data contained in any of the foregoing, including all INDs, Regulatory Approvals, regulatory drug lists, advertising and promotion documents, manufacturing data, drug master files, clinical data, adverse event files and complaint files.</w:t>
      </w:r>
    </w:p>
    <w:p>
      <w:pPr>
        <w:spacing w:after="0" w:line="141"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1.44 “</w:t>
      </w:r>
      <w:r>
        <w:rPr>
          <w:rFonts w:ascii="Arial" w:cs="Arial" w:eastAsia="Arial" w:hAnsi="Arial"/>
          <w:sz w:val="14"/>
          <w:szCs w:val="14"/>
          <w:b w:val="1"/>
          <w:bCs w:val="1"/>
          <w:color w:val="auto"/>
        </w:rPr>
        <w:t>Reprogramming License</w:t>
      </w:r>
      <w:r>
        <w:rPr>
          <w:rFonts w:ascii="Arial" w:cs="Arial" w:eastAsia="Arial" w:hAnsi="Arial"/>
          <w:sz w:val="14"/>
          <w:szCs w:val="14"/>
          <w:color w:val="auto"/>
        </w:rPr>
        <w:t>” means that certain agreement entered into between the Parties under which CDI grants a non-exclusive license to Century under patent rights in relation to reprogramming technology under the terms and conditions therein, as may be amended.</w:t>
      </w:r>
    </w:p>
    <w:p>
      <w:pPr>
        <w:spacing w:after="0" w:line="123"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Filing</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6.4(d)</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Sublicensee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2.5</w:t>
      </w:r>
      <w:r>
        <w:rPr>
          <w:rFonts w:ascii="Arial" w:cs="Arial" w:eastAsia="Arial" w:hAnsi="Arial"/>
          <w:sz w:val="12"/>
          <w:szCs w:val="12"/>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1.47</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Sublicensee Technology</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2.5(e)</w:t>
      </w:r>
      <w:r>
        <w:rPr>
          <w:rFonts w:ascii="Arial" w:cs="Arial" w:eastAsia="Arial" w:hAnsi="Arial"/>
          <w:sz w:val="12"/>
          <w:szCs w:val="12"/>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Supply Agreement</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3.7(a)</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1.49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xml:space="preserve">” means the term of this Agreement as provided in </w:t>
      </w:r>
      <w:r>
        <w:rPr>
          <w:rFonts w:ascii="Arial" w:cs="Arial" w:eastAsia="Arial" w:hAnsi="Arial"/>
          <w:sz w:val="13"/>
          <w:szCs w:val="13"/>
          <w:u w:val="single" w:color="auto"/>
          <w:color w:val="auto"/>
        </w:rPr>
        <w:t>Section 9.1</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Territory</w:t>
      </w:r>
      <w:r>
        <w:rPr>
          <w:rFonts w:ascii="Arial" w:cs="Arial" w:eastAsia="Arial" w:hAnsi="Arial"/>
          <w:sz w:val="13"/>
          <w:szCs w:val="13"/>
          <w:color w:val="auto"/>
        </w:rPr>
        <w:t xml:space="preserve">” means worldwide, excluding Japan and any country(ies) eliminated from the Territory pursuant to </w:t>
      </w:r>
      <w:r>
        <w:rPr>
          <w:rFonts w:ascii="Arial" w:cs="Arial" w:eastAsia="Arial" w:hAnsi="Arial"/>
          <w:sz w:val="13"/>
          <w:szCs w:val="13"/>
          <w:u w:val="single" w:color="auto"/>
          <w:color w:val="auto"/>
        </w:rPr>
        <w:t>Section 9.4</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w:t>
      </w:r>
      <w:r>
        <w:rPr>
          <w:rFonts w:ascii="Arial" w:cs="Arial" w:eastAsia="Arial" w:hAnsi="Arial"/>
          <w:sz w:val="13"/>
          <w:szCs w:val="13"/>
          <w:color w:val="auto"/>
        </w:rPr>
        <w:t>” means any Person other than a Party. For avoidance of doubt, Third Party will include each Party’s Affiliate in this Agreement.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 Licenses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2.3</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1.53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means the United States of America and its territories and possessions (including the District of Columbia and Puerto Rico).</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WARF</w:t>
      </w:r>
      <w:r>
        <w:rPr>
          <w:rFonts w:ascii="Arial" w:cs="Arial" w:eastAsia="Arial" w:hAnsi="Arial"/>
          <w:sz w:val="13"/>
          <w:szCs w:val="13"/>
          <w:color w:val="auto"/>
        </w:rPr>
        <w:t>” means Wisconsin Alumni Research Foundation.</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1.55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WARF License</w:t>
      </w:r>
      <w:r>
        <w:rPr>
          <w:rFonts w:ascii="Arial" w:cs="Arial" w:eastAsia="Arial" w:hAnsi="Arial"/>
          <w:sz w:val="12"/>
          <w:szCs w:val="12"/>
          <w:color w:val="auto"/>
        </w:rPr>
        <w:t>” means the License Agreement, dated as of June 6, 2012, between WARF and CDI, as amended.</w:t>
      </w:r>
    </w:p>
    <w:p>
      <w:pPr>
        <w:spacing w:after="0" w:line="184"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4"/>
          <w:szCs w:val="14"/>
          <w:color w:val="auto"/>
        </w:rPr>
        <w:t>1.56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WARF Patent Rights</w:t>
      </w:r>
      <w:r>
        <w:rPr>
          <w:rFonts w:ascii="Arial" w:cs="Arial" w:eastAsia="Arial" w:hAnsi="Arial"/>
          <w:sz w:val="13"/>
          <w:szCs w:val="13"/>
          <w:color w:val="auto"/>
        </w:rPr>
        <w:t>” means the Patent Rights that are licensed to CDI by WARF under the WARF License.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Grants; Technology Transfer</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563" w:name="page564"/>
    <w:bookmarkEnd w:id="563"/>
    <w:p>
      <w:pPr>
        <w:ind w:left="520"/>
        <w:spacing w:after="0"/>
        <w:tabs>
          <w:tab w:leader="none" w:pos="8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u w:val="single" w:color="auto"/>
          <w:color w:val="auto"/>
        </w:rPr>
        <w:t>License Grants to Century</w:t>
      </w:r>
      <w:r>
        <w:rPr>
          <w:rFonts w:ascii="Arial" w:cs="Arial" w:eastAsia="Arial" w:hAnsi="Arial"/>
          <w:sz w:val="13"/>
          <w:szCs w:val="13"/>
          <w:color w:val="auto"/>
        </w:rPr>
        <w:t>. Subject to the terms and conditions of this Agreement, CDI hereby grants to Century the following licenses:</w:t>
      </w:r>
    </w:p>
    <w:p>
      <w:pPr>
        <w:spacing w:after="0" w:line="184" w:lineRule="exact"/>
        <w:rPr>
          <w:sz w:val="20"/>
          <w:szCs w:val="20"/>
          <w:color w:val="auto"/>
        </w:rPr>
      </w:pPr>
    </w:p>
    <w:p>
      <w:pPr>
        <w:jc w:val="both"/>
        <w:ind w:firstLine="1042"/>
        <w:spacing w:after="0" w:line="262" w:lineRule="auto"/>
        <w:tabs>
          <w:tab w:leader="none" w:pos="1393" w:val="left"/>
        </w:tabs>
        <w:numPr>
          <w:ilvl w:val="0"/>
          <w:numId w:val="391"/>
        </w:numPr>
        <w:rPr>
          <w:rFonts w:ascii="Arial" w:cs="Arial" w:eastAsia="Arial" w:hAnsi="Arial"/>
          <w:sz w:val="14"/>
          <w:szCs w:val="14"/>
          <w:color w:val="auto"/>
        </w:rPr>
      </w:pPr>
      <w:r>
        <w:rPr>
          <w:rFonts w:ascii="Arial" w:cs="Arial" w:eastAsia="Arial" w:hAnsi="Arial"/>
          <w:sz w:val="14"/>
          <w:szCs w:val="14"/>
          <w:color w:val="auto"/>
        </w:rPr>
        <w:t xml:space="preserve">an 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under the Licensed Technology to Exploit the Licensed Products within the Field in the Territory. Notwithstanding any term or implication herein to the contrary and for the sake of clarity, the foregoing license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 of a Licensed Product other than a Licensed Product that that is being researched, developed or commercialized by or on behalf of Century or its Affiliates or Sublicensees; and</w:t>
      </w:r>
    </w:p>
    <w:p>
      <w:pPr>
        <w:spacing w:after="0" w:line="150" w:lineRule="exact"/>
        <w:rPr>
          <w:rFonts w:ascii="Arial" w:cs="Arial" w:eastAsia="Arial" w:hAnsi="Arial"/>
          <w:sz w:val="14"/>
          <w:szCs w:val="14"/>
          <w:color w:val="auto"/>
        </w:rPr>
      </w:pPr>
    </w:p>
    <w:p>
      <w:pPr>
        <w:jc w:val="both"/>
        <w:ind w:firstLine="1042"/>
        <w:spacing w:after="0" w:line="273" w:lineRule="auto"/>
        <w:tabs>
          <w:tab w:leader="none" w:pos="1383" w:val="left"/>
        </w:tabs>
        <w:numPr>
          <w:ilvl w:val="0"/>
          <w:numId w:val="391"/>
        </w:numPr>
        <w:rPr>
          <w:rFonts w:ascii="Arial" w:cs="Arial" w:eastAsia="Arial" w:hAnsi="Arial"/>
          <w:sz w:val="14"/>
          <w:szCs w:val="14"/>
          <w:color w:val="auto"/>
        </w:rPr>
      </w:pPr>
      <w:r>
        <w:rPr>
          <w:rFonts w:ascii="Arial" w:cs="Arial" w:eastAsia="Arial" w:hAnsi="Arial"/>
          <w:sz w:val="14"/>
          <w:szCs w:val="14"/>
          <w:color w:val="auto"/>
        </w:rPr>
        <w:t xml:space="preserve">an 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license and right of reference, with the right to grant sublicenses through multiple tiers and further rights of reference, under any Regulatory Documentation Owned and Controlled by CDI at any time during the Term so long as CDI Owns or Controls such Regulatory Documentation, to Exploit the Licensed Products within the Field in the Territory.</w:t>
      </w:r>
    </w:p>
    <w:p>
      <w:pPr>
        <w:spacing w:after="0" w:line="141"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u w:val="single" w:color="auto"/>
          <w:color w:val="auto"/>
        </w:rPr>
        <w:t>License Grants to CDI</w:t>
      </w:r>
      <w:r>
        <w:rPr>
          <w:rFonts w:ascii="Arial" w:cs="Arial" w:eastAsia="Arial" w:hAnsi="Arial"/>
          <w:sz w:val="13"/>
          <w:szCs w:val="13"/>
          <w:color w:val="auto"/>
        </w:rPr>
        <w:t>. Subject to the terms and conditions of this Agreement, Century (on behalf of itself and its Affiliates) hereby grants to CDI the following licenses:</w:t>
      </w:r>
    </w:p>
    <w:p>
      <w:pPr>
        <w:spacing w:after="0" w:line="184" w:lineRule="exact"/>
        <w:rPr>
          <w:sz w:val="20"/>
          <w:szCs w:val="20"/>
          <w:color w:val="auto"/>
        </w:rPr>
      </w:pPr>
    </w:p>
    <w:p>
      <w:pPr>
        <w:jc w:val="both"/>
        <w:ind w:firstLine="1042"/>
        <w:spacing w:after="0" w:line="273" w:lineRule="auto"/>
        <w:tabs>
          <w:tab w:leader="none" w:pos="1405" w:val="left"/>
        </w:tabs>
        <w:numPr>
          <w:ilvl w:val="0"/>
          <w:numId w:val="392"/>
        </w:numPr>
        <w:rPr>
          <w:rFonts w:ascii="Arial" w:cs="Arial" w:eastAsia="Arial" w:hAnsi="Arial"/>
          <w:sz w:val="14"/>
          <w:szCs w:val="14"/>
          <w:color w:val="auto"/>
        </w:rPr>
      </w:pPr>
      <w:r>
        <w:rPr>
          <w:rFonts w:ascii="Arial" w:cs="Arial" w:eastAsia="Arial" w:hAnsi="Arial"/>
          <w:sz w:val="14"/>
          <w:szCs w:val="14"/>
          <w:color w:val="auto"/>
        </w:rPr>
        <w:t xml:space="preserve">an exclusive (except with respect to Century pursuant to </w:t>
      </w:r>
      <w:r>
        <w:rPr>
          <w:rFonts w:ascii="Arial" w:cs="Arial" w:eastAsia="Arial" w:hAnsi="Arial"/>
          <w:sz w:val="14"/>
          <w:szCs w:val="14"/>
          <w:u w:val="single" w:color="auto"/>
          <w:color w:val="auto"/>
        </w:rPr>
        <w:t>Section 2.6(b)</w:t>
      </w:r>
      <w:r>
        <w:rPr>
          <w:rFonts w:ascii="Arial" w:cs="Arial" w:eastAsia="Arial" w:hAnsi="Arial"/>
          <w:sz w:val="14"/>
          <w:szCs w:val="14"/>
          <w:color w:val="auto"/>
        </w:rPr>
        <w:t xml:space="preserve"> hereof),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under the Century Licensed Technology, to Exploit the Licensed Products in the Field outside the Territory or within the Territory for the Abandoned Indication;</w:t>
      </w:r>
    </w:p>
    <w:p>
      <w:pPr>
        <w:spacing w:after="0" w:line="141" w:lineRule="exact"/>
        <w:rPr>
          <w:rFonts w:ascii="Arial" w:cs="Arial" w:eastAsia="Arial" w:hAnsi="Arial"/>
          <w:sz w:val="14"/>
          <w:szCs w:val="14"/>
          <w:color w:val="auto"/>
        </w:rPr>
      </w:pPr>
    </w:p>
    <w:p>
      <w:pPr>
        <w:jc w:val="both"/>
        <w:ind w:firstLine="1042"/>
        <w:spacing w:after="0" w:line="273" w:lineRule="auto"/>
        <w:tabs>
          <w:tab w:leader="none" w:pos="1383" w:val="left"/>
        </w:tabs>
        <w:numPr>
          <w:ilvl w:val="0"/>
          <w:numId w:val="392"/>
        </w:numPr>
        <w:rPr>
          <w:rFonts w:ascii="Arial" w:cs="Arial" w:eastAsia="Arial" w:hAnsi="Arial"/>
          <w:sz w:val="14"/>
          <w:szCs w:val="14"/>
          <w:color w:val="auto"/>
        </w:rPr>
      </w:pPr>
      <w:r>
        <w:rPr>
          <w:rFonts w:ascii="Arial" w:cs="Arial" w:eastAsia="Arial" w:hAnsi="Arial"/>
          <w:sz w:val="14"/>
          <w:szCs w:val="14"/>
          <w:color w:val="auto"/>
        </w:rPr>
        <w:t xml:space="preserve">an 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license and right of reference, with the right to grant sublicenses through multiple tiers and further rights of reference, under the Regulatory Documentation Controlled by Century or its Affiliates at any time during the Term to Exploit the Licensed Products in the Field outside the Territory or within the Territory for the Abandoned Indication; and</w:t>
      </w:r>
    </w:p>
    <w:p>
      <w:pPr>
        <w:spacing w:after="0" w:line="141" w:lineRule="exact"/>
        <w:rPr>
          <w:rFonts w:ascii="Arial" w:cs="Arial" w:eastAsia="Arial" w:hAnsi="Arial"/>
          <w:sz w:val="14"/>
          <w:szCs w:val="14"/>
          <w:color w:val="auto"/>
        </w:rPr>
      </w:pPr>
    </w:p>
    <w:p>
      <w:pPr>
        <w:ind w:firstLine="1042"/>
        <w:spacing w:after="0" w:line="288" w:lineRule="auto"/>
        <w:tabs>
          <w:tab w:leader="none" w:pos="1375" w:val="left"/>
        </w:tabs>
        <w:numPr>
          <w:ilvl w:val="0"/>
          <w:numId w:val="392"/>
        </w:numPr>
        <w:rPr>
          <w:rFonts w:ascii="Arial" w:cs="Arial" w:eastAsia="Arial" w:hAnsi="Arial"/>
          <w:sz w:val="14"/>
          <w:szCs w:val="14"/>
          <w:color w:val="auto"/>
        </w:rPr>
      </w:pPr>
      <w:r>
        <w:rPr>
          <w:rFonts w:ascii="Arial" w:cs="Arial" w:eastAsia="Arial" w:hAnsi="Arial"/>
          <w:sz w:val="14"/>
          <w:szCs w:val="14"/>
          <w:color w:val="auto"/>
        </w:rPr>
        <w:t xml:space="preserve">a fully paid-up,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sublicensable (with the ability to sublicense through multiple tiers) worldwide license under the Century Licensed Technology, to manufacture the Licensed Products in the Field.</w:t>
      </w:r>
    </w:p>
    <w:p>
      <w:pPr>
        <w:spacing w:after="0" w:line="132"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Third Party Licenses</w:t>
      </w:r>
      <w:r>
        <w:rPr>
          <w:rFonts w:ascii="Arial" w:cs="Arial" w:eastAsia="Arial" w:hAnsi="Arial"/>
          <w:sz w:val="14"/>
          <w:szCs w:val="14"/>
          <w:color w:val="auto"/>
        </w:rPr>
        <w:t>. The Parties acknowledge that each Party (a) as of the Effective Date may control Patent Rights or other Intellectual Property pursuant to an in-license from a Third Party and/or (b) may obtain licenses after the Effective Date to Patent Rights or</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68" w:right="319" w:bottom="1440" w:gutter="0" w:footer="0" w:header="0"/>
        </w:sectPr>
      </w:pPr>
    </w:p>
    <w:bookmarkStart w:id="564" w:name="page565"/>
    <w:bookmarkEnd w:id="564"/>
    <w:p>
      <w:pPr>
        <w:jc w:val="both"/>
        <w:spacing w:after="0" w:line="280" w:lineRule="auto"/>
        <w:rPr>
          <w:sz w:val="20"/>
          <w:szCs w:val="20"/>
          <w:color w:val="auto"/>
        </w:rPr>
      </w:pPr>
      <w:r>
        <w:rPr>
          <w:rFonts w:ascii="Arial" w:cs="Arial" w:eastAsia="Arial" w:hAnsi="Arial"/>
          <w:sz w:val="13"/>
          <w:szCs w:val="13"/>
          <w:color w:val="auto"/>
        </w:rPr>
        <w:t>other Intellectual Property of a Third Party, in each case, in order to Exploit the Licensed Products in the Field, with respect to Century, including but not limited to, licenses under technology of gene editing technology, targets and binders and switches, and which licenses include payments to such Third Party licensor for the rights to such Patent Rights or other Intellectual Property (each a “</w:t>
      </w:r>
      <w:r>
        <w:rPr>
          <w:rFonts w:ascii="Arial" w:cs="Arial" w:eastAsia="Arial" w:hAnsi="Arial"/>
          <w:sz w:val="13"/>
          <w:szCs w:val="13"/>
          <w:b w:val="1"/>
          <w:bCs w:val="1"/>
          <w:color w:val="auto"/>
        </w:rPr>
        <w:t>Third Party License</w:t>
      </w:r>
      <w:r>
        <w:rPr>
          <w:rFonts w:ascii="Arial" w:cs="Arial" w:eastAsia="Arial" w:hAnsi="Arial"/>
          <w:sz w:val="13"/>
          <w:szCs w:val="13"/>
          <w:color w:val="auto"/>
        </w:rPr>
        <w:t>”). In the event that either Party enters into a Third Party License at any time following the Effective Date or considers that a Third Party License that it entered into prior to the Effective Date is reasonably necessary to Exploit the Licensed Products in the Field, such Party (the “</w:t>
      </w:r>
      <w:r>
        <w:rPr>
          <w:rFonts w:ascii="Arial" w:cs="Arial" w:eastAsia="Arial" w:hAnsi="Arial"/>
          <w:sz w:val="13"/>
          <w:szCs w:val="13"/>
          <w:b w:val="1"/>
          <w:bCs w:val="1"/>
          <w:color w:val="auto"/>
        </w:rPr>
        <w:t>Executing Party</w:t>
      </w:r>
      <w:r>
        <w:rPr>
          <w:rFonts w:ascii="Arial" w:cs="Arial" w:eastAsia="Arial" w:hAnsi="Arial"/>
          <w:sz w:val="13"/>
          <w:szCs w:val="13"/>
          <w:color w:val="auto"/>
        </w:rPr>
        <w:t>”) will provide the other Party (the “</w:t>
      </w:r>
      <w:r>
        <w:rPr>
          <w:rFonts w:ascii="Arial" w:cs="Arial" w:eastAsia="Arial" w:hAnsi="Arial"/>
          <w:sz w:val="13"/>
          <w:szCs w:val="13"/>
          <w:b w:val="1"/>
          <w:bCs w:val="1"/>
          <w:color w:val="auto"/>
        </w:rPr>
        <w:t>Electing Party</w:t>
      </w:r>
      <w:r>
        <w:rPr>
          <w:rFonts w:ascii="Arial" w:cs="Arial" w:eastAsia="Arial" w:hAnsi="Arial"/>
          <w:sz w:val="13"/>
          <w:szCs w:val="13"/>
          <w:color w:val="auto"/>
        </w:rPr>
        <w:t xml:space="preserve">”) prompt written notice of such Third Party License. Following receipt of such notice, but in no event later than six (6) months thereafter, the Electing Party may elect, by providing written notice, to receive a license to Exploit the Licensed Products using such Third Party License in the Territory in the case of Century or outside of the Territory in the case of CDI. In the event the Electing Party elects to receive a license from the Executing Party to such Third Party License, then, prior to including the Patent Rights and Intellectual Property under such Third Party License hereunder, the Parties will agree on an equitable apportionment of any upfront or contingent payments paid by the Executing Party to the Third Party licensor to reflect the fair value attributable to the use of such Patent Rights and other Intellectual Property for the Exploitation of the Licensed Products in each Party’s territory. The Electing Party shall pay the Executing Party such apportioned amount within thirty (30) days of including such Patent Rights and Intellectual Property under such Third Party License hereunder, provided, however in the event CDI is the Electing Party the Parties shall negotiate and agree on the apportioned amount after CDI notifies Century in writing in accordance with </w:t>
      </w:r>
      <w:r>
        <w:rPr>
          <w:rFonts w:ascii="Arial" w:cs="Arial" w:eastAsia="Arial" w:hAnsi="Arial"/>
          <w:sz w:val="13"/>
          <w:szCs w:val="13"/>
          <w:u w:val="single" w:color="auto"/>
          <w:color w:val="auto"/>
        </w:rPr>
        <w:t>Section 2.4</w:t>
      </w:r>
      <w:r>
        <w:rPr>
          <w:rFonts w:ascii="Arial" w:cs="Arial" w:eastAsia="Arial" w:hAnsi="Arial"/>
          <w:sz w:val="13"/>
          <w:szCs w:val="13"/>
          <w:color w:val="auto"/>
        </w:rPr>
        <w:t xml:space="preserve"> of its election to Exploit in the Field outside the Territory the Licensed Products that has met its primary endpoint(s) in a Phase 2 Clinical Trial. In addition, the Electing Party shall be responsible for any amounts, including any royalties, milestone payments or license fees, that become due during the Term as a result of the Electing Party’s Exploitation of the Licensed Products in its territory. Notwithstanding the foregoing, in no event will the Electing Party pay to or owe the Executing Party any markup or other amount in excess of the amount due to the Third Party by the Executing Party. Upon the Parties’ mutual agreement of such terms, such Patent Right or other Intellectual Property will be treated as “Controlled” by the Executing Party hereunder to the extent, and only to the extent that and for so long as, the Electing Party agrees and does pay to the Executing Party in accordance hereunder all such applicable payments to such Third Party licensor arising out of the grant and exercise of the license to the Electing Party hereunder.</w:t>
      </w:r>
    </w:p>
    <w:p>
      <w:pPr>
        <w:spacing w:after="0" w:line="317"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Option to Exploit Proof-of-Concept Licensed Product Outside the Territory.</w:t>
      </w:r>
      <w:r>
        <w:rPr>
          <w:rFonts w:ascii="Arial" w:cs="Arial" w:eastAsia="Arial" w:hAnsi="Arial"/>
          <w:sz w:val="14"/>
          <w:szCs w:val="14"/>
          <w:color w:val="auto"/>
        </w:rPr>
        <w:t xml:space="preserve"> During the Term, Century may provide CDI with written notice that a particular Licensed Product that Century is Exploiting in the Field in the Territory has met its primary endpoint(s) in a Phase 2 Clinical Trial. Following receipt of such notice, but in no event later than [***] thereafter, CDI may elect to Exploit such Licensed Product in the Field outside of the Territory by providing Century with written notice thereof. If CDI elects to Exploit such Licensed Product within the Field outside the Territory, the Parties shall negotiate in good faith the terms of such Exploitation of such Licensed Product within the Field outside the Territory or within the Territory for any Abandoned Indication, including the grant by Century to CDI of any licenses to any Patent Rights or Know-How owned or Controlled by Century or its Affiliates that cover such Licensed Product and are not otherwise licensed to CDI hereunder and any financial terms and payments owed to Century or its Affiliates for CDI’s use of such Patent Rights or Know-How. Upon the Parties’ mutual agreement of such terms, the Parties shall amend the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65" w:name="page566"/>
    <w:bookmarkEnd w:id="565"/>
    <w:p>
      <w:pPr>
        <w:jc w:val="both"/>
        <w:spacing w:after="0" w:line="265" w:lineRule="auto"/>
        <w:rPr>
          <w:sz w:val="20"/>
          <w:szCs w:val="20"/>
          <w:color w:val="auto"/>
        </w:rPr>
      </w:pPr>
      <w:r>
        <w:rPr>
          <w:rFonts w:ascii="Arial" w:cs="Arial" w:eastAsia="Arial" w:hAnsi="Arial"/>
          <w:sz w:val="14"/>
          <w:szCs w:val="14"/>
          <w:color w:val="auto"/>
        </w:rPr>
        <w:t>applicable terms of this Agreement as necessary to permit CDI to Exploit such Licensed Product within the Field outside the Territory or within the Territory for any Abandoned Indication. If CDI does not elect to Exploit such Licensed Product in the Field outside the Territory within such [***] period, Century shall have the right to Exploit such Licensed Product within the Field outside of the Territory and the Parties shall amend the applicable terms of this Agreement as necessary to permit Century to Exploit such Licensed Product within the Field outside of the Territory; provided however, if Century discontinue the Exploitation of WARF Patent Rights and/or Developments, Century shall grant, and shall require its Sublicensee(s) to grant sublicenses, to practice and use of said Developments for commercial purpose.</w:t>
      </w:r>
    </w:p>
    <w:p>
      <w:pPr>
        <w:spacing w:after="0" w:line="147"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3"/>
          <w:szCs w:val="13"/>
          <w:u w:val="single" w:color="auto"/>
          <w:color w:val="auto"/>
        </w:rPr>
        <w:t>Sublicensing</w:t>
      </w:r>
    </w:p>
    <w:p>
      <w:pPr>
        <w:spacing w:after="0" w:line="184" w:lineRule="exact"/>
        <w:rPr>
          <w:sz w:val="20"/>
          <w:szCs w:val="20"/>
          <w:color w:val="auto"/>
        </w:rPr>
      </w:pPr>
    </w:p>
    <w:p>
      <w:pPr>
        <w:jc w:val="both"/>
        <w:ind w:firstLine="1042"/>
        <w:spacing w:after="0" w:line="265" w:lineRule="auto"/>
        <w:tabs>
          <w:tab w:leader="none" w:pos="1393" w:val="left"/>
        </w:tabs>
        <w:numPr>
          <w:ilvl w:val="0"/>
          <w:numId w:val="393"/>
        </w:numPr>
        <w:rPr>
          <w:rFonts w:ascii="Arial" w:cs="Arial" w:eastAsia="Arial" w:hAnsi="Arial"/>
          <w:sz w:val="14"/>
          <w:szCs w:val="14"/>
          <w:color w:val="auto"/>
        </w:rPr>
      </w:pPr>
      <w:r>
        <w:rPr>
          <w:rFonts w:ascii="Arial" w:cs="Arial" w:eastAsia="Arial" w:hAnsi="Arial"/>
          <w:sz w:val="14"/>
          <w:szCs w:val="14"/>
          <w:color w:val="auto"/>
        </w:rPr>
        <w:t xml:space="preserve">Each Party shall have the right to grant sublicenses under the licenses granted to it, with respect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and with respect to CDI under </w:t>
      </w:r>
      <w:r>
        <w:rPr>
          <w:rFonts w:ascii="Arial" w:cs="Arial" w:eastAsia="Arial" w:hAnsi="Arial"/>
          <w:sz w:val="14"/>
          <w:szCs w:val="14"/>
          <w:u w:val="single" w:color="auto"/>
          <w:color w:val="auto"/>
        </w:rPr>
        <w:t>Section 2.2</w:t>
      </w:r>
      <w:r>
        <w:rPr>
          <w:rFonts w:ascii="Arial" w:cs="Arial" w:eastAsia="Arial" w:hAnsi="Arial"/>
          <w:sz w:val="14"/>
          <w:szCs w:val="14"/>
          <w:color w:val="auto"/>
        </w:rPr>
        <w:t>, in each case, to Third Parties (each, a “</w:t>
      </w:r>
      <w:r>
        <w:rPr>
          <w:rFonts w:ascii="Arial" w:cs="Arial" w:eastAsia="Arial" w:hAnsi="Arial"/>
          <w:sz w:val="14"/>
          <w:szCs w:val="14"/>
          <w:b w:val="1"/>
          <w:bCs w:val="1"/>
          <w:color w:val="auto"/>
        </w:rPr>
        <w:t>Sublicensee</w:t>
      </w:r>
      <w:r>
        <w:rPr>
          <w:rFonts w:ascii="Arial" w:cs="Arial" w:eastAsia="Arial" w:hAnsi="Arial"/>
          <w:sz w:val="14"/>
          <w:szCs w:val="14"/>
          <w:color w:val="auto"/>
        </w:rPr>
        <w:t xml:space="preserve">”) through multiple tiers;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sublicense granted to a Third Party shall be pursuant to a written agreement and each sublicense shall be subject to all relevant restrictions and limitations set forth in this Agreement. Each Party shall be responsible for each of its Sublicensees complying with all obligations of such Party under this Agreement that are applicable to sublicenses and any breach by a Sublicensee under any such sublicense shall be deemed to be a breach of such Party under this Agreement. Each Party shall notify the other Party in writing of the identity of Sublicensees without delay.</w:t>
      </w:r>
    </w:p>
    <w:p>
      <w:pPr>
        <w:spacing w:after="0" w:line="147" w:lineRule="exact"/>
        <w:rPr>
          <w:rFonts w:ascii="Arial" w:cs="Arial" w:eastAsia="Arial" w:hAnsi="Arial"/>
          <w:sz w:val="14"/>
          <w:szCs w:val="14"/>
          <w:color w:val="auto"/>
        </w:rPr>
      </w:pPr>
    </w:p>
    <w:p>
      <w:pPr>
        <w:jc w:val="both"/>
        <w:ind w:firstLine="1042"/>
        <w:spacing w:after="0" w:line="273" w:lineRule="auto"/>
        <w:tabs>
          <w:tab w:leader="none" w:pos="1365" w:val="left"/>
        </w:tabs>
        <w:numPr>
          <w:ilvl w:val="0"/>
          <w:numId w:val="393"/>
        </w:numPr>
        <w:rPr>
          <w:rFonts w:ascii="Arial" w:cs="Arial" w:eastAsia="Arial" w:hAnsi="Arial"/>
          <w:sz w:val="14"/>
          <w:szCs w:val="14"/>
          <w:color w:val="auto"/>
        </w:rPr>
      </w:pPr>
      <w:r>
        <w:rPr>
          <w:rFonts w:ascii="Arial" w:cs="Arial" w:eastAsia="Arial" w:hAnsi="Arial"/>
          <w:sz w:val="14"/>
          <w:szCs w:val="14"/>
          <w:color w:val="auto"/>
        </w:rPr>
        <w:t xml:space="preserve">If this Agreement is terminated for any reason other than by a Party pursuant to </w:t>
      </w:r>
      <w:r>
        <w:rPr>
          <w:rFonts w:ascii="Arial" w:cs="Arial" w:eastAsia="Arial" w:hAnsi="Arial"/>
          <w:sz w:val="14"/>
          <w:szCs w:val="14"/>
          <w:u w:val="single" w:color="auto"/>
          <w:color w:val="auto"/>
        </w:rPr>
        <w:t>Section 9.6</w:t>
      </w:r>
      <w:r>
        <w:rPr>
          <w:rFonts w:ascii="Arial" w:cs="Arial" w:eastAsia="Arial" w:hAnsi="Arial"/>
          <w:sz w:val="14"/>
          <w:szCs w:val="14"/>
          <w:color w:val="auto"/>
        </w:rPr>
        <w:t>, then, at the option of any Sublicensee of a terminating Party not in default of the applicable sublicense (or any provision of this Agreement applicable to such Sublicensee), a terminating Party shall use Commercially Best Efforts to execute a possible direct license arrangement with such Sublicensee under, and subject to the terms and conditions of, this Agreement.</w:t>
      </w:r>
    </w:p>
    <w:p>
      <w:pPr>
        <w:spacing w:after="0" w:line="141" w:lineRule="exact"/>
        <w:rPr>
          <w:rFonts w:ascii="Arial" w:cs="Arial" w:eastAsia="Arial" w:hAnsi="Arial"/>
          <w:sz w:val="14"/>
          <w:szCs w:val="14"/>
          <w:color w:val="auto"/>
        </w:rPr>
      </w:pPr>
    </w:p>
    <w:p>
      <w:pPr>
        <w:jc w:val="both"/>
        <w:ind w:firstLine="1042"/>
        <w:spacing w:after="0" w:line="261" w:lineRule="auto"/>
        <w:tabs>
          <w:tab w:leader="none" w:pos="139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 xml:space="preserve">Century shall use Commercially Reasonable Best Efforts to include in any sublicense by Century or any Affiliate of Century to a Third Party (or any further sublicenses by the applicable Sublicensee) of any rights granted by CDI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that the Sublicensee will grant to Century licenses to any Sublicensee Technology and licenses and rights of reference under any Regulatory Documentation on terms that are substantially similar to the licenses granted by CDI to Century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(but with respect to outside the Territory) (replacing all references to the “Territory”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“outside the Territory”), which license must be fully sublicensable to CDI (through multiple tiers) pursuant to the terms and conditions of this Agreement. In such event, such Sublicensee Technology will be deemed Century Licensed Technology hereunder and included within the licenses granted to CDI hereunder. Notwithstanding any provision to the contrary, in the event Century obtains from the Sublicensee (a) licenses to any and all Sublicensee Technology and (b) licenses and rights of reference under any Regulatory Documentation Owned or Controlled by Sublicensees (and its Affiliates), to Exploit the Licensed Products in the Field, Century shall ensure to make such licenses and rights sublicensable to CDI (through multiple tiers) to Exploit the Licensed Products in the Field outside the Territory.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66" w:name="page567"/>
    <w:bookmarkEnd w:id="566"/>
    <w:p>
      <w:pPr>
        <w:jc w:val="both"/>
        <w:ind w:firstLine="1042"/>
        <w:spacing w:after="0" w:line="261" w:lineRule="auto"/>
        <w:tabs>
          <w:tab w:leader="none" w:pos="1383" w:val="left"/>
        </w:tabs>
        <w:numPr>
          <w:ilvl w:val="0"/>
          <w:numId w:val="394"/>
        </w:numPr>
        <w:rPr>
          <w:rFonts w:ascii="Arial" w:cs="Arial" w:eastAsia="Arial" w:hAnsi="Arial"/>
          <w:sz w:val="14"/>
          <w:szCs w:val="14"/>
          <w:color w:val="auto"/>
        </w:rPr>
      </w:pPr>
      <w:r>
        <w:rPr>
          <w:rFonts w:ascii="Arial" w:cs="Arial" w:eastAsia="Arial" w:hAnsi="Arial"/>
          <w:sz w:val="14"/>
          <w:szCs w:val="14"/>
          <w:color w:val="auto"/>
        </w:rPr>
        <w:t xml:space="preserve">CDI shall use Commercially Reasonable Best Efforts to include in any sublicense by CDI to a Third Party (or any further sublicenses by the applicable Sublicensee) of any rights granted by Century under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that the Sublicensee will grant to CDI licenses to any Sublicensee Technology and licenses and rights of reference under any Regulatory Documentation on terms that are substantially similar to the licenses granted by Century to CDI in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(but with respect to the Territory) (replacing all references to the “outside the Territory” with “Territory”), which license must be fully sublicensable to Century (through multiple tiers) pursuant to the terms and conditions of this Agreement. In such event, such Sublicensee Technology will be deemed Licensed Technology hereunder and included within the licenses granted to Century hereunder. Notwithstanding any provision to the contrary, in the event CDI will obtain from the Sublicensee (a) licenses to any and all Sublicensee Technology and (b) licenses and rights of reference under any Regulatory Documentation Owned or Controlled by Sublicensees (and its Affiliates), to Exploit the Licensed Products in the Field, CDI shall ensure to make such licenses and rights sublicensable to Century (through multiple tiers) to Exploit the Licensed Products in the Field in the Territory.</w:t>
      </w:r>
    </w:p>
    <w:p>
      <w:pPr>
        <w:spacing w:after="0" w:line="149" w:lineRule="exact"/>
        <w:rPr>
          <w:rFonts w:ascii="Arial" w:cs="Arial" w:eastAsia="Arial" w:hAnsi="Arial"/>
          <w:sz w:val="14"/>
          <w:szCs w:val="14"/>
          <w:color w:val="auto"/>
        </w:rPr>
      </w:pPr>
    </w:p>
    <w:p>
      <w:pPr>
        <w:jc w:val="both"/>
        <w:ind w:firstLine="1042"/>
        <w:spacing w:after="0" w:line="264" w:lineRule="auto"/>
        <w:tabs>
          <w:tab w:leader="none" w:pos="1396" w:val="left"/>
        </w:tabs>
        <w:numPr>
          <w:ilvl w:val="0"/>
          <w:numId w:val="394"/>
        </w:numPr>
        <w:rPr>
          <w:rFonts w:ascii="Arial" w:cs="Arial" w:eastAsia="Arial" w:hAnsi="Arial"/>
          <w:sz w:val="14"/>
          <w:szCs w:val="14"/>
          <w:color w:val="auto"/>
        </w:rPr>
      </w:pPr>
      <w:r>
        <w:rPr>
          <w:rFonts w:ascii="Arial" w:cs="Arial" w:eastAsia="Arial" w:hAnsi="Arial"/>
          <w:sz w:val="14"/>
          <w:szCs w:val="14"/>
          <w:color w:val="auto"/>
        </w:rPr>
        <w:t xml:space="preserve">For purposes of </w:t>
      </w:r>
      <w:r>
        <w:rPr>
          <w:rFonts w:ascii="Arial" w:cs="Arial" w:eastAsia="Arial" w:hAnsi="Arial"/>
          <w:sz w:val="14"/>
          <w:szCs w:val="14"/>
          <w:u w:val="single" w:color="auto"/>
          <w:color w:val="auto"/>
        </w:rPr>
        <w:t>Sections 2.5(c)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2.5(d)</w:t>
      </w:r>
      <w:r>
        <w:rPr>
          <w:rFonts w:ascii="Arial" w:cs="Arial" w:eastAsia="Arial" w:hAnsi="Arial"/>
          <w:sz w:val="14"/>
          <w:szCs w:val="14"/>
          <w:color w:val="auto"/>
        </w:rPr>
        <w:t>, “</w:t>
      </w:r>
      <w:r>
        <w:rPr>
          <w:rFonts w:ascii="Arial" w:cs="Arial" w:eastAsia="Arial" w:hAnsi="Arial"/>
          <w:sz w:val="14"/>
          <w:szCs w:val="14"/>
          <w:b w:val="1"/>
          <w:bCs w:val="1"/>
          <w:color w:val="auto"/>
        </w:rPr>
        <w:t>Sublicensee Technology</w:t>
      </w:r>
      <w:r>
        <w:rPr>
          <w:rFonts w:ascii="Arial" w:cs="Arial" w:eastAsia="Arial" w:hAnsi="Arial"/>
          <w:sz w:val="14"/>
          <w:szCs w:val="14"/>
          <w:color w:val="auto"/>
        </w:rPr>
        <w:t>” means any and all Know-How and Patent Rights that such Sublicensee (and its Affiliates) controls by way of developing, generating, or inventing during the term of the applicable sublicense agreement in the course of activities for the Exploitation of the Licensed Products or otherwise in the exercise of the sublicensed rights thereunder and that are necessary or useful for the Exploitation of the Licensed Products in the Field. For the avoidance of doubt Sublicensee Technology includes Patent Rights that will be issued based on Know-How that is acquired by Sublicensee (and its Affiliates) by way of developing, generating, or inventing during the term of the applicable sublicense agreement in the course of activities for the Exploitation of the Licensed Products or otherwise in the exercise of the sublicensed rights during the term of the applicable sublicense agreement.</w:t>
      </w:r>
    </w:p>
    <w:p>
      <w:pPr>
        <w:spacing w:after="0" w:line="150"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u w:val="single" w:color="auto"/>
          <w:color w:val="auto"/>
        </w:rPr>
        <w:t>Retained Rights</w:t>
      </w:r>
      <w:r>
        <w:rPr>
          <w:rFonts w:ascii="Arial" w:cs="Arial" w:eastAsia="Arial" w:hAnsi="Arial"/>
          <w:sz w:val="12"/>
          <w:szCs w:val="12"/>
          <w:color w:val="auto"/>
        </w:rPr>
        <w:t>.</w:t>
      </w:r>
    </w:p>
    <w:p>
      <w:pPr>
        <w:spacing w:after="0" w:line="184" w:lineRule="exact"/>
        <w:rPr>
          <w:sz w:val="20"/>
          <w:szCs w:val="20"/>
          <w:color w:val="auto"/>
        </w:rPr>
      </w:pPr>
    </w:p>
    <w:p>
      <w:pPr>
        <w:ind w:firstLine="1042"/>
        <w:spacing w:after="0" w:line="288" w:lineRule="auto"/>
        <w:tabs>
          <w:tab w:leader="none" w:pos="1397" w:val="left"/>
        </w:tabs>
        <w:numPr>
          <w:ilvl w:val="0"/>
          <w:numId w:val="395"/>
        </w:numPr>
        <w:rPr>
          <w:rFonts w:ascii="Arial" w:cs="Arial" w:eastAsia="Arial" w:hAnsi="Arial"/>
          <w:sz w:val="14"/>
          <w:szCs w:val="14"/>
          <w:color w:val="auto"/>
        </w:rPr>
      </w:pPr>
      <w:r>
        <w:rPr>
          <w:rFonts w:ascii="Arial" w:cs="Arial" w:eastAsia="Arial" w:hAnsi="Arial"/>
          <w:sz w:val="14"/>
          <w:szCs w:val="14"/>
          <w:color w:val="auto"/>
        </w:rPr>
        <w:t>For the avoidance of doubt, CDI retains the right to use and practice the Licensed Technology (i) to Exploit the Licensed Products in the Field outside the Territory, (ii) to Exploit the Licensed Products outside the Field and (iii) to manufacture and have manufactured the Licensed Products in the Field anywhere in the world.</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365" w:val="left"/>
        </w:tabs>
        <w:numPr>
          <w:ilvl w:val="0"/>
          <w:numId w:val="395"/>
        </w:numPr>
        <w:rPr>
          <w:rFonts w:ascii="Arial" w:cs="Arial" w:eastAsia="Arial" w:hAnsi="Arial"/>
          <w:sz w:val="14"/>
          <w:szCs w:val="14"/>
          <w:color w:val="auto"/>
        </w:rPr>
      </w:pPr>
      <w:r>
        <w:rPr>
          <w:rFonts w:ascii="Arial" w:cs="Arial" w:eastAsia="Arial" w:hAnsi="Arial"/>
          <w:sz w:val="14"/>
          <w:szCs w:val="14"/>
          <w:color w:val="auto"/>
        </w:rPr>
        <w:t xml:space="preserve">Notwithstanding the rights granted to CDI in </w:t>
      </w:r>
      <w:r>
        <w:rPr>
          <w:rFonts w:ascii="Arial" w:cs="Arial" w:eastAsia="Arial" w:hAnsi="Arial"/>
          <w:sz w:val="14"/>
          <w:szCs w:val="14"/>
          <w:u w:val="single" w:color="auto"/>
          <w:color w:val="auto"/>
        </w:rPr>
        <w:t>Section 2.2</w:t>
      </w:r>
      <w:r>
        <w:rPr>
          <w:rFonts w:ascii="Arial" w:cs="Arial" w:eastAsia="Arial" w:hAnsi="Arial"/>
          <w:sz w:val="14"/>
          <w:szCs w:val="14"/>
          <w:color w:val="auto"/>
        </w:rPr>
        <w:t>, Century shall retain, and have the right to sublicense (through multiple tiers) to Century’s Affiliates and Third Parties, the right to conduct or have conducted clinical trials of Licensed Products in the Territory for the purposes of Exploitation of Licensed Products within the Field in the Territory. CDI shall work in good faith to discuss Century’s request concerning the development plan outside the Territory for the Licensed Products in the Territory.</w:t>
      </w:r>
    </w:p>
    <w:p>
      <w:pPr>
        <w:spacing w:after="0" w:line="14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Technical Support.</w:t>
      </w:r>
      <w:r>
        <w:rPr>
          <w:rFonts w:ascii="Arial" w:cs="Arial" w:eastAsia="Arial" w:hAnsi="Arial"/>
          <w:sz w:val="14"/>
          <w:szCs w:val="14"/>
          <w:color w:val="auto"/>
        </w:rPr>
        <w:t xml:space="preserve"> Each Party shall, or shall cause its Affiliates to, use Commercially Reasonable Best Efforts to provide the other Party (including such other Party’s Affiliates) with the necessary technical support and transfer of Century Know How or Licensed Know-How or Regulatory Documentation where necessary to allow such Party to Exploit the Licensed Products in the Field in its respective territory pursuant to this Agreement. Further, CDI</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67" w:name="page568"/>
    <w:bookmarkEnd w:id="567"/>
    <w:p>
      <w:pPr>
        <w:jc w:val="both"/>
        <w:spacing w:after="0" w:line="263" w:lineRule="auto"/>
        <w:rPr>
          <w:sz w:val="20"/>
          <w:szCs w:val="20"/>
          <w:color w:val="auto"/>
        </w:rPr>
      </w:pPr>
      <w:r>
        <w:rPr>
          <w:rFonts w:ascii="Arial" w:cs="Arial" w:eastAsia="Arial" w:hAnsi="Arial"/>
          <w:sz w:val="14"/>
          <w:szCs w:val="14"/>
          <w:color w:val="auto"/>
        </w:rPr>
        <w:t>expressly agrees that Century shall have the right to reference any drug master files (or equivalent information as required by a Regulatory Authority) maintained, or that at any time during the Term become maintained, by CDI in the ordinary course of business relating to the Licensed Technology insofar as such information is necessary in connection with obtaining any Regulatory Approval for Licensed Products in the Field in the Territory. Century expressly agrees that CDI shall have the right to reference any drug master files (or equivalent information as required by a Regulatory Authority) maintained, or that at any time during the Term become maintained, by Century and its Affiliates and their respective Sublicensees in the ordinary course of business relating to the Century Licensed Technology insofar as such information is necessary in connection with obtaining any Regulatory Approval for Licensed Products in the Field outside the Territory.</w:t>
      </w:r>
    </w:p>
    <w:p>
      <w:pPr>
        <w:spacing w:after="0" w:line="150"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No Implied License</w:t>
      </w:r>
      <w:r>
        <w:rPr>
          <w:rFonts w:ascii="Arial" w:cs="Arial" w:eastAsia="Arial" w:hAnsi="Arial"/>
          <w:sz w:val="14"/>
          <w:szCs w:val="14"/>
          <w:color w:val="auto"/>
        </w:rPr>
        <w:t>. Except as explicitly set forth in this Agreement, neither Party shall acquire any license, intellectual property interest or other rights, by implication or otherwise, in any Know-How or under any Patent Rights Owned or Controlled by the other Party or its Affiliates.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3"/>
          <w:szCs w:val="13"/>
          <w:u w:val="single" w:color="auto"/>
          <w:color w:val="auto"/>
        </w:rPr>
        <w:t>Section 365(n) of the Bankruptcy Code.</w:t>
      </w:r>
    </w:p>
    <w:p>
      <w:pPr>
        <w:spacing w:after="0" w:line="184" w:lineRule="exact"/>
        <w:rPr>
          <w:sz w:val="20"/>
          <w:szCs w:val="20"/>
          <w:color w:val="auto"/>
        </w:rPr>
      </w:pPr>
    </w:p>
    <w:p>
      <w:pPr>
        <w:jc w:val="both"/>
        <w:ind w:firstLine="1042"/>
        <w:spacing w:after="0" w:line="265" w:lineRule="auto"/>
        <w:tabs>
          <w:tab w:leader="none" w:pos="1395" w:val="left"/>
        </w:tabs>
        <w:numPr>
          <w:ilvl w:val="0"/>
          <w:numId w:val="396"/>
        </w:numPr>
        <w:rPr>
          <w:rFonts w:ascii="Arial" w:cs="Arial" w:eastAsia="Arial" w:hAnsi="Arial"/>
          <w:sz w:val="14"/>
          <w:szCs w:val="14"/>
          <w:color w:val="auto"/>
        </w:rPr>
      </w:pPr>
      <w:r>
        <w:rPr>
          <w:rFonts w:ascii="Arial" w:cs="Arial" w:eastAsia="Arial" w:hAnsi="Arial"/>
          <w:sz w:val="14"/>
          <w:szCs w:val="14"/>
          <w:color w:val="auto"/>
        </w:rPr>
        <w:t>All rights and licenses granted under or pursuant to any section of this Agreement are and will otherwise be deemed to be for purposes of Section 365(n) of the United States Bankruptcy Code (Title 11, U.S. Code), as amended or any comparable Law outside the United States (the “</w:t>
      </w:r>
      <w:r>
        <w:rPr>
          <w:rFonts w:ascii="Arial" w:cs="Arial" w:eastAsia="Arial" w:hAnsi="Arial"/>
          <w:sz w:val="14"/>
          <w:szCs w:val="14"/>
          <w:b w:val="1"/>
          <w:bCs w:val="1"/>
          <w:color w:val="auto"/>
        </w:rPr>
        <w:t>Bankruptcy Code</w:t>
      </w:r>
      <w:r>
        <w:rPr>
          <w:rFonts w:ascii="Arial" w:cs="Arial" w:eastAsia="Arial" w:hAnsi="Arial"/>
          <w:sz w:val="14"/>
          <w:szCs w:val="14"/>
          <w:color w:val="auto"/>
        </w:rPr>
        <w:t>”), licenses of rights to “intellectual property” as defined in Section 101 (35A) of the Bankruptcy Code. Each licensing Party agrees that a licensed Party, as licensee of such rights under this Agreement, will retain and may fully exercise all of its rights and elections under the Bankruptcy Code or any other provisions of Law outside the United States that provide similar protection for “intellectual property.” Any agreement supplemental hereto will be deemed to be “agreements supplementary to” this Agreement for purposes of Section 365(n) of the Bankruptcy Code.</w:t>
      </w:r>
    </w:p>
    <w:p>
      <w:pPr>
        <w:spacing w:after="0" w:line="147" w:lineRule="exact"/>
        <w:rPr>
          <w:rFonts w:ascii="Arial" w:cs="Arial" w:eastAsia="Arial" w:hAnsi="Arial"/>
          <w:sz w:val="14"/>
          <w:szCs w:val="14"/>
          <w:color w:val="auto"/>
        </w:rPr>
      </w:pPr>
    </w:p>
    <w:p>
      <w:pPr>
        <w:jc w:val="both"/>
        <w:ind w:firstLine="1042"/>
        <w:spacing w:after="0" w:line="284" w:lineRule="auto"/>
        <w:tabs>
          <w:tab w:leader="none" w:pos="1365" w:val="left"/>
        </w:tabs>
        <w:numPr>
          <w:ilvl w:val="0"/>
          <w:numId w:val="396"/>
        </w:numPr>
        <w:rPr>
          <w:rFonts w:ascii="Arial" w:cs="Arial" w:eastAsia="Arial" w:hAnsi="Arial"/>
          <w:sz w:val="13"/>
          <w:szCs w:val="13"/>
          <w:color w:val="auto"/>
        </w:rPr>
      </w:pPr>
      <w:r>
        <w:rPr>
          <w:rFonts w:ascii="Arial" w:cs="Arial" w:eastAsia="Arial" w:hAnsi="Arial"/>
          <w:sz w:val="13"/>
          <w:szCs w:val="13"/>
          <w:color w:val="auto"/>
        </w:rPr>
        <w:t xml:space="preserve">In the event that, as a result of bankruptcy, insolvency, or other similar proceeding by or against a licensing Party excluding any rehabilitation or reorganization proceedings or other similar proceedings by or against a licensing Party, a licensed Party is unable to obtain or retain the licenses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of this Agreement, as the case may be under Section 365(n) of the Bankruptcy Code or provisions of the applicable federal, state or foreign law analogous to Section 365(n) of the Bankruptcy Code, the licensed Party shall have a right to purchase the licensing Party’s right, title and interest in and to Licensed Technology or Century Licensed Technology, as the case may be, at fair market value, provided that the licensed Party gives the licensing Party written notice of such intention no later than four (4) weeks after the licensed Party becomes aware of the commencement of such bankruptcy proceeding. The fair market value of the Licensed Technology or Century Licensed Technology, as the case may be shall be determined by an assessment made by a mutually agreed upon third party, or, if the Parties do not agree within thirty (30) days of the licensed Party’s written notice, a third party reasonably selected by the licensed Party with a background in conducting such assessments subject to the proceedings by or against a licensing Party. The costs of any such assessment shall be borne equally by the Parties.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68" w:name="page569"/>
    <w:bookmarkEnd w:id="568"/>
    <w:p>
      <w:pPr>
        <w:jc w:val="center"/>
        <w:spacing w:after="0"/>
        <w:rPr>
          <w:sz w:val="20"/>
          <w:szCs w:val="20"/>
          <w:color w:val="auto"/>
        </w:rPr>
      </w:pPr>
      <w:r>
        <w:rPr>
          <w:rFonts w:ascii="Arial" w:cs="Arial" w:eastAsia="Arial" w:hAnsi="Arial"/>
          <w:sz w:val="14"/>
          <w:szCs w:val="14"/>
          <w:b w:val="1"/>
          <w:bCs w:val="1"/>
          <w:color w:val="auto"/>
        </w:rPr>
        <w:t>ARTICLE 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Development, Commercialization and Manufacture</w:t>
      </w:r>
    </w:p>
    <w:p>
      <w:pPr>
        <w:spacing w:after="0" w:line="175"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General</w:t>
      </w:r>
      <w:r>
        <w:rPr>
          <w:rFonts w:ascii="Arial" w:cs="Arial" w:eastAsia="Arial" w:hAnsi="Arial"/>
          <w:sz w:val="14"/>
          <w:szCs w:val="14"/>
          <w:color w:val="auto"/>
        </w:rPr>
        <w:t>. Century shall be solely responsible for developing, preparing any and all regulatory filings for, obtaining Regulatory Approval of, and commercializing Licensed Products in the Field and in the Territory, in its sole discretion.</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u w:val="single" w:color="auto"/>
          <w:color w:val="auto"/>
        </w:rPr>
        <w:t>Diligence</w:t>
      </w:r>
      <w:r>
        <w:rPr>
          <w:rFonts w:ascii="Arial" w:cs="Arial" w:eastAsia="Arial" w:hAnsi="Arial"/>
          <w:sz w:val="13"/>
          <w:szCs w:val="13"/>
          <w:color w:val="auto"/>
        </w:rPr>
        <w:t>.</w:t>
      </w:r>
    </w:p>
    <w:p>
      <w:pPr>
        <w:spacing w:after="0" w:line="184" w:lineRule="exact"/>
        <w:rPr>
          <w:sz w:val="20"/>
          <w:szCs w:val="20"/>
          <w:color w:val="auto"/>
        </w:rPr>
      </w:pPr>
    </w:p>
    <w:p>
      <w:pPr>
        <w:jc w:val="both"/>
        <w:ind w:firstLine="1042"/>
        <w:spacing w:after="0" w:line="273" w:lineRule="auto"/>
        <w:tabs>
          <w:tab w:leader="none" w:pos="1375" w:val="left"/>
        </w:tabs>
        <w:numPr>
          <w:ilvl w:val="0"/>
          <w:numId w:val="397"/>
        </w:numPr>
        <w:rPr>
          <w:rFonts w:ascii="Arial" w:cs="Arial" w:eastAsia="Arial" w:hAnsi="Arial"/>
          <w:sz w:val="14"/>
          <w:szCs w:val="14"/>
          <w:color w:val="auto"/>
        </w:rPr>
      </w:pPr>
      <w:r>
        <w:rPr>
          <w:rFonts w:ascii="Arial" w:cs="Arial" w:eastAsia="Arial" w:hAnsi="Arial"/>
          <w:sz w:val="14"/>
          <w:szCs w:val="14"/>
          <w:color w:val="auto"/>
        </w:rPr>
        <w:t>Century shall use Commercially Reasonable Best Efforts, or shall cause one or more of its Affiliates and Sublicensees to use Commercially Reasonable Best Efforts, to [***]. Without limiting the foregoing, Century shall use Commercially Reasonable Best Efforts to develop, seek Regulatory Approval of and commercialize at least one (1) Licensed Product in the Territory and for the Field.</w:t>
      </w:r>
    </w:p>
    <w:p>
      <w:pPr>
        <w:spacing w:after="0" w:line="141" w:lineRule="exact"/>
        <w:rPr>
          <w:rFonts w:ascii="Arial" w:cs="Arial" w:eastAsia="Arial" w:hAnsi="Arial"/>
          <w:sz w:val="14"/>
          <w:szCs w:val="14"/>
          <w:color w:val="auto"/>
        </w:rPr>
      </w:pPr>
    </w:p>
    <w:p>
      <w:pPr>
        <w:ind w:firstLine="1042"/>
        <w:spacing w:after="0" w:line="288" w:lineRule="auto"/>
        <w:tabs>
          <w:tab w:leader="none" w:pos="1365" w:val="left"/>
        </w:tabs>
        <w:numPr>
          <w:ilvl w:val="0"/>
          <w:numId w:val="397"/>
        </w:numPr>
        <w:rPr>
          <w:rFonts w:ascii="Arial" w:cs="Arial" w:eastAsia="Arial" w:hAnsi="Arial"/>
          <w:sz w:val="14"/>
          <w:szCs w:val="14"/>
          <w:color w:val="auto"/>
        </w:rPr>
      </w:pPr>
      <w:r>
        <w:rPr>
          <w:rFonts w:ascii="Arial" w:cs="Arial" w:eastAsia="Arial" w:hAnsi="Arial"/>
          <w:sz w:val="14"/>
          <w:szCs w:val="14"/>
          <w:color w:val="auto"/>
        </w:rPr>
        <w:t xml:space="preserve">In the event CDI notifies Century of its election to Exploit the Licensed Product in the Field outside of the Territory in accordance with </w:t>
      </w:r>
      <w:r>
        <w:rPr>
          <w:rFonts w:ascii="Arial" w:cs="Arial" w:eastAsia="Arial" w:hAnsi="Arial"/>
          <w:sz w:val="14"/>
          <w:szCs w:val="14"/>
          <w:u w:val="single" w:color="auto"/>
          <w:color w:val="auto"/>
        </w:rPr>
        <w:t>Section 2.4</w:t>
      </w:r>
      <w:r>
        <w:rPr>
          <w:rFonts w:ascii="Arial" w:cs="Arial" w:eastAsia="Arial" w:hAnsi="Arial"/>
          <w:sz w:val="14"/>
          <w:szCs w:val="14"/>
          <w:color w:val="auto"/>
        </w:rPr>
        <w:t>, CDI shall use Commercially Reasonable Best Efforts to develop, seek Regulatory Approval of and commercialize [***].</w:t>
      </w:r>
    </w:p>
    <w:p>
      <w:pPr>
        <w:spacing w:after="0" w:line="131" w:lineRule="exact"/>
        <w:rPr>
          <w:rFonts w:ascii="Arial" w:cs="Arial" w:eastAsia="Arial" w:hAnsi="Arial"/>
          <w:sz w:val="14"/>
          <w:szCs w:val="14"/>
          <w:color w:val="auto"/>
        </w:rPr>
      </w:pPr>
    </w:p>
    <w:p>
      <w:pPr>
        <w:jc w:val="both"/>
        <w:ind w:firstLine="1042"/>
        <w:spacing w:after="0" w:line="267" w:lineRule="auto"/>
        <w:tabs>
          <w:tab w:leader="none" w:pos="1375" w:val="left"/>
        </w:tabs>
        <w:numPr>
          <w:ilvl w:val="0"/>
          <w:numId w:val="397"/>
        </w:numPr>
        <w:rPr>
          <w:rFonts w:ascii="Arial" w:cs="Arial" w:eastAsia="Arial" w:hAnsi="Arial"/>
          <w:sz w:val="14"/>
          <w:szCs w:val="14"/>
          <w:color w:val="auto"/>
        </w:rPr>
      </w:pPr>
      <w:r>
        <w:rPr>
          <w:rFonts w:ascii="Arial" w:cs="Arial" w:eastAsia="Arial" w:hAnsi="Arial"/>
          <w:sz w:val="14"/>
          <w:szCs w:val="14"/>
          <w:color w:val="auto"/>
        </w:rPr>
        <w:t xml:space="preserve">Upon receipt by either Party of a bona fide term sheet from a Third Party for a license or a collaborative development program with respect to a Licensed Product in a particular indication in the Field in such Party’s respective territory, if such Party is not then Exploiting the Licensed Product in such indication, then such Party agrees to either (i) enter into good faith negotiations with such Third Party with respect to sublicense under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or with respect to collaborative development program with CDI or (ii) initiate an internal program for the Licensed Product in the particular indication in the Field in such Party’s territory.</w:t>
      </w:r>
    </w:p>
    <w:p>
      <w:pPr>
        <w:spacing w:after="0" w:line="14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Development Plan</w:t>
      </w:r>
      <w:r>
        <w:rPr>
          <w:rFonts w:ascii="Arial" w:cs="Arial" w:eastAsia="Arial" w:hAnsi="Arial"/>
          <w:sz w:val="13"/>
          <w:szCs w:val="13"/>
          <w:color w:val="auto"/>
        </w:rPr>
        <w:t>. Within ninety (90) days following the Series A financing of Century, Century shall create a first draft of a development plan (including a manufacturing plan and a collaboration program ) for the Licensed Products (each, a “</w:t>
      </w:r>
      <w:r>
        <w:rPr>
          <w:rFonts w:ascii="Arial" w:cs="Arial" w:eastAsia="Arial" w:hAnsi="Arial"/>
          <w:sz w:val="13"/>
          <w:szCs w:val="13"/>
          <w:b w:val="1"/>
          <w:bCs w:val="1"/>
          <w:color w:val="auto"/>
        </w:rPr>
        <w:t>Development Plan</w:t>
      </w:r>
      <w:r>
        <w:rPr>
          <w:rFonts w:ascii="Arial" w:cs="Arial" w:eastAsia="Arial" w:hAnsi="Arial"/>
          <w:sz w:val="13"/>
          <w:szCs w:val="13"/>
          <w:color w:val="auto"/>
        </w:rPr>
        <w:t>”) that describes, on a Calendar Year basis, (a) the proposed overall development program and objectives for Licensed Products in the Territory and for the Field; (b) the anticipated timelines for such development activities; (c) the materials to be transferred by the Parties for the performance of the development program; (d) the respective roles and responsibilities of each Party in connection with such activities. CDI and its Affiliates shall be given reasonably adequate time to review and comment upon the Development Plan before such Development Plan is finalized and for clarity, any final Development Plan shall include a manufacturing plan and a collaboration program for the Licensed Products in sufficient detail to enable the Parties to discuss contract manufacturing and development arrangements as soon as practicable following</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569" w:name="page570"/>
    <w:bookmarkEnd w:id="569"/>
    <w:p>
      <w:pPr>
        <w:jc w:val="both"/>
        <w:spacing w:after="0" w:line="273" w:lineRule="auto"/>
        <w:rPr>
          <w:sz w:val="20"/>
          <w:szCs w:val="20"/>
          <w:color w:val="auto"/>
        </w:rPr>
      </w:pPr>
      <w:r>
        <w:rPr>
          <w:rFonts w:ascii="Arial" w:cs="Arial" w:eastAsia="Arial" w:hAnsi="Arial"/>
          <w:sz w:val="14"/>
          <w:szCs w:val="14"/>
          <w:color w:val="auto"/>
        </w:rPr>
        <w:t xml:space="preserve">the Effective Date. Century shall consider in good faith any comments to the Development Plan received by CDI or its Affiliates. Notwithstanding anything to the contrary herein, Century shall have the final decision-making authority with respect to the Development Plan and the performance of any activities therein;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Century will communicate to CDI any material amendments to the Development Plan and upon CDI’s request, Century will provide to CDI the rationale for such amendments.</w:t>
      </w:r>
    </w:p>
    <w:p>
      <w:pPr>
        <w:spacing w:after="0" w:line="13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JSC</w:t>
      </w:r>
      <w:r>
        <w:rPr>
          <w:rFonts w:ascii="Arial" w:cs="Arial" w:eastAsia="Arial" w:hAnsi="Arial"/>
          <w:sz w:val="14"/>
          <w:szCs w:val="14"/>
          <w:color w:val="auto"/>
        </w:rPr>
        <w:t>. The Parties shall establish a joint steering committee (the “</w:t>
      </w:r>
      <w:r>
        <w:rPr>
          <w:rFonts w:ascii="Arial" w:cs="Arial" w:eastAsia="Arial" w:hAnsi="Arial"/>
          <w:sz w:val="14"/>
          <w:szCs w:val="14"/>
          <w:b w:val="1"/>
          <w:bCs w:val="1"/>
          <w:color w:val="auto"/>
        </w:rPr>
        <w:t>Joint Steering Committee</w:t>
      </w:r>
      <w:r>
        <w:rPr>
          <w:rFonts w:ascii="Arial" w:cs="Arial" w:eastAsia="Arial" w:hAnsi="Arial"/>
          <w:sz w:val="14"/>
          <w:szCs w:val="14"/>
          <w:color w:val="auto"/>
        </w:rPr>
        <w:t>” or “</w:t>
      </w:r>
      <w:r>
        <w:rPr>
          <w:rFonts w:ascii="Arial" w:cs="Arial" w:eastAsia="Arial" w:hAnsi="Arial"/>
          <w:sz w:val="14"/>
          <w:szCs w:val="14"/>
          <w:b w:val="1"/>
          <w:bCs w:val="1"/>
          <w:color w:val="auto"/>
        </w:rPr>
        <w:t>JSC</w:t>
      </w:r>
      <w:r>
        <w:rPr>
          <w:rFonts w:ascii="Arial" w:cs="Arial" w:eastAsia="Arial" w:hAnsi="Arial"/>
          <w:sz w:val="14"/>
          <w:szCs w:val="14"/>
          <w:color w:val="auto"/>
        </w:rPr>
        <w:t>”), that shall be purely advisory and shall be comprised of equal number of representatives of each Party. The JSC shall (a) discuss the allocation of responsibilities for activities within the Development Plan (including collaboration program) and the design and coordination of such activities; (b) discuss any potential TiPSC Lines that may come into existence during the Term; and (c) encourage and facilitate cooperation and communication between the Parties with respect to the Development Plan. The JSC shall be held at least twice in a Calendar Year.</w:t>
      </w:r>
    </w:p>
    <w:p>
      <w:pPr>
        <w:spacing w:after="0" w:line="14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Progress Reports</w:t>
      </w:r>
      <w:r>
        <w:rPr>
          <w:rFonts w:ascii="Arial" w:cs="Arial" w:eastAsia="Arial" w:hAnsi="Arial"/>
          <w:sz w:val="14"/>
          <w:szCs w:val="14"/>
          <w:color w:val="auto"/>
        </w:rPr>
        <w:t>. Century shall provide, within sixty (60) days after the end of each Calendar Year, a status progress report to CDI that summarizes the status of Century’s research, development and Commercialization efforts and activities with respect to Licensed Products during such Calendar Year.</w:t>
      </w:r>
    </w:p>
    <w:p>
      <w:pPr>
        <w:spacing w:after="0" w:line="13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Compliance</w:t>
      </w:r>
      <w:r>
        <w:rPr>
          <w:rFonts w:ascii="Arial" w:cs="Arial" w:eastAsia="Arial" w:hAnsi="Arial"/>
          <w:sz w:val="14"/>
          <w:szCs w:val="14"/>
          <w:color w:val="auto"/>
        </w:rPr>
        <w:t>. Each Party shall, and shall ensure that its Affiliates and Sublicensees, and its and their subcontractors, conduct all development, manufacture and Commercialization of Licensed Products in compliance with all applicable Laws.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3"/>
          <w:szCs w:val="13"/>
          <w:u w:val="single" w:color="auto"/>
          <w:color w:val="auto"/>
        </w:rPr>
        <w:t>Manufacturing</w:t>
      </w:r>
      <w:r>
        <w:rPr>
          <w:rFonts w:ascii="Arial" w:cs="Arial" w:eastAsia="Arial" w:hAnsi="Arial"/>
          <w:sz w:val="13"/>
          <w:szCs w:val="13"/>
          <w:color w:val="auto"/>
        </w:rPr>
        <w:t>.</w:t>
      </w:r>
    </w:p>
    <w:p>
      <w:pPr>
        <w:spacing w:after="0" w:line="184" w:lineRule="exact"/>
        <w:rPr>
          <w:sz w:val="20"/>
          <w:szCs w:val="20"/>
          <w:color w:val="auto"/>
        </w:rPr>
      </w:pPr>
    </w:p>
    <w:p>
      <w:pPr>
        <w:jc w:val="both"/>
        <w:ind w:firstLine="1042"/>
        <w:spacing w:after="0" w:line="282" w:lineRule="auto"/>
        <w:tabs>
          <w:tab w:leader="none" w:pos="1401" w:val="left"/>
        </w:tabs>
        <w:numPr>
          <w:ilvl w:val="0"/>
          <w:numId w:val="398"/>
        </w:numPr>
        <w:rPr>
          <w:rFonts w:ascii="Arial" w:cs="Arial" w:eastAsia="Arial" w:hAnsi="Arial"/>
          <w:sz w:val="13"/>
          <w:szCs w:val="13"/>
          <w:color w:val="auto"/>
        </w:rPr>
      </w:pPr>
      <w:r>
        <w:rPr>
          <w:rFonts w:ascii="Arial" w:cs="Arial" w:eastAsia="Arial" w:hAnsi="Arial"/>
          <w:sz w:val="13"/>
          <w:szCs w:val="13"/>
          <w:color w:val="auto"/>
        </w:rPr>
        <w:t xml:space="preserve">Subject to this </w:t>
      </w:r>
      <w:r>
        <w:rPr>
          <w:rFonts w:ascii="Arial" w:cs="Arial" w:eastAsia="Arial" w:hAnsi="Arial"/>
          <w:sz w:val="13"/>
          <w:szCs w:val="13"/>
          <w:u w:val="single" w:color="auto"/>
          <w:color w:val="auto"/>
        </w:rPr>
        <w:t>Section 3.7(a)</w:t>
      </w:r>
      <w:r>
        <w:rPr>
          <w:rFonts w:ascii="Arial" w:cs="Arial" w:eastAsia="Arial" w:hAnsi="Arial"/>
          <w:sz w:val="13"/>
          <w:szCs w:val="13"/>
          <w:color w:val="auto"/>
        </w:rPr>
        <w:t>, during the Term, CDI (and its Affiliates) shall have the exclusive right to manufacture and supply human iPSC (including TiPSC) and the Licensed Products to Century, its Affiliates and Sublicensees for [***] beginning on the Effective Date. If at any time following [***] of the Effective Date, Century wishes to have a Third Party manufacture human iPSC (including TiPSC), Century shall discuss with CDI in good faith the possibility of using such Third Party to manufacture human iPSC (including TiPSC), provided that Century shall have the sole discretion to determine whether to use CDI or such Third Party for such manufacture of iPSC (including TiPSC). In the event that Century elects to use a Third Party manufacturer, CDI hereby agrees to amend the terms of this Agreement for no additional consideration under this Agreement and without delay to provide Century, its Affiliates and Sublicensees with the necessary licenses under the Licensed Technology for the Exploitation of such products, including amending the definition of “Licensed Product” to remove the limitation that iPSC be exclusive manufactured by CDI. The Parties shall negotiate in good faith as soon as reasonably practical the terms of a manufacturing and supply agreement under which CDI or its Affiliate would itself manufacture and supply human iPSC (including TiPSC) and CDI and/or its Affiliates or contractors would manufacture and supply the Licensed Products to Century, its Affiliates and Sublicensees (a “</w:t>
      </w:r>
      <w:r>
        <w:rPr>
          <w:rFonts w:ascii="Arial" w:cs="Arial" w:eastAsia="Arial" w:hAnsi="Arial"/>
          <w:sz w:val="13"/>
          <w:szCs w:val="13"/>
          <w:b w:val="1"/>
          <w:bCs w:val="1"/>
          <w:color w:val="auto"/>
        </w:rPr>
        <w:t>Supply Agreement</w:t>
      </w:r>
      <w:r>
        <w:rPr>
          <w:rFonts w:ascii="Arial" w:cs="Arial" w:eastAsia="Arial" w:hAnsi="Arial"/>
          <w:sz w:val="13"/>
          <w:szCs w:val="13"/>
          <w:color w:val="auto"/>
        </w:rPr>
        <w:t>”) and the terms of a quality agreement which would provide the responsibilities of Century and CDI or its Affiliates for quality assurance of human iPSC (including TiPSC) and the Licensed Products referenced in the Supply Agreement (a “</w:t>
      </w:r>
      <w:r>
        <w:rPr>
          <w:rFonts w:ascii="Arial" w:cs="Arial" w:eastAsia="Arial" w:hAnsi="Arial"/>
          <w:sz w:val="13"/>
          <w:szCs w:val="13"/>
          <w:b w:val="1"/>
          <w:bCs w:val="1"/>
          <w:color w:val="auto"/>
        </w:rPr>
        <w:t>Quality Agreement</w:t>
      </w:r>
      <w:r>
        <w:rPr>
          <w:rFonts w:ascii="Arial" w:cs="Arial" w:eastAsia="Arial" w:hAnsi="Arial"/>
          <w:sz w:val="13"/>
          <w:szCs w:val="13"/>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70" w:name="page571"/>
    <w:bookmarkEnd w:id="570"/>
    <w:p>
      <w:pPr>
        <w:jc w:val="both"/>
        <w:ind w:firstLine="1042"/>
        <w:spacing w:after="0" w:line="273" w:lineRule="auto"/>
        <w:tabs>
          <w:tab w:leader="none" w:pos="1381" w:val="left"/>
        </w:tabs>
        <w:numPr>
          <w:ilvl w:val="0"/>
          <w:numId w:val="399"/>
        </w:numPr>
        <w:rPr>
          <w:rFonts w:ascii="Arial" w:cs="Arial" w:eastAsia="Arial" w:hAnsi="Arial"/>
          <w:sz w:val="14"/>
          <w:szCs w:val="14"/>
          <w:color w:val="auto"/>
        </w:rPr>
      </w:pPr>
      <w:r>
        <w:rPr>
          <w:rFonts w:ascii="Arial" w:cs="Arial" w:eastAsia="Arial" w:hAnsi="Arial"/>
          <w:sz w:val="14"/>
          <w:szCs w:val="14"/>
          <w:color w:val="auto"/>
        </w:rPr>
        <w:t>The Supply Agreement and Quality Agreement shall each contain terms and conditions that are commercially reasonable given the terms of the Parties’ collaboration under this Agreement, including manufacturing capacity, quantity, forecasting, timeliness of delivery, quality, cost, and failure of supply that are consistent with prevailing industry standards for Third Party contract manufacturing agreements for comparable products.</w:t>
      </w:r>
    </w:p>
    <w:p>
      <w:pPr>
        <w:spacing w:after="0" w:line="141" w:lineRule="exact"/>
        <w:rPr>
          <w:rFonts w:ascii="Arial" w:cs="Arial" w:eastAsia="Arial" w:hAnsi="Arial"/>
          <w:sz w:val="14"/>
          <w:szCs w:val="14"/>
          <w:color w:val="auto"/>
        </w:rPr>
      </w:pPr>
    </w:p>
    <w:p>
      <w:pPr>
        <w:ind w:left="1400" w:hanging="358"/>
        <w:spacing w:after="0"/>
        <w:tabs>
          <w:tab w:leader="none" w:pos="1400" w:val="left"/>
        </w:tabs>
        <w:numPr>
          <w:ilvl w:val="0"/>
          <w:numId w:val="399"/>
        </w:numPr>
        <w:rPr>
          <w:rFonts w:ascii="Arial" w:cs="Arial" w:eastAsia="Arial" w:hAnsi="Arial"/>
          <w:sz w:val="14"/>
          <w:szCs w:val="14"/>
          <w:color w:val="auto"/>
        </w:rPr>
      </w:pPr>
      <w:r>
        <w:rPr>
          <w:rFonts w:ascii="Arial" w:cs="Arial" w:eastAsia="Arial" w:hAnsi="Arial"/>
          <w:sz w:val="14"/>
          <w:szCs w:val="14"/>
          <w:color w:val="auto"/>
        </w:rPr>
        <w:t>The Supply Agreement shall provide:</w:t>
      </w:r>
    </w:p>
    <w:p>
      <w:pPr>
        <w:spacing w:after="0" w:line="184" w:lineRule="exact"/>
        <w:rPr>
          <w:rFonts w:ascii="Arial" w:cs="Arial" w:eastAsia="Arial" w:hAnsi="Arial"/>
          <w:sz w:val="14"/>
          <w:szCs w:val="14"/>
          <w:color w:val="auto"/>
        </w:rPr>
      </w:pPr>
    </w:p>
    <w:p>
      <w:pPr>
        <w:ind w:left="1900" w:hanging="340"/>
        <w:spacing w:after="0"/>
        <w:tabs>
          <w:tab w:leader="none" w:pos="1900" w:val="left"/>
        </w:tabs>
        <w:numPr>
          <w:ilvl w:val="1"/>
          <w:numId w:val="399"/>
        </w:numPr>
        <w:rPr>
          <w:rFonts w:ascii="Arial" w:cs="Arial" w:eastAsia="Arial" w:hAnsi="Arial"/>
          <w:sz w:val="13"/>
          <w:szCs w:val="13"/>
          <w:color w:val="auto"/>
        </w:rPr>
      </w:pPr>
      <w:r>
        <w:rPr>
          <w:rFonts w:ascii="Arial" w:cs="Arial" w:eastAsia="Arial" w:hAnsi="Arial"/>
          <w:sz w:val="13"/>
          <w:szCs w:val="13"/>
          <w:color w:val="auto"/>
        </w:rPr>
        <w:t>CDI’s (and its Affiliates) exclusive right to manufacture and supply human iPSC (including TiPSC) and the Licensed Products to Century, its Affiliates and</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Sublicensees;</w:t>
      </w:r>
    </w:p>
    <w:p>
      <w:pPr>
        <w:spacing w:after="0" w:line="174" w:lineRule="exact"/>
        <w:rPr>
          <w:rFonts w:ascii="Arial" w:cs="Arial" w:eastAsia="Arial" w:hAnsi="Arial"/>
          <w:sz w:val="13"/>
          <w:szCs w:val="13"/>
          <w:color w:val="auto"/>
        </w:rPr>
      </w:pPr>
    </w:p>
    <w:p>
      <w:pPr>
        <w:ind w:left="1920" w:hanging="360"/>
        <w:spacing w:after="0"/>
        <w:tabs>
          <w:tab w:leader="none" w:pos="1920" w:val="left"/>
        </w:tabs>
        <w:numPr>
          <w:ilvl w:val="1"/>
          <w:numId w:val="399"/>
        </w:numPr>
        <w:rPr>
          <w:rFonts w:ascii="Arial" w:cs="Arial" w:eastAsia="Arial" w:hAnsi="Arial"/>
          <w:sz w:val="13"/>
          <w:szCs w:val="13"/>
          <w:color w:val="auto"/>
        </w:rPr>
      </w:pPr>
      <w:r>
        <w:rPr>
          <w:rFonts w:ascii="Arial" w:cs="Arial" w:eastAsia="Arial" w:hAnsi="Arial"/>
          <w:sz w:val="13"/>
          <w:szCs w:val="13"/>
          <w:color w:val="auto"/>
        </w:rPr>
        <w:t>obligations of CDI (or its Affiliates or contractors) to perform manufacturing activities in a good scientific manner and in compliance in all material respects with</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all applicable Law; and</w:t>
      </w:r>
    </w:p>
    <w:p>
      <w:pPr>
        <w:spacing w:after="0" w:line="174" w:lineRule="exact"/>
        <w:rPr>
          <w:rFonts w:ascii="Arial" w:cs="Arial" w:eastAsia="Arial" w:hAnsi="Arial"/>
          <w:sz w:val="13"/>
          <w:szCs w:val="13"/>
          <w:color w:val="auto"/>
        </w:rPr>
      </w:pPr>
    </w:p>
    <w:p>
      <w:pPr>
        <w:jc w:val="both"/>
        <w:ind w:firstLine="1560"/>
        <w:spacing w:after="0" w:line="267" w:lineRule="auto"/>
        <w:tabs>
          <w:tab w:leader="none" w:pos="1931" w:val="left"/>
        </w:tabs>
        <w:numPr>
          <w:ilvl w:val="1"/>
          <w:numId w:val="399"/>
        </w:numPr>
        <w:rPr>
          <w:rFonts w:ascii="Arial" w:cs="Arial" w:eastAsia="Arial" w:hAnsi="Arial"/>
          <w:sz w:val="14"/>
          <w:szCs w:val="14"/>
          <w:color w:val="auto"/>
        </w:rPr>
      </w:pPr>
      <w:r>
        <w:rPr>
          <w:rFonts w:ascii="Arial" w:cs="Arial" w:eastAsia="Arial" w:hAnsi="Arial"/>
          <w:sz w:val="14"/>
          <w:szCs w:val="14"/>
          <w:color w:val="auto"/>
        </w:rPr>
        <w:t>Century’s ability to manufacture by itself or through its Affiliate, or to grant to a Third Party manufacturer, excluding any manufacturer set forth on Schedule 3.7(a), (a “Century CMO”) the right to manufacture, the Licensed Products in minimal quantities necessary to prevent a supply interruption in the event of a Non-Supply Event and for such purposes CDI’s transfer of the Licensed Technology to Century or its Affiliate or such Third Party manufacturer, upon Century’s request. Details of the technology transfer provided by CDI will be set forth in the Supply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Payment Terms</w:t>
      </w:r>
    </w:p>
    <w:p>
      <w:pPr>
        <w:spacing w:after="0" w:line="175"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Consideration</w:t>
      </w:r>
      <w:r>
        <w:rPr>
          <w:rFonts w:ascii="Arial" w:cs="Arial" w:eastAsia="Arial" w:hAnsi="Arial"/>
          <w:sz w:val="14"/>
          <w:szCs w:val="14"/>
          <w:color w:val="auto"/>
        </w:rPr>
        <w:t>. In consideration of the rights and licenses granted to Century herein, Century shall issue to CDI 7,500,000 shares of Common Stock of Century, $0.0001 par value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which such issuance shall take place on the Closing Date, as defined in the stock purchase agreement as to the Common Stock to be entered into between the Parties (“</w:t>
      </w:r>
      <w:r>
        <w:rPr>
          <w:rFonts w:ascii="Arial" w:cs="Arial" w:eastAsia="Arial" w:hAnsi="Arial"/>
          <w:sz w:val="14"/>
          <w:szCs w:val="14"/>
          <w:b w:val="1"/>
          <w:bCs w:val="1"/>
          <w:color w:val="auto"/>
        </w:rPr>
        <w:t>Common Stock Purchase Agreement</w:t>
      </w:r>
      <w:r>
        <w:rPr>
          <w:rFonts w:ascii="Arial" w:cs="Arial" w:eastAsia="Arial" w:hAnsi="Arial"/>
          <w:sz w:val="14"/>
          <w:szCs w:val="14"/>
          <w:color w:val="auto"/>
        </w:rPr>
        <w:t>”). The detailed terms and conditions of CDI’s subscription of the Common Stock are set forth in the Common Stock Purchase Agreement and the Subscription Agreement that the Parties and Versant entered into on the Effective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 Protection and Related Matters</w:t>
      </w:r>
    </w:p>
    <w:p>
      <w:pPr>
        <w:spacing w:after="0" w:line="175" w:lineRule="exact"/>
        <w:rPr>
          <w:sz w:val="20"/>
          <w:szCs w:val="20"/>
          <w:color w:val="auto"/>
        </w:rPr>
      </w:pPr>
    </w:p>
    <w:p>
      <w:pPr>
        <w:jc w:val="both"/>
        <w:ind w:firstLine="518"/>
        <w:spacing w:after="0" w:line="303"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Ownership</w:t>
      </w:r>
      <w:r>
        <w:rPr>
          <w:rFonts w:ascii="Arial" w:cs="Arial" w:eastAsia="Arial" w:hAnsi="Arial"/>
          <w:sz w:val="13"/>
          <w:szCs w:val="13"/>
          <w:color w:val="auto"/>
        </w:rPr>
        <w:t xml:space="preserve">. As between the Parties, each Party or its Affiliates shall solely own all Intellectual Property, including Patent Rights related thereto, made, conceived, reduced to practice, or otherwise discovered, whether prior to, on or after the Effective Date, solely by employees, agents and consultants of such Party or its Affiliates. For purposes of determining ownership under this </w:t>
      </w:r>
      <w:r>
        <w:rPr>
          <w:rFonts w:ascii="Arial" w:cs="Arial" w:eastAsia="Arial" w:hAnsi="Arial"/>
          <w:sz w:val="13"/>
          <w:szCs w:val="13"/>
          <w:u w:val="single" w:color="auto"/>
          <w:color w:val="auto"/>
        </w:rPr>
        <w:t>Section 5.1</w:t>
      </w:r>
      <w:r>
        <w:rPr>
          <w:rFonts w:ascii="Arial" w:cs="Arial" w:eastAsia="Arial" w:hAnsi="Arial"/>
          <w:sz w:val="13"/>
          <w:szCs w:val="13"/>
          <w:color w:val="auto"/>
        </w:rPr>
        <w:t>, inventorship shall be determined in accordance with the rules of inventorship under U.S. patent laws, subject to applicable mandatory Law.</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71" w:name="page572"/>
    <w:bookmarkEnd w:id="571"/>
    <w:p>
      <w:pPr>
        <w:ind w:left="520"/>
        <w:spacing w:after="0"/>
        <w:tabs>
          <w:tab w:leader="none" w:pos="8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u w:val="single" w:color="auto"/>
          <w:color w:val="auto"/>
        </w:rPr>
        <w:t>Prosecution and Maintenance of Licensed Patent Rights.</w:t>
      </w:r>
    </w:p>
    <w:p>
      <w:pPr>
        <w:spacing w:after="0" w:line="184" w:lineRule="exact"/>
        <w:rPr>
          <w:sz w:val="20"/>
          <w:szCs w:val="20"/>
          <w:color w:val="auto"/>
        </w:rPr>
      </w:pPr>
    </w:p>
    <w:p>
      <w:pPr>
        <w:jc w:val="both"/>
        <w:ind w:firstLine="1042"/>
        <w:spacing w:after="0" w:line="287" w:lineRule="auto"/>
        <w:tabs>
          <w:tab w:leader="none" w:pos="1391" w:val="left"/>
        </w:tabs>
        <w:numPr>
          <w:ilvl w:val="0"/>
          <w:numId w:val="400"/>
        </w:numPr>
        <w:rPr>
          <w:rFonts w:ascii="Arial" w:cs="Arial" w:eastAsia="Arial" w:hAnsi="Arial"/>
          <w:sz w:val="13"/>
          <w:szCs w:val="13"/>
          <w:color w:val="auto"/>
        </w:rPr>
      </w:pPr>
      <w:r>
        <w:rPr>
          <w:rFonts w:ascii="Arial" w:cs="Arial" w:eastAsia="Arial" w:hAnsi="Arial"/>
          <w:sz w:val="13"/>
          <w:szCs w:val="13"/>
          <w:color w:val="auto"/>
        </w:rPr>
        <w:t xml:space="preserve">As of the Effective Date, CDI shall have the first right to Prosecute and Maintain all Licensed Patent Rights worldwide within the Field;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subject to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5.2(b)</w:t>
      </w:r>
      <w:r>
        <w:rPr>
          <w:rFonts w:ascii="Arial" w:cs="Arial" w:eastAsia="Arial" w:hAnsi="Arial"/>
          <w:sz w:val="13"/>
          <w:szCs w:val="13"/>
          <w:color w:val="auto"/>
        </w:rPr>
        <w:t>, CDI shall consult with and take into good-faith consideration reasonably in advance any comments from Century with respect to such Prosecution and Maintenance, provided further that Century shall respond to CDI’s request for consultation in a timely and diligent manner. CDI shall pursue in good faith all reasonable claims requested by Century in the prosecution of any Licensed Patent Rights in the Territory. In the event CDI fails or chooses not to Prosecute or Maintain any Licensed Patent Rights in a country within the Field, CDI shall provide Century written notice of such decision at least thirty (30) days before any deadline for taking action to avoid abandonment (or other loss of rights) of such Licensed Patent Rights within the Field and Century shall have the right, but not the obligation, in its sole discretion, to Prosecute and Maintain such Licensed Patent Rights in such country within the Field at its own expense.</w:t>
      </w:r>
    </w:p>
    <w:p>
      <w:pPr>
        <w:spacing w:after="0" w:line="135" w:lineRule="exact"/>
        <w:rPr>
          <w:rFonts w:ascii="Arial" w:cs="Arial" w:eastAsia="Arial" w:hAnsi="Arial"/>
          <w:sz w:val="13"/>
          <w:szCs w:val="13"/>
          <w:color w:val="auto"/>
        </w:rPr>
      </w:pPr>
    </w:p>
    <w:p>
      <w:pPr>
        <w:jc w:val="both"/>
        <w:ind w:firstLine="1042"/>
        <w:spacing w:after="0" w:line="260" w:lineRule="auto"/>
        <w:tabs>
          <w:tab w:leader="none" w:pos="1363" w:val="left"/>
        </w:tabs>
        <w:numPr>
          <w:ilvl w:val="0"/>
          <w:numId w:val="400"/>
        </w:numPr>
        <w:rPr>
          <w:rFonts w:ascii="Arial" w:cs="Arial" w:eastAsia="Arial" w:hAnsi="Arial"/>
          <w:sz w:val="14"/>
          <w:szCs w:val="14"/>
          <w:color w:val="auto"/>
        </w:rPr>
      </w:pPr>
      <w:r>
        <w:rPr>
          <w:rFonts w:ascii="Arial" w:cs="Arial" w:eastAsia="Arial" w:hAnsi="Arial"/>
          <w:sz w:val="14"/>
          <w:szCs w:val="14"/>
          <w:color w:val="auto"/>
        </w:rPr>
        <w:t xml:space="preserve">With respect to the Prosecution and Maintenance of any Licensed Patent Rights by CDI, CDI shall: (i) choose patent counsel reasonably acceptable to the other Party; (ii) instruct such patent counsel to furnish Century with copies of all correspondence relating to the Licensed Patent Rights within the Field received from the United States Patent and Trademark Office and any other patent office promptly after receipt; (iii) instruct such patent counsel to furnish Century with copies of all correspondence relating to the Licensed Patent Rights within the Field sent to the United States Patent and Trademark Office and any other patent office promptly after it is sent; and (iv) instruct such patent counsel to furnish Century with copies of all proposed filings or other correspondence to the United States Patent and Trademark Office and any other patent office in advance of such filing to permit Century a reasonable opportunity to review and comment on such response. CDI shall include any reasonable and timely comments from Century with respect to the Prosecution and Maintenance of the applicable Licensed Patent Rights within the Field within the Territory and shall instruct its patent counsel to do so. Further, CDI shall permit Century to directly communicate with the its patent counsel so long as CDI is copied in all important communication and shall not unreasonably refuse to implement any reasonable and timely comment provided by Century to the extent they relate to any Licensed Patent Rights within the Field within the Territory, or any claims therein, that cover the Licensed Products in the Field. For the avoidance of doubt, this </w:t>
      </w:r>
      <w:r>
        <w:rPr>
          <w:rFonts w:ascii="Arial" w:cs="Arial" w:eastAsia="Arial" w:hAnsi="Arial"/>
          <w:sz w:val="14"/>
          <w:szCs w:val="14"/>
          <w:u w:val="single" w:color="auto"/>
          <w:color w:val="auto"/>
        </w:rPr>
        <w:t>Section 5.2(b)</w:t>
      </w:r>
      <w:r>
        <w:rPr>
          <w:rFonts w:ascii="Arial" w:cs="Arial" w:eastAsia="Arial" w:hAnsi="Arial"/>
          <w:sz w:val="14"/>
          <w:szCs w:val="14"/>
          <w:color w:val="auto"/>
        </w:rPr>
        <w:t xml:space="preserve"> shall not apply with respect to Century in the event Century controls the Prosecution and Maintenance as a result of CDI’s failure or election not to Prosecute and Maintain such Licensed Patent Rights within the Field within the Territory pursuant to </w:t>
      </w:r>
      <w:r>
        <w:rPr>
          <w:rFonts w:ascii="Arial" w:cs="Arial" w:eastAsia="Arial" w:hAnsi="Arial"/>
          <w:sz w:val="14"/>
          <w:szCs w:val="14"/>
          <w:u w:val="single" w:color="auto"/>
          <w:color w:val="auto"/>
        </w:rPr>
        <w:t>Section 5.2(a)</w:t>
      </w:r>
      <w:r>
        <w:rPr>
          <w:rFonts w:ascii="Arial" w:cs="Arial" w:eastAsia="Arial" w:hAnsi="Arial"/>
          <w:sz w:val="14"/>
          <w:szCs w:val="14"/>
          <w:color w:val="auto"/>
        </w:rPr>
        <w:t>.</w:t>
      </w:r>
    </w:p>
    <w:p>
      <w:pPr>
        <w:spacing w:after="0" w:line="153" w:lineRule="exact"/>
        <w:rPr>
          <w:rFonts w:ascii="Arial" w:cs="Arial" w:eastAsia="Arial" w:hAnsi="Arial"/>
          <w:sz w:val="14"/>
          <w:szCs w:val="14"/>
          <w:color w:val="auto"/>
        </w:rPr>
      </w:pPr>
    </w:p>
    <w:p>
      <w:pPr>
        <w:jc w:val="both"/>
        <w:ind w:firstLine="1042"/>
        <w:spacing w:after="0" w:line="273" w:lineRule="auto"/>
        <w:tabs>
          <w:tab w:leader="none" w:pos="1397" w:val="left"/>
        </w:tabs>
        <w:numPr>
          <w:ilvl w:val="0"/>
          <w:numId w:val="400"/>
        </w:numPr>
        <w:rPr>
          <w:rFonts w:ascii="Arial" w:cs="Arial" w:eastAsia="Arial" w:hAnsi="Arial"/>
          <w:sz w:val="14"/>
          <w:szCs w:val="14"/>
          <w:color w:val="auto"/>
        </w:rPr>
      </w:pPr>
      <w:r>
        <w:rPr>
          <w:rFonts w:ascii="Arial" w:cs="Arial" w:eastAsia="Arial" w:hAnsi="Arial"/>
          <w:sz w:val="14"/>
          <w:szCs w:val="14"/>
          <w:color w:val="auto"/>
        </w:rPr>
        <w:t>Both Parties shall reasonably cooperate with each other and patent counsel in Prosecution and Maintenance of the Licensed Patent Rights in all countries within the Field, including, as reasonably requested, (i) providing patent counsel with data and other information as appropriate with respect thereto, (ii) providing any necessary powers of attorney (including limited powers of attorney) and (iii) executing any other required documents or instruments for such Prosecution and Maintenance.</w:t>
      </w:r>
    </w:p>
    <w:p>
      <w:pPr>
        <w:spacing w:after="0" w:line="141" w:lineRule="exact"/>
        <w:rPr>
          <w:rFonts w:ascii="Arial" w:cs="Arial" w:eastAsia="Arial" w:hAnsi="Arial"/>
          <w:sz w:val="14"/>
          <w:szCs w:val="14"/>
          <w:color w:val="auto"/>
        </w:rPr>
      </w:pPr>
    </w:p>
    <w:p>
      <w:pPr>
        <w:ind w:left="1380" w:hanging="338"/>
        <w:spacing w:after="0"/>
        <w:tabs>
          <w:tab w:leader="none" w:pos="1380" w:val="left"/>
        </w:tabs>
        <w:numPr>
          <w:ilvl w:val="0"/>
          <w:numId w:val="400"/>
        </w:numPr>
        <w:rPr>
          <w:rFonts w:ascii="Arial" w:cs="Arial" w:eastAsia="Arial" w:hAnsi="Arial"/>
          <w:sz w:val="14"/>
          <w:szCs w:val="14"/>
          <w:color w:val="auto"/>
        </w:rPr>
      </w:pPr>
      <w:r>
        <w:rPr>
          <w:rFonts w:ascii="Arial" w:cs="Arial" w:eastAsia="Arial" w:hAnsi="Arial"/>
          <w:sz w:val="14"/>
          <w:szCs w:val="14"/>
          <w:color w:val="auto"/>
        </w:rPr>
        <w:t xml:space="preserve">The Party controlling the Prosecution and Maintenance of the applicable Licensed Patent Rights within the Field in accordance with </w:t>
      </w:r>
      <w:r>
        <w:rPr>
          <w:rFonts w:ascii="Arial" w:cs="Arial" w:eastAsia="Arial" w:hAnsi="Arial"/>
          <w:sz w:val="14"/>
          <w:szCs w:val="14"/>
          <w:u w:val="single" w:color="auto"/>
          <w:color w:val="auto"/>
        </w:rPr>
        <w:t>Section 5.2(a)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5.2(b)</w:t>
      </w:r>
      <w:r>
        <w:rPr>
          <w:rFonts w:ascii="Arial" w:cs="Arial" w:eastAsia="Arial" w:hAnsi="Arial"/>
          <w:sz w:val="14"/>
          <w:szCs w:val="14"/>
          <w:color w:val="auto"/>
        </w:rPr>
        <w:t>, as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572" w:name="page573"/>
    <w:bookmarkEnd w:id="572"/>
    <w:p>
      <w:pPr>
        <w:jc w:val="both"/>
        <w:spacing w:after="0" w:line="288" w:lineRule="auto"/>
        <w:rPr>
          <w:sz w:val="20"/>
          <w:szCs w:val="20"/>
          <w:color w:val="auto"/>
        </w:rPr>
      </w:pPr>
      <w:r>
        <w:rPr>
          <w:rFonts w:ascii="Arial" w:cs="Arial" w:eastAsia="Arial" w:hAnsi="Arial"/>
          <w:sz w:val="13"/>
          <w:szCs w:val="13"/>
          <w:color w:val="auto"/>
        </w:rPr>
        <w:t>applicable, is referred to as the “</w:t>
      </w:r>
      <w:r>
        <w:rPr>
          <w:rFonts w:ascii="Arial" w:cs="Arial" w:eastAsia="Arial" w:hAnsi="Arial"/>
          <w:sz w:val="13"/>
          <w:szCs w:val="13"/>
          <w:b w:val="1"/>
          <w:bCs w:val="1"/>
          <w:color w:val="auto"/>
        </w:rPr>
        <w:t>Prosecuting Party</w:t>
      </w:r>
      <w:r>
        <w:rPr>
          <w:rFonts w:ascii="Arial" w:cs="Arial" w:eastAsia="Arial" w:hAnsi="Arial"/>
          <w:sz w:val="13"/>
          <w:szCs w:val="13"/>
          <w:color w:val="auto"/>
        </w:rPr>
        <w:t>”. The Parties shall be equally responsible for the out-of-pocket costs for the Prosecution and Maintenance of all Licensed Patent Rights within the Field. For clarity, such expenses shall not include any expenses of the other Party incurred by such other Party in connection with (a) its reasonable and timely comment on patent prosecution,</w:t>
      </w:r>
    </w:p>
    <w:p>
      <w:pPr>
        <w:ind w:firstLine="6"/>
        <w:spacing w:after="0" w:line="274" w:lineRule="auto"/>
        <w:tabs>
          <w:tab w:leader="none" w:pos="207" w:val="left"/>
        </w:tabs>
        <w:numPr>
          <w:ilvl w:val="0"/>
          <w:numId w:val="401"/>
        </w:numPr>
        <w:rPr>
          <w:rFonts w:ascii="Arial" w:cs="Arial" w:eastAsia="Arial" w:hAnsi="Arial"/>
          <w:sz w:val="14"/>
          <w:szCs w:val="14"/>
          <w:color w:val="auto"/>
        </w:rPr>
      </w:pPr>
      <w:r>
        <w:rPr>
          <w:rFonts w:ascii="Arial" w:cs="Arial" w:eastAsia="Arial" w:hAnsi="Arial"/>
          <w:sz w:val="14"/>
          <w:szCs w:val="14"/>
          <w:color w:val="auto"/>
        </w:rPr>
        <w:t>its rights to undertake enforcement actions, or (c) any actions undertaken by such other Party other than at the Prosecuting Party’s request. The Prosecuting Party also agrees not to knowingly take any action to materially diminish the value of the Licensed Patent Rights within the Field.</w:t>
      </w:r>
    </w:p>
    <w:p>
      <w:pPr>
        <w:spacing w:after="0" w:line="141"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3"/>
          <w:szCs w:val="13"/>
          <w:u w:val="single" w:color="auto"/>
          <w:color w:val="auto"/>
        </w:rPr>
        <w:t>Third Party Infringement.</w:t>
      </w:r>
    </w:p>
    <w:p>
      <w:pPr>
        <w:spacing w:after="0" w:line="184" w:lineRule="exact"/>
        <w:rPr>
          <w:sz w:val="20"/>
          <w:szCs w:val="20"/>
          <w:color w:val="auto"/>
        </w:rPr>
      </w:pPr>
    </w:p>
    <w:p>
      <w:pPr>
        <w:jc w:val="both"/>
        <w:ind w:firstLine="1042"/>
        <w:spacing w:after="0" w:line="273" w:lineRule="auto"/>
        <w:tabs>
          <w:tab w:leader="none" w:pos="1375" w:val="left"/>
        </w:tabs>
        <w:numPr>
          <w:ilvl w:val="1"/>
          <w:numId w:val="402"/>
        </w:numPr>
        <w:rPr>
          <w:rFonts w:ascii="Arial" w:cs="Arial" w:eastAsia="Arial" w:hAnsi="Arial"/>
          <w:sz w:val="14"/>
          <w:szCs w:val="14"/>
          <w:color w:val="auto"/>
        </w:rPr>
      </w:pPr>
      <w:r>
        <w:rPr>
          <w:rFonts w:ascii="Arial" w:cs="Arial" w:eastAsia="Arial" w:hAnsi="Arial"/>
          <w:sz w:val="14"/>
          <w:szCs w:val="14"/>
          <w:color w:val="auto"/>
        </w:rPr>
        <w:t>Each Party shall notify the other Party promptly of any knowledge it acquires of any actual or potential infringements of the Licensed Patent Rights with respect to any activities of a Third Party in the Field in any country in the world and shall provide the other Party with all available evidence regarding such known or suspected infringement or unauthorized use.</w:t>
      </w:r>
    </w:p>
    <w:p>
      <w:pPr>
        <w:spacing w:after="0" w:line="141" w:lineRule="exact"/>
        <w:rPr>
          <w:rFonts w:ascii="Arial" w:cs="Arial" w:eastAsia="Arial" w:hAnsi="Arial"/>
          <w:sz w:val="14"/>
          <w:szCs w:val="14"/>
          <w:color w:val="auto"/>
        </w:rPr>
      </w:pPr>
    </w:p>
    <w:p>
      <w:pPr>
        <w:jc w:val="both"/>
        <w:ind w:firstLine="1042"/>
        <w:spacing w:after="0" w:line="278" w:lineRule="auto"/>
        <w:tabs>
          <w:tab w:leader="none" w:pos="1412" w:val="left"/>
        </w:tabs>
        <w:numPr>
          <w:ilvl w:val="1"/>
          <w:numId w:val="402"/>
        </w:numPr>
        <w:rPr>
          <w:rFonts w:ascii="Arial" w:cs="Arial" w:eastAsia="Arial" w:hAnsi="Arial"/>
          <w:sz w:val="13"/>
          <w:szCs w:val="13"/>
          <w:color w:val="auto"/>
        </w:rPr>
      </w:pPr>
      <w:r>
        <w:rPr>
          <w:rFonts w:ascii="Arial" w:cs="Arial" w:eastAsia="Arial" w:hAnsi="Arial"/>
          <w:sz w:val="13"/>
          <w:szCs w:val="13"/>
          <w:u w:val="single" w:color="auto"/>
          <w:color w:val="auto"/>
        </w:rPr>
        <w:t>Sole Right of Enforcement</w:t>
      </w:r>
      <w:r>
        <w:rPr>
          <w:rFonts w:ascii="Arial" w:cs="Arial" w:eastAsia="Arial" w:hAnsi="Arial"/>
          <w:sz w:val="13"/>
          <w:szCs w:val="13"/>
          <w:color w:val="auto"/>
        </w:rPr>
        <w:t xml:space="preserve">. Century shall have the first right, but not the obligation, to initiate a lawsuit or take other reasonable action to enforce the Licensed Patent Rights, in each case solely in the case of infringement or unauthorized use or misappropriation related to a Licensed Product in the Field within the Territory, or the manufacture, use, sale or import thereof, in the Field within the Territory;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Century shall not take any action or settle any suit that materially affects the scope and validity of the Licensed Patent Rights without the prior written approval of CDI (such consent not to be unreasonably withheld, conditioned or delayed). CDI shall cooperate fully in the prosecution of any such suit or action as may be reasonably requested by Century, including joining any action as party-plaintiff if required by law, regulation or court or administrative order; provided that Century shall promptly reimburse all costs (including reasonable counsel fees and expenses) actually incurred by CDI in connection with such cooperation. Century shall have the sole and exclusive right to select counsel for any suit or action initiated by it pursuant to this </w:t>
      </w:r>
      <w:r>
        <w:rPr>
          <w:rFonts w:ascii="Arial" w:cs="Arial" w:eastAsia="Arial" w:hAnsi="Arial"/>
          <w:sz w:val="13"/>
          <w:szCs w:val="13"/>
          <w:u w:val="single" w:color="auto"/>
          <w:color w:val="auto"/>
        </w:rPr>
        <w:t>Section 5.3(b)</w:t>
      </w:r>
      <w:r>
        <w:rPr>
          <w:rFonts w:ascii="Arial" w:cs="Arial" w:eastAsia="Arial" w:hAnsi="Arial"/>
          <w:sz w:val="13"/>
          <w:szCs w:val="13"/>
          <w:color w:val="auto"/>
        </w:rPr>
        <w:t xml:space="preserve"> and shall bear its own costs incurred in any such suit or action, including the fees and expenses of the counsel selected by it. Any amount recovered in any suit or action or settlement of any such suit or action brought by Century pursuant to this </w:t>
      </w:r>
      <w:r>
        <w:rPr>
          <w:rFonts w:ascii="Arial" w:cs="Arial" w:eastAsia="Arial" w:hAnsi="Arial"/>
          <w:sz w:val="13"/>
          <w:szCs w:val="13"/>
          <w:u w:val="single" w:color="auto"/>
          <w:color w:val="auto"/>
        </w:rPr>
        <w:t>Section 5.3(b)</w:t>
      </w:r>
      <w:r>
        <w:rPr>
          <w:rFonts w:ascii="Arial" w:cs="Arial" w:eastAsia="Arial" w:hAnsi="Arial"/>
          <w:sz w:val="13"/>
          <w:szCs w:val="13"/>
          <w:color w:val="auto"/>
        </w:rPr>
        <w:t xml:space="preserve"> shall be allocated to Century. If Century fails to initiate any law suit or take other reasonable action to enforce the Licensed Patent Rights within (A) one hundred eighty (180) days following the notice of alleged infringement, unauthorized use or misappropriation or</w:t>
      </w:r>
    </w:p>
    <w:p>
      <w:pPr>
        <w:spacing w:after="0" w:line="4" w:lineRule="exact"/>
        <w:rPr>
          <w:rFonts w:ascii="Arial" w:cs="Arial" w:eastAsia="Arial" w:hAnsi="Arial"/>
          <w:sz w:val="13"/>
          <w:szCs w:val="13"/>
          <w:color w:val="auto"/>
        </w:rPr>
      </w:pPr>
    </w:p>
    <w:p>
      <w:pPr>
        <w:jc w:val="both"/>
        <w:ind w:firstLine="6"/>
        <w:spacing w:after="0" w:line="295" w:lineRule="auto"/>
        <w:tabs>
          <w:tab w:leader="none" w:pos="231" w:val="left"/>
        </w:tabs>
        <w:numPr>
          <w:ilvl w:val="0"/>
          <w:numId w:val="403"/>
        </w:numPr>
        <w:rPr>
          <w:rFonts w:ascii="Arial" w:cs="Arial" w:eastAsia="Arial" w:hAnsi="Arial"/>
          <w:sz w:val="13"/>
          <w:szCs w:val="13"/>
          <w:color w:val="auto"/>
        </w:rPr>
      </w:pPr>
      <w:r>
        <w:rPr>
          <w:rFonts w:ascii="Arial" w:cs="Arial" w:eastAsia="Arial" w:hAnsi="Arial"/>
          <w:sz w:val="13"/>
          <w:szCs w:val="13"/>
          <w:color w:val="auto"/>
        </w:rPr>
        <w:t xml:space="preserve">ten (10) days before the time limit, if any, set forth in the appropriate laws and regulations for the filing of such action, whichever comes first, CDI shall have the right, but not the obligation, to bring and control any such action at its own expense and by counsel of its own choice, and Century shall have the right, at its own expense, to be represented in any such action by counsel of its own choice. Any amount recovered in any suit or action or settlement of any such suit or action brought by CDI pursuant to this </w:t>
      </w:r>
      <w:r>
        <w:rPr>
          <w:rFonts w:ascii="Arial" w:cs="Arial" w:eastAsia="Arial" w:hAnsi="Arial"/>
          <w:sz w:val="13"/>
          <w:szCs w:val="13"/>
          <w:u w:val="single" w:color="auto"/>
          <w:color w:val="auto"/>
        </w:rPr>
        <w:t>Section 5.3(b)</w:t>
      </w:r>
      <w:r>
        <w:rPr>
          <w:rFonts w:ascii="Arial" w:cs="Arial" w:eastAsia="Arial" w:hAnsi="Arial"/>
          <w:sz w:val="13"/>
          <w:szCs w:val="13"/>
          <w:color w:val="auto"/>
        </w:rPr>
        <w:t xml:space="preserve"> shall be allocated to CDI.</w:t>
      </w:r>
    </w:p>
    <w:p>
      <w:pPr>
        <w:spacing w:after="0" w:line="130" w:lineRule="exact"/>
        <w:rPr>
          <w:sz w:val="20"/>
          <w:szCs w:val="20"/>
          <w:color w:val="auto"/>
        </w:rPr>
      </w:pPr>
    </w:p>
    <w:p>
      <w:pPr>
        <w:ind w:firstLine="518"/>
        <w:spacing w:after="0" w:line="329"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Patent Invalidity Claim</w:t>
      </w:r>
      <w:r>
        <w:rPr>
          <w:rFonts w:ascii="Arial" w:cs="Arial" w:eastAsia="Arial" w:hAnsi="Arial"/>
          <w:sz w:val="13"/>
          <w:szCs w:val="13"/>
          <w:color w:val="auto"/>
        </w:rPr>
        <w:t>. During the Term, each Party shall promptly notify the other Party in the event of any legal or administrative action by any Third Party against a Licensed Patent Right of which such Party becomes aware, including any nullity, revocation, reexamination or compulsory license proceeding or similar proceeding. To the extent such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573" w:name="page574"/>
    <w:bookmarkEnd w:id="573"/>
    <w:p>
      <w:pPr>
        <w:jc w:val="both"/>
        <w:spacing w:after="0" w:line="329" w:lineRule="auto"/>
        <w:rPr>
          <w:sz w:val="20"/>
          <w:szCs w:val="20"/>
          <w:color w:val="auto"/>
        </w:rPr>
      </w:pPr>
      <w:r>
        <w:rPr>
          <w:rFonts w:ascii="Arial" w:cs="Arial" w:eastAsia="Arial" w:hAnsi="Arial"/>
          <w:sz w:val="13"/>
          <w:szCs w:val="13"/>
          <w:color w:val="auto"/>
        </w:rPr>
        <w:t xml:space="preserve">action is in connection with an enforcement of such Patent Right under </w:t>
      </w:r>
      <w:r>
        <w:rPr>
          <w:rFonts w:ascii="Arial" w:cs="Arial" w:eastAsia="Arial" w:hAnsi="Arial"/>
          <w:sz w:val="13"/>
          <w:szCs w:val="13"/>
          <w:u w:val="single" w:color="auto"/>
          <w:color w:val="auto"/>
        </w:rPr>
        <w:t>Section 5.3</w:t>
      </w:r>
      <w:r>
        <w:rPr>
          <w:rFonts w:ascii="Arial" w:cs="Arial" w:eastAsia="Arial" w:hAnsi="Arial"/>
          <w:sz w:val="13"/>
          <w:szCs w:val="13"/>
          <w:color w:val="auto"/>
        </w:rPr>
        <w:t xml:space="preserve">, Century’s rights with respect to defending any such Patent Right in any such proceeding shall correspond to those set forth in </w:t>
      </w:r>
      <w:r>
        <w:rPr>
          <w:rFonts w:ascii="Arial" w:cs="Arial" w:eastAsia="Arial" w:hAnsi="Arial"/>
          <w:sz w:val="13"/>
          <w:szCs w:val="13"/>
          <w:u w:val="single" w:color="auto"/>
          <w:color w:val="auto"/>
        </w:rPr>
        <w:t>Section 5.3</w:t>
      </w:r>
      <w:r>
        <w:rPr>
          <w:rFonts w:ascii="Arial" w:cs="Arial" w:eastAsia="Arial" w:hAnsi="Arial"/>
          <w:sz w:val="13"/>
          <w:szCs w:val="13"/>
          <w:color w:val="auto"/>
        </w:rPr>
        <w:t>, and the non-enforcing Party, shall cooperate fully with the enforcing Party in preparing and formulating a response to such legal or administrative action.</w:t>
      </w:r>
    </w:p>
    <w:p>
      <w:pPr>
        <w:spacing w:after="0" w:line="108"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Patent Term Extensions.</w:t>
      </w:r>
      <w:r>
        <w:rPr>
          <w:rFonts w:ascii="Arial" w:cs="Arial" w:eastAsia="Arial" w:hAnsi="Arial"/>
          <w:sz w:val="14"/>
          <w:szCs w:val="14"/>
          <w:color w:val="auto"/>
        </w:rPr>
        <w:t xml:space="preserve"> Century shall have the sole right to obtain patent term extensions or supplemental protection certificates or their equivalents with respect to any Licensed Product in the Field, including with respect to any Licensed Patent Right in the Territory and CDI shall reasonably cooperate with Century in connection therewith. CDI shall have the sole right to obtain patent term extensions or supplemental protection certificates or their equivalents with respect to any Licensed Patent Right in any country worldwide, and Century shall reasonably cooperate with CDI in connection therewith.</w:t>
      </w:r>
    </w:p>
    <w:p>
      <w:pPr>
        <w:spacing w:after="0" w:line="14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Patent Marking</w:t>
      </w:r>
      <w:r>
        <w:rPr>
          <w:rFonts w:ascii="Arial" w:cs="Arial" w:eastAsia="Arial" w:hAnsi="Arial"/>
          <w:sz w:val="14"/>
          <w:szCs w:val="14"/>
          <w:color w:val="auto"/>
        </w:rPr>
        <w:t>. Century shall comply with the patent marking statutes in each country in which Licensed Products are sold by or on behalf of Century and/or its Affiliates or Sublicensees.</w:t>
      </w:r>
    </w:p>
    <w:p>
      <w:pPr>
        <w:spacing w:after="0" w:line="13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Third Party Licenses</w:t>
      </w:r>
      <w:r>
        <w:rPr>
          <w:rFonts w:ascii="Arial" w:cs="Arial" w:eastAsia="Arial" w:hAnsi="Arial"/>
          <w:sz w:val="14"/>
          <w:szCs w:val="14"/>
          <w:color w:val="auto"/>
        </w:rPr>
        <w:t xml:space="preserve">. To the extent either Party has any right to Prosecute and Maintain or enforce any Patent Rights or otherwise be involved in such activities (including the right to decide on matters related to patent term extensions) pursuant to a Third Party License, such Party shall exercise such rights in accordance consistent with this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To the extent that a Third Party licensor of a Party has retained any right to Prosecute and Maintain or enforce any Patent Rights or otherwise be involved in such activities (including the right to decide on matters related to patent term extensions) pursuant to a Third Party License, such Party will use Commercially Reasonable Best Efforts to cause such Third Party licensor to take the actions (or refrain from taking action, as applicable) consistent with this </w:t>
      </w:r>
      <w:r>
        <w:rPr>
          <w:rFonts w:ascii="Arial" w:cs="Arial" w:eastAsia="Arial" w:hAnsi="Arial"/>
          <w:sz w:val="14"/>
          <w:szCs w:val="14"/>
          <w:u w:val="single" w:color="auto"/>
          <w:color w:val="auto"/>
        </w:rPr>
        <w:t>Article 5</w:t>
      </w:r>
      <w:r>
        <w:rPr>
          <w:rFonts w:ascii="Arial" w:cs="Arial" w:eastAsia="Arial" w:hAnsi="Arial"/>
          <w:sz w:val="14"/>
          <w:szCs w:val="14"/>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Confidentiality</w:t>
      </w:r>
    </w:p>
    <w:p>
      <w:pPr>
        <w:spacing w:after="0" w:line="175"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Confidential Obligations</w:t>
      </w:r>
      <w:r>
        <w:rPr>
          <w:rFonts w:ascii="Arial" w:cs="Arial" w:eastAsia="Arial" w:hAnsi="Arial"/>
          <w:sz w:val="14"/>
          <w:szCs w:val="14"/>
          <w:color w:val="auto"/>
        </w:rPr>
        <w:t xml:space="preserve">. Each Party shall (a) maintain in strict confidence the Confidential Information of the other Party to the same extent such Party maintains its own confidential information, but in no event less than a reasonable degree of care, (b) not disclose such Confidential Information to any Third Party without the prior written consent of the other Party (except as permitted pursuant to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below), and (c) not use such Confidential Information for any purpose except those expressly permitted by this Agreement. The obligations of confidentiality, non-disclosure and non-use under this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shall be in full force during the Term and for a period of [***] thereafter. Each Party, upon the request of the other Party, will return all copies of or destroy (and certify such destruction in writing) the Confidential Information disclosed or transferred to it by the other Party pursuant to this Agreement, within sixty (60) days of such request or, if earlier, the termination or expiration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however that a Party may retain (i) Confidential Information of the other Party which expressly survives such termination pursuant to this Agreement, and (ii) one (1) copy of all other Confidential Information in archives solely for the purpose of establishing the contents thereof; provided, further, that a Party is not required to return or destroy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74" w:name="page575"/>
    <w:bookmarkEnd w:id="574"/>
    <w:p>
      <w:pPr>
        <w:spacing w:after="0"/>
        <w:rPr>
          <w:sz w:val="20"/>
          <w:szCs w:val="20"/>
          <w:color w:val="auto"/>
        </w:rPr>
      </w:pPr>
      <w:r>
        <w:rPr>
          <w:rFonts w:ascii="Arial" w:cs="Arial" w:eastAsia="Arial" w:hAnsi="Arial"/>
          <w:sz w:val="14"/>
          <w:szCs w:val="14"/>
          <w:color w:val="auto"/>
        </w:rPr>
        <w:t>Confidential Information contained in electronic back-ups unless and until such Confidential Information is accessed.</w:t>
      </w:r>
    </w:p>
    <w:p>
      <w:pPr>
        <w:spacing w:after="0" w:line="184"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Exceptions to Confidentiality.</w:t>
      </w:r>
      <w:r>
        <w:rPr>
          <w:rFonts w:ascii="Arial" w:cs="Arial" w:eastAsia="Arial" w:hAnsi="Arial"/>
          <w:sz w:val="14"/>
          <w:szCs w:val="14"/>
          <w:color w:val="auto"/>
        </w:rPr>
        <w:t xml:space="preserve"> Notwithstanding the foregoing, the obligations of confidentiality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shall not apply to information that, in each case as demonstrated by competent written documentation:</w:t>
      </w:r>
    </w:p>
    <w:p>
      <w:pPr>
        <w:spacing w:after="0" w:line="132" w:lineRule="exact"/>
        <w:rPr>
          <w:sz w:val="20"/>
          <w:szCs w:val="20"/>
          <w:color w:val="auto"/>
        </w:rPr>
      </w:pPr>
    </w:p>
    <w:p>
      <w:pPr>
        <w:ind w:left="1360" w:hanging="318"/>
        <w:spacing w:after="0"/>
        <w:tabs>
          <w:tab w:leader="none" w:pos="1360" w:val="left"/>
        </w:tabs>
        <w:numPr>
          <w:ilvl w:val="0"/>
          <w:numId w:val="404"/>
        </w:numPr>
        <w:rPr>
          <w:rFonts w:ascii="Arial" w:cs="Arial" w:eastAsia="Arial" w:hAnsi="Arial"/>
          <w:sz w:val="14"/>
          <w:szCs w:val="14"/>
          <w:color w:val="auto"/>
        </w:rPr>
      </w:pPr>
      <w:r>
        <w:rPr>
          <w:rFonts w:ascii="Arial" w:cs="Arial" w:eastAsia="Arial" w:hAnsi="Arial"/>
          <w:sz w:val="14"/>
          <w:szCs w:val="14"/>
          <w:color w:val="auto"/>
        </w:rPr>
        <w:t>is publicly disclosed or made generally available to the public by the disclosing Party, either before or after it becomes known to the receiving Party;</w:t>
      </w:r>
    </w:p>
    <w:p>
      <w:pPr>
        <w:spacing w:after="0" w:line="184" w:lineRule="exact"/>
        <w:rPr>
          <w:rFonts w:ascii="Arial" w:cs="Arial" w:eastAsia="Arial" w:hAnsi="Arial"/>
          <w:sz w:val="14"/>
          <w:szCs w:val="14"/>
          <w:color w:val="auto"/>
        </w:rPr>
      </w:pPr>
    </w:p>
    <w:p>
      <w:pPr>
        <w:ind w:firstLine="1042"/>
        <w:spacing w:after="0" w:line="288" w:lineRule="auto"/>
        <w:tabs>
          <w:tab w:leader="none" w:pos="1365" w:val="left"/>
        </w:tabs>
        <w:numPr>
          <w:ilvl w:val="0"/>
          <w:numId w:val="404"/>
        </w:numPr>
        <w:rPr>
          <w:rFonts w:ascii="Arial" w:cs="Arial" w:eastAsia="Arial" w:hAnsi="Arial"/>
          <w:sz w:val="14"/>
          <w:szCs w:val="14"/>
          <w:color w:val="auto"/>
        </w:rPr>
      </w:pPr>
      <w:r>
        <w:rPr>
          <w:rFonts w:ascii="Arial" w:cs="Arial" w:eastAsia="Arial" w:hAnsi="Arial"/>
          <w:sz w:val="14"/>
          <w:szCs w:val="14"/>
          <w:color w:val="auto"/>
        </w:rPr>
        <w:t>was known to the receiving Party, without any obligation to keep it confidential, prior to the date of first disclosure by the disclosing Party to the receiving Party, as shown by the receiving Party’s files and records;</w:t>
      </w:r>
    </w:p>
    <w:p>
      <w:pPr>
        <w:spacing w:after="0" w:line="131" w:lineRule="exact"/>
        <w:rPr>
          <w:rFonts w:ascii="Arial" w:cs="Arial" w:eastAsia="Arial" w:hAnsi="Arial"/>
          <w:sz w:val="14"/>
          <w:szCs w:val="14"/>
          <w:color w:val="auto"/>
        </w:rPr>
      </w:pPr>
    </w:p>
    <w:p>
      <w:pPr>
        <w:ind w:firstLine="1042"/>
        <w:spacing w:after="0" w:line="288" w:lineRule="auto"/>
        <w:tabs>
          <w:tab w:leader="none" w:pos="1357" w:val="left"/>
        </w:tabs>
        <w:numPr>
          <w:ilvl w:val="0"/>
          <w:numId w:val="404"/>
        </w:numPr>
        <w:rPr>
          <w:rFonts w:ascii="Arial" w:cs="Arial" w:eastAsia="Arial" w:hAnsi="Arial"/>
          <w:sz w:val="14"/>
          <w:szCs w:val="14"/>
          <w:color w:val="auto"/>
        </w:rPr>
      </w:pPr>
      <w:r>
        <w:rPr>
          <w:rFonts w:ascii="Arial" w:cs="Arial" w:eastAsia="Arial" w:hAnsi="Arial"/>
          <w:sz w:val="14"/>
          <w:szCs w:val="14"/>
          <w:color w:val="auto"/>
        </w:rPr>
        <w:t>is subsequently disclosed to the receiving Party by a Third Party lawfully in possession thereof without obligation to keep it confidential and without a breach of such Third Party’s obligations of confidentiality;</w:t>
      </w:r>
    </w:p>
    <w:p>
      <w:pPr>
        <w:spacing w:after="0" w:line="131" w:lineRule="exact"/>
        <w:rPr>
          <w:rFonts w:ascii="Arial" w:cs="Arial" w:eastAsia="Arial" w:hAnsi="Arial"/>
          <w:sz w:val="14"/>
          <w:szCs w:val="14"/>
          <w:color w:val="auto"/>
        </w:rPr>
      </w:pPr>
    </w:p>
    <w:p>
      <w:pPr>
        <w:ind w:firstLine="1042"/>
        <w:spacing w:after="0" w:line="288" w:lineRule="auto"/>
        <w:tabs>
          <w:tab w:leader="none" w:pos="1365" w:val="left"/>
        </w:tabs>
        <w:numPr>
          <w:ilvl w:val="0"/>
          <w:numId w:val="404"/>
        </w:numPr>
        <w:rPr>
          <w:rFonts w:ascii="Arial" w:cs="Arial" w:eastAsia="Arial" w:hAnsi="Arial"/>
          <w:sz w:val="14"/>
          <w:szCs w:val="14"/>
          <w:color w:val="auto"/>
        </w:rPr>
      </w:pPr>
      <w:r>
        <w:rPr>
          <w:rFonts w:ascii="Arial" w:cs="Arial" w:eastAsia="Arial" w:hAnsi="Arial"/>
          <w:sz w:val="14"/>
          <w:szCs w:val="14"/>
          <w:color w:val="auto"/>
        </w:rPr>
        <w:t>has been publicly disclosed or made generally available to the public other than through any act or omission of the receiving Party or its Affiliates or their subcontractors or Sublicensees in breach of this Agreement;</w:t>
      </w:r>
    </w:p>
    <w:p>
      <w:pPr>
        <w:spacing w:after="0" w:line="131" w:lineRule="exact"/>
        <w:rPr>
          <w:rFonts w:ascii="Arial" w:cs="Arial" w:eastAsia="Arial" w:hAnsi="Arial"/>
          <w:sz w:val="14"/>
          <w:szCs w:val="14"/>
          <w:color w:val="auto"/>
        </w:rPr>
      </w:pPr>
    </w:p>
    <w:p>
      <w:pPr>
        <w:ind w:firstLine="1042"/>
        <w:spacing w:after="0" w:line="288" w:lineRule="auto"/>
        <w:tabs>
          <w:tab w:leader="none" w:pos="1357" w:val="left"/>
        </w:tabs>
        <w:numPr>
          <w:ilvl w:val="0"/>
          <w:numId w:val="404"/>
        </w:numPr>
        <w:rPr>
          <w:rFonts w:ascii="Arial" w:cs="Arial" w:eastAsia="Arial" w:hAnsi="Arial"/>
          <w:sz w:val="14"/>
          <w:szCs w:val="14"/>
          <w:color w:val="auto"/>
        </w:rPr>
      </w:pPr>
      <w:r>
        <w:rPr>
          <w:rFonts w:ascii="Arial" w:cs="Arial" w:eastAsia="Arial" w:hAnsi="Arial"/>
          <w:sz w:val="14"/>
          <w:szCs w:val="14"/>
          <w:color w:val="auto"/>
        </w:rPr>
        <w:t>has been independently developed by the receiving Party without the aid, application or use of the disclosing Party’s Confidential Information (the competent written proof of which must be contemporaneous with such independent development); or</w:t>
      </w:r>
    </w:p>
    <w:p>
      <w:pPr>
        <w:spacing w:after="0" w:line="131" w:lineRule="exact"/>
        <w:rPr>
          <w:rFonts w:ascii="Arial" w:cs="Arial" w:eastAsia="Arial" w:hAnsi="Arial"/>
          <w:sz w:val="14"/>
          <w:szCs w:val="14"/>
          <w:color w:val="auto"/>
        </w:rPr>
      </w:pPr>
    </w:p>
    <w:p>
      <w:pPr>
        <w:ind w:left="1360" w:hanging="318"/>
        <w:spacing w:after="0"/>
        <w:tabs>
          <w:tab w:leader="none" w:pos="1360" w:val="left"/>
        </w:tabs>
        <w:numPr>
          <w:ilvl w:val="0"/>
          <w:numId w:val="404"/>
        </w:numPr>
        <w:rPr>
          <w:rFonts w:ascii="Arial" w:cs="Arial" w:eastAsia="Arial" w:hAnsi="Arial"/>
          <w:sz w:val="14"/>
          <w:szCs w:val="14"/>
          <w:color w:val="auto"/>
        </w:rPr>
      </w:pPr>
      <w:r>
        <w:rPr>
          <w:rFonts w:ascii="Arial" w:cs="Arial" w:eastAsia="Arial" w:hAnsi="Arial"/>
          <w:sz w:val="14"/>
          <w:szCs w:val="14"/>
          <w:color w:val="auto"/>
        </w:rPr>
        <w:t>to WARF to the extent necessary to perform CDI’s obligations under the WARF License Agreement.</w:t>
      </w:r>
    </w:p>
    <w:p>
      <w:pPr>
        <w:spacing w:after="0" w:line="184"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Authorized Disclosure</w:t>
      </w:r>
      <w:r>
        <w:rPr>
          <w:rFonts w:ascii="Arial" w:cs="Arial" w:eastAsia="Arial" w:hAnsi="Arial"/>
          <w:sz w:val="14"/>
          <w:szCs w:val="14"/>
          <w:color w:val="auto"/>
        </w:rPr>
        <w:t xml:space="preserve">. Notwithstanding </w:t>
      </w:r>
      <w:r>
        <w:rPr>
          <w:rFonts w:ascii="Arial" w:cs="Arial" w:eastAsia="Arial" w:hAnsi="Arial"/>
          <w:sz w:val="14"/>
          <w:szCs w:val="14"/>
          <w:u w:val="single" w:color="auto"/>
          <w:color w:val="auto"/>
        </w:rPr>
        <w:t>Section 6.1</w:t>
      </w:r>
      <w:r>
        <w:rPr>
          <w:rFonts w:ascii="Arial" w:cs="Arial" w:eastAsia="Arial" w:hAnsi="Arial"/>
          <w:sz w:val="14"/>
          <w:szCs w:val="14"/>
          <w:color w:val="auto"/>
        </w:rPr>
        <w:t>, a Party may disclose Confidential Information of the other Party to the extent such disclosure is reasonably necessary in the following instances:</w:t>
      </w:r>
    </w:p>
    <w:p>
      <w:pPr>
        <w:spacing w:after="0" w:line="132" w:lineRule="exact"/>
        <w:rPr>
          <w:sz w:val="20"/>
          <w:szCs w:val="20"/>
          <w:color w:val="auto"/>
        </w:rPr>
      </w:pPr>
    </w:p>
    <w:p>
      <w:pPr>
        <w:ind w:firstLine="1042"/>
        <w:spacing w:after="0" w:line="329" w:lineRule="auto"/>
        <w:tabs>
          <w:tab w:leader="none" w:pos="1357" w:val="left"/>
        </w:tabs>
        <w:numPr>
          <w:ilvl w:val="0"/>
          <w:numId w:val="405"/>
        </w:numPr>
        <w:rPr>
          <w:rFonts w:ascii="Arial" w:cs="Arial" w:eastAsia="Arial" w:hAnsi="Arial"/>
          <w:sz w:val="13"/>
          <w:szCs w:val="13"/>
          <w:color w:val="auto"/>
        </w:rPr>
      </w:pPr>
      <w:r>
        <w:rPr>
          <w:rFonts w:ascii="Arial" w:cs="Arial" w:eastAsia="Arial" w:hAnsi="Arial"/>
          <w:sz w:val="13"/>
          <w:szCs w:val="13"/>
          <w:color w:val="auto"/>
        </w:rPr>
        <w:t xml:space="preserve">Prosecuting and Maintaining Patent Rights in accordance with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non-filing Party whose Confidential Information is being disclosed is given a reasonable opportunity to review the proposed disclosure of such Confidential Information and the filing Party considers in good faith any comments provided by the non-filing Party;</w:t>
      </w:r>
    </w:p>
    <w:p>
      <w:pPr>
        <w:spacing w:after="0" w:line="108" w:lineRule="exact"/>
        <w:rPr>
          <w:rFonts w:ascii="Arial" w:cs="Arial" w:eastAsia="Arial" w:hAnsi="Arial"/>
          <w:sz w:val="13"/>
          <w:szCs w:val="13"/>
          <w:color w:val="auto"/>
        </w:rPr>
      </w:pPr>
    </w:p>
    <w:p>
      <w:pPr>
        <w:jc w:val="both"/>
        <w:ind w:firstLine="1042"/>
        <w:spacing w:after="0" w:line="267" w:lineRule="auto"/>
        <w:tabs>
          <w:tab w:leader="none" w:pos="1365" w:val="left"/>
        </w:tabs>
        <w:numPr>
          <w:ilvl w:val="0"/>
          <w:numId w:val="405"/>
        </w:numPr>
        <w:rPr>
          <w:rFonts w:ascii="Arial" w:cs="Arial" w:eastAsia="Arial" w:hAnsi="Arial"/>
          <w:sz w:val="14"/>
          <w:szCs w:val="14"/>
          <w:color w:val="auto"/>
        </w:rPr>
      </w:pPr>
      <w:r>
        <w:rPr>
          <w:rFonts w:ascii="Arial" w:cs="Arial" w:eastAsia="Arial" w:hAnsi="Arial"/>
          <w:sz w:val="14"/>
          <w:szCs w:val="14"/>
          <w:color w:val="auto"/>
        </w:rPr>
        <w:t xml:space="preserve">communicating and making filings with Regulatory Authorities or otherwise complying with applicable Laws or submitting information to tax or other governmental authorities;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a Party is required by Law to make any public disclosure of Confidential Information of the other Party, to the extent it may legally do so, it will give reasonable advance written notice to the other Party of such disclosure and will use its reasonable efforts to secure confidential treatment of such Confidential Information prior to its disclosure (whether through protective orders or otherwise), and shall disclose only that portion of the Confidential Information which is legally required to be disclosed;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75" w:name="page576"/>
    <w:bookmarkEnd w:id="575"/>
    <w:p>
      <w:pPr>
        <w:ind w:firstLine="1042"/>
        <w:spacing w:after="0" w:line="288" w:lineRule="auto"/>
        <w:tabs>
          <w:tab w:leader="none" w:pos="1404" w:val="left"/>
        </w:tabs>
        <w:numPr>
          <w:ilvl w:val="0"/>
          <w:numId w:val="406"/>
        </w:numPr>
        <w:rPr>
          <w:rFonts w:ascii="Arial" w:cs="Arial" w:eastAsia="Arial" w:hAnsi="Arial"/>
          <w:sz w:val="14"/>
          <w:szCs w:val="14"/>
          <w:color w:val="auto"/>
        </w:rPr>
      </w:pPr>
      <w:r>
        <w:rPr>
          <w:rFonts w:ascii="Arial" w:cs="Arial" w:eastAsia="Arial" w:hAnsi="Arial"/>
          <w:sz w:val="14"/>
          <w:szCs w:val="14"/>
          <w:color w:val="auto"/>
        </w:rPr>
        <w:t>for Regulatory Approval of Licensed Products or to research, develop, make, have made, use, have used, offer to sell, sell, import, export, Commercialize or otherwise exploit Licensed Products in accordance with this Agreement;</w:t>
      </w:r>
    </w:p>
    <w:p>
      <w:pPr>
        <w:spacing w:after="0" w:line="131" w:lineRule="exact"/>
        <w:rPr>
          <w:rFonts w:ascii="Arial" w:cs="Arial" w:eastAsia="Arial" w:hAnsi="Arial"/>
          <w:sz w:val="14"/>
          <w:szCs w:val="14"/>
          <w:color w:val="auto"/>
        </w:rPr>
      </w:pPr>
    </w:p>
    <w:p>
      <w:pPr>
        <w:jc w:val="both"/>
        <w:ind w:firstLine="1042"/>
        <w:spacing w:after="0" w:line="267" w:lineRule="auto"/>
        <w:tabs>
          <w:tab w:leader="none" w:pos="1365" w:val="left"/>
        </w:tabs>
        <w:numPr>
          <w:ilvl w:val="0"/>
          <w:numId w:val="406"/>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6.4(b)</w:t>
      </w:r>
      <w:r>
        <w:rPr>
          <w:rFonts w:ascii="Arial" w:cs="Arial" w:eastAsia="Arial" w:hAnsi="Arial"/>
          <w:sz w:val="14"/>
          <w:szCs w:val="14"/>
          <w:color w:val="auto"/>
        </w:rPr>
        <w:t xml:space="preserve">, to its Affiliates, and to prospective and actual acquirers, lenders, licensees, and sublicensees, and to each of their employees, consultants, contractors, agents, accountants, lawyers, advisors, investors and underwriters, in each case only on a need to know basis, each of whom, in the case of Third Parties, prior to disclosure must be bound by written or professional ethical obligations of confidentiality and non-use equivalent in scope to those set forth in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and a disclosing Party shall be responsible for any breach of confidentiality by a receiving Party under this </w:t>
      </w:r>
      <w:r>
        <w:rPr>
          <w:rFonts w:ascii="Arial" w:cs="Arial" w:eastAsia="Arial" w:hAnsi="Arial"/>
          <w:sz w:val="14"/>
          <w:szCs w:val="14"/>
          <w:u w:val="single" w:color="auto"/>
          <w:color w:val="auto"/>
        </w:rPr>
        <w:t>Section 6.3(d)</w:t>
      </w:r>
      <w:r>
        <w:rPr>
          <w:rFonts w:ascii="Arial" w:cs="Arial" w:eastAsia="Arial" w:hAnsi="Arial"/>
          <w:sz w:val="14"/>
          <w:szCs w:val="14"/>
          <w:color w:val="auto"/>
        </w:rPr>
        <w:t>, including Century CMO; or</w:t>
      </w:r>
    </w:p>
    <w:p>
      <w:pPr>
        <w:spacing w:after="0" w:line="146" w:lineRule="exact"/>
        <w:rPr>
          <w:rFonts w:ascii="Arial" w:cs="Arial" w:eastAsia="Arial" w:hAnsi="Arial"/>
          <w:sz w:val="14"/>
          <w:szCs w:val="14"/>
          <w:color w:val="auto"/>
        </w:rPr>
      </w:pPr>
    </w:p>
    <w:p>
      <w:pPr>
        <w:ind w:left="1400" w:hanging="358"/>
        <w:spacing w:after="0"/>
        <w:tabs>
          <w:tab w:leader="none" w:pos="140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to the extent mutually agreed to in writing by the Parties.</w:t>
      </w:r>
    </w:p>
    <w:p>
      <w:pPr>
        <w:spacing w:after="0" w:line="184"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u w:val="single" w:color="auto"/>
          <w:color w:val="auto"/>
        </w:rPr>
        <w:t>Press Releases and Other Permitted Disclosures.</w:t>
      </w:r>
    </w:p>
    <w:p>
      <w:pPr>
        <w:spacing w:after="0" w:line="184" w:lineRule="exact"/>
        <w:rPr>
          <w:sz w:val="20"/>
          <w:szCs w:val="20"/>
          <w:color w:val="auto"/>
        </w:rPr>
      </w:pPr>
    </w:p>
    <w:p>
      <w:pPr>
        <w:jc w:val="both"/>
        <w:ind w:firstLine="1042"/>
        <w:spacing w:after="0" w:line="260" w:lineRule="auto"/>
        <w:tabs>
          <w:tab w:leader="none" w:pos="1407" w:val="left"/>
        </w:tabs>
        <w:numPr>
          <w:ilvl w:val="0"/>
          <w:numId w:val="407"/>
        </w:numPr>
        <w:rPr>
          <w:rFonts w:ascii="Arial" w:cs="Arial" w:eastAsia="Arial" w:hAnsi="Arial"/>
          <w:sz w:val="14"/>
          <w:szCs w:val="14"/>
          <w:color w:val="auto"/>
        </w:rPr>
      </w:pPr>
      <w:r>
        <w:rPr>
          <w:rFonts w:ascii="Arial" w:cs="Arial" w:eastAsia="Arial" w:hAnsi="Arial"/>
          <w:sz w:val="14"/>
          <w:szCs w:val="14"/>
          <w:color w:val="auto"/>
        </w:rPr>
        <w:t xml:space="preserve">CDI and Century each agree not to disclose any of the terms and conditions of this Agreement to any Third Party, except as described below in this </w:t>
      </w:r>
      <w:r>
        <w:rPr>
          <w:rFonts w:ascii="Arial" w:cs="Arial" w:eastAsia="Arial" w:hAnsi="Arial"/>
          <w:sz w:val="14"/>
          <w:szCs w:val="14"/>
          <w:u w:val="single" w:color="auto"/>
          <w:color w:val="auto"/>
        </w:rPr>
        <w:t>Section 6.4</w:t>
      </w:r>
      <w:r>
        <w:rPr>
          <w:rFonts w:ascii="Arial" w:cs="Arial" w:eastAsia="Arial" w:hAnsi="Arial"/>
          <w:sz w:val="14"/>
          <w:szCs w:val="14"/>
          <w:color w:val="auto"/>
        </w:rPr>
        <w:t xml:space="preserve"> or as otherwise agreed in writing by the Parties. The Parties have agreed on a press release to be issued by each Party announcing this Agreement after the Effective Date in substantially the form set forth in Exhibit D; provided that the timing of the publication and release of such press release is in the sole discretion of an announcing Party. Each Party shall have the right to disclose the existence of this Agreement, including that the fact that such Party has received a license to the other Party’s Licensed Technology or Century Technology, as applicable without disclosing the Licensed Know-How or Century Know-How. Subject to the other provisions of this Agreement, no other press release, public statement or public disclosure concerning the existence or terms of this Agreement shall be made, either directly or indirectly, by either Party without the prior written approval of the other Party. If disclosure of the terms and conditions of this Agreement or its filing publicly is required by applicable Law or applicable stock exchange regulation, or by order or other ruling of a competent court or governmental authority, as set forth in </w:t>
      </w:r>
      <w:r>
        <w:rPr>
          <w:rFonts w:ascii="Arial" w:cs="Arial" w:eastAsia="Arial" w:hAnsi="Arial"/>
          <w:sz w:val="14"/>
          <w:szCs w:val="14"/>
          <w:u w:val="single" w:color="auto"/>
          <w:color w:val="auto"/>
        </w:rPr>
        <w:t>Section 6.4(d)</w:t>
      </w:r>
      <w:r>
        <w:rPr>
          <w:rFonts w:ascii="Arial" w:cs="Arial" w:eastAsia="Arial" w:hAnsi="Arial"/>
          <w:sz w:val="14"/>
          <w:szCs w:val="14"/>
          <w:color w:val="auto"/>
        </w:rPr>
        <w:t xml:space="preserve">, then CDI or Century or its respective Affiliates, as the case may be, may also disclose such terms or this Agreement in a public statement or disclosure subject to </w:t>
      </w:r>
      <w:r>
        <w:rPr>
          <w:rFonts w:ascii="Arial" w:cs="Arial" w:eastAsia="Arial" w:hAnsi="Arial"/>
          <w:sz w:val="14"/>
          <w:szCs w:val="14"/>
          <w:u w:val="single" w:color="auto"/>
          <w:color w:val="auto"/>
        </w:rPr>
        <w:t>Section 6.3(b)</w:t>
      </w:r>
      <w:r>
        <w:rPr>
          <w:rFonts w:ascii="Arial" w:cs="Arial" w:eastAsia="Arial" w:hAnsi="Arial"/>
          <w:sz w:val="14"/>
          <w:szCs w:val="14"/>
          <w:color w:val="auto"/>
        </w:rPr>
        <w:t xml:space="preserve">. Once any public statement or public disclosure has been approved in accordance with this </w:t>
      </w:r>
      <w:r>
        <w:rPr>
          <w:rFonts w:ascii="Arial" w:cs="Arial" w:eastAsia="Arial" w:hAnsi="Arial"/>
          <w:sz w:val="14"/>
          <w:szCs w:val="14"/>
          <w:u w:val="single" w:color="auto"/>
          <w:color w:val="auto"/>
        </w:rPr>
        <w:t>Section 6.4</w:t>
      </w:r>
      <w:r>
        <w:rPr>
          <w:rFonts w:ascii="Arial" w:cs="Arial" w:eastAsia="Arial" w:hAnsi="Arial"/>
          <w:sz w:val="14"/>
          <w:szCs w:val="14"/>
          <w:color w:val="auto"/>
        </w:rPr>
        <w:t>, then either Party may appropriately communicate information contained in such permitted statement or disclosure.</w:t>
      </w:r>
    </w:p>
    <w:p>
      <w:pPr>
        <w:spacing w:after="0" w:line="154" w:lineRule="exact"/>
        <w:rPr>
          <w:rFonts w:ascii="Arial" w:cs="Arial" w:eastAsia="Arial" w:hAnsi="Arial"/>
          <w:sz w:val="14"/>
          <w:szCs w:val="14"/>
          <w:color w:val="auto"/>
        </w:rPr>
      </w:pPr>
    </w:p>
    <w:p>
      <w:pPr>
        <w:jc w:val="both"/>
        <w:ind w:firstLine="1042"/>
        <w:spacing w:after="0" w:line="265" w:lineRule="auto"/>
        <w:tabs>
          <w:tab w:leader="none" w:pos="1383" w:val="left"/>
        </w:tabs>
        <w:numPr>
          <w:ilvl w:val="0"/>
          <w:numId w:val="407"/>
        </w:numPr>
        <w:rPr>
          <w:rFonts w:ascii="Arial" w:cs="Arial" w:eastAsia="Arial" w:hAnsi="Arial"/>
          <w:sz w:val="14"/>
          <w:szCs w:val="14"/>
          <w:color w:val="auto"/>
        </w:rPr>
      </w:pPr>
      <w:r>
        <w:rPr>
          <w:rFonts w:ascii="Arial" w:cs="Arial" w:eastAsia="Arial" w:hAnsi="Arial"/>
          <w:sz w:val="14"/>
          <w:szCs w:val="14"/>
          <w:color w:val="auto"/>
        </w:rPr>
        <w:t>Century may disclose the terms and conditions of this Agreement to (i) its Affiliates, employees, consultants, agents or professional advisors (including attorneys, accountants and actual and prospective investment bankers), (ii) actual or potential investors, lenders, Sublicensees, licensees, licensors or collaborators, or (iii) acquirers or merger partners that have entered into a letter of intent or are actively negotiating a definitive acquisition or merger agreement with Century; in each case under the foregoing clause (i), (ii) or (iii), under obligations of confidentiality at least as restrictive as those set forth herein, and solely in connection with Century performing its obligations or exercising its rights under this Agreement or for the purpose of assisting the recipient with evaluating and entering into a transaction with Century.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576" w:name="page577"/>
    <w:bookmarkEnd w:id="576"/>
    <w:p>
      <w:pPr>
        <w:jc w:val="both"/>
        <w:ind w:firstLine="1042"/>
        <w:spacing w:after="0" w:line="290" w:lineRule="auto"/>
        <w:tabs>
          <w:tab w:leader="none" w:pos="1375" w:val="left"/>
        </w:tabs>
        <w:numPr>
          <w:ilvl w:val="0"/>
          <w:numId w:val="408"/>
        </w:numPr>
        <w:rPr>
          <w:rFonts w:ascii="Arial" w:cs="Arial" w:eastAsia="Arial" w:hAnsi="Arial"/>
          <w:sz w:val="13"/>
          <w:szCs w:val="13"/>
          <w:color w:val="auto"/>
        </w:rPr>
      </w:pPr>
      <w:r>
        <w:rPr>
          <w:rFonts w:ascii="Arial" w:cs="Arial" w:eastAsia="Arial" w:hAnsi="Arial"/>
          <w:sz w:val="13"/>
          <w:szCs w:val="13"/>
          <w:color w:val="auto"/>
        </w:rPr>
        <w:t xml:space="preserve">CDI may disclose the terms and conditions of this Agreement to (i) its Affiliates, employees, consultants, agents or professional advisors (including attorneys, accountants and actual and prospective investment bankers), (ii) WARF, (iii) actual or potential investors, lenders or licensees, or (iv) acquirers or merger partners that have entered into a letter of intent or are actively negotiating a definitive acquisition or merger agreement with CDI; in each case under the foregoing clause (i), (ii) (iii) or (iv), under obligations of confidentiality at least as restrictive as those set forth herein, and solely in connection with CDI performing its obligations or exercising its rights under this Agreement or for the purpose of assisting the recipient with evaluating and entering into a transaction with CDI; </w:t>
      </w:r>
      <w:r>
        <w:rPr>
          <w:rFonts w:ascii="Arial" w:cs="Arial" w:eastAsia="Arial" w:hAnsi="Arial"/>
          <w:sz w:val="13"/>
          <w:szCs w:val="13"/>
          <w:i w:val="1"/>
          <w:iCs w:val="1"/>
          <w:color w:val="auto"/>
        </w:rPr>
        <w:t>provided</w:t>
      </w:r>
      <w:r>
        <w:rPr>
          <w:rFonts w:ascii="Arial" w:cs="Arial" w:eastAsia="Arial" w:hAnsi="Arial"/>
          <w:sz w:val="13"/>
          <w:szCs w:val="13"/>
          <w:color w:val="auto"/>
        </w:rPr>
        <w:t>, however, that CDI shall redact financial terms from any such disclosure made to any actual or potential licensee.</w:t>
      </w:r>
    </w:p>
    <w:p>
      <w:pPr>
        <w:spacing w:after="0" w:line="132" w:lineRule="exact"/>
        <w:rPr>
          <w:rFonts w:ascii="Arial" w:cs="Arial" w:eastAsia="Arial" w:hAnsi="Arial"/>
          <w:sz w:val="13"/>
          <w:szCs w:val="13"/>
          <w:color w:val="auto"/>
        </w:rPr>
      </w:pPr>
    </w:p>
    <w:p>
      <w:pPr>
        <w:jc w:val="both"/>
        <w:ind w:firstLine="1042"/>
        <w:spacing w:after="0" w:line="261" w:lineRule="auto"/>
        <w:tabs>
          <w:tab w:leader="none" w:pos="1365" w:val="left"/>
        </w:tabs>
        <w:numPr>
          <w:ilvl w:val="0"/>
          <w:numId w:val="408"/>
        </w:numPr>
        <w:rPr>
          <w:rFonts w:ascii="Arial" w:cs="Arial" w:eastAsia="Arial" w:hAnsi="Arial"/>
          <w:sz w:val="14"/>
          <w:szCs w:val="14"/>
          <w:color w:val="auto"/>
        </w:rPr>
      </w:pPr>
      <w:r>
        <w:rPr>
          <w:rFonts w:ascii="Arial" w:cs="Arial" w:eastAsia="Arial" w:hAnsi="Arial"/>
          <w:sz w:val="14"/>
          <w:szCs w:val="14"/>
          <w:color w:val="auto"/>
        </w:rPr>
        <w:t xml:space="preserve">Notwithstanding the foregoing provisions of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a Party or its Affiliates may disclose the existence and terms of this Agreement or the Confidential Information of the other Party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five (5) Business Days advance written notice of any such legally required disclosure to comment and the disclosing party shall reasonably consider such comments provided by such other Party on the proposed disclosure. In case either Party or its Affiliates is obliged to publicly disclose or file this Agreement as a “material agreement” in accordance with applicable Law or applicable stock exchange regulations </w:t>
      </w:r>
      <w:r>
        <w:rPr>
          <w:rFonts w:ascii="Arial" w:cs="Arial" w:eastAsia="Arial" w:hAnsi="Arial"/>
          <w:sz w:val="14"/>
          <w:szCs w:val="14"/>
          <w:b w:val="1"/>
          <w:bCs w:val="1"/>
          <w:color w:val="auto"/>
        </w:rPr>
        <w:t>(“SEC Filing”),</w:t>
      </w:r>
      <w:r>
        <w:rPr>
          <w:rFonts w:ascii="Arial" w:cs="Arial" w:eastAsia="Arial" w:hAnsi="Arial"/>
          <w:sz w:val="14"/>
          <w:szCs w:val="14"/>
          <w:color w:val="auto"/>
        </w:rPr>
        <w:t xml:space="preserve"> this Agreement shall be redacted by the filing party to the extent permissible upon the reasonably advice of legal counsel, and the filing party shall provide the other Party a copy of such redacted agreement in advance of such SEC Filing to give reasonable opportunity the other Party to review and comment on the scope of such redaction in consultation with their own counsel;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filing arty shall consider in good faith any comments provided by such other Party.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Warranties and Covenants</w:t>
      </w:r>
    </w:p>
    <w:p>
      <w:pPr>
        <w:spacing w:after="0" w:line="175"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Representations of Authority.</w:t>
      </w:r>
      <w:r>
        <w:rPr>
          <w:rFonts w:ascii="Arial" w:cs="Arial" w:eastAsia="Arial" w:hAnsi="Arial"/>
          <w:sz w:val="14"/>
          <w:szCs w:val="14"/>
          <w:color w:val="auto"/>
        </w:rPr>
        <w:t xml:space="preserve"> Each Party represents and warrants to the other that as of the Effective Date it has full right, power and authority to enter into this Agreement and to perform its respective obligations under this Agreement.</w:t>
      </w:r>
    </w:p>
    <w:p>
      <w:pPr>
        <w:spacing w:after="0" w:line="132"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Consents.</w:t>
      </w:r>
      <w:r>
        <w:rPr>
          <w:rFonts w:ascii="Arial" w:cs="Arial" w:eastAsia="Arial" w:hAnsi="Arial"/>
          <w:sz w:val="14"/>
          <w:szCs w:val="14"/>
          <w:color w:val="auto"/>
        </w:rPr>
        <w:t xml:space="preserve"> Each Party represents and warrants that as of the Effective Date all necessary consents, approvals and authorizations of all government authorities and other Persons required to be obtained by such Party in connection with execution, delivery and performance of this Agreement have been obtained.</w:t>
      </w:r>
    </w:p>
    <w:p>
      <w:pPr>
        <w:spacing w:after="0" w:line="132" w:lineRule="exact"/>
        <w:rPr>
          <w:sz w:val="20"/>
          <w:szCs w:val="20"/>
          <w:color w:val="auto"/>
        </w:rPr>
      </w:pPr>
    </w:p>
    <w:p>
      <w:pPr>
        <w:ind w:firstLine="518"/>
        <w:spacing w:after="0" w:line="329"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No Conflict.</w:t>
      </w:r>
      <w:r>
        <w:rPr>
          <w:rFonts w:ascii="Arial" w:cs="Arial" w:eastAsia="Arial" w:hAnsi="Arial"/>
          <w:sz w:val="13"/>
          <w:szCs w:val="13"/>
          <w:color w:val="auto"/>
        </w:rPr>
        <w:t xml:space="preserve"> Each Party represents and warrants that, as of the Effective Date, the execution and delivery of this Agreement and the performance of such Party’s obligations hereunder (a) do not conflict with or violate any requirement of applicable Laws and (b) do not conflict with, violate or breach or constitute a default of, or require any consent under, 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577" w:name="page578"/>
    <w:bookmarkEnd w:id="577"/>
    <w:p>
      <w:pPr>
        <w:spacing w:after="0"/>
        <w:rPr>
          <w:sz w:val="20"/>
          <w:szCs w:val="20"/>
          <w:color w:val="auto"/>
        </w:rPr>
      </w:pPr>
      <w:r>
        <w:rPr>
          <w:rFonts w:ascii="Arial" w:cs="Arial" w:eastAsia="Arial" w:hAnsi="Arial"/>
          <w:sz w:val="14"/>
          <w:szCs w:val="14"/>
          <w:color w:val="auto"/>
        </w:rPr>
        <w:t>contractual obligations of such Party, except such consents as have been obtained as of the Effective Date.</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Employee, Consultant and Advisor Obligations.</w:t>
      </w:r>
      <w:r>
        <w:rPr>
          <w:rFonts w:ascii="Arial" w:cs="Arial" w:eastAsia="Arial" w:hAnsi="Arial"/>
          <w:sz w:val="14"/>
          <w:szCs w:val="14"/>
          <w:color w:val="auto"/>
        </w:rPr>
        <w:t xml:space="preserve"> Each Party represents and warrants that, as of the Effective Date, each of its and its Affiliates’ employees, consultants and advisors has executed an agreement or has an existing obligation under law obligating such employee, consultant or advisor to maintain the confidentiality of Confidential Information to the extent required under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41"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u w:val="single" w:color="auto"/>
          <w:color w:val="auto"/>
        </w:rPr>
        <w:t>Intellectual Property.</w:t>
      </w:r>
    </w:p>
    <w:p>
      <w:pPr>
        <w:spacing w:after="0" w:line="184" w:lineRule="exact"/>
        <w:rPr>
          <w:sz w:val="20"/>
          <w:szCs w:val="20"/>
          <w:color w:val="auto"/>
        </w:rPr>
      </w:pPr>
    </w:p>
    <w:p>
      <w:pPr>
        <w:jc w:val="both"/>
        <w:ind w:firstLine="1042"/>
        <w:spacing w:after="0" w:line="282" w:lineRule="auto"/>
        <w:tabs>
          <w:tab w:leader="none" w:pos="1400" w:val="left"/>
        </w:tabs>
        <w:numPr>
          <w:ilvl w:val="0"/>
          <w:numId w:val="409"/>
        </w:numPr>
        <w:rPr>
          <w:rFonts w:ascii="Arial" w:cs="Arial" w:eastAsia="Arial" w:hAnsi="Arial"/>
          <w:sz w:val="13"/>
          <w:szCs w:val="13"/>
          <w:color w:val="auto"/>
        </w:rPr>
      </w:pPr>
      <w:r>
        <w:rPr>
          <w:rFonts w:ascii="Arial" w:cs="Arial" w:eastAsia="Arial" w:hAnsi="Arial"/>
          <w:sz w:val="13"/>
          <w:szCs w:val="13"/>
          <w:color w:val="auto"/>
        </w:rPr>
        <w:t>Each Party represents and warrants to the other Party that (i) it owns or Controls the entire right, title and interest in and to the Licensed Patent Rights or Century Patent Rights, as the case may be, free and clear of all liens, charges and encumbrances, (ii) it has the right to grant to the other Party the rights and licenses under the Licensed Patent Rights and Century Patent Rights granted in this Agreement and has not previously assigned, transferred, conveyed or otherwise encumbered its right, title and interest in such Patent Rights in any manner inconsistent with the terms hereof, and will not take any of the foregoing actions in any manner inconsistent with the terms hereof, (iii) none of the Licensed Patent Rights or Century Patent Rights was fraudulently procured from the relevant governmental patent granting authority, (iv) as of the Effective Date, there is no claim or demand of any Person pertaining to, or any proceeding which is pending or threatened, that asserts the invalidity, misuse or unenforceability of the Licensed Patent Rights or Century Patent Rights or challenges its ownership of such Patent Rights or makes any adverse claim with respect thereto, including any claim that such Patent Rights infringe or misappropriate Intellectual Property of any Third Party, and, to the knowledge of such Party (without any duty to investigate), there is no basis for any such claim, demand or proceeding, (v) to the knowledge of such Party (without any duty to investigate), as of the Effective Date, the Licensed Patent Rights or Century Patent Rights are not being infringed by any Third Party, (vi) the Licensed Patent Rights or Century Patent Rights include all Patent Rights that are owned or exclusively licensed by it as of the Effective Date and (vii) none of its Affiliates own or control, as of the Effective Date, any Patent Rights pertaining to differentiation of human iPSC that are reasonably necessary to Exploit a Licensed Product.</w:t>
      </w:r>
    </w:p>
    <w:p>
      <w:pPr>
        <w:spacing w:after="0" w:line="139" w:lineRule="exact"/>
        <w:rPr>
          <w:rFonts w:ascii="Arial" w:cs="Arial" w:eastAsia="Arial" w:hAnsi="Arial"/>
          <w:sz w:val="13"/>
          <w:szCs w:val="13"/>
          <w:color w:val="auto"/>
        </w:rPr>
      </w:pPr>
    </w:p>
    <w:p>
      <w:pPr>
        <w:jc w:val="both"/>
        <w:ind w:firstLine="1042"/>
        <w:spacing w:after="0" w:line="262" w:lineRule="auto"/>
        <w:tabs>
          <w:tab w:leader="none" w:pos="1365" w:val="left"/>
        </w:tabs>
        <w:numPr>
          <w:ilvl w:val="0"/>
          <w:numId w:val="409"/>
        </w:numPr>
        <w:rPr>
          <w:rFonts w:ascii="Arial" w:cs="Arial" w:eastAsia="Arial" w:hAnsi="Arial"/>
          <w:sz w:val="14"/>
          <w:szCs w:val="14"/>
          <w:color w:val="auto"/>
        </w:rPr>
      </w:pPr>
      <w:r>
        <w:rPr>
          <w:rFonts w:ascii="Arial" w:cs="Arial" w:eastAsia="Arial" w:hAnsi="Arial"/>
          <w:sz w:val="14"/>
          <w:szCs w:val="14"/>
          <w:color w:val="auto"/>
        </w:rPr>
        <w:t>During the Term, each Party shall retain and maintain sufficient legal or beneficial title and ownership of, or sufficient license rights under, any Licensed Patent Rights or Century Patent Rights to enable such Party to grant the licenses and rights to such Patent Rights that would be granted to the other Party under, and as reasonably necessary to practice, such Patent Rights in accordance with the license to be granted under this Agreement. Neither Party shall, during the Term, sell, assign, transfer, license, pledge, fail to maintain control of, otherwise dispose of, or grant any option or other right, title or interest in to or under, or incur any lien or encumbrance on, any Licensed Patent Rights or Century Patent Rights, or respective rights and licenses under this Agreement as the case may be. Notwithstanding any provision to the contrary, a Party may sell, assign, transfer, license, pledge, fail to maintain control of, otherwise dispose of, or grant any option or other right, title or interest in to or under, or incur any lien or encumbrance on, any Patent Rights licensed under this Agreement to any Affiliate of such Party so long as such Party’s obligations as licensor remains unchanged under this Agreement and its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78" w:name="page579"/>
    <w:bookmarkEnd w:id="578"/>
    <w:p>
      <w:pPr>
        <w:spacing w:after="0"/>
        <w:rPr>
          <w:sz w:val="20"/>
          <w:szCs w:val="20"/>
          <w:color w:val="auto"/>
        </w:rPr>
      </w:pPr>
      <w:r>
        <w:rPr>
          <w:rFonts w:ascii="Arial" w:cs="Arial" w:eastAsia="Arial" w:hAnsi="Arial"/>
          <w:sz w:val="14"/>
          <w:szCs w:val="14"/>
          <w:color w:val="auto"/>
        </w:rPr>
        <w:t>Affiliate shall become jointly and severally responsible as a licensor together with such Party under this Agreement.</w:t>
      </w:r>
    </w:p>
    <w:p>
      <w:pPr>
        <w:spacing w:after="0" w:line="184" w:lineRule="exact"/>
        <w:rPr>
          <w:sz w:val="20"/>
          <w:szCs w:val="20"/>
          <w:color w:val="auto"/>
        </w:rPr>
      </w:pPr>
    </w:p>
    <w:p>
      <w:pPr>
        <w:jc w:val="both"/>
        <w:ind w:firstLine="1042"/>
        <w:spacing w:after="0" w:line="273" w:lineRule="auto"/>
        <w:tabs>
          <w:tab w:leader="none" w:pos="1399" w:val="left"/>
        </w:tabs>
        <w:numPr>
          <w:ilvl w:val="0"/>
          <w:numId w:val="410"/>
        </w:numPr>
        <w:rPr>
          <w:rFonts w:ascii="Arial" w:cs="Arial" w:eastAsia="Arial" w:hAnsi="Arial"/>
          <w:sz w:val="14"/>
          <w:szCs w:val="14"/>
          <w:color w:val="auto"/>
        </w:rPr>
      </w:pPr>
      <w:r>
        <w:rPr>
          <w:rFonts w:ascii="Arial" w:cs="Arial" w:eastAsia="Arial" w:hAnsi="Arial"/>
          <w:sz w:val="14"/>
          <w:szCs w:val="14"/>
          <w:color w:val="auto"/>
        </w:rPr>
        <w:t>If During the Term, CDI develops, conceives, generates any Intellectual Property pertaining to differentiation of human iPSC that are reasonably necessary to Exploit the Licensed Products, CDI shall maintain Control over such Intellectual Property and shall not transfer, assign or license such Intellectual Property to an Affiliate of CDI or to any third party without the prior consent of Century.</w:t>
      </w:r>
    </w:p>
    <w:p>
      <w:pPr>
        <w:spacing w:after="0" w:line="137"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No Warranties.</w:t>
      </w:r>
      <w:r>
        <w:rPr>
          <w:rFonts w:ascii="Arial" w:cs="Arial" w:eastAsia="Arial" w:hAnsi="Arial"/>
          <w:sz w:val="14"/>
          <w:szCs w:val="14"/>
          <w:color w:val="auto"/>
        </w:rPr>
        <w:t xml:space="preserve"> </w:t>
      </w:r>
      <w:r>
        <w:rPr>
          <w:rFonts w:ascii="Arial" w:cs="Arial" w:eastAsia="Arial" w:hAnsi="Arial"/>
          <w:sz w:val="14"/>
          <w:szCs w:val="14"/>
          <w:b w:val="1"/>
          <w:bCs w:val="1"/>
          <w:color w:val="auto"/>
        </w:rPr>
        <w:t>EXCEPT AS OTHERWISE EXPRESSLY SET FORTH HEREIN, THE PARTIES MAKE NO REPRESENTATIONS AND EXTEND NO</w:t>
      </w:r>
      <w:r>
        <w:rPr>
          <w:rFonts w:ascii="Arial" w:cs="Arial" w:eastAsia="Arial" w:hAnsi="Arial"/>
          <w:sz w:val="14"/>
          <w:szCs w:val="14"/>
          <w:color w:val="auto"/>
        </w:rPr>
        <w:t xml:space="preserve"> </w:t>
      </w:r>
      <w:r>
        <w:rPr>
          <w:rFonts w:ascii="Arial" w:cs="Arial" w:eastAsia="Arial" w:hAnsi="Arial"/>
          <w:sz w:val="14"/>
          <w:szCs w:val="14"/>
          <w:b w:val="1"/>
          <w:bCs w:val="1"/>
          <w:color w:val="auto"/>
        </w:rPr>
        <w:t>WARRANTIES OF ANY KIND, EITHER EXPRESS OR IMPLIED, INCLUDING WARRANTIES OF MERCHANTABILITY, FITNESS FOR A PARTICULAR PURPOSE, NON-INFRINGEMENT, OR NON-MISAPPROPRIATION OF THIRD PARTY INTELLECTUAL PROPERTY RIGHTS ARE MADE OR GIVEN BY OR ON BEHALF OF A PARTY. EXCEPT AS EXPRESSLY STATED IN THIS AGREEMENT, ALL REPRESENTATIONS AND WARRANTIES, WHETHER ARISING BY OPERATION OF LAW OR OTHERWISE, ARE HEREBY EXPRESSLY EXCLUDED.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Insurance; and Limitation on Damages</w:t>
      </w:r>
    </w:p>
    <w:p>
      <w:pPr>
        <w:spacing w:after="0" w:line="175"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By Century.</w:t>
      </w:r>
      <w:r>
        <w:rPr>
          <w:rFonts w:ascii="Arial" w:cs="Arial" w:eastAsia="Arial" w:hAnsi="Arial"/>
          <w:sz w:val="13"/>
          <w:szCs w:val="13"/>
          <w:color w:val="auto"/>
        </w:rPr>
        <w:t xml:space="preserve"> Century agrees to defend CDI, its Affiliates and their respective directors, officers, employees, consultants and agents at Century’s cost and expense, and shall indemnify and hold harmless CDI and its Affiliates and their respective directors, officers, employees, consultants and agents from and against any liabilities, losses, costs, damages, fees or expenses arising out of any Third Party (excluding any Affiliate) claim, suit, action or demand relating to (a) any breach by Century of any of its representations, warranties or obligations pursuant to this Agreement, (b) personal injury, property damage or other damage resulting from the Exploitation of Licensed Products in the Field within the Territory by or on behalf of Century or its Affiliates or Sublicensees or (c) the willful misconduct or grossly negligent acts of Century, its Affiliates, subcontractors, licensee or Sublicensees (excluding CDI and its Affiliates as licensees or Sublicensees of Century hereunder); excluding, in each case (a), (b) and (c), any damages or other amounts for which CDI has an obligation to indemnify Century pursuant to </w:t>
      </w:r>
      <w:r>
        <w:rPr>
          <w:rFonts w:ascii="Arial" w:cs="Arial" w:eastAsia="Arial" w:hAnsi="Arial"/>
          <w:sz w:val="13"/>
          <w:szCs w:val="13"/>
          <w:u w:val="single" w:color="auto"/>
          <w:color w:val="auto"/>
        </w:rPr>
        <w:t>Section 8.2</w:t>
      </w:r>
      <w:r>
        <w:rPr>
          <w:rFonts w:ascii="Arial" w:cs="Arial" w:eastAsia="Arial" w:hAnsi="Arial"/>
          <w:sz w:val="13"/>
          <w:szCs w:val="13"/>
          <w:color w:val="auto"/>
        </w:rPr>
        <w:t>, as to which damages or amounts each Party shall indemnify the other to the extent of their respective liability for such damages or amounts.</w:t>
      </w:r>
    </w:p>
    <w:p>
      <w:pPr>
        <w:spacing w:after="0" w:line="138"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By CDI.</w:t>
      </w:r>
      <w:r>
        <w:rPr>
          <w:rFonts w:ascii="Arial" w:cs="Arial" w:eastAsia="Arial" w:hAnsi="Arial"/>
          <w:sz w:val="13"/>
          <w:szCs w:val="13"/>
          <w:color w:val="auto"/>
        </w:rPr>
        <w:t xml:space="preserve"> CDI agrees to defend Century, its Affiliates and their respective directors, officers, employees, consultants and agents at CDI’s cost and expense, and shall indemnify and hold harmless Century and its Affiliates and their respective directors, officers, employees, consultants and agents from and against any liabilities, losses, costs, damages, fees or expenses arising out of any Third Party (excluding any Affiliate) claim, suit, action or demand relating to (a) any breach by CDI of any of its representations, warranties or obligations pursuant to this Agreement,</w:t>
      </w:r>
    </w:p>
    <w:p>
      <w:pPr>
        <w:ind w:firstLine="6"/>
        <w:spacing w:after="0" w:line="274" w:lineRule="auto"/>
        <w:tabs>
          <w:tab w:leader="none" w:pos="208" w:val="left"/>
        </w:tabs>
        <w:numPr>
          <w:ilvl w:val="0"/>
          <w:numId w:val="411"/>
        </w:numPr>
        <w:rPr>
          <w:rFonts w:ascii="Arial" w:cs="Arial" w:eastAsia="Arial" w:hAnsi="Arial"/>
          <w:sz w:val="14"/>
          <w:szCs w:val="14"/>
          <w:color w:val="auto"/>
        </w:rPr>
      </w:pPr>
      <w:r>
        <w:rPr>
          <w:rFonts w:ascii="Arial" w:cs="Arial" w:eastAsia="Arial" w:hAnsi="Arial"/>
          <w:sz w:val="14"/>
          <w:szCs w:val="14"/>
          <w:color w:val="auto"/>
        </w:rPr>
        <w:t>personal injury, property, damage or other damage resulting from the Exploitation of Licensed Products in the Field outside the Territory by or on behalf of CDI, its Affiliates or Sublicensees or (c) the willful misconduct or grossly negligent acts of CDI, its Affiliates, subcontractors, licensee or Sublicensees (excluding Century and its Affiliates as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79" w:name="page580"/>
    <w:bookmarkEnd w:id="579"/>
    <w:p>
      <w:pPr>
        <w:jc w:val="both"/>
        <w:spacing w:after="0" w:line="288" w:lineRule="auto"/>
        <w:rPr>
          <w:sz w:val="20"/>
          <w:szCs w:val="20"/>
          <w:color w:val="auto"/>
        </w:rPr>
      </w:pPr>
      <w:r>
        <w:rPr>
          <w:rFonts w:ascii="Arial" w:cs="Arial" w:eastAsia="Arial" w:hAnsi="Arial"/>
          <w:sz w:val="14"/>
          <w:szCs w:val="14"/>
          <w:color w:val="auto"/>
        </w:rPr>
        <w:t xml:space="preserve">licensees or Sublicensees to CDI hereunder); excluding, in each case (a), (b) and (c), any damages or other amounts for which Century has an obligations to indemnify CDI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8.1</w:t>
      </w:r>
      <w:r>
        <w:rPr>
          <w:rFonts w:ascii="Arial" w:cs="Arial" w:eastAsia="Arial" w:hAnsi="Arial"/>
          <w:sz w:val="14"/>
          <w:szCs w:val="14"/>
          <w:color w:val="auto"/>
        </w:rPr>
        <w:t>, as to which damages or amounts each Party shall indemnify the other to the extent of their respective liability for such damages or amounts.</w:t>
      </w:r>
    </w:p>
    <w:p>
      <w:pPr>
        <w:spacing w:after="0" w:line="128"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Procedures.</w:t>
      </w:r>
      <w:r>
        <w:rPr>
          <w:rFonts w:ascii="Arial" w:cs="Arial" w:eastAsia="Arial" w:hAnsi="Arial"/>
          <w:sz w:val="13"/>
          <w:szCs w:val="13"/>
          <w:color w:val="auto"/>
        </w:rPr>
        <w:t xml:space="preserve"> A Person entitled to indemnification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give prompt written notification to the Party from whom indemnification is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of any claim, suit, action or demand for which indemnification is sought under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thirty (30) days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138"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Insurance</w:t>
      </w:r>
      <w:r>
        <w:rPr>
          <w:rFonts w:ascii="Arial" w:cs="Arial" w:eastAsia="Arial" w:hAnsi="Arial"/>
          <w:sz w:val="14"/>
          <w:szCs w:val="14"/>
          <w:color w:val="auto"/>
        </w:rPr>
        <w:t xml:space="preserve">. Each Party shall procure and maintain insurance or self-insurance, including general liability insurance and, starting at the time at which a Licensed Product first enters clinical testing in human subjects by or on behalf of Century or its Affiliates or Sublicensees, product liability insurance, in each case adequate to cover its obligations hereunder and consistent with normal business practices of prudent companies similarly situated, which insurance shall identify the other Party as an additional insured starting at the time at which a Licensed Product first enters clinical testing in human subjects by or on behalf of Century or its Affiliates or Sublicensees. It is understood that any such insurance shall not be construed to create a limit of each Party’s liability with respect to its indemnification obligations under this Article </w:t>
      </w:r>
      <w:r>
        <w:rPr>
          <w:rFonts w:ascii="Arial" w:cs="Arial" w:eastAsia="Arial" w:hAnsi="Arial"/>
          <w:sz w:val="14"/>
          <w:szCs w:val="14"/>
          <w:u w:val="single" w:color="auto"/>
          <w:color w:val="auto"/>
        </w:rPr>
        <w:t>8</w:t>
      </w:r>
      <w:r>
        <w:rPr>
          <w:rFonts w:ascii="Arial" w:cs="Arial" w:eastAsia="Arial" w:hAnsi="Arial"/>
          <w:sz w:val="14"/>
          <w:szCs w:val="14"/>
          <w:color w:val="auto"/>
        </w:rPr>
        <w:t>. Each Party shall provide the other Party with written evidence of such insurance upon request. Each Party shall provide the other Party with written notice at least thirty (30) days prior to the cancellation, non-renewal or material change in such insurance or self-insurance which could adversely affect rights hereunder.</w:t>
      </w:r>
    </w:p>
    <w:p>
      <w:pPr>
        <w:spacing w:after="0" w:line="14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No Consequential or Punitive Damages</w:t>
      </w:r>
      <w:r>
        <w:rPr>
          <w:rFonts w:ascii="Arial" w:cs="Arial" w:eastAsia="Arial" w:hAnsi="Arial"/>
          <w:sz w:val="14"/>
          <w:szCs w:val="14"/>
          <w:color w:val="auto"/>
        </w:rPr>
        <w:t xml:space="preserve">. </w:t>
      </w:r>
      <w:r>
        <w:rPr>
          <w:rFonts w:ascii="Arial" w:cs="Arial" w:eastAsia="Arial" w:hAnsi="Arial"/>
          <w:sz w:val="14"/>
          <w:szCs w:val="14"/>
          <w:b w:val="1"/>
          <w:bCs w:val="1"/>
          <w:color w:val="auto"/>
        </w:rPr>
        <w:t>EXCEPT WITH RESPECT TO (A) THE INDEMNIFICATION RIGHTS OR OBLIGATIONS OF EITHER PARTY UNDER</w:t>
      </w:r>
      <w:r>
        <w:rPr>
          <w:rFonts w:ascii="Arial" w:cs="Arial" w:eastAsia="Arial" w:hAnsi="Arial"/>
          <w:sz w:val="14"/>
          <w:szCs w:val="14"/>
          <w:color w:val="auto"/>
        </w:rPr>
        <w:t xml:space="preserve"> </w:t>
      </w:r>
      <w:r>
        <w:rPr>
          <w:rFonts w:ascii="Arial" w:cs="Arial" w:eastAsia="Arial" w:hAnsi="Arial"/>
          <w:sz w:val="14"/>
          <w:szCs w:val="14"/>
          <w:b w:val="1"/>
          <w:bCs w:val="1"/>
          <w:color w:val="auto"/>
        </w:rPr>
        <w:t>THIS AGREEMENT WITH RESPECT TO THIRD PARTY CLAIMS, SUITS, ACTIONS OR DEMANDS, (B) A BREACH OF ARTICLES 2.5(c) or 3.7(a) OR (C) A BREACH OF THE CONFIDENTIALITY AND NON-USE OBLIGATIONS OF ARTICLE 6, NEITHER PARTY HERETO WILL BE LIABLE FOR INDIRECT, INCIDENTAL, CONSEQUENTIAL, SPECIAL, EXEMPLARY OR PUNITIVE DAMAGES,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580" w:name="page581"/>
    <w:bookmarkEnd w:id="580"/>
    <w:p>
      <w:pPr>
        <w:spacing w:after="0"/>
        <w:rPr>
          <w:sz w:val="20"/>
          <w:szCs w:val="20"/>
          <w:color w:val="auto"/>
        </w:rPr>
      </w:pPr>
      <w:r>
        <w:rPr>
          <w:rFonts w:ascii="Arial" w:cs="Arial" w:eastAsia="Arial" w:hAnsi="Arial"/>
          <w:sz w:val="14"/>
          <w:szCs w:val="14"/>
          <w:b w:val="1"/>
          <w:bCs w:val="1"/>
          <w:color w:val="auto"/>
        </w:rPr>
        <w:t>INCLUDING LOST PROFITS, ARISING FROM OR RELATING TO THIS AGREEMENT, REGARDLESS OF ANY NOTICE OF SUCH DAMAGES.</w:t>
      </w:r>
    </w:p>
    <w:p>
      <w:pPr>
        <w:spacing w:after="0" w:line="18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3"/>
          <w:szCs w:val="13"/>
          <w:u w:val="single" w:color="auto"/>
          <w:color w:val="auto"/>
        </w:rPr>
        <w:t>Limitation of CDI’s Liability</w:t>
      </w:r>
      <w:r>
        <w:rPr>
          <w:rFonts w:ascii="Arial" w:cs="Arial" w:eastAsia="Arial" w:hAnsi="Arial"/>
          <w:sz w:val="13"/>
          <w:szCs w:val="13"/>
          <w:color w:val="auto"/>
        </w:rPr>
        <w:t>. CDI’s liability for any damages arising out of or related to this</w:t>
      </w:r>
      <w:r>
        <w:rPr>
          <w:rFonts w:ascii="Arial" w:cs="Arial" w:eastAsia="Arial" w:hAnsi="Arial"/>
          <w:sz w:val="13"/>
          <w:szCs w:val="13"/>
          <w:u w:val="single" w:color="auto"/>
          <w:color w:val="auto"/>
        </w:rPr>
        <w:t xml:space="preserve"> Article 8 </w:t>
      </w:r>
      <w:r>
        <w:rPr>
          <w:rFonts w:ascii="Arial" w:cs="Arial" w:eastAsia="Arial" w:hAnsi="Arial"/>
          <w:sz w:val="13"/>
          <w:szCs w:val="13"/>
          <w:color w:val="auto"/>
        </w:rPr>
        <w:t>shall under no circumstances exceed [***] US dollars.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 and Termination</w:t>
      </w:r>
    </w:p>
    <w:p>
      <w:pPr>
        <w:spacing w:after="0" w:line="171"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u w:val="single" w:color="auto"/>
          <w:color w:val="auto"/>
        </w:rPr>
        <w:t>Term</w:t>
      </w:r>
      <w:r>
        <w:rPr>
          <w:rFonts w:ascii="Arial" w:cs="Arial" w:eastAsia="Arial" w:hAnsi="Arial"/>
          <w:sz w:val="13"/>
          <w:szCs w:val="13"/>
          <w:color w:val="auto"/>
        </w:rPr>
        <w:t>. This Agreement shall become effective as of the Effective Date and shall otherwise remain in effect, unless terminated as set forth in this</w:t>
      </w:r>
      <w:r>
        <w:rPr>
          <w:rFonts w:ascii="Arial" w:cs="Arial" w:eastAsia="Arial" w:hAnsi="Arial"/>
          <w:sz w:val="13"/>
          <w:szCs w:val="13"/>
          <w:u w:val="single" w:color="auto"/>
          <w:color w:val="auto"/>
        </w:rPr>
        <w:t xml:space="preserve"> Article 9 </w:t>
      </w:r>
      <w:r>
        <w:rPr>
          <w:rFonts w:ascii="Arial" w:cs="Arial" w:eastAsia="Arial" w:hAnsi="Arial"/>
          <w:sz w:val="13"/>
          <w:szCs w:val="13"/>
          <w:color w:val="auto"/>
        </w:rPr>
        <w:t>(the “</w:t>
      </w:r>
      <w:r>
        <w:rPr>
          <w:rFonts w:ascii="Arial" w:cs="Arial" w:eastAsia="Arial" w:hAnsi="Arial"/>
          <w:sz w:val="13"/>
          <w:szCs w:val="13"/>
          <w:b w:val="1"/>
          <w:bCs w:val="1"/>
          <w:color w:val="auto"/>
        </w:rPr>
        <w:t>Term</w:t>
      </w:r>
      <w:r>
        <w:rPr>
          <w:rFonts w:ascii="Arial" w:cs="Arial" w:eastAsia="Arial" w:hAnsi="Arial"/>
          <w:sz w:val="13"/>
          <w:szCs w:val="13"/>
          <w:color w:val="auto"/>
        </w:rPr>
        <w:t>”).</w:t>
      </w:r>
    </w:p>
    <w:p>
      <w:pPr>
        <w:spacing w:after="0" w:line="18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u w:val="single" w:color="auto"/>
          <w:color w:val="auto"/>
        </w:rPr>
        <w:t>Termination for Material Breach</w:t>
      </w:r>
      <w:r>
        <w:rPr>
          <w:rFonts w:ascii="Arial" w:cs="Arial" w:eastAsia="Arial" w:hAnsi="Arial"/>
          <w:sz w:val="13"/>
          <w:szCs w:val="13"/>
          <w:color w:val="auto"/>
        </w:rPr>
        <w:t>.</w:t>
      </w:r>
    </w:p>
    <w:p>
      <w:pPr>
        <w:spacing w:after="0" w:line="180" w:lineRule="exact"/>
        <w:rPr>
          <w:sz w:val="20"/>
          <w:szCs w:val="20"/>
          <w:color w:val="auto"/>
        </w:rPr>
      </w:pPr>
    </w:p>
    <w:p>
      <w:pPr>
        <w:jc w:val="both"/>
        <w:ind w:firstLine="1042"/>
        <w:spacing w:after="0" w:line="276" w:lineRule="auto"/>
        <w:tabs>
          <w:tab w:leader="none" w:pos="1367" w:val="left"/>
        </w:tabs>
        <w:numPr>
          <w:ilvl w:val="0"/>
          <w:numId w:val="412"/>
        </w:numPr>
        <w:rPr>
          <w:rFonts w:ascii="Arial" w:cs="Arial" w:eastAsia="Arial" w:hAnsi="Arial"/>
          <w:sz w:val="14"/>
          <w:szCs w:val="14"/>
          <w:color w:val="auto"/>
        </w:rPr>
      </w:pPr>
      <w:r>
        <w:rPr>
          <w:rFonts w:ascii="Arial" w:cs="Arial" w:eastAsia="Arial" w:hAnsi="Arial"/>
          <w:sz w:val="14"/>
          <w:szCs w:val="14"/>
          <w:color w:val="auto"/>
        </w:rPr>
        <w:t>Any failure by a Party (the “</w:t>
      </w:r>
      <w:r>
        <w:rPr>
          <w:rFonts w:ascii="Arial" w:cs="Arial" w:eastAsia="Arial" w:hAnsi="Arial"/>
          <w:sz w:val="14"/>
          <w:szCs w:val="14"/>
          <w:b w:val="1"/>
          <w:bCs w:val="1"/>
          <w:color w:val="auto"/>
        </w:rPr>
        <w:t>Breaching Party</w:t>
      </w:r>
      <w:r>
        <w:rPr>
          <w:rFonts w:ascii="Arial" w:cs="Arial" w:eastAsia="Arial" w:hAnsi="Arial"/>
          <w:sz w:val="14"/>
          <w:szCs w:val="14"/>
          <w:color w:val="auto"/>
        </w:rPr>
        <w:t>”) to comply with any of its material obligations contained in this Agreement (such failure, a “</w:t>
      </w:r>
      <w:r>
        <w:rPr>
          <w:rFonts w:ascii="Arial" w:cs="Arial" w:eastAsia="Arial" w:hAnsi="Arial"/>
          <w:sz w:val="14"/>
          <w:szCs w:val="14"/>
          <w:b w:val="1"/>
          <w:bCs w:val="1"/>
          <w:color w:val="auto"/>
        </w:rPr>
        <w:t>Material Breach</w:t>
      </w:r>
      <w:r>
        <w:rPr>
          <w:rFonts w:ascii="Arial" w:cs="Arial" w:eastAsia="Arial" w:hAnsi="Arial"/>
          <w:sz w:val="14"/>
          <w:szCs w:val="14"/>
          <w:color w:val="auto"/>
        </w:rPr>
        <w:t>”) shall entitle the other Party (the “</w:t>
      </w:r>
      <w:r>
        <w:rPr>
          <w:rFonts w:ascii="Arial" w:cs="Arial" w:eastAsia="Arial" w:hAnsi="Arial"/>
          <w:sz w:val="14"/>
          <w:szCs w:val="14"/>
          <w:b w:val="1"/>
          <w:bCs w:val="1"/>
          <w:color w:val="auto"/>
        </w:rPr>
        <w:t>Non-Breaching Party</w:t>
      </w:r>
      <w:r>
        <w:rPr>
          <w:rFonts w:ascii="Arial" w:cs="Arial" w:eastAsia="Arial" w:hAnsi="Arial"/>
          <w:sz w:val="14"/>
          <w:szCs w:val="14"/>
          <w:color w:val="auto"/>
        </w:rPr>
        <w:t>”) to give to the Breaching Party written notice specifying the nature of the Material Breach, requiring the Breaching Party to cure such Material Breach.</w:t>
      </w:r>
    </w:p>
    <w:p>
      <w:pPr>
        <w:spacing w:after="0" w:line="139" w:lineRule="exact"/>
        <w:rPr>
          <w:rFonts w:ascii="Arial" w:cs="Arial" w:eastAsia="Arial" w:hAnsi="Arial"/>
          <w:sz w:val="14"/>
          <w:szCs w:val="14"/>
          <w:color w:val="auto"/>
        </w:rPr>
      </w:pPr>
    </w:p>
    <w:p>
      <w:pPr>
        <w:jc w:val="both"/>
        <w:ind w:firstLine="1042"/>
        <w:spacing w:after="0" w:line="287" w:lineRule="auto"/>
        <w:tabs>
          <w:tab w:leader="none" w:pos="1383" w:val="left"/>
        </w:tabs>
        <w:numPr>
          <w:ilvl w:val="0"/>
          <w:numId w:val="412"/>
        </w:numPr>
        <w:rPr>
          <w:rFonts w:ascii="Arial" w:cs="Arial" w:eastAsia="Arial" w:hAnsi="Arial"/>
          <w:sz w:val="13"/>
          <w:szCs w:val="13"/>
          <w:color w:val="auto"/>
        </w:rPr>
      </w:pPr>
      <w:r>
        <w:rPr>
          <w:rFonts w:ascii="Arial" w:cs="Arial" w:eastAsia="Arial" w:hAnsi="Arial"/>
          <w:sz w:val="13"/>
          <w:szCs w:val="13"/>
          <w:color w:val="auto"/>
        </w:rPr>
        <w:t xml:space="preserve">If such Material Breach is not cured within sixty (60) days after the receipt of notice pursuant to </w:t>
      </w:r>
      <w:r>
        <w:rPr>
          <w:rFonts w:ascii="Arial" w:cs="Arial" w:eastAsia="Arial" w:hAnsi="Arial"/>
          <w:sz w:val="13"/>
          <w:szCs w:val="13"/>
          <w:u w:val="single" w:color="auto"/>
          <w:color w:val="auto"/>
        </w:rPr>
        <w:t>Section 9.2(a)</w:t>
      </w:r>
      <w:r>
        <w:rPr>
          <w:rFonts w:ascii="Arial" w:cs="Arial" w:eastAsia="Arial" w:hAnsi="Arial"/>
          <w:sz w:val="13"/>
          <w:szCs w:val="13"/>
          <w:color w:val="auto"/>
        </w:rPr>
        <w:t xml:space="preserve"> above, the Non-Breaching Party shall be entitled to terminate this Agreement on written notice to the Breaching Party and without prejudice to any of its other rights conferred on it by this Agreement; provided that if a Material Breach cannot reasonably be cured within such sixty (60)-day period and the Breaching Party promptly delivers a plan to cure such Material Breach (reasonably acceptable to the Non-Breaching Party) and cures such Material Breach up to a maximum cure period of one hundred twenty (120) days from the date of initial notice; further provided, however, that if the Breaching Party disputes the existence of a Material Breach, the matter shall be submitted for resolution in accordance with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shall not have the right to terminate this Agreement unless and until a final decision of Material Breach is rendered under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fails to cure such Material Breach within sixty (60) days thereafter.</w:t>
      </w:r>
    </w:p>
    <w:p>
      <w:pPr>
        <w:spacing w:after="0" w:line="136"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u w:val="single" w:color="auto"/>
          <w:color w:val="auto"/>
        </w:rPr>
        <w:t>Termination for Failure to Develop a Licensed Product</w:t>
      </w:r>
      <w:r>
        <w:rPr>
          <w:rFonts w:ascii="Arial" w:cs="Arial" w:eastAsia="Arial" w:hAnsi="Arial"/>
          <w:sz w:val="13"/>
          <w:szCs w:val="13"/>
          <w:color w:val="auto"/>
        </w:rPr>
        <w:t>. If Century fails to [***], CDI shall have the right to terminate this Agreement pursuant to the terms of this</w:t>
      </w:r>
      <w:r>
        <w:rPr>
          <w:rFonts w:ascii="Arial" w:cs="Arial" w:eastAsia="Arial" w:hAnsi="Arial"/>
          <w:sz w:val="13"/>
          <w:szCs w:val="13"/>
          <w:u w:val="single" w:color="auto"/>
          <w:color w:val="auto"/>
        </w:rPr>
        <w:t xml:space="preserve"> Section 9.3</w:t>
      </w:r>
      <w:r>
        <w:rPr>
          <w:rFonts w:ascii="Arial" w:cs="Arial" w:eastAsia="Arial" w:hAnsi="Arial"/>
          <w:sz w:val="13"/>
          <w:szCs w:val="13"/>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CDI may [***].</w:t>
      </w:r>
    </w:p>
    <w:p>
      <w:pPr>
        <w:spacing w:after="0" w:line="175" w:lineRule="exact"/>
        <w:rPr>
          <w:sz w:val="20"/>
          <w:szCs w:val="20"/>
          <w:color w:val="auto"/>
        </w:rPr>
      </w:pPr>
    </w:p>
    <w:p>
      <w:pPr>
        <w:jc w:val="center"/>
        <w:spacing w:after="0" w:line="417"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Termination for Cause concerning Reprogramming License</w:t>
      </w:r>
      <w:r>
        <w:rPr>
          <w:rFonts w:ascii="Arial" w:cs="Arial" w:eastAsia="Arial" w:hAnsi="Arial"/>
          <w:sz w:val="14"/>
          <w:szCs w:val="14"/>
          <w:color w:val="auto"/>
        </w:rPr>
        <w:t>. In the event that (i) the Reprogramming License Agreement expires or terminates for any reason or (ii) WARF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59625"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2" w:right="319" w:bottom="1440" w:gutter="0" w:footer="0" w:header="0"/>
        </w:sectPr>
      </w:pPr>
    </w:p>
    <w:bookmarkStart w:id="581" w:name="page582"/>
    <w:bookmarkEnd w:id="581"/>
    <w:p>
      <w:pPr>
        <w:spacing w:after="0"/>
        <w:rPr>
          <w:sz w:val="20"/>
          <w:szCs w:val="20"/>
          <w:color w:val="auto"/>
        </w:rPr>
      </w:pPr>
      <w:r>
        <w:rPr>
          <w:rFonts w:ascii="Arial" w:cs="Arial" w:eastAsia="Arial" w:hAnsi="Arial"/>
          <w:sz w:val="14"/>
          <w:szCs w:val="14"/>
          <w:color w:val="auto"/>
        </w:rPr>
        <w:t>License expires or terminates for any reason, CDI shall be entitled to terminate this Agreement with an immediate effect upon a written notice to Century.</w:t>
      </w:r>
    </w:p>
    <w:p>
      <w:pPr>
        <w:spacing w:after="0" w:line="184"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Termination for Bankruptcy</w:t>
      </w:r>
      <w:r>
        <w:rPr>
          <w:rFonts w:ascii="Arial" w:cs="Arial" w:eastAsia="Arial" w:hAnsi="Arial"/>
          <w:sz w:val="14"/>
          <w:szCs w:val="14"/>
          <w:color w:val="auto"/>
        </w:rPr>
        <w:t>. To the extent allowed under applicable Law, either Party shall have the right to terminate this Agreement in the event that the other Party admits its inability to pay its debts generally as they become due or in the event of the commencement of any proceeding in or for bankruptcy, insolvency, dissolution or winding up by or against the other Party (other than pursuant to a corporate restructuring), or the appointment of a receiver or similar agent by a court of competent jurisdiction, that is not dismissed or otherwise disposed of within sixty (60) days thereafter and/or the administrator of the bankruptcy estate or the Party under in-court restructuring has not, within five (5) days after the receipt of an inquiry from the other Party, confirmed that the bankruptcy estate or the Party under in-court restructuring will adopt this Agreement.</w:t>
      </w:r>
    </w:p>
    <w:p>
      <w:pPr>
        <w:spacing w:after="0" w:line="147"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 xml:space="preserve"> Century may terminate this Agreement, at any time and for any reason or no reason, in its entirety or on an indication-by-indication basis, a Licensed Product-by-Licensed Product basis (to exclude such product from the Field) or country-by-country basis (to eliminate such country from the Territory), by providing ninety (90) days’ prior written notice to CDI. The termination shall become effective at the end of the ninety (90) day period. The indication in respect of which Century terminates this Agreement is called the Abandoned Indication.</w:t>
      </w:r>
    </w:p>
    <w:p>
      <w:pPr>
        <w:spacing w:after="0" w:line="147"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3"/>
          <w:szCs w:val="13"/>
          <w:u w:val="single" w:color="auto"/>
          <w:color w:val="auto"/>
        </w:rPr>
        <w:t>Effects of Termination.</w:t>
      </w:r>
    </w:p>
    <w:p>
      <w:pPr>
        <w:spacing w:after="0" w:line="184" w:lineRule="exact"/>
        <w:rPr>
          <w:sz w:val="20"/>
          <w:szCs w:val="20"/>
          <w:color w:val="auto"/>
        </w:rPr>
      </w:pPr>
    </w:p>
    <w:p>
      <w:pPr>
        <w:jc w:val="both"/>
        <w:ind w:firstLine="1042"/>
        <w:spacing w:after="0" w:line="261" w:lineRule="auto"/>
        <w:tabs>
          <w:tab w:leader="none" w:pos="1393" w:val="left"/>
        </w:tabs>
        <w:numPr>
          <w:ilvl w:val="0"/>
          <w:numId w:val="413"/>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xml:space="preserve">. Expiration or termination of this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Termination of this Agreement shall be in addition to, and shall not prejudice, the Parties’ remedies at law or in equity, including the Parties’ ability to receive legal damages or equitable relief with respect to any breach of this Agreement, regardless of whether or not such breach was the reason for the termination. In the event of any early termination of this Agreement, the Parties will work together in good faith to determine and implement reasonable wind-down procedures with respect to relevant Licensed Product-related activities ongoing at the time of such termination, which shall include continuation of the licenses granted to Century hereunder (and subject to the continuing terms and conditions of this Agreement) to permit Century and its Affiliates and Sublicensees to continue and complete any ongoing clinical trials of Licensed Products and to make or have made such Licensed Products as necessary to continue and complete such clinical trials;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in that the event such termination is by CDI pursuant to </w:t>
      </w:r>
      <w:r>
        <w:rPr>
          <w:rFonts w:ascii="Arial" w:cs="Arial" w:eastAsia="Arial" w:hAnsi="Arial"/>
          <w:sz w:val="14"/>
          <w:szCs w:val="14"/>
          <w:u w:val="single" w:color="auto"/>
          <w:color w:val="auto"/>
        </w:rPr>
        <w:t>Section 9.2</w:t>
      </w:r>
      <w:r>
        <w:rPr>
          <w:rFonts w:ascii="Arial" w:cs="Arial" w:eastAsia="Arial" w:hAnsi="Arial"/>
          <w:sz w:val="14"/>
          <w:szCs w:val="14"/>
          <w:color w:val="auto"/>
        </w:rPr>
        <w:t>, such activities shall be limited to those necessary for Century to comply with regulatory obligations, or medical or ethical obligations to patients consistent with industry standards.</w:t>
      </w:r>
    </w:p>
    <w:p>
      <w:pPr>
        <w:spacing w:after="0" w:line="150" w:lineRule="exact"/>
        <w:rPr>
          <w:rFonts w:ascii="Arial" w:cs="Arial" w:eastAsia="Arial" w:hAnsi="Arial"/>
          <w:sz w:val="14"/>
          <w:szCs w:val="14"/>
          <w:color w:val="auto"/>
        </w:rPr>
      </w:pPr>
    </w:p>
    <w:p>
      <w:pPr>
        <w:ind w:firstLine="1042"/>
        <w:spacing w:after="0" w:line="329" w:lineRule="auto"/>
        <w:tabs>
          <w:tab w:leader="none" w:pos="1365" w:val="left"/>
        </w:tabs>
        <w:numPr>
          <w:ilvl w:val="0"/>
          <w:numId w:val="413"/>
        </w:numPr>
        <w:rPr>
          <w:rFonts w:ascii="Arial" w:cs="Arial" w:eastAsia="Arial" w:hAnsi="Arial"/>
          <w:sz w:val="13"/>
          <w:szCs w:val="13"/>
          <w:color w:val="auto"/>
        </w:rPr>
      </w:pPr>
      <w:r>
        <w:rPr>
          <w:rFonts w:ascii="Arial" w:cs="Arial" w:eastAsia="Arial" w:hAnsi="Arial"/>
          <w:sz w:val="13"/>
          <w:szCs w:val="13"/>
          <w:u w:val="single" w:color="auto"/>
          <w:color w:val="auto"/>
        </w:rPr>
        <w:t>Return or Destruction of Confidential Information</w:t>
      </w:r>
      <w:r>
        <w:rPr>
          <w:rFonts w:ascii="Arial" w:cs="Arial" w:eastAsia="Arial" w:hAnsi="Arial"/>
          <w:sz w:val="13"/>
          <w:szCs w:val="13"/>
          <w:color w:val="auto"/>
        </w:rPr>
        <w:t>. Upon the expiration or termination of this Agreement, each Party shall promptly return or destroy all of such other Party’s Confidential Information that relates to a Licensed Products or that was provided by or on behalf of such other Party hereunder that is in the possession or control of such Party (or 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82" w:name="page583"/>
    <w:bookmarkEnd w:id="582"/>
    <w:p>
      <w:pPr>
        <w:spacing w:after="0"/>
        <w:rPr>
          <w:sz w:val="20"/>
          <w:szCs w:val="20"/>
          <w:color w:val="auto"/>
        </w:rPr>
      </w:pPr>
      <w:r>
        <w:rPr>
          <w:rFonts w:ascii="Arial" w:cs="Arial" w:eastAsia="Arial" w:hAnsi="Arial"/>
          <w:sz w:val="14"/>
          <w:szCs w:val="14"/>
          <w:color w:val="auto"/>
        </w:rPr>
        <w:t>of its Affiliates), except that such Party will have the right maintain one (1) copy of intangible Confidential Information of such other Party for legal and archival purposes.</w:t>
      </w:r>
    </w:p>
    <w:p>
      <w:pPr>
        <w:spacing w:after="0" w:line="184" w:lineRule="exact"/>
        <w:rPr>
          <w:sz w:val="20"/>
          <w:szCs w:val="20"/>
          <w:color w:val="auto"/>
        </w:rPr>
      </w:pPr>
    </w:p>
    <w:p>
      <w:pPr>
        <w:jc w:val="both"/>
        <w:ind w:firstLine="1042"/>
        <w:spacing w:after="0" w:line="290" w:lineRule="auto"/>
        <w:tabs>
          <w:tab w:leader="none" w:pos="1375" w:val="left"/>
        </w:tabs>
        <w:numPr>
          <w:ilvl w:val="0"/>
          <w:numId w:val="414"/>
        </w:numPr>
        <w:rPr>
          <w:rFonts w:ascii="Arial" w:cs="Arial" w:eastAsia="Arial" w:hAnsi="Arial"/>
          <w:sz w:val="13"/>
          <w:szCs w:val="13"/>
          <w:color w:val="auto"/>
        </w:rPr>
      </w:pPr>
      <w:r>
        <w:rPr>
          <w:rFonts w:ascii="Arial" w:cs="Arial" w:eastAsia="Arial" w:hAnsi="Arial"/>
          <w:sz w:val="13"/>
          <w:szCs w:val="13"/>
          <w:u w:val="single" w:color="auto"/>
          <w:color w:val="auto"/>
        </w:rPr>
        <w:t>Product Reversion</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2.5(b)</w:t>
      </w:r>
      <w:r>
        <w:rPr>
          <w:rFonts w:ascii="Arial" w:cs="Arial" w:eastAsia="Arial" w:hAnsi="Arial"/>
          <w:sz w:val="13"/>
          <w:szCs w:val="13"/>
          <w:color w:val="auto"/>
        </w:rPr>
        <w:t>, upon termination of this Agreement, Century shall negotiate in good faith with CDI for a period not to exceed sixty (60) days from the effective date of termination the terms and conditions of an agreement under which Century will transfer the development, manufacture and Commercialization of the Licensed Products to CDI, including a license under any Regulatory Documentation, Know-How and Patent Rights developed or used by Century in the development, manufacture and Commercialization of the Licensed Products within the Field in the Territory. If the Parties fail to agree on such terms and conditions and execute such an agreement within such sixty (60)-day period, then Century shall have no obligations to transfer any such items or grant a license under any such Regulatory Documentation, Know-How or Patent Rights.</w:t>
      </w:r>
    </w:p>
    <w:p>
      <w:pPr>
        <w:spacing w:after="0" w:line="13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9.8 </w:t>
      </w: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The following provisions shall survive the expiration or termination of this Agreement: </w:t>
      </w:r>
      <w:r>
        <w:rPr>
          <w:rFonts w:ascii="Arial" w:cs="Arial" w:eastAsia="Arial" w:hAnsi="Arial"/>
          <w:sz w:val="14"/>
          <w:szCs w:val="14"/>
          <w:u w:val="single" w:color="auto"/>
          <w:color w:val="auto"/>
        </w:rPr>
        <w:t>Article 1</w:t>
      </w:r>
      <w:r>
        <w:rPr>
          <w:rFonts w:ascii="Arial" w:cs="Arial" w:eastAsia="Arial" w:hAnsi="Arial"/>
          <w:sz w:val="14"/>
          <w:szCs w:val="14"/>
          <w:color w:val="auto"/>
        </w:rPr>
        <w:t xml:space="preserve"> (Definitions) (to the extent necessary to give effect to other surviving provisions),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(Intellectual Property),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(Confidentiality), </w:t>
      </w:r>
      <w:r>
        <w:rPr>
          <w:rFonts w:ascii="Arial" w:cs="Arial" w:eastAsia="Arial" w:hAnsi="Arial"/>
          <w:sz w:val="14"/>
          <w:szCs w:val="14"/>
          <w:u w:val="single" w:color="auto"/>
          <w:color w:val="auto"/>
        </w:rPr>
        <w:t>Article 8</w:t>
      </w:r>
      <w:r>
        <w:rPr>
          <w:rFonts w:ascii="Arial" w:cs="Arial" w:eastAsia="Arial" w:hAnsi="Arial"/>
          <w:sz w:val="14"/>
          <w:szCs w:val="14"/>
          <w:color w:val="auto"/>
        </w:rPr>
        <w:t xml:space="preserve"> (Indemnification; Insurance; and Limitation on Damages) (other than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(Insurance)) and </w:t>
      </w:r>
      <w:r>
        <w:rPr>
          <w:rFonts w:ascii="Arial" w:cs="Arial" w:eastAsia="Arial" w:hAnsi="Arial"/>
          <w:sz w:val="14"/>
          <w:szCs w:val="14"/>
          <w:u w:val="single" w:color="auto"/>
          <w:color w:val="auto"/>
        </w:rPr>
        <w:t>Article 10</w:t>
      </w:r>
      <w:r>
        <w:rPr>
          <w:rFonts w:ascii="Arial" w:cs="Arial" w:eastAsia="Arial" w:hAnsi="Arial"/>
          <w:sz w:val="14"/>
          <w:szCs w:val="14"/>
          <w:color w:val="auto"/>
        </w:rPr>
        <w:t xml:space="preserve"> (Miscellaneous Provisions), and </w:t>
      </w:r>
      <w:r>
        <w:rPr>
          <w:rFonts w:ascii="Arial" w:cs="Arial" w:eastAsia="Arial" w:hAnsi="Arial"/>
          <w:sz w:val="14"/>
          <w:szCs w:val="14"/>
          <w:u w:val="single" w:color="auto"/>
          <w:color w:val="auto"/>
        </w:rPr>
        <w:t>Sections 2.5(b)</w:t>
      </w:r>
      <w:r>
        <w:rPr>
          <w:rFonts w:ascii="Arial" w:cs="Arial" w:eastAsia="Arial" w:hAnsi="Arial"/>
          <w:sz w:val="14"/>
          <w:szCs w:val="14"/>
          <w:color w:val="auto"/>
        </w:rPr>
        <w:t xml:space="preserve"> (Sublicensing), </w:t>
      </w:r>
      <w:r>
        <w:rPr>
          <w:rFonts w:ascii="Arial" w:cs="Arial" w:eastAsia="Arial" w:hAnsi="Arial"/>
          <w:sz w:val="14"/>
          <w:szCs w:val="14"/>
          <w:u w:val="single" w:color="auto"/>
          <w:color w:val="auto"/>
        </w:rPr>
        <w:t>9.7</w:t>
      </w:r>
      <w:r>
        <w:rPr>
          <w:rFonts w:ascii="Arial" w:cs="Arial" w:eastAsia="Arial" w:hAnsi="Arial"/>
          <w:sz w:val="14"/>
          <w:szCs w:val="14"/>
          <w:color w:val="auto"/>
        </w:rPr>
        <w:t xml:space="preserve"> (Effects of Termination) and this </w:t>
      </w:r>
      <w:r>
        <w:rPr>
          <w:rFonts w:ascii="Arial" w:cs="Arial" w:eastAsia="Arial" w:hAnsi="Arial"/>
          <w:sz w:val="14"/>
          <w:szCs w:val="14"/>
          <w:u w:val="single" w:color="auto"/>
          <w:color w:val="auto"/>
        </w:rPr>
        <w:t>Section 9.8</w:t>
      </w:r>
      <w:r>
        <w:rPr>
          <w:rFonts w:ascii="Arial" w:cs="Arial" w:eastAsia="Arial" w:hAnsi="Arial"/>
          <w:sz w:val="14"/>
          <w:szCs w:val="14"/>
          <w:color w:val="auto"/>
        </w:rPr>
        <w:t xml:space="preserve"> (Survival).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17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Governing Law; Language</w:t>
      </w:r>
      <w:r>
        <w:rPr>
          <w:rFonts w:ascii="Arial" w:cs="Arial" w:eastAsia="Arial" w:hAnsi="Arial"/>
          <w:sz w:val="14"/>
          <w:szCs w:val="14"/>
          <w:color w:val="auto"/>
        </w:rPr>
        <w:t>. This Agreement and all disputes arising out of or related to this Agreement shall be construed and the respective rights of the Parties determined in accordance with the laws of the State of Wisconsin, U.S.A., excluding application of any conflict of laws. This Agreement and all communications related to it, or to any dispute or controversy arising out of it, shall be conducted in English.</w:t>
      </w:r>
    </w:p>
    <w:p>
      <w:pPr>
        <w:spacing w:after="0" w:line="14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Any notices required or permitted by this Agreement shall be in writing, shall specifically refer to this Agreement, and shall be sent by hand, recognized national overnight courier, confirmed electronic mail or registered or certified mail, postage prepaid, return receipt requested, to the following address of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to CDI:</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FUJIFILM Cellular Dynamics, Inc.</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525 Science Drive, Madison, WI 53711</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Chief Technology Officer</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Email: fcdi-licensing@cellulardynamics.com</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With a copy to:</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FUJIFILM Cellular Dynamics, Inc.</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525 Science Drive, Madison, WI 53711</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General Counsel</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583" w:name="page584"/>
    <w:bookmarkEnd w:id="583"/>
    <w:p>
      <w:pPr>
        <w:spacing w:after="0"/>
        <w:rPr>
          <w:sz w:val="20"/>
          <w:szCs w:val="20"/>
          <w:color w:val="auto"/>
        </w:rPr>
      </w:pPr>
      <w:r>
        <w:rPr>
          <w:rFonts w:ascii="Arial" w:cs="Arial" w:eastAsia="Arial" w:hAnsi="Arial"/>
          <w:sz w:val="14"/>
          <w:szCs w:val="14"/>
          <w:color w:val="auto"/>
        </w:rPr>
        <w:t>If to Century:</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Century Therapeutics, Inc.</w:t>
      </w:r>
    </w:p>
    <w:p>
      <w:pPr>
        <w:ind w:left="1040"/>
        <w:spacing w:after="0" w:line="207" w:lineRule="auto"/>
        <w:rPr>
          <w:sz w:val="20"/>
          <w:szCs w:val="20"/>
          <w:color w:val="auto"/>
        </w:rPr>
      </w:pPr>
      <w:r>
        <w:rPr>
          <w:rFonts w:ascii="Arial" w:cs="Arial" w:eastAsia="Arial" w:hAnsi="Arial"/>
          <w:sz w:val="14"/>
          <w:szCs w:val="14"/>
          <w:color w:val="auto"/>
        </w:rPr>
        <w:t>54 West 21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Street, Suite 408, New York, NY 10010</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Chief Executive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Email: lalo@centurytherapeutics.com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323A45"/>
        </w:rPr>
        <w:t xml:space="preserve">With a </w:t>
      </w:r>
      <w:r>
        <w:rPr>
          <w:rFonts w:ascii="Arial" w:cs="Arial" w:eastAsia="Arial" w:hAnsi="Arial"/>
          <w:sz w:val="14"/>
          <w:szCs w:val="14"/>
          <w:color w:val="000000"/>
        </w:rPr>
        <w:t>copy to:</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Goodwin Procter LLP</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100 Northern Avenue</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Boston, MA 02210</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Mitchell S. Bloom, Esq.</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Email: mbloom@goodwinlaw.com</w:t>
      </w:r>
    </w:p>
    <w:p>
      <w:pPr>
        <w:spacing w:after="0" w:line="175"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 xml:space="preserve">All notices under this Agreement shall be deemed effective upon receipt. A Party may change its contact information immediately upon written notice to the other Party in the manner provided in this </w:t>
      </w:r>
      <w:r>
        <w:rPr>
          <w:rFonts w:ascii="Arial" w:cs="Arial" w:eastAsia="Arial" w:hAnsi="Arial"/>
          <w:sz w:val="14"/>
          <w:szCs w:val="14"/>
          <w:u w:val="single" w:color="auto"/>
          <w:color w:val="auto"/>
        </w:rPr>
        <w:t>Section 10.2</w:t>
      </w:r>
      <w:r>
        <w:rPr>
          <w:rFonts w:ascii="Arial" w:cs="Arial" w:eastAsia="Arial" w:hAnsi="Arial"/>
          <w:sz w:val="14"/>
          <w:szCs w:val="14"/>
          <w:color w:val="auto"/>
        </w:rPr>
        <w:t>.</w:t>
      </w:r>
    </w:p>
    <w:p>
      <w:pPr>
        <w:spacing w:after="0" w:line="132"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Assignment</w:t>
      </w:r>
      <w:r>
        <w:rPr>
          <w:rFonts w:ascii="Arial" w:cs="Arial" w:eastAsia="Arial" w:hAnsi="Arial"/>
          <w:sz w:val="13"/>
          <w:szCs w:val="13"/>
          <w:color w:val="auto"/>
        </w:rPr>
        <w:t xml:space="preserve">. Neither Party may, without the consent of the other Party, assign or transfer any of its rights and obligations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Party may assign this Agreement, in its entirety, without the consent of the other Party, (a) in connection with a sale or transfer of all or substantially all of the business and assets of each Party to which this Agreement relates, including by way of merger, consolidation, transfer, or sale of assets related to this Agreement or (b) to an Affiliate or in connection with a reorganization, provided, further that in each case each Party shall ensure that upon any assignment or transfer under this </w:t>
      </w:r>
      <w:r>
        <w:rPr>
          <w:rFonts w:ascii="Arial" w:cs="Arial" w:eastAsia="Arial" w:hAnsi="Arial"/>
          <w:sz w:val="13"/>
          <w:szCs w:val="13"/>
          <w:u w:val="single" w:color="auto"/>
          <w:color w:val="auto"/>
        </w:rPr>
        <w:t>Section 10.3</w:t>
      </w:r>
      <w:r>
        <w:rPr>
          <w:rFonts w:ascii="Arial" w:cs="Arial" w:eastAsia="Arial" w:hAnsi="Arial"/>
          <w:sz w:val="13"/>
          <w:szCs w:val="13"/>
          <w:color w:val="auto"/>
        </w:rPr>
        <w:t xml:space="preserve"> the assignee or transferee or an Affiliate, as the case may be, agrees in writing, in form and substance reasonably satisfactory to the other Party, to perform and comply with all obligations of such Party under, and to be bound by the terms and conditions of, this Agreement as if such assignee or transferee or an Affiliate were a direct party to this Agreement. Any assignment in circumvention of the foregoing shall be void. Subject to the foregoing, this Agreement shall be binding upon and inure to the benefit of the Parties hereto and their respective successors and permitted assigns. For clarity, if Century is involved in a change of control with a Third Party, then: (a) the Patent Rights and Know-How controlled by such Third Party (or any Affiliate thereof, excluding Century as a result of such transaction) existing as of the date of closing of such change of control (if such Third Party becomes the assignee of this Agreement); or (b) the Patent Rights and Know-How controlled by such Third Party (if such Third Party remains an Affiliate of Century), in each case, will be excluded from the definition of Century Know-How and Century Patent Rights, unless Century or its Third Party acquirer actually uses or applies any such Patent Rights or Know-How to Exploit any Licensed Product (which such Patent Rights or Know-How will be Century Patent Rights or Century Know-How, as applicable, for purposes of this Agreement).</w:t>
      </w:r>
    </w:p>
    <w:p>
      <w:pPr>
        <w:spacing w:after="0" w:line="13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Entire Agreement.</w:t>
      </w:r>
      <w:r>
        <w:rPr>
          <w:rFonts w:ascii="Arial" w:cs="Arial" w:eastAsia="Arial" w:hAnsi="Arial"/>
          <w:sz w:val="14"/>
          <w:szCs w:val="14"/>
          <w:color w:val="auto"/>
        </w:rPr>
        <w:t xml:space="preserve"> This Agreement constitutes the entire agreement between the Parties with respect to its subject matter and supersedes all prior agreements or understandings between the Parties relating to its subject matter.</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584" w:name="page585"/>
    <w:bookmarkEnd w:id="584"/>
    <w:p>
      <w:pPr>
        <w:jc w:val="both"/>
        <w:ind w:firstLine="518"/>
        <w:spacing w:after="0" w:line="281"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Interpretation.</w:t>
      </w:r>
      <w:r>
        <w:rPr>
          <w:rFonts w:ascii="Arial" w:cs="Arial" w:eastAsia="Arial" w:hAnsi="Arial"/>
          <w:sz w:val="13"/>
          <w:szCs w:val="13"/>
          <w:color w:val="auto"/>
        </w:rPr>
        <w:t xml:space="preserve">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“consent”, or “approval” and references to other written communications contemplated under this Agreement shall mean notice, consent, approval or communication in writing (whether or not specifically stated); (d) the words “hereof,” “herein,” “hereby” and derivative or similar words refer to this Agreement (including any Exhibits);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 (i) the word “law” (or “laws”) when used herein means any applicable, legally binding statute, ordinance, resolution, regulation, code, guideline, rule, order, decree, judgment, injunction, mandate or other legally binding requirement of a government entity, together with any then-current modification, amendment and re-enactment thereof, and any legislative provision substituted therefor.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14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Amendment and Waiver.</w:t>
      </w:r>
      <w:r>
        <w:rPr>
          <w:rFonts w:ascii="Arial" w:cs="Arial" w:eastAsia="Arial" w:hAnsi="Arial"/>
          <w:sz w:val="14"/>
          <w:szCs w:val="14"/>
          <w:color w:val="auto"/>
        </w:rPr>
        <w:t xml:space="preserve"> This Agreement may be amended, supplemented, or otherwise modified only by means of a written instrument signed by an authorized representative of both Parties. Any waiver of any right or failure to act in a specific instance shall relate only to such instance and shall not be construed as an agreement to waive any right or fail to act in any other instance, whether or not similar.</w:t>
      </w:r>
    </w:p>
    <w:p>
      <w:pPr>
        <w:spacing w:after="0" w:line="14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In the event that any provision of this Agreement shall be held invalid or unenforceable for any reason, such invalidity or unenforceability shall not affect any other provision of this Agreement. The Parties shall consult one another and use reasonable efforts to agree upon a valid and enforceable provision that is a reasonable substitute for the invalid or unenforceable provision and this Agreement shall be automatically amended to reflect such mutually agreed provision.</w:t>
      </w:r>
    </w:p>
    <w:p>
      <w:pPr>
        <w:spacing w:after="0" w:line="14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10.8 </w:t>
      </w:r>
      <w:r>
        <w:rPr>
          <w:rFonts w:ascii="Arial" w:cs="Arial" w:eastAsia="Arial" w:hAnsi="Arial"/>
          <w:sz w:val="14"/>
          <w:szCs w:val="14"/>
          <w:u w:val="single" w:color="auto"/>
          <w:color w:val="auto"/>
        </w:rPr>
        <w:t>Use of Name.</w:t>
      </w:r>
      <w:r>
        <w:rPr>
          <w:rFonts w:ascii="Arial" w:cs="Arial" w:eastAsia="Arial" w:hAnsi="Arial"/>
          <w:sz w:val="14"/>
          <w:szCs w:val="14"/>
          <w:color w:val="auto"/>
        </w:rPr>
        <w:t xml:space="preserve"> Neither Party shall use the other Party’s name (except in connection with disclosures permitted under </w:t>
      </w:r>
      <w:r>
        <w:rPr>
          <w:rFonts w:ascii="Arial" w:cs="Arial" w:eastAsia="Arial" w:hAnsi="Arial"/>
          <w:sz w:val="14"/>
          <w:szCs w:val="14"/>
          <w:u w:val="single" w:color="auto"/>
          <w:color w:val="auto"/>
        </w:rPr>
        <w:t>Article 6</w:t>
      </w:r>
      <w:r>
        <w:rPr>
          <w:rFonts w:ascii="Arial" w:cs="Arial" w:eastAsia="Arial" w:hAnsi="Arial"/>
          <w:sz w:val="14"/>
          <w:szCs w:val="14"/>
          <w:color w:val="auto"/>
        </w:rPr>
        <w:t>) or logo without the other Party’s express prior written consent, which consent may be granted in the context of the Parties mutually approving a press release or other public disclosure related to this Agreement.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85" w:name="page586"/>
    <w:bookmarkEnd w:id="585"/>
    <w:p>
      <w:pPr>
        <w:jc w:val="both"/>
        <w:ind w:firstLine="518"/>
        <w:spacing w:after="0" w:line="288"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Counterparts.</w:t>
      </w:r>
      <w:r>
        <w:rPr>
          <w:rFonts w:ascii="Arial" w:cs="Arial" w:eastAsia="Arial" w:hAnsi="Arial"/>
          <w:sz w:val="14"/>
          <w:szCs w:val="14"/>
          <w:color w:val="auto"/>
        </w:rPr>
        <w:t xml:space="preserve"> This Agreement may be executed in counterparts, each of which counterparts, when so executed and delivered, shall be deemed to be an original, and all of which counterparts, taken together, shall constitute one and the same instrument.</w:t>
      </w:r>
    </w:p>
    <w:p>
      <w:pPr>
        <w:spacing w:after="0" w:line="13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10.10 </w:t>
      </w:r>
      <w:r>
        <w:rPr>
          <w:rFonts w:ascii="Arial" w:cs="Arial" w:eastAsia="Arial" w:hAnsi="Arial"/>
          <w:sz w:val="14"/>
          <w:szCs w:val="14"/>
          <w:u w:val="single" w:color="auto"/>
          <w:color w:val="auto"/>
        </w:rPr>
        <w:t>Force Majeure.</w:t>
      </w:r>
      <w:r>
        <w:rPr>
          <w:rFonts w:ascii="Arial" w:cs="Arial" w:eastAsia="Arial" w:hAnsi="Arial"/>
          <w:sz w:val="14"/>
          <w:szCs w:val="14"/>
          <w:color w:val="auto"/>
        </w:rPr>
        <w:t xml:space="preserve"> Neither Party will be responsible for delays resulting from causes beyond the reasonable control of such Party, including fire, explosion, flood, war, strike, or riot,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nonperforming Party uses Commercially Reasonable Best Efforts for a company of its size and resources to avoid or remove such causes of nonperformance and continues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under this Agreement with reasonable dispatch whenever such causes are removed.</w:t>
      </w:r>
    </w:p>
    <w:p>
      <w:pPr>
        <w:spacing w:after="0" w:line="141"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4"/>
          <w:szCs w:val="14"/>
          <w:color w:val="auto"/>
        </w:rPr>
        <w:t>10.11</w:t>
      </w:r>
      <w:r>
        <w:rPr>
          <w:sz w:val="20"/>
          <w:szCs w:val="20"/>
          <w:color w:val="auto"/>
        </w:rPr>
        <w:tab/>
      </w:r>
      <w:r>
        <w:rPr>
          <w:rFonts w:ascii="Arial" w:cs="Arial" w:eastAsia="Arial" w:hAnsi="Arial"/>
          <w:sz w:val="13"/>
          <w:szCs w:val="13"/>
          <w:u w:val="single" w:color="auto"/>
          <w:color w:val="auto"/>
        </w:rPr>
        <w:t>Dispute Resolution</w:t>
      </w:r>
    </w:p>
    <w:p>
      <w:pPr>
        <w:spacing w:after="0" w:line="184" w:lineRule="exact"/>
        <w:rPr>
          <w:sz w:val="20"/>
          <w:szCs w:val="20"/>
          <w:color w:val="auto"/>
        </w:rPr>
      </w:pPr>
    </w:p>
    <w:p>
      <w:pPr>
        <w:jc w:val="both"/>
        <w:ind w:firstLine="1042"/>
        <w:spacing w:after="0" w:line="267" w:lineRule="auto"/>
        <w:tabs>
          <w:tab w:leader="none" w:pos="1393" w:val="left"/>
        </w:tabs>
        <w:numPr>
          <w:ilvl w:val="0"/>
          <w:numId w:val="415"/>
        </w:numPr>
        <w:rPr>
          <w:rFonts w:ascii="Arial" w:cs="Arial" w:eastAsia="Arial" w:hAnsi="Arial"/>
          <w:sz w:val="14"/>
          <w:szCs w:val="14"/>
          <w:color w:val="auto"/>
        </w:rPr>
      </w:pPr>
      <w:r>
        <w:rPr>
          <w:rFonts w:ascii="Arial" w:cs="Arial" w:eastAsia="Arial" w:hAnsi="Arial"/>
          <w:sz w:val="14"/>
          <w:szCs w:val="14"/>
          <w:u w:val="single" w:color="auto"/>
          <w:color w:val="auto"/>
        </w:rPr>
        <w:t>Escalation</w:t>
      </w:r>
      <w:r>
        <w:rPr>
          <w:rFonts w:ascii="Arial" w:cs="Arial" w:eastAsia="Arial" w:hAnsi="Arial"/>
          <w:sz w:val="14"/>
          <w:szCs w:val="14"/>
          <w:color w:val="auto"/>
        </w:rPr>
        <w:t xml:space="preserve">. If any dispute arises out of or relates to this Agreement, the Parties agree to first seek to resolve such dispute by referring such dispute to the respective Chief Executive Officers of each Party for resolution. Such referral shall take place within thirty (30) days after a written request by either Party to the other Party that resolution by the Chief Executive Officers be attempted. If, within sixty (60) days following the dispute being referred to the Chief Executive Officers of the Parties, the Chief Executive Officers of the Parties have not resolved the dispute, and a Party wishes to pursue the matter, such Party may initiate binding arbitration in accordance with </w:t>
      </w:r>
      <w:r>
        <w:rPr>
          <w:rFonts w:ascii="Arial" w:cs="Arial" w:eastAsia="Arial" w:hAnsi="Arial"/>
          <w:sz w:val="14"/>
          <w:szCs w:val="14"/>
          <w:u w:val="single" w:color="auto"/>
          <w:color w:val="auto"/>
        </w:rPr>
        <w:t>Section 10.11(b)</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firstLine="1042"/>
        <w:spacing w:after="0" w:line="290" w:lineRule="auto"/>
        <w:tabs>
          <w:tab w:leader="none" w:pos="1401" w:val="left"/>
        </w:tabs>
        <w:numPr>
          <w:ilvl w:val="0"/>
          <w:numId w:val="415"/>
        </w:numPr>
        <w:rPr>
          <w:rFonts w:ascii="Arial" w:cs="Arial" w:eastAsia="Arial" w:hAnsi="Arial"/>
          <w:sz w:val="13"/>
          <w:szCs w:val="13"/>
          <w:color w:val="auto"/>
        </w:rPr>
      </w:pPr>
      <w:r>
        <w:rPr>
          <w:rFonts w:ascii="Arial" w:cs="Arial" w:eastAsia="Arial" w:hAnsi="Arial"/>
          <w:sz w:val="13"/>
          <w:szCs w:val="13"/>
          <w:u w:val="single" w:color="auto"/>
          <w:color w:val="auto"/>
        </w:rPr>
        <w:t>Alternative Dispute Resolution</w:t>
      </w:r>
      <w:r>
        <w:rPr>
          <w:rFonts w:ascii="Arial" w:cs="Arial" w:eastAsia="Arial" w:hAnsi="Arial"/>
          <w:sz w:val="13"/>
          <w:szCs w:val="13"/>
          <w:color w:val="auto"/>
        </w:rPr>
        <w:t xml:space="preserve">. Any dispute arising out of or relating to this Agreement that has not been resolved pursuant to </w:t>
      </w:r>
      <w:r>
        <w:rPr>
          <w:rFonts w:ascii="Arial" w:cs="Arial" w:eastAsia="Arial" w:hAnsi="Arial"/>
          <w:sz w:val="13"/>
          <w:szCs w:val="13"/>
          <w:u w:val="single" w:color="auto"/>
          <w:color w:val="auto"/>
        </w:rPr>
        <w:t>Section 10.11(a)</w:t>
      </w:r>
      <w:r>
        <w:rPr>
          <w:rFonts w:ascii="Arial" w:cs="Arial" w:eastAsia="Arial" w:hAnsi="Arial"/>
          <w:sz w:val="13"/>
          <w:szCs w:val="13"/>
          <w:color w:val="auto"/>
        </w:rPr>
        <w:t xml:space="preserve"> shall be shall be finally settled, in Tokyo in the event Century is a claimant and in New York in the event CDI is a claimant, under the Rules of Arbitration of the International Chamber of Commerce (“</w:t>
      </w:r>
      <w:r>
        <w:rPr>
          <w:rFonts w:ascii="Arial" w:cs="Arial" w:eastAsia="Arial" w:hAnsi="Arial"/>
          <w:sz w:val="13"/>
          <w:szCs w:val="13"/>
          <w:b w:val="1"/>
          <w:bCs w:val="1"/>
          <w:color w:val="auto"/>
        </w:rPr>
        <w:t>ICC</w:t>
      </w:r>
      <w:r>
        <w:rPr>
          <w:rFonts w:ascii="Arial" w:cs="Arial" w:eastAsia="Arial" w:hAnsi="Arial"/>
          <w:sz w:val="13"/>
          <w:szCs w:val="13"/>
          <w:color w:val="auto"/>
        </w:rPr>
        <w:t>”). The arbitral tribunal shall consist of three arbitrators, one nominated by the claimant in the request for arbitration, the second nominated by the respondent within thirty (30) days of receipt of the request for arbitration, and the third, who shall act as presiding arbitrator, nominated by the two party appointed arbitrators within twenty (20) days of the nomination of the second arbitrator. If any arbitrators are not nominated within these time periods, the ICC the International Court of Arbitration shall, upon the request of any Party, make the appointment(s).</w:t>
      </w:r>
    </w:p>
    <w:p>
      <w:pPr>
        <w:spacing w:after="0" w:line="132" w:lineRule="exact"/>
        <w:rPr>
          <w:rFonts w:ascii="Arial" w:cs="Arial" w:eastAsia="Arial" w:hAnsi="Arial"/>
          <w:sz w:val="13"/>
          <w:szCs w:val="13"/>
          <w:color w:val="auto"/>
        </w:rPr>
      </w:pPr>
    </w:p>
    <w:p>
      <w:pPr>
        <w:jc w:val="both"/>
        <w:ind w:firstLine="1042"/>
        <w:spacing w:after="0" w:line="267" w:lineRule="auto"/>
        <w:tabs>
          <w:tab w:leader="none" w:pos="1393" w:val="left"/>
        </w:tabs>
        <w:numPr>
          <w:ilvl w:val="0"/>
          <w:numId w:val="415"/>
        </w:numPr>
        <w:rPr>
          <w:rFonts w:ascii="Arial" w:cs="Arial" w:eastAsia="Arial" w:hAnsi="Arial"/>
          <w:sz w:val="14"/>
          <w:szCs w:val="14"/>
          <w:color w:val="auto"/>
        </w:rPr>
      </w:pPr>
      <w:r>
        <w:rPr>
          <w:rFonts w:ascii="Arial" w:cs="Arial" w:eastAsia="Arial" w:hAnsi="Arial"/>
          <w:sz w:val="14"/>
          <w:szCs w:val="14"/>
          <w:u w:val="single" w:color="auto"/>
          <w:color w:val="auto"/>
        </w:rPr>
        <w:t>No Limitation</w:t>
      </w:r>
      <w:r>
        <w:rPr>
          <w:rFonts w:ascii="Arial" w:cs="Arial" w:eastAsia="Arial" w:hAnsi="Arial"/>
          <w:sz w:val="14"/>
          <w:szCs w:val="14"/>
          <w:color w:val="auto"/>
        </w:rPr>
        <w:t xml:space="preserve">. Nothing in this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shall be construed as limiting in any way the right of a Party to seek a preliminary injunction or other provisional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147"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No Third Party Beneficiaries.</w:t>
      </w:r>
      <w:r>
        <w:rPr>
          <w:rFonts w:ascii="Arial" w:cs="Arial" w:eastAsia="Arial" w:hAnsi="Arial"/>
          <w:sz w:val="14"/>
          <w:szCs w:val="14"/>
          <w:color w:val="auto"/>
        </w:rPr>
        <w:t xml:space="preserve"> No Person other than Century, CDI and their respective Affiliates, successors and permitted assignees hereunder, shall be deemed an intended beneficiary hereunder or have any right to enforce any obligation of this Agreement.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586" w:name="page587"/>
    <w:bookmarkEnd w:id="586"/>
    <w:p>
      <w:pPr>
        <w:jc w:val="both"/>
        <w:ind w:firstLine="518"/>
        <w:spacing w:after="0" w:line="273" w:lineRule="auto"/>
        <w:rPr>
          <w:sz w:val="20"/>
          <w:szCs w:val="20"/>
          <w:color w:val="auto"/>
        </w:rPr>
      </w:pPr>
      <w:r>
        <w:rPr>
          <w:rFonts w:ascii="Arial" w:cs="Arial" w:eastAsia="Arial" w:hAnsi="Arial"/>
          <w:sz w:val="14"/>
          <w:szCs w:val="14"/>
          <w:color w:val="auto"/>
        </w:rPr>
        <w:t xml:space="preserve">10.13 </w:t>
      </w:r>
      <w:r>
        <w:rPr>
          <w:rFonts w:ascii="Arial" w:cs="Arial" w:eastAsia="Arial" w:hAnsi="Arial"/>
          <w:sz w:val="14"/>
          <w:szCs w:val="14"/>
          <w:u w:val="single" w:color="auto"/>
          <w:color w:val="auto"/>
        </w:rPr>
        <w:t>Independent Contractors.</w:t>
      </w:r>
      <w:r>
        <w:rPr>
          <w:rFonts w:ascii="Arial" w:cs="Arial" w:eastAsia="Arial" w:hAnsi="Arial"/>
          <w:sz w:val="14"/>
          <w:szCs w:val="14"/>
          <w:color w:val="auto"/>
        </w:rPr>
        <w:t xml:space="preserve"> It is expressly agreed that Century and CDI shall be independent contractors and that the relationship between Century and CDI shall not constitute a partnership, joint venture or agency. Neither Century nor CDI shall have the authority to make any statements, representations, or commitments of any kind, or to take any action, which shall be binding on the other Party, without the prior written consent of such other Party.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[remainder of page intentionally left blank]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587" w:name="page588"/>
    <w:bookmarkEnd w:id="587"/>
    <w:p>
      <w:pPr>
        <w:ind w:left="104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Parties have executed this Agreement as of the date first set forth above.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40" w:type="dxa"/>
            <w:vAlign w:val="bottom"/>
            <w:gridSpan w:val="2"/>
          </w:tcPr>
          <w:p>
            <w:pPr>
              <w:spacing w:after="0"/>
              <w:rPr>
                <w:sz w:val="20"/>
                <w:szCs w:val="20"/>
                <w:color w:val="auto"/>
              </w:rPr>
            </w:pPr>
            <w:r>
              <w:rPr>
                <w:rFonts w:ascii="Arial" w:cs="Arial" w:eastAsia="Arial" w:hAnsi="Arial"/>
                <w:sz w:val="14"/>
                <w:szCs w:val="14"/>
                <w:color w:val="auto"/>
              </w:rPr>
              <w:t>FUJIFILM CELLULAR DYNAMICS, INC</w:t>
            </w:r>
          </w:p>
        </w:tc>
        <w:tc>
          <w:tcPr>
            <w:tcW w:w="5840" w:type="dxa"/>
            <w:vAlign w:val="bottom"/>
            <w:gridSpan w:val="2"/>
          </w:tcPr>
          <w:p>
            <w:pPr>
              <w:ind w:left="440"/>
              <w:spacing w:after="0"/>
              <w:rPr>
                <w:sz w:val="20"/>
                <w:szCs w:val="20"/>
                <w:color w:val="auto"/>
              </w:rPr>
            </w:pPr>
            <w:r>
              <w:rPr>
                <w:rFonts w:ascii="Arial" w:cs="Arial" w:eastAsia="Arial" w:hAnsi="Arial"/>
                <w:sz w:val="14"/>
                <w:szCs w:val="14"/>
                <w:color w:val="auto"/>
              </w:rPr>
              <w:t>CENTURY THERAPEUTICS, INC.</w:t>
            </w:r>
          </w:p>
        </w:tc>
      </w:tr>
      <w:tr>
        <w:trPr>
          <w:trHeight w:val="345"/>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Seimi Satahe</w:t>
            </w:r>
          </w:p>
        </w:tc>
        <w:tc>
          <w:tcPr>
            <w:tcW w:w="1000" w:type="dxa"/>
            <w:vAlign w:val="bottom"/>
          </w:tcPr>
          <w:p>
            <w:pPr>
              <w:ind w:left="44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Seimi Satahe</w:t>
            </w:r>
          </w:p>
        </w:tc>
        <w:tc>
          <w:tcPr>
            <w:tcW w:w="1000" w:type="dxa"/>
            <w:vAlign w:val="bottom"/>
          </w:tcPr>
          <w:p>
            <w:pPr>
              <w:ind w:left="440"/>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CEO</w:t>
            </w:r>
          </w:p>
        </w:tc>
        <w:tc>
          <w:tcPr>
            <w:tcW w:w="1000" w:type="dxa"/>
            <w:vAlign w:val="bottom"/>
          </w:tcPr>
          <w:p>
            <w:pPr>
              <w:ind w:left="440"/>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Executive Officer</w:t>
            </w:r>
          </w:p>
        </w:tc>
      </w:tr>
      <w:tr>
        <w:trPr>
          <w:trHeight w:val="249"/>
        </w:trPr>
        <w:tc>
          <w:tcPr>
            <w:tcW w:w="58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-32-</w:t>
            </w:r>
          </w:p>
        </w:tc>
        <w:tc>
          <w:tcPr>
            <w:tcW w:w="4840" w:type="dxa"/>
            <w:vAlign w:val="bottom"/>
            <w:tcBorders>
              <w:bottom w:val="single" w:sz="8" w:color="auto"/>
            </w:tcBorders>
          </w:tcPr>
          <w:p>
            <w:pPr>
              <w:spacing w:after="0"/>
              <w:rPr>
                <w:sz w:val="21"/>
                <w:szCs w:val="21"/>
                <w:color w:val="auto"/>
              </w:rPr>
            </w:pPr>
          </w:p>
        </w:tc>
      </w:tr>
    </w:tbl>
    <w:p>
      <w:pPr>
        <w:sectPr>
          <w:pgSz w:w="11900" w:h="16838" w:orient="portrait"/>
          <w:cols w:equalWidth="0" w:num="1">
            <w:col w:w="11280"/>
          </w:cols>
          <w:pgMar w:left="300" w:top="492" w:right="319" w:bottom="1440" w:gutter="0" w:footer="0" w:header="0"/>
        </w:sectPr>
      </w:pPr>
    </w:p>
    <w:bookmarkStart w:id="588" w:name="page589"/>
    <w:bookmarkEnd w:id="588"/>
    <w:p>
      <w:pPr>
        <w:jc w:val="center"/>
        <w:ind w:right="-1140"/>
        <w:spacing w:after="0"/>
        <w:rPr>
          <w:sz w:val="20"/>
          <w:szCs w:val="20"/>
          <w:color w:val="auto"/>
        </w:rPr>
      </w:pPr>
      <w:r>
        <w:rPr>
          <w:rFonts w:ascii="Arial" w:cs="Arial" w:eastAsia="Arial" w:hAnsi="Arial"/>
          <w:sz w:val="14"/>
          <w:szCs w:val="14"/>
          <w:b w:val="1"/>
          <w:bCs w:val="1"/>
          <w:u w:val="single" w:color="auto"/>
          <w:color w:val="auto"/>
        </w:rPr>
        <w:t>Schedule</w:t>
      </w:r>
      <w:r>
        <w:rPr>
          <w:rFonts w:ascii="Arial" w:cs="Arial" w:eastAsia="Arial" w:hAnsi="Arial"/>
          <w:sz w:val="14"/>
          <w:szCs w:val="14"/>
          <w:b w:val="1"/>
          <w:bCs w:val="1"/>
          <w:color w:val="auto"/>
        </w:rPr>
        <w:t xml:space="preserve"> 3.7(a)</w:t>
      </w:r>
    </w:p>
    <w:p>
      <w:pPr>
        <w:spacing w:after="0" w:line="184" w:lineRule="exact"/>
        <w:rPr>
          <w:sz w:val="20"/>
          <w:szCs w:val="20"/>
          <w:color w:val="auto"/>
        </w:rPr>
      </w:pPr>
    </w:p>
    <w:p>
      <w:pPr>
        <w:jc w:val="right"/>
        <w:ind w:right="3319"/>
        <w:spacing w:after="0"/>
        <w:rPr>
          <w:sz w:val="20"/>
          <w:szCs w:val="20"/>
          <w:color w:val="auto"/>
        </w:rPr>
      </w:pPr>
      <w:r>
        <w:rPr>
          <w:rFonts w:ascii="Arial" w:cs="Arial" w:eastAsia="Arial" w:hAnsi="Arial"/>
          <w:sz w:val="14"/>
          <w:szCs w:val="14"/>
          <w:b w:val="1"/>
          <w:bCs w:val="1"/>
          <w:u w:val="single" w:color="auto"/>
          <w:color w:val="auto"/>
        </w:rPr>
        <w:t>Prohibited Third Party Manufacturers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92" w:right="1440" w:bottom="1440" w:gutter="0" w:footer="0" w:header="0"/>
        </w:sectPr>
      </w:pPr>
    </w:p>
    <w:bookmarkStart w:id="589" w:name="page590"/>
    <w:bookmarkEnd w:id="589"/>
    <w:p>
      <w:pPr>
        <w:jc w:val="center"/>
        <w:ind w:right="-1120"/>
        <w:spacing w:after="0"/>
        <w:rPr>
          <w:sz w:val="20"/>
          <w:szCs w:val="20"/>
          <w:color w:val="auto"/>
        </w:rPr>
      </w:pPr>
      <w:r>
        <w:rPr>
          <w:rFonts w:ascii="Arial" w:cs="Arial" w:eastAsia="Arial" w:hAnsi="Arial"/>
          <w:sz w:val="14"/>
          <w:szCs w:val="14"/>
          <w:b w:val="1"/>
          <w:bCs w:val="1"/>
          <w:u w:val="single" w:color="auto"/>
          <w:color w:val="auto"/>
        </w:rPr>
        <w:t>Exhibit A</w:t>
      </w:r>
    </w:p>
    <w:p>
      <w:pPr>
        <w:spacing w:after="0" w:line="184" w:lineRule="exact"/>
        <w:rPr>
          <w:sz w:val="20"/>
          <w:szCs w:val="20"/>
          <w:color w:val="auto"/>
        </w:rPr>
      </w:pPr>
    </w:p>
    <w:p>
      <w:pPr>
        <w:jc w:val="right"/>
        <w:ind w:right="3879"/>
        <w:spacing w:after="0"/>
        <w:rPr>
          <w:sz w:val="20"/>
          <w:szCs w:val="20"/>
          <w:color w:val="auto"/>
        </w:rPr>
      </w:pPr>
      <w:r>
        <w:rPr>
          <w:rFonts w:ascii="Arial" w:cs="Arial" w:eastAsia="Arial" w:hAnsi="Arial"/>
          <w:sz w:val="14"/>
          <w:szCs w:val="14"/>
          <w:b w:val="1"/>
          <w:bCs w:val="1"/>
          <w:u w:val="single" w:color="auto"/>
          <w:color w:val="auto"/>
        </w:rPr>
        <w:t>Licensed Know-How</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91" w:right="1440" w:bottom="1440" w:gutter="0" w:footer="0" w:header="0"/>
        </w:sectPr>
      </w:pPr>
    </w:p>
    <w:bookmarkStart w:id="590" w:name="page591"/>
    <w:bookmarkEnd w:id="590"/>
    <w:p>
      <w:pPr>
        <w:jc w:val="center"/>
        <w:ind w:right="-1140"/>
        <w:spacing w:after="0"/>
        <w:rPr>
          <w:sz w:val="20"/>
          <w:szCs w:val="20"/>
          <w:color w:val="auto"/>
        </w:rPr>
      </w:pPr>
      <w:r>
        <w:rPr>
          <w:rFonts w:ascii="Arial" w:cs="Arial" w:eastAsia="Arial" w:hAnsi="Arial"/>
          <w:sz w:val="14"/>
          <w:szCs w:val="14"/>
          <w:b w:val="1"/>
          <w:bCs w:val="1"/>
          <w:u w:val="single" w:color="auto"/>
          <w:color w:val="auto"/>
        </w:rPr>
        <w:t>Exhibit B</w:t>
      </w:r>
    </w:p>
    <w:p>
      <w:pPr>
        <w:spacing w:after="0" w:line="184" w:lineRule="exact"/>
        <w:rPr>
          <w:sz w:val="20"/>
          <w:szCs w:val="20"/>
          <w:color w:val="auto"/>
        </w:rPr>
      </w:pPr>
    </w:p>
    <w:p>
      <w:pPr>
        <w:jc w:val="right"/>
        <w:ind w:right="3799"/>
        <w:spacing w:after="0"/>
        <w:rPr>
          <w:sz w:val="20"/>
          <w:szCs w:val="20"/>
          <w:color w:val="auto"/>
        </w:rPr>
      </w:pPr>
      <w:r>
        <w:rPr>
          <w:rFonts w:ascii="Arial" w:cs="Arial" w:eastAsia="Arial" w:hAnsi="Arial"/>
          <w:sz w:val="14"/>
          <w:szCs w:val="14"/>
          <w:b w:val="1"/>
          <w:bCs w:val="1"/>
          <w:u w:val="single" w:color="auto"/>
          <w:color w:val="auto"/>
        </w:rPr>
        <w:t>Licensed Patent Rights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7159625" cy="69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92" w:right="1440" w:bottom="1440" w:gutter="0" w:footer="0" w:header="0"/>
        </w:sectPr>
      </w:pPr>
    </w:p>
    <w:bookmarkStart w:id="591" w:name="page592"/>
    <w:bookmarkEnd w:id="591"/>
    <w:p>
      <w:pPr>
        <w:jc w:val="center"/>
        <w:ind w:right="-1140"/>
        <w:spacing w:after="0"/>
        <w:rPr>
          <w:sz w:val="20"/>
          <w:szCs w:val="20"/>
          <w:color w:val="auto"/>
        </w:rPr>
      </w:pPr>
      <w:r>
        <w:rPr>
          <w:rFonts w:ascii="Arial" w:cs="Arial" w:eastAsia="Arial" w:hAnsi="Arial"/>
          <w:sz w:val="14"/>
          <w:szCs w:val="14"/>
          <w:b w:val="1"/>
          <w:bCs w:val="1"/>
          <w:u w:val="single" w:color="auto"/>
          <w:color w:val="auto"/>
        </w:rPr>
        <w:t>Exhibit D</w:t>
      </w:r>
    </w:p>
    <w:p>
      <w:pPr>
        <w:spacing w:after="0" w:line="184" w:lineRule="exact"/>
        <w:rPr>
          <w:sz w:val="20"/>
          <w:szCs w:val="20"/>
          <w:color w:val="auto"/>
        </w:rPr>
      </w:pPr>
    </w:p>
    <w:p>
      <w:pPr>
        <w:jc w:val="right"/>
        <w:ind w:right="4099"/>
        <w:spacing w:after="0"/>
        <w:rPr>
          <w:sz w:val="20"/>
          <w:szCs w:val="20"/>
          <w:color w:val="auto"/>
        </w:rPr>
      </w:pPr>
      <w:r>
        <w:rPr>
          <w:rFonts w:ascii="Arial" w:cs="Arial" w:eastAsia="Arial" w:hAnsi="Arial"/>
          <w:sz w:val="14"/>
          <w:szCs w:val="14"/>
          <w:b w:val="1"/>
          <w:bCs w:val="1"/>
          <w:u w:val="single" w:color="auto"/>
          <w:color w:val="auto"/>
        </w:rPr>
        <w:t>Press Release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59625"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92" w:right="1440" w:bottom="1440" w:gutter="0" w:footer="0" w:header="0"/>
        </w:sectPr>
      </w:pPr>
    </w:p>
    <w:bookmarkStart w:id="592" w:name="page593"/>
    <w:bookmarkEnd w:id="592"/>
    <w:p>
      <w:pPr>
        <w:jc w:val="right"/>
        <w:spacing w:after="0"/>
        <w:rPr>
          <w:sz w:val="20"/>
          <w:szCs w:val="20"/>
          <w:color w:val="auto"/>
        </w:rPr>
      </w:pPr>
      <w:r>
        <w:rPr>
          <w:rFonts w:ascii="Arial" w:cs="Arial" w:eastAsia="Arial" w:hAnsi="Arial"/>
          <w:sz w:val="14"/>
          <w:szCs w:val="14"/>
          <w:b w:val="1"/>
          <w:bCs w:val="1"/>
          <w:color w:val="auto"/>
        </w:rPr>
        <w:t>Exhibit 10.22</w:t>
      </w:r>
    </w:p>
    <w:p>
      <w:pPr>
        <w:spacing w:after="0" w:line="188" w:lineRule="exact"/>
        <w:rPr>
          <w:sz w:val="20"/>
          <w:szCs w:val="20"/>
          <w:color w:val="auto"/>
        </w:rPr>
      </w:pPr>
    </w:p>
    <w:p>
      <w:pPr>
        <w:ind w:left="3580" w:right="1180" w:hanging="2391"/>
        <w:spacing w:after="0" w:line="288" w:lineRule="auto"/>
        <w:tabs>
          <w:tab w:leader="none" w:pos="1545" w:val="left"/>
        </w:tabs>
        <w:numPr>
          <w:ilvl w:val="0"/>
          <w:numId w:val="416"/>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Differentiation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AMENDMENT TO LICENSE AGREEMENT</w:t>
      </w:r>
    </w:p>
    <w:p>
      <w:pPr>
        <w:spacing w:after="0" w:line="184" w:lineRule="exact"/>
        <w:rPr>
          <w:sz w:val="20"/>
          <w:szCs w:val="20"/>
          <w:color w:val="auto"/>
        </w:rPr>
      </w:pPr>
    </w:p>
    <w:p>
      <w:pPr>
        <w:jc w:val="both"/>
        <w:ind w:firstLine="1036"/>
        <w:spacing w:after="0" w:line="266" w:lineRule="auto"/>
        <w:rPr>
          <w:sz w:val="20"/>
          <w:szCs w:val="20"/>
          <w:color w:val="auto"/>
        </w:rPr>
      </w:pPr>
      <w:r>
        <w:rPr>
          <w:rFonts w:ascii="Arial" w:cs="Arial" w:eastAsia="Arial" w:hAnsi="Arial"/>
          <w:sz w:val="14"/>
          <w:szCs w:val="14"/>
          <w:color w:val="auto"/>
        </w:rPr>
        <w:t>This First Amendment to License Agreement (the “</w:t>
      </w:r>
      <w:r>
        <w:rPr>
          <w:rFonts w:ascii="Arial" w:cs="Arial" w:eastAsia="Arial" w:hAnsi="Arial"/>
          <w:sz w:val="14"/>
          <w:szCs w:val="14"/>
          <w:b w:val="1"/>
          <w:bCs w:val="1"/>
          <w:color w:val="auto"/>
        </w:rPr>
        <w:t>First Amendment</w:t>
      </w:r>
      <w:r>
        <w:rPr>
          <w:rFonts w:ascii="Arial" w:cs="Arial" w:eastAsia="Arial" w:hAnsi="Arial"/>
          <w:sz w:val="14"/>
          <w:szCs w:val="14"/>
          <w:color w:val="auto"/>
        </w:rPr>
        <w:t>”) is made and effective as of March 23,2021 (the “</w:t>
      </w:r>
      <w:r>
        <w:rPr>
          <w:rFonts w:ascii="Arial" w:cs="Arial" w:eastAsia="Arial" w:hAnsi="Arial"/>
          <w:sz w:val="14"/>
          <w:szCs w:val="14"/>
          <w:b w:val="1"/>
          <w:bCs w:val="1"/>
          <w:color w:val="auto"/>
        </w:rPr>
        <w:t>First Amendment Effective Date</w:t>
      </w:r>
      <w:r>
        <w:rPr>
          <w:rFonts w:ascii="Arial" w:cs="Arial" w:eastAsia="Arial" w:hAnsi="Arial"/>
          <w:sz w:val="14"/>
          <w:szCs w:val="14"/>
          <w:color w:val="auto"/>
        </w:rPr>
        <w:t>”) between Century Therapeutics, Inc. (f/k/a Century Therapeutics, LLC), a Delaware corporation (“</w:t>
      </w:r>
      <w:r>
        <w:rPr>
          <w:rFonts w:ascii="Arial" w:cs="Arial" w:eastAsia="Arial" w:hAnsi="Arial"/>
          <w:sz w:val="14"/>
          <w:szCs w:val="14"/>
          <w:b w:val="1"/>
          <w:bCs w:val="1"/>
          <w:color w:val="auto"/>
        </w:rPr>
        <w:t>Century</w:t>
      </w:r>
      <w:r>
        <w:rPr>
          <w:rFonts w:ascii="Arial" w:cs="Arial" w:eastAsia="Arial" w:hAnsi="Arial"/>
          <w:sz w:val="14"/>
          <w:szCs w:val="14"/>
          <w:color w:val="auto"/>
        </w:rPr>
        <w:t>”) having a principal place of business at 3675 Market Street, Philadelphia, PA 19104 USA, and FUJIFILM Cellular Dynamics Inc., a Wisconsin corporation (“</w:t>
      </w:r>
      <w:r>
        <w:rPr>
          <w:rFonts w:ascii="Arial" w:cs="Arial" w:eastAsia="Arial" w:hAnsi="Arial"/>
          <w:sz w:val="14"/>
          <w:szCs w:val="14"/>
          <w:b w:val="1"/>
          <w:bCs w:val="1"/>
          <w:color w:val="auto"/>
        </w:rPr>
        <w:t>CDI</w:t>
      </w:r>
      <w:r>
        <w:rPr>
          <w:rFonts w:ascii="Arial" w:cs="Arial" w:eastAsia="Arial" w:hAnsi="Arial"/>
          <w:sz w:val="14"/>
          <w:szCs w:val="14"/>
          <w:color w:val="auto"/>
        </w:rPr>
        <w:t>”) having an address at 525 Science Drive, Madison, WI 53711 USA, and amends the License Agreement entered into between Century Therapeutics, Inc. (“</w:t>
      </w:r>
      <w:r>
        <w:rPr>
          <w:rFonts w:ascii="Arial" w:cs="Arial" w:eastAsia="Arial" w:hAnsi="Arial"/>
          <w:sz w:val="14"/>
          <w:szCs w:val="14"/>
          <w:b w:val="1"/>
          <w:bCs w:val="1"/>
          <w:color w:val="auto"/>
        </w:rPr>
        <w:t>Century Inc.</w:t>
      </w:r>
      <w:r>
        <w:rPr>
          <w:rFonts w:ascii="Arial" w:cs="Arial" w:eastAsia="Arial" w:hAnsi="Arial"/>
          <w:sz w:val="14"/>
          <w:szCs w:val="14"/>
          <w:color w:val="auto"/>
        </w:rPr>
        <w:t>”) and CDI signed as of September 18,2018 (the “</w:t>
      </w:r>
      <w:r>
        <w:rPr>
          <w:rFonts w:ascii="Arial" w:cs="Arial" w:eastAsia="Arial" w:hAnsi="Arial"/>
          <w:sz w:val="14"/>
          <w:szCs w:val="14"/>
          <w:b w:val="1"/>
          <w:bCs w:val="1"/>
          <w:color w:val="auto"/>
        </w:rPr>
        <w:t>License Agreement</w:t>
      </w:r>
      <w:r>
        <w:rPr>
          <w:rFonts w:ascii="Arial" w:cs="Arial" w:eastAsia="Arial" w:hAnsi="Arial"/>
          <w:sz w:val="14"/>
          <w:szCs w:val="14"/>
          <w:color w:val="auto"/>
        </w:rPr>
        <w:t>”). All capitalized terms used but not otherwise defined herein shall have the meaning set forth in the License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WHEREAS, on September 18, 2018, Century Inc. and CDI entered into the License Agreement;</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WHEREAS, pursuant to the License Agreement, CDI granted Century Inc. an exclusive license under the Licensed Technology to Exploit the Licensed Products within the Field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in the Territory;</w:t>
      </w:r>
    </w:p>
    <w:p>
      <w:pPr>
        <w:spacing w:after="0" w:line="175"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WHEREAS, pursuant to the Common Stock Purchase Agreement dated as of September 13, 2018, Century Inc. issued CDI 7,500,000 shares of Common Stock of Century Inc., in satisfaction of Section 4.1 of the License Agreement;</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WHEREAS, Century Inc. has assigned all of its rights and obligations under the License Agreement to Century;</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WHEREAS, subject to the terms of the Supply Agreement, CDI desires to allow Century to practice the Licensed Technology for the differentiation and manufacture of Licensed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Products;</w:t>
      </w:r>
    </w:p>
    <w:p>
      <w:pPr>
        <w:spacing w:after="0" w:line="175"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WHEREAS, in consideration of the rights granted to Century pursuant to this First Amendment, Century desires to grant to CDI the option to license certain Know-How and Improvements, on the terms and subject to the conditions set forth in this First Amendment; and</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WHEREAS, pursuant to, and in accordance with, Section 10.6 of the License Agreement, Century and CDI desire that the License Agreement be amended as set forth herein.</w:t>
      </w:r>
    </w:p>
    <w:p>
      <w:pPr>
        <w:spacing w:after="0" w:line="19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THEREFORE, in consideration of the mutual covenants and conditions set forth in this First Amendment, it is agreed as follows:</w:t>
      </w:r>
    </w:p>
    <w:p>
      <w:pPr>
        <w:spacing w:after="0" w:line="184" w:lineRule="exact"/>
        <w:rPr>
          <w:sz w:val="20"/>
          <w:szCs w:val="20"/>
          <w:color w:val="auto"/>
        </w:rPr>
      </w:pPr>
    </w:p>
    <w:p>
      <w:pPr>
        <w:ind w:left="520" w:hanging="514"/>
        <w:spacing w:after="0"/>
        <w:tabs>
          <w:tab w:leader="none" w:pos="520" w:val="left"/>
        </w:tabs>
        <w:numPr>
          <w:ilvl w:val="0"/>
          <w:numId w:val="417"/>
        </w:numPr>
        <w:rPr>
          <w:rFonts w:ascii="Arial" w:cs="Arial" w:eastAsia="Arial" w:hAnsi="Arial"/>
          <w:sz w:val="14"/>
          <w:szCs w:val="14"/>
          <w:color w:val="auto"/>
        </w:rPr>
      </w:pPr>
      <w:r>
        <w:rPr>
          <w:rFonts w:ascii="Arial" w:cs="Arial" w:eastAsia="Arial" w:hAnsi="Arial"/>
          <w:sz w:val="14"/>
          <w:szCs w:val="14"/>
          <w:u w:val="single" w:color="auto"/>
          <w:color w:val="auto"/>
        </w:rPr>
        <w:t>Amendments to the License Agreement</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1.1.</w:t>
      </w:r>
      <w:r>
        <w:rPr>
          <w:rFonts w:ascii="Arial" w:cs="Arial" w:eastAsia="Arial" w:hAnsi="Arial"/>
          <w:sz w:val="12"/>
          <w:szCs w:val="12"/>
          <w:color w:val="auto"/>
        </w:rPr>
        <w:t>Section 1.17 of the License Agreement shall be amended and restated as follows:</w:t>
      </w:r>
    </w:p>
    <w:p>
      <w:pPr>
        <w:spacing w:after="0" w:line="180" w:lineRule="exact"/>
        <w:rPr>
          <w:sz w:val="20"/>
          <w:szCs w:val="20"/>
          <w:color w:val="auto"/>
        </w:rPr>
      </w:pPr>
    </w:p>
    <w:p>
      <w:pPr>
        <w:ind w:firstLine="1036"/>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Exploit</w:t>
      </w:r>
      <w:r>
        <w:rPr>
          <w:rFonts w:ascii="Arial" w:cs="Arial" w:eastAsia="Arial" w:hAnsi="Arial"/>
          <w:sz w:val="14"/>
          <w:szCs w:val="14"/>
          <w:color w:val="auto"/>
        </w:rPr>
        <w:t>” or “</w:t>
      </w:r>
      <w:r>
        <w:rPr>
          <w:rFonts w:ascii="Arial" w:cs="Arial" w:eastAsia="Arial" w:hAnsi="Arial"/>
          <w:sz w:val="14"/>
          <w:szCs w:val="14"/>
          <w:b w:val="1"/>
          <w:bCs w:val="1"/>
          <w:color w:val="auto"/>
        </w:rPr>
        <w:t>Exploitation</w:t>
      </w:r>
      <w:r>
        <w:rPr>
          <w:rFonts w:ascii="Arial" w:cs="Arial" w:eastAsia="Arial" w:hAnsi="Arial"/>
          <w:sz w:val="14"/>
          <w:szCs w:val="14"/>
          <w:color w:val="auto"/>
        </w:rPr>
        <w:t>” means, with respect to a particular Licensed Product, to make, have made, use, have used, manufacture, have manufactured, sell, have sold, offer for sale, have offered for sale, import, have imported, export and have exported, including to research, develop, commercialize or otherwise exploit such Licensed Product.”</w:t>
      </w:r>
    </w:p>
    <w:p>
      <w:pPr>
        <w:spacing w:after="0" w:line="12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Section 1.29 of the License Agreement shall be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342900</wp:posOffset>
            </wp:positionV>
            <wp:extent cx="7159625" cy="698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3" w:name="page594"/>
    <w:bookmarkEnd w:id="593"/>
    <w:p>
      <w:pPr>
        <w:jc w:val="both"/>
        <w:ind w:firstLine="1036"/>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Know-How</w:t>
      </w:r>
      <w:r>
        <w:rPr>
          <w:rFonts w:ascii="Arial" w:cs="Arial" w:eastAsia="Arial" w:hAnsi="Arial"/>
          <w:sz w:val="14"/>
          <w:szCs w:val="14"/>
          <w:color w:val="auto"/>
        </w:rPr>
        <w:t>” means all Know-How that is Owned or Controlled by CDI as of the Effective Date or during the Term that is reasonably necessary to Exploit a Licensed Product, including, without limitation, any Know-How set forth on Exhibit A. For clarity, Licensed Know-How shall not include any Know-How related to the reprogramming of human somatic cells to iPSCs, and Century’s rights in such Know-How, if any, are as set forth in the Reprogramming License.”</w:t>
      </w:r>
    </w:p>
    <w:p>
      <w:pPr>
        <w:spacing w:after="0" w:line="13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color w:val="auto"/>
        </w:rPr>
        <w:t>Section 1.31 of the License Agreement shall be amended and restated as follows:</w:t>
      </w:r>
    </w:p>
    <w:p>
      <w:pPr>
        <w:spacing w:after="0" w:line="180"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Product</w:t>
      </w:r>
      <w:r>
        <w:rPr>
          <w:rFonts w:ascii="Arial" w:cs="Arial" w:eastAsia="Arial" w:hAnsi="Arial"/>
          <w:sz w:val="14"/>
          <w:szCs w:val="14"/>
          <w:color w:val="auto"/>
        </w:rPr>
        <w:t>” means cancer immunotherapy products (for the treatment of cancer in humans) consisting of cells that are or are modifications of T cells, NK cells, dendritic cells, and macrophages derived from human iPSC (including TiPSC). For the sake of clarity, such “modifications” exclude materials or substances extracted, isolated from, or secreted by, such modified or unmodified cells.”</w:t>
      </w:r>
    </w:p>
    <w:p>
      <w:pPr>
        <w:spacing w:after="0" w:line="13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Section 1.32 of the License Agreement shall be amended and restated as follows:</w:t>
      </w:r>
    </w:p>
    <w:p>
      <w:pPr>
        <w:spacing w:after="0" w:line="180"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Technology</w:t>
      </w:r>
      <w:r>
        <w:rPr>
          <w:rFonts w:ascii="Arial" w:cs="Arial" w:eastAsia="Arial" w:hAnsi="Arial"/>
          <w:sz w:val="14"/>
          <w:szCs w:val="14"/>
          <w:color w:val="auto"/>
        </w:rPr>
        <w:t>” means Licensed Patent Rights and Licensed Know-How. For clarity, Licensed Technology includes Improvements of the Century Licensed Technology Owned or Controlled by CDI.”</w:t>
      </w:r>
    </w:p>
    <w:p>
      <w:pPr>
        <w:spacing w:after="0" w:line="12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color w:val="auto"/>
        </w:rPr>
        <w:t>Section 1.33 of the License Agreement shall be amended and restated as follows:</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Reserved</w:t>
      </w:r>
      <w:r>
        <w:rPr>
          <w:rFonts w:ascii="Arial" w:cs="Arial" w:eastAsia="Arial" w:hAnsi="Arial"/>
          <w:sz w:val="14"/>
          <w:szCs w:val="14"/>
          <w:color w:val="auto"/>
        </w:rPr>
        <w:t>.”</w:t>
      </w:r>
    </w:p>
    <w:p>
      <w:pPr>
        <w:spacing w:after="0" w:line="188"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2"/>
          <w:szCs w:val="12"/>
          <w:color w:val="auto"/>
        </w:rPr>
        <w:t>Section 1.43 of the License Agreement shall be amended and restated as follows:</w:t>
      </w:r>
    </w:p>
    <w:p>
      <w:pPr>
        <w:spacing w:after="0" w:line="180" w:lineRule="exact"/>
        <w:rPr>
          <w:sz w:val="20"/>
          <w:szCs w:val="20"/>
          <w:color w:val="auto"/>
        </w:rPr>
      </w:pPr>
    </w:p>
    <w:p>
      <w:pPr>
        <w:jc w:val="both"/>
        <w:ind w:firstLine="1036"/>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Regulatory Documentation</w:t>
      </w:r>
      <w:r>
        <w:rPr>
          <w:rFonts w:ascii="Arial" w:cs="Arial" w:eastAsia="Arial" w:hAnsi="Arial"/>
          <w:sz w:val="13"/>
          <w:szCs w:val="13"/>
          <w:color w:val="auto"/>
        </w:rPr>
        <w:t>” shall mean all applications, registrations, licenses, authorizations and approvals (including all Regulatory Approvals), all correspondence submitted to or received from Regulatory Authorities (including minutes and official contact reports relating to any communications with any Regulatory Authority) and all supporting documents and all clinical studies and tests, relating to the Licensed Products and all data contained in any of the foregoing, including all INDs, Regulatory Approvals, regulatory drug lists, advertising and promotion documents, manufacturing data, drug master files, clinical data, adverse event files and complaint files, but excluding all FCDI Regulatory Documentation.”</w:t>
      </w:r>
    </w:p>
    <w:p>
      <w:pPr>
        <w:spacing w:after="0" w:line="13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2"/>
          <w:szCs w:val="12"/>
          <w:color w:val="auto"/>
        </w:rPr>
        <w:t>Section 1.48 of the License Agreement shall be amended and restated as follows:</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Supply Agreement</w:t>
      </w:r>
      <w:r>
        <w:rPr>
          <w:rFonts w:ascii="Arial" w:cs="Arial" w:eastAsia="Arial" w:hAnsi="Arial"/>
          <w:sz w:val="14"/>
          <w:szCs w:val="14"/>
          <w:color w:val="auto"/>
        </w:rPr>
        <w:t xml:space="preserve">” has the meaning set forth in </w:t>
      </w:r>
      <w:r>
        <w:rPr>
          <w:rFonts w:ascii="Arial" w:cs="Arial" w:eastAsia="Arial" w:hAnsi="Arial"/>
          <w:sz w:val="14"/>
          <w:szCs w:val="14"/>
          <w:u w:val="single" w:color="auto"/>
          <w:color w:val="auto"/>
        </w:rPr>
        <w:t>Section 3.7</w:t>
      </w:r>
      <w:r>
        <w:rPr>
          <w:rFonts w:ascii="Arial" w:cs="Arial" w:eastAsia="Arial" w:hAnsi="Arial"/>
          <w:sz w:val="14"/>
          <w:szCs w:val="14"/>
          <w:color w:val="auto"/>
        </w:rPr>
        <w:t>.”</w:t>
      </w:r>
    </w:p>
    <w:p>
      <w:pPr>
        <w:spacing w:after="0" w:line="18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1.8. After giving effect to the amendments contemplated in Sections 1.1, 1.2, 1.3, 1.4, 1.5 and 1.6 above, Article 1 of the License Agreement shall be amended to add the following definitions, in appropriate alphabetical and numerical order, and the section numbers of Article 1 of the License Agreement and all cross references thereto in the License Agreement are hereby updated to reflect the addition of such defined terms:</w:t>
      </w:r>
    </w:p>
    <w:p>
      <w:pPr>
        <w:spacing w:after="0" w:line="137" w:lineRule="exact"/>
        <w:rPr>
          <w:sz w:val="20"/>
          <w:szCs w:val="20"/>
          <w:color w:val="auto"/>
        </w:rPr>
      </w:pPr>
    </w:p>
    <w:p>
      <w:pPr>
        <w:jc w:val="both"/>
        <w:ind w:firstLine="1036"/>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Century Manufacturing Technology</w:t>
      </w:r>
      <w:r>
        <w:rPr>
          <w:rFonts w:ascii="Arial" w:cs="Arial" w:eastAsia="Arial" w:hAnsi="Arial"/>
          <w:sz w:val="13"/>
          <w:szCs w:val="13"/>
          <w:color w:val="auto"/>
        </w:rPr>
        <w:t>” means any Know-How and other inventions, improvements, discoveries or developments, whether or not patentable, Owned or Controlled by Century that are conceived of, reduced to practice, discovered, tested or developed by or on behalf of Licensee in connection with Licensee’s exercise of its rights under the License Agreement or Collaboration Agreement, in each case to the extent related to manufacturing, analytical development and/or process development. For purposes of clarity, “Century Manufacturing Technology” does not include technologies of gene editing, targets and binders and switches but does include, without limitation, any and all of the following:</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594" w:name="page595"/>
    <w:bookmarkEnd w:id="594"/>
    <w:p>
      <w:pPr>
        <w:jc w:val="both"/>
        <w:ind w:firstLine="1042"/>
        <w:spacing w:after="0" w:line="283" w:lineRule="auto"/>
        <w:tabs>
          <w:tab w:leader="none" w:pos="1221" w:val="left"/>
        </w:tabs>
        <w:numPr>
          <w:ilvl w:val="0"/>
          <w:numId w:val="418"/>
        </w:numPr>
        <w:rPr>
          <w:rFonts w:ascii="Arial" w:cs="Arial" w:eastAsia="Arial" w:hAnsi="Arial"/>
          <w:sz w:val="13"/>
          <w:szCs w:val="13"/>
          <w:color w:val="auto"/>
        </w:rPr>
      </w:pPr>
      <w:r>
        <w:rPr>
          <w:rFonts w:ascii="Arial" w:cs="Arial" w:eastAsia="Arial" w:hAnsi="Arial"/>
          <w:sz w:val="13"/>
          <w:szCs w:val="13"/>
          <w:color w:val="auto"/>
        </w:rPr>
        <w:t>strategies, criteria or methods for analytical test development and quality control test development for drug substances and/or drug products including, without limitation: determination of the respective tests that are required for intermediates, release and characterization; the development of the appropriate tests; and stability studies and shelf life determination; (ii) criteria and/or methods for cell expansion and scale up process; methods for, and results from, a suite of in vitro and in vivo assays that test cell performance and function; and evaluation analysis of such results; (iii) criteria, methods or processes relating to any of the following: closed unit operations (example: closed continuous or batch centrifugation); scale up of cell expansion and cell harvest steps; process choreography, i.e., the optimal order of combining streams, transferring streams, sampling and measuring intermediates, and defining hold times; identification of standard, or design of custom-made, product-contact containers for combining streams, transferring streams, and sampling; cell cryopreservation; drug product vial filling and visual inspection at large scale; and shipping and clinical handling and administration of cryopreserved products; and (iv)pre-IND regulatory and Chemistry CMC strategies, interactions (meetings and briefing books), and composition of an IND-enabling technical package supporting development of an immunotherapy for cancer (where “IND” means an investigational new drug application with the FDA, or the equivalent application in any foreign jurisdiction filed with another Regulatory Authority).”</w:t>
      </w:r>
    </w:p>
    <w:p>
      <w:pPr>
        <w:spacing w:after="0" w:line="136"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Collaboration Agreement</w:t>
      </w:r>
      <w:r>
        <w:rPr>
          <w:rFonts w:ascii="Arial" w:cs="Arial" w:eastAsia="Arial" w:hAnsi="Arial"/>
          <w:sz w:val="14"/>
          <w:szCs w:val="14"/>
          <w:color w:val="auto"/>
        </w:rPr>
        <w:t>” means the Master Collaboration Agreement dated as of October 21, 2019 between Century and CDI, as amended by Amendment No. 1 to Master Collaboration Agreement dated as of July 17, 2020, and by Amendment No. 2 to Master Collaboration Agreement dated as of the First Amendment Effective Date.”</w:t>
      </w:r>
    </w:p>
    <w:p>
      <w:pPr>
        <w:spacing w:after="0" w:line="123" w:lineRule="exact"/>
        <w:rPr>
          <w:sz w:val="20"/>
          <w:szCs w:val="20"/>
          <w:color w:val="auto"/>
        </w:rPr>
      </w:pPr>
    </w:p>
    <w:p>
      <w:pPr>
        <w:jc w:val="both"/>
        <w:ind w:firstLine="1036"/>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FCDI Regulatory Documentation</w:t>
      </w:r>
      <w:r>
        <w:rPr>
          <w:rFonts w:ascii="Arial" w:cs="Arial" w:eastAsia="Arial" w:hAnsi="Arial"/>
          <w:sz w:val="14"/>
          <w:szCs w:val="14"/>
          <w:color w:val="auto"/>
        </w:rPr>
        <w:t>” shall mean (i) all applications, registrations, licenses, authorizations and approvals (including all Regulatory Approvals, if any), all correspondence submitted to or received from Regulatory Authorities (including minutes and official contact reports relating to any communications with any Regulatory Authority) and all supporting documents and all clinical studies and tests, in each case to the extent relating to any of the following (and not also to any Licensed Product): (a) any Reprogrammed iPS Cells (including TiPSCs) manufactured by CDI, (b) the manufacture by CDI of any such Reprogrammed iPS Cells (wherein such manufacture includes all activities performed by or on behalf CDI through (inclusive of) cryopreservation of such Reprogrammed iPS Cells) and/or (c) the reprogramming plasmids used by CDI in any such manufacture and (ii) all data contained in any of the foregoing in clause (i), including all INDs, Regulatory Approvals, regulatory drug lists, advertising and promotion documents, manufacturing data, drug master files, clinical data, adverse event files and complaint files; and in each case of (i) and (ii), to the extent owned and controlled by CDI.”</w:t>
      </w:r>
    </w:p>
    <w:p>
      <w:pPr>
        <w:spacing w:after="0" w:line="150"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2"/>
          <w:szCs w:val="12"/>
          <w:color w:val="auto"/>
        </w:rPr>
        <w:t>Section 2.1 of the License Agreement shall be amended and restated as follows: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“2.1 License Grants to Century. Subject to the terms and conditions of this Agreement, CDI hereby grants to Century the following licenses:</w:t>
      </w:r>
    </w:p>
    <w:p>
      <w:pPr>
        <w:spacing w:after="0" w:line="184" w:lineRule="exact"/>
        <w:rPr>
          <w:sz w:val="20"/>
          <w:szCs w:val="20"/>
          <w:color w:val="auto"/>
        </w:rPr>
      </w:pPr>
    </w:p>
    <w:p>
      <w:pPr>
        <w:jc w:val="both"/>
        <w:ind w:firstLine="1042"/>
        <w:spacing w:after="0" w:line="263" w:lineRule="auto"/>
        <w:tabs>
          <w:tab w:leader="none" w:pos="1490" w:val="left"/>
        </w:tabs>
        <w:numPr>
          <w:ilvl w:val="0"/>
          <w:numId w:val="419"/>
        </w:numPr>
        <w:rPr>
          <w:rFonts w:ascii="Arial" w:cs="Arial" w:eastAsia="Arial" w:hAnsi="Arial"/>
          <w:sz w:val="14"/>
          <w:szCs w:val="14"/>
          <w:color w:val="auto"/>
        </w:rPr>
      </w:pPr>
      <w:r>
        <w:rPr>
          <w:rFonts w:ascii="Arial" w:cs="Arial" w:eastAsia="Arial" w:hAnsi="Arial"/>
          <w:sz w:val="14"/>
          <w:szCs w:val="14"/>
          <w:color w:val="auto"/>
        </w:rPr>
        <w:t xml:space="preserve">an 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under the Licensed Technology to Exploit the Licensed Products within the Field in the Territory. Notwithstanding any term or implication herein to the contrary and for the sake of clarity, the foregoing license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 of a product</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95" w:name="page596"/>
    <w:bookmarkEnd w:id="595"/>
    <w:p>
      <w:pPr>
        <w:spacing w:after="0"/>
        <w:rPr>
          <w:sz w:val="20"/>
          <w:szCs w:val="20"/>
          <w:color w:val="auto"/>
        </w:rPr>
      </w:pPr>
      <w:r>
        <w:rPr>
          <w:rFonts w:ascii="Arial" w:cs="Arial" w:eastAsia="Arial" w:hAnsi="Arial"/>
          <w:sz w:val="14"/>
          <w:szCs w:val="14"/>
          <w:color w:val="auto"/>
        </w:rPr>
        <w:t>other than a Licensed Product that that is being researched, developed or commercialized by or on behalf of Century or its Affiliates or Sublicensees; and</w:t>
      </w:r>
    </w:p>
    <w:p>
      <w:pPr>
        <w:spacing w:after="0" w:line="184" w:lineRule="exact"/>
        <w:rPr>
          <w:sz w:val="20"/>
          <w:szCs w:val="20"/>
          <w:color w:val="auto"/>
        </w:rPr>
      </w:pPr>
    </w:p>
    <w:p>
      <w:pPr>
        <w:jc w:val="both"/>
        <w:ind w:firstLine="1042"/>
        <w:spacing w:after="0" w:line="273" w:lineRule="auto"/>
        <w:tabs>
          <w:tab w:leader="none" w:pos="1483" w:val="left"/>
        </w:tabs>
        <w:numPr>
          <w:ilvl w:val="0"/>
          <w:numId w:val="420"/>
        </w:numPr>
        <w:rPr>
          <w:rFonts w:ascii="Arial" w:cs="Arial" w:eastAsia="Arial" w:hAnsi="Arial"/>
          <w:sz w:val="14"/>
          <w:szCs w:val="14"/>
          <w:color w:val="auto"/>
        </w:rPr>
      </w:pPr>
      <w:r>
        <w:rPr>
          <w:rFonts w:ascii="Arial" w:cs="Arial" w:eastAsia="Arial" w:hAnsi="Arial"/>
          <w:sz w:val="14"/>
          <w:szCs w:val="14"/>
          <w:color w:val="auto"/>
        </w:rPr>
        <w:t>an exclusive, non-transferable (except in accordance with Section 10.3), fully paid-up, license and right of reference, with the right to grant sublicenses through multiple tiers and further rights of reference, under any Regulatory Documentation Owned and Controlled by CDI and any master file included in the FCDI Regulatory Documentation at any time during the Term so long as CDI Owns or Controls such Regulatory Documentation, to Exploit the Licensed Products within the Field in the Territory.”</w:t>
      </w:r>
    </w:p>
    <w:p>
      <w:pPr>
        <w:spacing w:after="0" w:line="141"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2"/>
          <w:szCs w:val="12"/>
          <w:color w:val="auto"/>
        </w:rPr>
        <w:t>Section 2.2(c) of the License Agreement shall be amended and restated as follows:</w:t>
      </w:r>
    </w:p>
    <w:p>
      <w:pPr>
        <w:spacing w:after="0" w:line="184"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“(c) a fully paid-up, non-exclusive, non-transferable (except in accordance with Section 10.3), sublicensable (with the ability to sublicense through multiple tiers) worldwide license under the Century Licensed Technology and Century Manufacturing Technology to manufacture the Licensed Products in the Field; and”</w:t>
      </w:r>
    </w:p>
    <w:p>
      <w:pPr>
        <w:spacing w:after="0" w:line="132"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color w:val="auto"/>
        </w:rPr>
        <w:t>After giving effect to the amendment in Section 1.9 above, Section 2.2 of the License Agreement shall be amended to include a new paragraph (d) which provides:</w:t>
      </w:r>
    </w:p>
    <w:p>
      <w:pPr>
        <w:spacing w:after="0" w:line="184" w:lineRule="exact"/>
        <w:rPr>
          <w:sz w:val="20"/>
          <w:szCs w:val="20"/>
          <w:color w:val="auto"/>
        </w:rPr>
      </w:pPr>
    </w:p>
    <w:p>
      <w:pPr>
        <w:jc w:val="both"/>
        <w:ind w:firstLine="1036"/>
        <w:spacing w:after="0" w:line="273" w:lineRule="auto"/>
        <w:rPr>
          <w:sz w:val="20"/>
          <w:szCs w:val="20"/>
          <w:color w:val="auto"/>
        </w:rPr>
      </w:pPr>
      <w:r>
        <w:rPr>
          <w:rFonts w:ascii="Arial" w:cs="Arial" w:eastAsia="Arial" w:hAnsi="Arial"/>
          <w:sz w:val="14"/>
          <w:szCs w:val="14"/>
          <w:color w:val="auto"/>
        </w:rPr>
        <w:t>“(d) a fully paid-up, non-exclusive, non-transferable (except in accordance with Section 10.3), sublicensable (with the ability to sublicense through multiple tiers) worldwide license under the Century Manufacturing Technology for manufacturing and process development activities outside of the Field for cells other than human iPSC (including TiPSC)-derived T cells, NK cells, macrophages and dendritic cells; [***].”</w:t>
      </w:r>
    </w:p>
    <w:p>
      <w:pPr>
        <w:spacing w:after="0" w:line="14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2"/>
          <w:szCs w:val="12"/>
          <w:color w:val="auto"/>
        </w:rPr>
        <w:t>Section 2.5(c) of the License Agreement shall be amended and restated as follows:</w:t>
      </w:r>
    </w:p>
    <w:p>
      <w:pPr>
        <w:spacing w:after="0" w:line="184" w:lineRule="exact"/>
        <w:rPr>
          <w:sz w:val="20"/>
          <w:szCs w:val="20"/>
          <w:color w:val="auto"/>
        </w:rPr>
      </w:pPr>
    </w:p>
    <w:p>
      <w:pPr>
        <w:jc w:val="both"/>
        <w:ind w:firstLine="1036"/>
        <w:spacing w:after="0" w:line="284" w:lineRule="auto"/>
        <w:rPr>
          <w:sz w:val="20"/>
          <w:szCs w:val="20"/>
          <w:color w:val="auto"/>
        </w:rPr>
      </w:pPr>
      <w:r>
        <w:rPr>
          <w:rFonts w:ascii="Arial" w:cs="Arial" w:eastAsia="Arial" w:hAnsi="Arial"/>
          <w:sz w:val="13"/>
          <w:szCs w:val="13"/>
          <w:color w:val="auto"/>
        </w:rPr>
        <w:t xml:space="preserve">“(c) Century shall use commercially reasonable efforts to include in any sublicense by Century or any Affiliate of Century to a Third Party (or any further sublicenses by the applicable Sublicensee) of any rights granted by CDI under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that the Sublicensee will grant to Century licenses to any Sublicensee Technology and licenses and rights of reference under any Regulatory Documentation on terms that are substantially similar to the licenses granted by CDI to Century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(but with respect to outside the Territory) (replacing all references to the “Territory” under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with “outside the Territory”), which license must be fully sublicensable to CDI (through multiple tiers) pursuant to the terms and conditions of this Agreement. In such event, such Sublicensee Technology will be deemed Century Licensed Technology or Century Manufacturing Technology, as applicable, hereunder and included within the licenses granted to CDI hereunder. Notwithstanding any provision to the contrary, in the event Century obtains from the Sublicensee (a) licenses to any and all Sublicensee Technology and (b) licenses and rights of reference under any Regulatory Documentation Owned or Controlled by Sublicensees (and its Affiliates), to Exploit the Licensed Products in the Field, Century shall ensure to make such licenses and rights sublicensable to CDI (through multiple tiers) to in the case of Century Licensed Technology, Exploit the Licensed Products in the Field outside the Territory.”</w:t>
      </w:r>
    </w:p>
    <w:p>
      <w:pPr>
        <w:spacing w:after="0" w:line="13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2"/>
          <w:szCs w:val="12"/>
          <w:color w:val="auto"/>
        </w:rPr>
        <w:t>Section 2.5(d) of the License Agreement shall be amended and restated as follows:</w:t>
      </w:r>
    </w:p>
    <w:p>
      <w:pPr>
        <w:spacing w:after="0" w:line="35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596" w:name="page597"/>
    <w:bookmarkEnd w:id="596"/>
    <w:p>
      <w:pPr>
        <w:jc w:val="both"/>
        <w:ind w:firstLine="1042"/>
        <w:spacing w:after="0" w:line="284" w:lineRule="auto"/>
        <w:tabs>
          <w:tab w:leader="none" w:pos="1531" w:val="left"/>
        </w:tabs>
        <w:numPr>
          <w:ilvl w:val="0"/>
          <w:numId w:val="421"/>
        </w:numPr>
        <w:rPr>
          <w:rFonts w:ascii="Arial" w:cs="Arial" w:eastAsia="Arial" w:hAnsi="Arial"/>
          <w:sz w:val="13"/>
          <w:szCs w:val="13"/>
          <w:color w:val="auto"/>
        </w:rPr>
      </w:pPr>
      <w:r>
        <w:rPr>
          <w:rFonts w:ascii="Arial" w:cs="Arial" w:eastAsia="Arial" w:hAnsi="Arial"/>
          <w:sz w:val="13"/>
          <w:szCs w:val="13"/>
          <w:color w:val="auto"/>
        </w:rPr>
        <w:t xml:space="preserve">CDI shall use commercially reasonable efforts to include in any sublicense by CDI to a Third Party (or any further sublicenses by the applicable Sublicensee) of any rights granted by Century under Section 2.2 that the Sublicensee will grant to CDI licenses to any Sublicensee Technology and licenses and rights of reference under any Regulatory Documentation and any master file included in the FCDI Regulatory Documentation on terms that are substantially similar to the licenses granted by Century to CDI in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(but with respect to the Territory) (replacing all references to the “outside the Territory” with “Territory”), which license must be fully sublicensable to Century (through multiple tiers) pursuant to the terms and conditions of this Agreement. In such event, such Sublicensee Technology will be deemed Licensed Technology hereunder and included within the licenses granted to Century hereunder. Notwithstanding any provision to the contrary, in the event CDI will obtain from the Sublicensee (a) licenses to any and all Sublicensee Technology and (b) licenses and rights of reference under any Regulatory Documentation Owned or Controlled by Sublicensees (and its Affiliates), to Exploit the Licensed Products in the Field, CDI shall ensure to make such licenses and rights sublicensable to Century (through multiple tiers) to Exploit the Licensed Products in the Field in the Territory.”</w:t>
      </w:r>
    </w:p>
    <w:p>
      <w:pPr>
        <w:spacing w:after="0" w:line="13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2"/>
          <w:szCs w:val="12"/>
          <w:color w:val="auto"/>
        </w:rPr>
        <w:t>Section 2.5(e) of the License Agreement shall be amended and restated as follows:</w:t>
      </w:r>
    </w:p>
    <w:p>
      <w:pPr>
        <w:spacing w:after="0" w:line="184"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 xml:space="preserve">“(e) For purposes of </w:t>
      </w:r>
      <w:r>
        <w:rPr>
          <w:rFonts w:ascii="Arial" w:cs="Arial" w:eastAsia="Arial" w:hAnsi="Arial"/>
          <w:sz w:val="14"/>
          <w:szCs w:val="14"/>
          <w:u w:val="single" w:color="auto"/>
          <w:color w:val="auto"/>
        </w:rPr>
        <w:t>Sections 2.5(c)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2.5(d)</w:t>
      </w:r>
      <w:r>
        <w:rPr>
          <w:rFonts w:ascii="Arial" w:cs="Arial" w:eastAsia="Arial" w:hAnsi="Arial"/>
          <w:sz w:val="14"/>
          <w:szCs w:val="14"/>
          <w:color w:val="auto"/>
        </w:rPr>
        <w:t>, “Sublicensee Technology” means any and all Know-How and Patent Rights that such Sublicensee (and its Affiliates) controls by way of developing, generating, or inventing during the term of the applicable sublicense agreement in the course of activities for the Exploitation of the Licensed Products or otherwise in the exercise of the sublicensed rights thereunder and that are necessary or useful for (i) the Exploitation of the Licensed Products in the Field or (ii) manufacturing and process development activities outside of the Field for cells other than human iPSC (including TiPSC)-derived T cells, NK cells, macrophages and dendritic cells.”</w:t>
      </w:r>
    </w:p>
    <w:p>
      <w:pPr>
        <w:spacing w:after="0" w:line="14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2"/>
          <w:szCs w:val="12"/>
          <w:color w:val="auto"/>
        </w:rPr>
        <w:t>Section 2.7 of the License Agreement shall be amended and restated as follows:</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Regulatory Related Matters</w:t>
      </w:r>
      <w:r>
        <w:rPr>
          <w:rFonts w:ascii="Arial" w:cs="Arial" w:eastAsia="Arial" w:hAnsi="Arial"/>
          <w:sz w:val="14"/>
          <w:szCs w:val="14"/>
          <w:color w:val="auto"/>
        </w:rPr>
        <w:t>.</w:t>
      </w:r>
    </w:p>
    <w:p>
      <w:pPr>
        <w:spacing w:after="0" w:line="184" w:lineRule="exact"/>
        <w:rPr>
          <w:sz w:val="20"/>
          <w:szCs w:val="20"/>
          <w:color w:val="auto"/>
        </w:rPr>
      </w:pPr>
    </w:p>
    <w:p>
      <w:pPr>
        <w:jc w:val="both"/>
        <w:ind w:firstLine="1036"/>
        <w:spacing w:after="0" w:line="261"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u w:val="single" w:color="auto"/>
          <w:color w:val="auto"/>
        </w:rPr>
        <w:t>Technical Support</w:t>
      </w:r>
      <w:r>
        <w:rPr>
          <w:rFonts w:ascii="Arial" w:cs="Arial" w:eastAsia="Arial" w:hAnsi="Arial"/>
          <w:sz w:val="14"/>
          <w:szCs w:val="14"/>
          <w:color w:val="auto"/>
        </w:rPr>
        <w:t xml:space="preserve">. Each Party shall, or shall cause its Affiliates to, use commercially reasonable efforts to provide the other Party (including such other Party’s Affiliates) with the necessary technical support and transfer of Century Know How or Licensed Know-How or Regulatory Documentation where necessary to allow such Party to Exploit the Licensed Products in the Field in its respective territory pursuant to this Agreement, and in accordance with this </w:t>
      </w:r>
      <w:r>
        <w:rPr>
          <w:rFonts w:ascii="Arial" w:cs="Arial" w:eastAsia="Arial" w:hAnsi="Arial"/>
          <w:sz w:val="14"/>
          <w:szCs w:val="14"/>
          <w:u w:val="single" w:color="auto"/>
          <w:color w:val="auto"/>
        </w:rPr>
        <w:t>Section 2.7</w:t>
      </w:r>
      <w:r>
        <w:rPr>
          <w:rFonts w:ascii="Arial" w:cs="Arial" w:eastAsia="Arial" w:hAnsi="Arial"/>
          <w:sz w:val="14"/>
          <w:szCs w:val="14"/>
          <w:color w:val="auto"/>
        </w:rPr>
        <w:t>. Further, CDI expressly agrees that Century shall have the right to reference any drug master files and all equivalents, and related proprietary dossiers, in any country or jurisdiction, as required by a Regulatory Authority maintained, or that at any time during the Term become maintained, by CDI in the ordinary course of business relating to the Licensed Technology insofar as such information is necessary in connection with obtaining any Regulatory Approval for Licensed Products in the Field in the Territory. Century expressly agrees that CDI shall have the right to reference any drug master files and all equivalents, and related proprietary dossiers, in any country or jurisdiction, as required by a Regulatory Authority maintained, or that at any time during the Term become maintained, by Century and its Affiliates and their respective Sublicensees in the ordinary course of business relating to the Century Licensed Technology insofar as such information is necessary in connection with obtaining any Regulatory Approval for Licensed Products in the Field outside the Territory.</w:t>
      </w:r>
    </w:p>
    <w:p>
      <w:pPr>
        <w:spacing w:after="0" w:line="151" w:lineRule="exact"/>
        <w:rPr>
          <w:sz w:val="20"/>
          <w:szCs w:val="20"/>
          <w:color w:val="auto"/>
        </w:rPr>
      </w:pPr>
    </w:p>
    <w:p>
      <w:pPr>
        <w:jc w:val="both"/>
        <w:ind w:firstLine="1042"/>
        <w:spacing w:after="0" w:line="273" w:lineRule="auto"/>
        <w:tabs>
          <w:tab w:leader="none" w:pos="1551" w:val="left"/>
        </w:tabs>
        <w:numPr>
          <w:ilvl w:val="0"/>
          <w:numId w:val="422"/>
        </w:numPr>
        <w:rPr>
          <w:rFonts w:ascii="Arial" w:cs="Arial" w:eastAsia="Arial" w:hAnsi="Arial"/>
          <w:sz w:val="14"/>
          <w:szCs w:val="14"/>
          <w:color w:val="auto"/>
        </w:rPr>
      </w:pPr>
      <w:r>
        <w:rPr>
          <w:rFonts w:ascii="Arial" w:cs="Arial" w:eastAsia="Arial" w:hAnsi="Arial"/>
          <w:sz w:val="14"/>
          <w:szCs w:val="14"/>
          <w:color w:val="auto"/>
        </w:rPr>
        <w:t xml:space="preserve">Other Regulatory Matters. The provisions of Section 8 of the Quality Agreement and Section 2.0 of the Table set forth in the Quality Agreement shall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the extent the Quality Agreement expires or is terminated prior to the expiration or earlier termination of this Agreement, such provisions of the Quality Agreement will survive such expiration or termination for purposes of this </w:t>
      </w:r>
      <w:r>
        <w:rPr>
          <w:rFonts w:ascii="Arial" w:cs="Arial" w:eastAsia="Arial" w:hAnsi="Arial"/>
          <w:sz w:val="14"/>
          <w:szCs w:val="14"/>
          <w:u w:val="single" w:color="auto"/>
          <w:color w:val="auto"/>
        </w:rPr>
        <w:t>Section 2.7</w:t>
      </w:r>
      <w:r>
        <w:rPr>
          <w:rFonts w:ascii="Arial" w:cs="Arial" w:eastAsia="Arial" w:hAnsi="Arial"/>
          <w:sz w:val="14"/>
          <w:szCs w:val="14"/>
          <w:color w:val="auto"/>
        </w:rPr>
        <w:t>, and be incorporated herein by reference.”</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97" w:name="page598"/>
    <w:bookmarkEnd w:id="597"/>
    <w:p>
      <w:pPr>
        <w:ind w:left="520"/>
        <w:spacing w:after="0"/>
        <w:tabs>
          <w:tab w:leader="none" w:pos="104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3"/>
          <w:szCs w:val="13"/>
          <w:color w:val="auto"/>
        </w:rPr>
        <w:t>Article 2 of the License Agreement shall be amended to include a new Section 2.10 which provides:</w:t>
      </w:r>
    </w:p>
    <w:p>
      <w:pPr>
        <w:spacing w:after="0" w:line="184" w:lineRule="exact"/>
        <w:rPr>
          <w:sz w:val="20"/>
          <w:szCs w:val="20"/>
          <w:color w:val="auto"/>
        </w:rPr>
      </w:pPr>
    </w:p>
    <w:p>
      <w:pPr>
        <w:jc w:val="both"/>
        <w:ind w:firstLine="1036"/>
        <w:spacing w:after="0" w:line="261"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u w:val="single" w:color="auto"/>
          <w:color w:val="auto"/>
        </w:rPr>
        <w:t>Tech Transfer of Century Manufacturing Technology</w:t>
      </w:r>
      <w:r>
        <w:rPr>
          <w:rFonts w:ascii="Arial" w:cs="Arial" w:eastAsia="Arial" w:hAnsi="Arial"/>
          <w:sz w:val="14"/>
          <w:szCs w:val="14"/>
          <w:color w:val="auto"/>
        </w:rPr>
        <w:t>. After the First Amendment Effective Date and during the Term, Century will use commercially reasonable efforts to disclose to CDI Century Manufacturing Technology in existence on the First Amendment Effective Date, including, but not limited to, by providing access to and information transfer of Century Manufacturing Technology and providing copies or samples of relevant documentation, materials, and other embodiments of such Century Manufacturing Technology, in the ordinary course of business and as hereinafter provided in this Section 2.10. After the First Amendment Effective Date but not later than on the [***] anniversary of the First Amendment Effective Date, the Parties will establish a plan for the initial disclosure by Century of Century Manufacturing Technology in existence on the First Amendment Effective Date to CDI. The JSC will oversee and facilitate Century’s performance of such disclosure. In addition, during the Term, upon the request by CDI, but not more than twice per Calendar Year, Century will promptly disclose to CDI any new Century Manufacturing Technology developed, Owned or Controlled by Century and provide copies or samples of relevant documentation, materials, and other embodiments of such Century Manufacturing Technology.”</w:t>
      </w:r>
    </w:p>
    <w:p>
      <w:pPr>
        <w:spacing w:after="0" w:line="153"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2"/>
          <w:szCs w:val="12"/>
          <w:color w:val="auto"/>
        </w:rPr>
        <w:t>Section 3.7 of the License Agreement shall be amended and restated as follows:</w:t>
      </w:r>
    </w:p>
    <w:p>
      <w:pPr>
        <w:spacing w:after="0" w:line="184" w:lineRule="exact"/>
        <w:rPr>
          <w:sz w:val="20"/>
          <w:szCs w:val="20"/>
          <w:color w:val="auto"/>
        </w:rPr>
      </w:pPr>
    </w:p>
    <w:p>
      <w:pPr>
        <w:jc w:val="both"/>
        <w:ind w:firstLine="1036"/>
        <w:spacing w:after="0" w:line="287"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Manufacture</w:t>
      </w:r>
      <w:r>
        <w:rPr>
          <w:rFonts w:ascii="Arial" w:cs="Arial" w:eastAsia="Arial" w:hAnsi="Arial"/>
          <w:sz w:val="13"/>
          <w:szCs w:val="13"/>
          <w:color w:val="auto"/>
        </w:rPr>
        <w:t>. Effective as of the First Amendment Effective Date, the Parties are entering into a manufacturing and supply agreement under which CDI or its Affiliate will manufacture and supply human iPSC (including TiPSC) and CDI and/or its Affiliates or contractors would manufacture and supply certain Licensed Products, in each case, to Century for itself and its Affiliates and Sublicensees (as the same may be amended from time to time, the “</w:t>
      </w:r>
      <w:r>
        <w:rPr>
          <w:rFonts w:ascii="Arial" w:cs="Arial" w:eastAsia="Arial" w:hAnsi="Arial"/>
          <w:sz w:val="13"/>
          <w:szCs w:val="13"/>
          <w:b w:val="1"/>
          <w:bCs w:val="1"/>
          <w:color w:val="auto"/>
        </w:rPr>
        <w:t>Supply Agreement</w:t>
      </w:r>
      <w:r>
        <w:rPr>
          <w:rFonts w:ascii="Arial" w:cs="Arial" w:eastAsia="Arial" w:hAnsi="Arial"/>
          <w:sz w:val="13"/>
          <w:szCs w:val="13"/>
          <w:color w:val="auto"/>
        </w:rPr>
        <w:t>”) and as of June 29, 2020, entered into a quality agreement which provides the responsibilities of Century and CDI or its Affiliates for quality assurance of human iPSC (including TiPSC) and such Licensed Products (as the same may be amended from time to time, the “</w:t>
      </w:r>
      <w:r>
        <w:rPr>
          <w:rFonts w:ascii="Arial" w:cs="Arial" w:eastAsia="Arial" w:hAnsi="Arial"/>
          <w:sz w:val="13"/>
          <w:szCs w:val="13"/>
          <w:b w:val="1"/>
          <w:bCs w:val="1"/>
          <w:color w:val="auto"/>
        </w:rPr>
        <w:t>Quality Agreement</w:t>
      </w:r>
      <w:r>
        <w:rPr>
          <w:rFonts w:ascii="Arial" w:cs="Arial" w:eastAsia="Arial" w:hAnsi="Arial"/>
          <w:sz w:val="13"/>
          <w:szCs w:val="13"/>
          <w:color w:val="auto"/>
        </w:rPr>
        <w:t xml:space="preserve">”). Except as set forth in the Supply Agreement, Century shall have the sole discretion whether to manufacture and supply iPSC (including TiPSC) or Licensed Products itself or through its Affiliates or to use CDI or a Third Party, other than any manufacturer set forth on </w:t>
      </w:r>
      <w:r>
        <w:rPr>
          <w:rFonts w:ascii="Arial" w:cs="Arial" w:eastAsia="Arial" w:hAnsi="Arial"/>
          <w:sz w:val="13"/>
          <w:szCs w:val="13"/>
          <w:u w:val="single" w:color="auto"/>
          <w:color w:val="auto"/>
        </w:rPr>
        <w:t>Schedule 3.7</w:t>
      </w:r>
      <w:r>
        <w:rPr>
          <w:rFonts w:ascii="Arial" w:cs="Arial" w:eastAsia="Arial" w:hAnsi="Arial"/>
          <w:sz w:val="13"/>
          <w:szCs w:val="13"/>
          <w:color w:val="auto"/>
        </w:rPr>
        <w:t xml:space="preserve"> (such Third Party, a “</w:t>
      </w:r>
      <w:r>
        <w:rPr>
          <w:rFonts w:ascii="Arial" w:cs="Arial" w:eastAsia="Arial" w:hAnsi="Arial"/>
          <w:sz w:val="13"/>
          <w:szCs w:val="13"/>
          <w:b w:val="1"/>
          <w:bCs w:val="1"/>
          <w:color w:val="auto"/>
        </w:rPr>
        <w:t>Century CMO</w:t>
      </w:r>
      <w:r>
        <w:rPr>
          <w:rFonts w:ascii="Arial" w:cs="Arial" w:eastAsia="Arial" w:hAnsi="Arial"/>
          <w:sz w:val="13"/>
          <w:szCs w:val="13"/>
          <w:color w:val="auto"/>
        </w:rPr>
        <w:t>”) for such manufacture and supply.”</w:t>
      </w:r>
    </w:p>
    <w:p>
      <w:pPr>
        <w:spacing w:after="0" w:line="136"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2"/>
          <w:szCs w:val="12"/>
          <w:color w:val="auto"/>
        </w:rPr>
        <w:t>Section 9.6 of the License Agreement shall be amended and restated as follows:</w:t>
      </w:r>
    </w:p>
    <w:p>
      <w:pPr>
        <w:spacing w:after="0" w:line="184"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 Century may terminate this Agreement, at any time and for any reason or no reason, in its entirety or on an indication- by-indication basis, a Licensed Product- by-Licensed Product basis (to exclude such product from the Field) or country- by-country basis (to eliminate such country from the Territory), by providing ninety (90) days’ prior written notice to CDI. The termination shall become effective at the end of the ninety (90) day period. The indication in respect of which Century terminates this Agreement is referred to herein as the “</w:t>
      </w:r>
      <w:r>
        <w:rPr>
          <w:rFonts w:ascii="Arial" w:cs="Arial" w:eastAsia="Arial" w:hAnsi="Arial"/>
          <w:sz w:val="14"/>
          <w:szCs w:val="14"/>
          <w:b w:val="1"/>
          <w:bCs w:val="1"/>
          <w:color w:val="auto"/>
        </w:rPr>
        <w:t>Abandoned Indication</w:t>
      </w:r>
      <w:r>
        <w:rPr>
          <w:rFonts w:ascii="Arial" w:cs="Arial" w:eastAsia="Arial" w:hAnsi="Arial"/>
          <w:sz w:val="14"/>
          <w:szCs w:val="14"/>
          <w:color w:val="auto"/>
        </w:rPr>
        <w:t>.”</w:t>
      </w:r>
    </w:p>
    <w:p>
      <w:pPr>
        <w:spacing w:after="0" w:line="14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2"/>
          <w:szCs w:val="12"/>
          <w:color w:val="auto"/>
        </w:rPr>
        <w:t>The License Agreement shall be amended such that each reference to Schedule 3.7(a) are replaced as references to Schedule 3.7.</w:t>
      </w:r>
    </w:p>
    <w:p>
      <w:pPr>
        <w:spacing w:after="0" w:line="184" w:lineRule="exact"/>
        <w:rPr>
          <w:sz w:val="20"/>
          <w:szCs w:val="20"/>
          <w:color w:val="auto"/>
        </w:rPr>
      </w:pPr>
    </w:p>
    <w:p>
      <w:pPr>
        <w:ind w:left="1040" w:right="840" w:hanging="1034"/>
        <w:spacing w:after="0" w:line="514" w:lineRule="auto"/>
        <w:tabs>
          <w:tab w:leader="none" w:pos="579" w:val="left"/>
        </w:tabs>
        <w:numPr>
          <w:ilvl w:val="0"/>
          <w:numId w:val="423"/>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Pursuant to, and in accordance with Section 10.2 of the License Agreement, as of the First Amendment Effective Date, Century’s contact information is as follows: If to Century:</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Century Therapeutics, Inc.</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3675 Market Street</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82" w:right="319" w:bottom="1440" w:gutter="0" w:footer="0" w:header="0"/>
        </w:sectPr>
      </w:pPr>
    </w:p>
    <w:bookmarkStart w:id="598" w:name="page599"/>
    <w:bookmarkEnd w:id="598"/>
    <w:p>
      <w:pPr>
        <w:ind w:left="1560"/>
        <w:spacing w:after="0"/>
        <w:rPr>
          <w:sz w:val="20"/>
          <w:szCs w:val="20"/>
          <w:color w:val="auto"/>
        </w:rPr>
      </w:pPr>
      <w:r>
        <w:rPr>
          <w:rFonts w:ascii="Arial" w:cs="Arial" w:eastAsia="Arial" w:hAnsi="Arial"/>
          <w:sz w:val="14"/>
          <w:szCs w:val="14"/>
          <w:color w:val="auto"/>
        </w:rPr>
        <w:t>Philadelphia, PA 19104</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Attention: Chief Executive Officer</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Email: lalo@centurytx.com</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With a copy to:</w:t>
      </w:r>
    </w:p>
    <w:p>
      <w:pPr>
        <w:spacing w:after="0" w:line="18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Troutman Pepper Hamilton Sanders LLP</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3000 Two Logan Square</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Philadelphia, PA 19103</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Attention: Rachael M. Bushey, Esq.</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Email: rachael.bushey@troutman.com</w:t>
      </w:r>
    </w:p>
    <w:p>
      <w:pPr>
        <w:spacing w:after="0" w:line="175" w:lineRule="exact"/>
        <w:rPr>
          <w:sz w:val="20"/>
          <w:szCs w:val="20"/>
          <w:color w:val="auto"/>
        </w:rPr>
      </w:pPr>
    </w:p>
    <w:p>
      <w:pPr>
        <w:ind w:left="520" w:hanging="514"/>
        <w:spacing w:after="0"/>
        <w:tabs>
          <w:tab w:leader="none" w:pos="520" w:val="left"/>
        </w:tabs>
        <w:numPr>
          <w:ilvl w:val="0"/>
          <w:numId w:val="424"/>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84"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Effect of this First Amendment</w:t>
      </w:r>
      <w:r>
        <w:rPr>
          <w:rFonts w:ascii="Arial" w:cs="Arial" w:eastAsia="Arial" w:hAnsi="Arial"/>
          <w:sz w:val="14"/>
          <w:szCs w:val="14"/>
          <w:color w:val="auto"/>
        </w:rPr>
        <w:t>. This First Amendment amends the terms of the License Agreement and is deemed incorporated into, and governed by all other terms of, the License Agreement. To the extent that the License Agreement is explicitly amended by this First Amendment, the terms of this First Amendment will control where the terms of the License Agreement are contrary to or conflict with the terms of this First Amendment. All other terms and conditions of the License Agreement not explicitly amended by this First Amendment shall remain in full force and effect. The License Agreement shall, together with this First Amendment, be read and construed as a single instrument.</w:t>
      </w:r>
    </w:p>
    <w:p>
      <w:pPr>
        <w:spacing w:after="0" w:line="14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Counterparts</w:t>
      </w:r>
      <w:r>
        <w:rPr>
          <w:rFonts w:ascii="Arial" w:cs="Arial" w:eastAsia="Arial" w:hAnsi="Arial"/>
          <w:sz w:val="14"/>
          <w:szCs w:val="14"/>
          <w:color w:val="auto"/>
        </w:rPr>
        <w:t>. This First Amendment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remainder of page intentionally left blank</w:t>
      </w:r>
      <w:r>
        <w:rPr>
          <w:rFonts w:ascii="Arial" w:cs="Arial" w:eastAsia="Arial" w:hAnsi="Arial"/>
          <w:sz w:val="14"/>
          <w:szCs w:val="14"/>
          <w:b w:val="1"/>
          <w:bCs w:val="1"/>
          <w:color w:val="auto"/>
        </w:rPr>
        <w: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99" w:name="page600"/>
    <w:bookmarkEnd w:id="599"/>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executed this First Amendment as of the First Amendment Effective Date.</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ind w:left="4600"/>
        <w:spacing w:after="0"/>
        <w:tabs>
          <w:tab w:leader="none" w:pos="4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Osvaldo Flores</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Name: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-100965</wp:posOffset>
            </wp:positionV>
            <wp:extent cx="3364230"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4"/>
          <w:szCs w:val="14"/>
          <w:color w:val="auto"/>
        </w:rPr>
        <w:t>Title: President and Chief Executive Officer</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FUJIFILM CELLULAR DYNAMICS INC.</w:t>
      </w:r>
    </w:p>
    <w:p>
      <w:pPr>
        <w:spacing w:after="0" w:line="188" w:lineRule="exact"/>
        <w:rPr>
          <w:sz w:val="20"/>
          <w:szCs w:val="20"/>
          <w:color w:val="auto"/>
        </w:rPr>
      </w:pPr>
    </w:p>
    <w:p>
      <w:pPr>
        <w:ind w:left="4600"/>
        <w:spacing w:after="0"/>
        <w:tabs>
          <w:tab w:leader="none" w:pos="49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Takeshi Yamamoto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Name: Takeshi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-100965</wp:posOffset>
            </wp:positionV>
            <wp:extent cx="3364230"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4"/>
          <w:szCs w:val="14"/>
          <w:color w:val="auto"/>
        </w:rPr>
        <w:t>Title: President and Chief Executive Officer</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i w:val="1"/>
          <w:iCs w:val="1"/>
          <w:color w:val="auto"/>
        </w:rPr>
        <w:t>[Signature page to First Amendment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178435</wp:posOffset>
            </wp:positionV>
            <wp:extent cx="7159625" cy="69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119"/>
          </w:cols>
          <w:pgMar w:left="1340" w:top="577" w:right="1440" w:bottom="1440" w:gutter="0" w:footer="0" w:header="0"/>
        </w:sectPr>
      </w:pPr>
    </w:p>
    <w:bookmarkStart w:id="600" w:name="page601"/>
    <w:bookmarkEnd w:id="600"/>
    <w:p>
      <w:pPr>
        <w:jc w:val="right"/>
        <w:spacing w:after="0"/>
        <w:rPr>
          <w:sz w:val="20"/>
          <w:szCs w:val="20"/>
          <w:color w:val="auto"/>
        </w:rPr>
      </w:pPr>
      <w:r>
        <w:rPr>
          <w:rFonts w:ascii="Arial" w:cs="Arial" w:eastAsia="Arial" w:hAnsi="Arial"/>
          <w:sz w:val="14"/>
          <w:szCs w:val="14"/>
          <w:b w:val="1"/>
          <w:bCs w:val="1"/>
          <w:color w:val="auto"/>
        </w:rPr>
        <w:t>Exhibit 10.23</w:t>
      </w:r>
    </w:p>
    <w:p>
      <w:pPr>
        <w:spacing w:after="0" w:line="188" w:lineRule="exact"/>
        <w:rPr>
          <w:sz w:val="20"/>
          <w:szCs w:val="20"/>
          <w:color w:val="auto"/>
        </w:rPr>
      </w:pPr>
    </w:p>
    <w:p>
      <w:pPr>
        <w:jc w:val="center"/>
        <w:ind w:left="4680" w:right="60" w:hanging="4611"/>
        <w:spacing w:after="0" w:line="288" w:lineRule="auto"/>
        <w:tabs>
          <w:tab w:leader="none" w:pos="423" w:val="left"/>
        </w:tabs>
        <w:numPr>
          <w:ilvl w:val="0"/>
          <w:numId w:val="425"/>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This License Agreement (including any exhibits attached hereto, this “</w:t>
      </w:r>
      <w:r>
        <w:rPr>
          <w:rFonts w:ascii="Arial" w:cs="Arial" w:eastAsia="Arial" w:hAnsi="Arial"/>
          <w:sz w:val="14"/>
          <w:szCs w:val="14"/>
          <w:b w:val="1"/>
          <w:bCs w:val="1"/>
          <w:color w:val="auto"/>
        </w:rPr>
        <w:t>Agreement</w:t>
      </w:r>
      <w:r>
        <w:rPr>
          <w:rFonts w:ascii="Arial" w:cs="Arial" w:eastAsia="Arial" w:hAnsi="Arial"/>
          <w:sz w:val="14"/>
          <w:szCs w:val="14"/>
          <w:color w:val="auto"/>
        </w:rPr>
        <w:t>”) is made and is effective on the Effective Date between Century Therapeutics, Inc., a Delaware corporation (“</w:t>
      </w:r>
      <w:r>
        <w:rPr>
          <w:rFonts w:ascii="Arial" w:cs="Arial" w:eastAsia="Arial" w:hAnsi="Arial"/>
          <w:sz w:val="14"/>
          <w:szCs w:val="14"/>
          <w:b w:val="1"/>
          <w:bCs w:val="1"/>
          <w:color w:val="auto"/>
        </w:rPr>
        <w:t>Century</w:t>
      </w:r>
      <w:r>
        <w:rPr>
          <w:rFonts w:ascii="Arial" w:cs="Arial" w:eastAsia="Arial" w:hAnsi="Arial"/>
          <w:sz w:val="14"/>
          <w:szCs w:val="14"/>
          <w:color w:val="auto"/>
        </w:rPr>
        <w:t>”) having an address at 54 West 21st Street, Suite 408, New York, NY 10010 USA and FUJIFILM Cellular Dynamics Inc., a Wisconsin corporation (“</w:t>
      </w:r>
      <w:r>
        <w:rPr>
          <w:rFonts w:ascii="Arial" w:cs="Arial" w:eastAsia="Arial" w:hAnsi="Arial"/>
          <w:sz w:val="14"/>
          <w:szCs w:val="14"/>
          <w:b w:val="1"/>
          <w:bCs w:val="1"/>
          <w:color w:val="auto"/>
        </w:rPr>
        <w:t>CDI</w:t>
      </w:r>
      <w:r>
        <w:rPr>
          <w:rFonts w:ascii="Arial" w:cs="Arial" w:eastAsia="Arial" w:hAnsi="Arial"/>
          <w:sz w:val="14"/>
          <w:szCs w:val="14"/>
          <w:color w:val="auto"/>
        </w:rPr>
        <w:t>”) having an address at 525 Science Drive, Madison, WI 53711 USA. Century and CDI are each referred to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referred to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Century is a biotechnology company interested in development and commercialization of cancer immunotherapy products based on T cells, NK cells, dendritic cells, and</w:t>
      </w:r>
      <w:r>
        <w:rPr>
          <w:rFonts w:ascii="Arial" w:cs="Arial" w:eastAsia="Arial" w:hAnsi="Arial"/>
          <w:sz w:val="14"/>
          <w:szCs w:val="14"/>
          <w:b w:val="1"/>
          <w:bCs w:val="1"/>
          <w:color w:val="auto"/>
        </w:rPr>
        <w:t xml:space="preserve"> </w:t>
      </w:r>
      <w:r>
        <w:rPr>
          <w:rFonts w:ascii="Arial" w:cs="Arial" w:eastAsia="Arial" w:hAnsi="Arial"/>
          <w:sz w:val="14"/>
          <w:szCs w:val="14"/>
          <w:color w:val="auto"/>
        </w:rPr>
        <w:t>macrophages derived from human iPSCs (as defined below) exclusively manufactured by CDI, subject to the terms and conditions of this Agreement;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CDI possesses and controls certain patent rights related to the reprogramming of human somatic cells to iPSCs; and</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Century wishes to obtain, and CDI wishes to grant to Century, a non- exclusive license under the Licensed Patent Rights (as defined below) for the research, development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commercialization of the Licensed Products (as defined below) in the Territory (as defined below) within the Field (as defined below), with the right to grant sublicenses as set forth herein, in all cases subject to the terms and conditions of this Agreement;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CDI and Century, intending to be legally bound, agree as follows:</w:t>
      </w:r>
    </w:p>
    <w:p>
      <w:pPr>
        <w:spacing w:after="0" w:line="184"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1</w:t>
      </w:r>
    </w:p>
    <w:p>
      <w:pPr>
        <w:spacing w:after="0" w:line="2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Definitions</w:t>
      </w:r>
    </w:p>
    <w:p>
      <w:pPr>
        <w:spacing w:after="0" w:line="171"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Abandoned Indication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9.6</w:t>
      </w:r>
    </w:p>
    <w:p>
      <w:pPr>
        <w:spacing w:after="0" w:line="184"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4"/>
          <w:szCs w:val="14"/>
          <w:color w:val="auto"/>
        </w:rPr>
        <w:t>1.2 “</w:t>
      </w:r>
      <w:r>
        <w:rPr>
          <w:rFonts w:ascii="Arial" w:cs="Arial" w:eastAsia="Arial" w:hAnsi="Arial"/>
          <w:sz w:val="14"/>
          <w:szCs w:val="14"/>
          <w:b w:val="1"/>
          <w:bCs w:val="1"/>
          <w:color w:val="auto"/>
        </w:rPr>
        <w:t>Affiliate</w:t>
      </w:r>
      <w:r>
        <w:rPr>
          <w:rFonts w:ascii="Arial" w:cs="Arial" w:eastAsia="Arial" w:hAnsi="Arial"/>
          <w:sz w:val="14"/>
          <w:szCs w:val="14"/>
          <w:color w:val="auto"/>
        </w:rPr>
        <w:t xml:space="preserve">” means, with respect to a Party, any Person that controls, is controlled by, or is under common control with such Party. For purposes of this </w:t>
      </w:r>
      <w:r>
        <w:rPr>
          <w:rFonts w:ascii="Arial" w:cs="Arial" w:eastAsia="Arial" w:hAnsi="Arial"/>
          <w:sz w:val="14"/>
          <w:szCs w:val="14"/>
          <w:u w:val="single" w:color="auto"/>
          <w:color w:val="auto"/>
        </w:rPr>
        <w:t>Section 1.2</w:t>
      </w:r>
      <w:r>
        <w:rPr>
          <w:rFonts w:ascii="Arial" w:cs="Arial" w:eastAsia="Arial" w:hAnsi="Arial"/>
          <w:sz w:val="14"/>
          <w:szCs w:val="14"/>
          <w:color w:val="auto"/>
        </w:rPr>
        <w:t>, “control” shall refer to (a) in the case of a Person that is a corporate entity, direct or indirect ownership of more than fifty percent (&gt;50%) of the stock or shares having the right to vote for the election of directors of such Person and (b) in the case of a Person that is not a corporate entity, the possession, directly or indirectly, of the power to direct, or cause the direction of, the management or policies of such Person, whether through the ownership of voting securities, by contract or otherwise.</w:t>
      </w:r>
    </w:p>
    <w:p>
      <w:pPr>
        <w:spacing w:after="0" w:line="141"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Bankruptcy Code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2.7(a)</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8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BLA</w:t>
      </w:r>
      <w:r>
        <w:rPr>
          <w:rFonts w:ascii="Arial" w:cs="Arial" w:eastAsia="Arial" w:hAnsi="Arial"/>
          <w:sz w:val="13"/>
          <w:szCs w:val="13"/>
          <w:color w:val="auto"/>
        </w:rPr>
        <w:t>” means a Biologics License Application as defined in the United States Federal Food, Drug, and Cosmetic Act and the regulations promulgated thereunder (21 C.F.R. §§ 314</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et seq).</w:t>
      </w:r>
    </w:p>
    <w:p>
      <w:pPr>
        <w:spacing w:after="0" w:line="8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01" w:name="page602"/>
    <w:bookmarkEnd w:id="601"/>
    <w:p>
      <w:pPr>
        <w:ind w:left="520"/>
        <w:spacing w:after="0"/>
        <w:tabs>
          <w:tab w:leader="none" w:pos="88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Business Days</w:t>
      </w:r>
      <w:r>
        <w:rPr>
          <w:rFonts w:ascii="Arial" w:cs="Arial" w:eastAsia="Arial" w:hAnsi="Arial"/>
          <w:sz w:val="12"/>
          <w:szCs w:val="12"/>
          <w:color w:val="auto"/>
        </w:rPr>
        <w:t>” means a day that is not a Saturday, Sunday or a day on which banking institutions in Boston, Massachusetts or Wisconsin are authorized by Law to remain closed.</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1.6 “</w:t>
      </w:r>
      <w:r>
        <w:rPr>
          <w:rFonts w:ascii="Arial" w:cs="Arial" w:eastAsia="Arial" w:hAnsi="Arial"/>
          <w:sz w:val="14"/>
          <w:szCs w:val="14"/>
          <w:b w:val="1"/>
          <w:bCs w:val="1"/>
          <w:color w:val="auto"/>
        </w:rPr>
        <w:t>Calendar Year</w:t>
      </w:r>
      <w:r>
        <w:rPr>
          <w:rFonts w:ascii="Arial" w:cs="Arial" w:eastAsia="Arial" w:hAnsi="Arial"/>
          <w:sz w:val="14"/>
          <w:szCs w:val="14"/>
          <w:color w:val="auto"/>
        </w:rPr>
        <w:t xml:space="preserve">” means each successive period of twelve (12) months commencing on January 1 and ending on December 31;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first Calendar Year hereunder shall commence on the Effective Date and the final Calendar Year hereunder shall end on the effective date of termination or expiration of this Agreement.</w:t>
      </w:r>
    </w:p>
    <w:p>
      <w:pPr>
        <w:spacing w:after="0" w:line="123"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4"/>
          <w:szCs w:val="14"/>
          <w:color w:val="auto"/>
        </w:rPr>
        <w:t>1.7 “</w:t>
      </w:r>
      <w:r>
        <w:rPr>
          <w:rFonts w:ascii="Arial" w:cs="Arial" w:eastAsia="Arial" w:hAnsi="Arial"/>
          <w:sz w:val="14"/>
          <w:szCs w:val="14"/>
          <w:b w:val="1"/>
          <w:bCs w:val="1"/>
          <w:color w:val="auto"/>
        </w:rPr>
        <w:t>Change of Control Event</w:t>
      </w:r>
      <w:r>
        <w:rPr>
          <w:rFonts w:ascii="Arial" w:cs="Arial" w:eastAsia="Arial" w:hAnsi="Arial"/>
          <w:sz w:val="14"/>
          <w:szCs w:val="14"/>
          <w:color w:val="auto"/>
        </w:rPr>
        <w:t>” means (i) the sale or disposition of all or substantially all the assets of the Century or its direct or indirect parent corporation; (ii) the reorganization, merger, consolidation, or similar transaction involving the Century or its direct or indirect parent corporation which results in the voting securities of such entity outstanding immediately prior to that transaction ceasing to represent at least fifty percent (50%) of the combined voting power of the surviving entity immediately after such transaction; (iii) the acquisition in one or more transactions by any “person”, as that term is used in Sections 13(d) and 14(d)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together with any of such person’s “affiliates” or “associates”, as such terms are used in the Exchange Act, of fifty percent (50%) or more of the outstanding shares of the voting capital stock of the Century or its direct or indirect parent corporation (excluding any employee benefit plan or related trust sponsored or maintained by that entity); or (iv) any event or series of events in which the individuals who are the directors of the Century or its direct or indirect parent corporation as of the Effective Date (“</w:t>
      </w:r>
      <w:r>
        <w:rPr>
          <w:rFonts w:ascii="Arial" w:cs="Arial" w:eastAsia="Arial" w:hAnsi="Arial"/>
          <w:sz w:val="14"/>
          <w:szCs w:val="14"/>
          <w:b w:val="1"/>
          <w:bCs w:val="1"/>
          <w:color w:val="auto"/>
        </w:rPr>
        <w:t>Incumbent Directors</w:t>
      </w:r>
      <w:r>
        <w:rPr>
          <w:rFonts w:ascii="Arial" w:cs="Arial" w:eastAsia="Arial" w:hAnsi="Arial"/>
          <w:sz w:val="14"/>
          <w:szCs w:val="14"/>
          <w:color w:val="auto"/>
        </w:rPr>
        <w:t xml:space="preserve">”) cease for any reason to constitute at least fifty percent (50%) of the board of directors of that entity; </w:t>
      </w:r>
      <w:r>
        <w:rPr>
          <w:rFonts w:ascii="Arial" w:cs="Arial" w:eastAsia="Arial" w:hAnsi="Arial"/>
          <w:sz w:val="14"/>
          <w:szCs w:val="14"/>
          <w:i w:val="1"/>
          <w:iCs w:val="1"/>
          <w:color w:val="auto"/>
        </w:rPr>
        <w:t>provided</w:t>
      </w:r>
      <w:r>
        <w:rPr>
          <w:rFonts w:ascii="Arial" w:cs="Arial" w:eastAsia="Arial" w:hAnsi="Arial"/>
          <w:sz w:val="14"/>
          <w:szCs w:val="14"/>
          <w:color w:val="auto"/>
        </w:rPr>
        <w:t>, however, that if any new director is approved by a vote of at least fifty percent (50%) of the Incumbent Directors, such new director will be considered an Incumbent Director.</w:t>
      </w:r>
    </w:p>
    <w:p>
      <w:pPr>
        <w:spacing w:after="0" w:line="145"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Collaboration Agreement</w:t>
      </w:r>
      <w:r>
        <w:rPr>
          <w:rFonts w:ascii="Arial" w:cs="Arial" w:eastAsia="Arial" w:hAnsi="Arial"/>
          <w:sz w:val="12"/>
          <w:szCs w:val="12"/>
          <w:color w:val="auto"/>
        </w:rPr>
        <w:t xml:space="preserve">” means a master collaboration agreement to be entered into the Parties pursuant to </w:t>
      </w:r>
      <w:r>
        <w:rPr>
          <w:rFonts w:ascii="Arial" w:cs="Arial" w:eastAsia="Arial" w:hAnsi="Arial"/>
          <w:sz w:val="12"/>
          <w:szCs w:val="12"/>
          <w:u w:val="single" w:color="auto"/>
          <w:color w:val="auto"/>
        </w:rPr>
        <w:t>Section 3.5</w:t>
      </w:r>
      <w:r>
        <w:rPr>
          <w:rFonts w:ascii="Arial" w:cs="Arial" w:eastAsia="Arial" w:hAnsi="Arial"/>
          <w:sz w:val="12"/>
          <w:szCs w:val="12"/>
          <w:color w:val="auto"/>
        </w:rPr>
        <w:t>.</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color w:val="auto"/>
        </w:rPr>
        <w:t>Commercialize</w:t>
      </w:r>
      <w:r>
        <w:rPr>
          <w:rFonts w:ascii="Arial" w:cs="Arial" w:eastAsia="Arial" w:hAnsi="Arial"/>
          <w:sz w:val="14"/>
          <w:szCs w:val="14"/>
          <w:color w:val="auto"/>
        </w:rPr>
        <w:t>” means to engage in any and all activities directed to transporting, storing, marketing, detailing, promoting, distributing, importing, exporting, using, offering to sell or selling a product.</w:t>
      </w:r>
    </w:p>
    <w:p>
      <w:pPr>
        <w:spacing w:after="0" w:line="123"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4"/>
          <w:szCs w:val="14"/>
          <w:color w:val="auto"/>
        </w:rPr>
        <w:t>1.10 “</w:t>
      </w:r>
      <w:r>
        <w:rPr>
          <w:rFonts w:ascii="Arial" w:cs="Arial" w:eastAsia="Arial" w:hAnsi="Arial"/>
          <w:sz w:val="14"/>
          <w:szCs w:val="14"/>
          <w:b w:val="1"/>
          <w:bCs w:val="1"/>
          <w:color w:val="auto"/>
        </w:rPr>
        <w:t>Commercially Reasonable Best Efforts</w:t>
      </w:r>
      <w:r>
        <w:rPr>
          <w:rFonts w:ascii="Arial" w:cs="Arial" w:eastAsia="Arial" w:hAnsi="Arial"/>
          <w:sz w:val="14"/>
          <w:szCs w:val="14"/>
          <w:color w:val="auto"/>
        </w:rPr>
        <w:t>” means efforts consistent with the efforts and resources as commonly used by a pharmaceutical or biotechnology company, as applicable, of comparable size and resources of such Party for a product at a similar stage of research, development or commercialization having similar product characteristics at a similar stage in its development or product life, taking into account relevant factors including patent coverage, relative safety and efficacy, product profile, the competitiveness of the marketplace, the proprietary position of such product, the regulatory structure involved, the market potential of such product and other relevant factors, including comparative technical, legal, scientific, medical and/or economic factors, all as measured by the facts and circumstances in effect at the time when the relevant activities are conducted.</w:t>
      </w:r>
    </w:p>
    <w:p>
      <w:pPr>
        <w:spacing w:after="0" w:line="144" w:lineRule="exact"/>
        <w:rPr>
          <w:sz w:val="20"/>
          <w:szCs w:val="20"/>
          <w:color w:val="auto"/>
        </w:rPr>
      </w:pPr>
    </w:p>
    <w:p>
      <w:pPr>
        <w:jc w:val="center"/>
        <w:ind w:left="680" w:right="140"/>
        <w:spacing w:after="0" w:line="423" w:lineRule="auto"/>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any confidential or proprietary information furnished by one Party (or its Affiliate) to the other Party (or its Affiliate) in connection with this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159625"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0" w:right="319" w:bottom="1440" w:gutter="0" w:footer="0" w:header="0"/>
        </w:sectPr>
      </w:pPr>
    </w:p>
    <w:bookmarkStart w:id="602" w:name="page603"/>
    <w:bookmarkEnd w:id="602"/>
    <w:p>
      <w:pPr>
        <w:jc w:val="both"/>
        <w:spacing w:after="0" w:line="273" w:lineRule="auto"/>
        <w:rPr>
          <w:sz w:val="20"/>
          <w:szCs w:val="20"/>
          <w:color w:val="auto"/>
        </w:rPr>
      </w:pPr>
      <w:r>
        <w:rPr>
          <w:rFonts w:ascii="Arial" w:cs="Arial" w:eastAsia="Arial" w:hAnsi="Arial"/>
          <w:sz w:val="14"/>
          <w:szCs w:val="14"/>
          <w:color w:val="auto"/>
        </w:rPr>
        <w:t xml:space="preserve">Agreement, whether during the Term or prior to the execution 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information is (a) specifically designated as confidential at the time of disclosure or confirmed as confidential within ten (10) Business Days of disclosure, (b) reasonably identifiable by an individual familiar with the industry as confidential or proprietary or (c) accompanied by correspondence indicating such information is exchanged in confidence between the Parties. Without limiting the generality of the foregoing, Confidential Information includes:</w:t>
      </w:r>
    </w:p>
    <w:p>
      <w:pPr>
        <w:spacing w:after="0" w:line="141" w:lineRule="exact"/>
        <w:rPr>
          <w:sz w:val="20"/>
          <w:szCs w:val="20"/>
          <w:color w:val="auto"/>
        </w:rPr>
      </w:pPr>
    </w:p>
    <w:p>
      <w:pPr>
        <w:ind w:left="1480" w:hanging="438"/>
        <w:spacing w:after="0"/>
        <w:tabs>
          <w:tab w:leader="none" w:pos="148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 xml:space="preserve">non-public information disclosed by Century to CDI in reports submitted by Century to CDI pursuant to </w:t>
      </w:r>
      <w:r>
        <w:rPr>
          <w:rFonts w:ascii="Arial" w:cs="Arial" w:eastAsia="Arial" w:hAnsi="Arial"/>
          <w:sz w:val="14"/>
          <w:szCs w:val="14"/>
          <w:u w:val="single" w:color="auto"/>
          <w:color w:val="auto"/>
        </w:rPr>
        <w:t>Section 3.2</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500" w:hanging="458"/>
        <w:spacing w:after="0"/>
        <w:tabs>
          <w:tab w:leader="none" w:pos="150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non-public information disclosed by Century to CDI relating to patent application prosecution files for the Licensed Patent Rights;</w:t>
      </w:r>
    </w:p>
    <w:p>
      <w:pPr>
        <w:spacing w:after="0" w:line="184" w:lineRule="exact"/>
        <w:rPr>
          <w:rFonts w:ascii="Arial" w:cs="Arial" w:eastAsia="Arial" w:hAnsi="Arial"/>
          <w:sz w:val="14"/>
          <w:szCs w:val="14"/>
          <w:color w:val="auto"/>
        </w:rPr>
      </w:pPr>
    </w:p>
    <w:p>
      <w:pPr>
        <w:jc w:val="both"/>
        <w:ind w:firstLine="1042"/>
        <w:spacing w:after="0" w:line="273" w:lineRule="auto"/>
        <w:tabs>
          <w:tab w:leader="none" w:pos="1483" w:val="left"/>
        </w:tabs>
        <w:numPr>
          <w:ilvl w:val="0"/>
          <w:numId w:val="426"/>
        </w:numPr>
        <w:rPr>
          <w:rFonts w:ascii="Arial" w:cs="Arial" w:eastAsia="Arial" w:hAnsi="Arial"/>
          <w:sz w:val="14"/>
          <w:szCs w:val="14"/>
          <w:color w:val="auto"/>
        </w:rPr>
      </w:pPr>
      <w:r>
        <w:rPr>
          <w:rFonts w:ascii="Arial" w:cs="Arial" w:eastAsia="Arial" w:hAnsi="Arial"/>
          <w:sz w:val="14"/>
          <w:szCs w:val="14"/>
          <w:color w:val="auto"/>
        </w:rPr>
        <w:t>any information that constitutes “Confidential Information” under that certain Mutual Non-disclosure Agreement, dated February 14, 2018, by and between CDI, Fujifilm and Versant Venture Management, LLC (“</w:t>
      </w:r>
      <w:r>
        <w:rPr>
          <w:rFonts w:ascii="Arial" w:cs="Arial" w:eastAsia="Arial" w:hAnsi="Arial"/>
          <w:sz w:val="14"/>
          <w:szCs w:val="14"/>
          <w:b w:val="1"/>
          <w:bCs w:val="1"/>
          <w:color w:val="auto"/>
        </w:rPr>
        <w:t>Versant</w:t>
      </w:r>
      <w:r>
        <w:rPr>
          <w:rFonts w:ascii="Arial" w:cs="Arial" w:eastAsia="Arial" w:hAnsi="Arial"/>
          <w:sz w:val="14"/>
          <w:szCs w:val="14"/>
          <w:color w:val="auto"/>
        </w:rPr>
        <w:t>”) (which for purposes of this Agreement, any “Confidential Information” of Versant shall be considered the Confidential Information of Century hereunder);</w:t>
      </w:r>
    </w:p>
    <w:p>
      <w:pPr>
        <w:spacing w:after="0" w:line="141" w:lineRule="exact"/>
        <w:rPr>
          <w:rFonts w:ascii="Arial" w:cs="Arial" w:eastAsia="Arial" w:hAnsi="Arial"/>
          <w:sz w:val="14"/>
          <w:szCs w:val="14"/>
          <w:color w:val="auto"/>
        </w:rPr>
      </w:pPr>
    </w:p>
    <w:p>
      <w:pPr>
        <w:ind w:left="1500" w:hanging="458"/>
        <w:spacing w:after="0"/>
        <w:tabs>
          <w:tab w:leader="none" w:pos="150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the terms of this Agreement and WARF License Agreement;</w:t>
      </w:r>
    </w:p>
    <w:p>
      <w:pPr>
        <w:spacing w:after="0" w:line="184" w:lineRule="exact"/>
        <w:rPr>
          <w:rFonts w:ascii="Arial" w:cs="Arial" w:eastAsia="Arial" w:hAnsi="Arial"/>
          <w:sz w:val="14"/>
          <w:szCs w:val="14"/>
          <w:color w:val="auto"/>
        </w:rPr>
      </w:pPr>
    </w:p>
    <w:p>
      <w:pPr>
        <w:ind w:left="1480" w:hanging="438"/>
        <w:spacing w:after="0"/>
        <w:tabs>
          <w:tab w:leader="none" w:pos="148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the Development Plan and the Development Report;</w:t>
      </w:r>
    </w:p>
    <w:p>
      <w:pPr>
        <w:spacing w:after="0" w:line="184" w:lineRule="exact"/>
        <w:rPr>
          <w:rFonts w:ascii="Arial" w:cs="Arial" w:eastAsia="Arial" w:hAnsi="Arial"/>
          <w:sz w:val="14"/>
          <w:szCs w:val="14"/>
          <w:color w:val="auto"/>
        </w:rPr>
      </w:pPr>
    </w:p>
    <w:p>
      <w:pPr>
        <w:ind w:left="1540" w:hanging="498"/>
        <w:spacing w:after="0"/>
        <w:tabs>
          <w:tab w:leader="none" w:pos="154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 xml:space="preserve">the royalty accounting reports set forth in </w:t>
      </w:r>
      <w:r>
        <w:rPr>
          <w:rFonts w:ascii="Arial" w:cs="Arial" w:eastAsia="Arial" w:hAnsi="Arial"/>
          <w:sz w:val="14"/>
          <w:szCs w:val="14"/>
          <w:u w:val="single" w:color="auto"/>
          <w:color w:val="auto"/>
        </w:rPr>
        <w:t>Section 4.1 (c)(iii)</w:t>
      </w:r>
      <w:r>
        <w:rPr>
          <w:rFonts w:ascii="Arial" w:cs="Arial" w:eastAsia="Arial" w:hAnsi="Arial"/>
          <w:sz w:val="14"/>
          <w:szCs w:val="14"/>
          <w:color w:val="auto"/>
        </w:rPr>
        <w:t>; and</w:t>
      </w:r>
    </w:p>
    <w:p>
      <w:pPr>
        <w:spacing w:after="0" w:line="184" w:lineRule="exact"/>
        <w:rPr>
          <w:rFonts w:ascii="Arial" w:cs="Arial" w:eastAsia="Arial" w:hAnsi="Arial"/>
          <w:sz w:val="14"/>
          <w:szCs w:val="14"/>
          <w:color w:val="auto"/>
        </w:rPr>
      </w:pPr>
    </w:p>
    <w:p>
      <w:pPr>
        <w:ind w:left="1500" w:hanging="458"/>
        <w:spacing w:after="0"/>
        <w:tabs>
          <w:tab w:leader="none" w:pos="1500" w:val="left"/>
        </w:tabs>
        <w:numPr>
          <w:ilvl w:val="0"/>
          <w:numId w:val="426"/>
        </w:numPr>
        <w:rPr>
          <w:rFonts w:ascii="Arial" w:cs="Arial" w:eastAsia="Arial" w:hAnsi="Arial"/>
          <w:sz w:val="14"/>
          <w:szCs w:val="14"/>
          <w:color w:val="auto"/>
        </w:rPr>
      </w:pPr>
      <w:r>
        <w:rPr>
          <w:rFonts w:ascii="Arial" w:cs="Arial" w:eastAsia="Arial" w:hAnsi="Arial"/>
          <w:sz w:val="14"/>
          <w:szCs w:val="14"/>
          <w:color w:val="auto"/>
        </w:rPr>
        <w:t>non-public information in relation to the Licensed Patent Rights.</w:t>
      </w:r>
    </w:p>
    <w:p>
      <w:pPr>
        <w:spacing w:after="0" w:line="18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3"/>
          <w:szCs w:val="13"/>
          <w:color w:val="auto"/>
        </w:rPr>
        <w:t>1.12 “</w:t>
      </w:r>
      <w:r>
        <w:rPr>
          <w:rFonts w:ascii="Arial" w:cs="Arial" w:eastAsia="Arial" w:hAnsi="Arial"/>
          <w:sz w:val="13"/>
          <w:szCs w:val="13"/>
          <w:b w:val="1"/>
          <w:bCs w:val="1"/>
          <w:color w:val="auto"/>
        </w:rPr>
        <w:t>Controlled</w:t>
      </w:r>
      <w:r>
        <w:rPr>
          <w:rFonts w:ascii="Arial" w:cs="Arial" w:eastAsia="Arial" w:hAnsi="Arial"/>
          <w:sz w:val="13"/>
          <w:szCs w:val="13"/>
          <w:color w:val="auto"/>
        </w:rPr>
        <w:t xml:space="preserve">” means, with respect to Patent Rights as such relates to a Party or its Affiliates, that such Party or applicable Affiliate owns or has a license or sublicense to such Patent Rights and has the legal right to grant a license or sublicense, including having received any necessary Third Party consents, to such Patent Rights to the other Party as provided for in this Agreement, or has the ability to assign its right, title and interest in and to such Patent Rights to the other Party, without violating the terms of any agreement or other arrangement with any Third Party. Notwithstanding the foregoing, with respect to any Patent Right acquired or in- licensed for which a Party would be required to make payments to any Third Party in connection with the license or access granted to the other Party under this Agreement, such Patent Right will only be treated as “Controlled” by the licensing Party pursuant to the terms of </w:t>
      </w:r>
      <w:r>
        <w:rPr>
          <w:rFonts w:ascii="Arial" w:cs="Arial" w:eastAsia="Arial" w:hAnsi="Arial"/>
          <w:sz w:val="13"/>
          <w:szCs w:val="13"/>
          <w:u w:val="single" w:color="auto"/>
          <w:color w:val="auto"/>
        </w:rPr>
        <w:t>Article 2</w:t>
      </w:r>
      <w:r>
        <w:rPr>
          <w:rFonts w:ascii="Arial" w:cs="Arial" w:eastAsia="Arial" w:hAnsi="Arial"/>
          <w:sz w:val="13"/>
          <w:szCs w:val="13"/>
          <w:color w:val="auto"/>
        </w:rPr>
        <w:t>.</w:t>
      </w:r>
    </w:p>
    <w:p>
      <w:pPr>
        <w:spacing w:after="0" w:line="130"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Derivative Materials</w:t>
      </w:r>
      <w:r>
        <w:rPr>
          <w:rFonts w:ascii="Arial" w:cs="Arial" w:eastAsia="Arial" w:hAnsi="Arial"/>
          <w:sz w:val="13"/>
          <w:szCs w:val="13"/>
          <w:color w:val="auto"/>
        </w:rPr>
        <w:t>” means Reprogrammed iPS Cell Derivative Materials.</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Development</w:t>
      </w:r>
      <w:r>
        <w:rPr>
          <w:rFonts w:ascii="Arial" w:cs="Arial" w:eastAsia="Arial" w:hAnsi="Arial"/>
          <w:sz w:val="14"/>
          <w:szCs w:val="14"/>
          <w:color w:val="auto"/>
        </w:rPr>
        <w:t>” and “</w:t>
      </w:r>
      <w:r>
        <w:rPr>
          <w:rFonts w:ascii="Arial" w:cs="Arial" w:eastAsia="Arial" w:hAnsi="Arial"/>
          <w:sz w:val="14"/>
          <w:szCs w:val="14"/>
          <w:b w:val="1"/>
          <w:bCs w:val="1"/>
          <w:color w:val="auto"/>
        </w:rPr>
        <w:t>Developments</w:t>
      </w:r>
      <w:r>
        <w:rPr>
          <w:rFonts w:ascii="Arial" w:cs="Arial" w:eastAsia="Arial" w:hAnsi="Arial"/>
          <w:sz w:val="14"/>
          <w:szCs w:val="14"/>
          <w:color w:val="auto"/>
        </w:rPr>
        <w:t>” means (i) Derivative Materials; (ii) any inventions, discoveries or developments, whether patentable, that are conceived of, reduced to practice, discovered, tested or developed through the use of the inventions of the Licensed Patent Rights, Reprogrammed iPS Cells or Derivative Materials; and (iii) any compositions, products or other materials in which the Reprogrammed iPS Cells or Derivative Materials were used in any way in their discovery or testing.</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03" w:name="page604"/>
    <w:bookmarkEnd w:id="603"/>
    <w:p>
      <w:pPr>
        <w:ind w:left="520"/>
        <w:spacing w:after="0"/>
        <w:tabs>
          <w:tab w:leader="none" w:pos="92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Development Plan</w:t>
      </w:r>
      <w:r>
        <w:rPr>
          <w:rFonts w:ascii="Arial" w:cs="Arial" w:eastAsia="Arial" w:hAnsi="Arial"/>
          <w:sz w:val="13"/>
          <w:szCs w:val="13"/>
          <w:color w:val="auto"/>
        </w:rPr>
        <w:t>” has the meaning as set forth in Section 3.3 of Differentiation License Agreement.</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1.16 “</w:t>
      </w:r>
      <w:r>
        <w:rPr>
          <w:rFonts w:ascii="Arial" w:cs="Arial" w:eastAsia="Arial" w:hAnsi="Arial"/>
          <w:sz w:val="14"/>
          <w:szCs w:val="14"/>
          <w:b w:val="1"/>
          <w:bCs w:val="1"/>
          <w:color w:val="auto"/>
        </w:rPr>
        <w:t>Development Report</w:t>
      </w:r>
      <w:r>
        <w:rPr>
          <w:rFonts w:ascii="Arial" w:cs="Arial" w:eastAsia="Arial" w:hAnsi="Arial"/>
          <w:sz w:val="14"/>
          <w:szCs w:val="14"/>
          <w:color w:val="auto"/>
        </w:rPr>
        <w:t>” means the written report of Century’s (or its Sublicensee(s)’) progress under the Development Plan, or since the previously submitted Development Report, as provided under Section 3 having at least the information specified on Exhibit C of this Agreement.</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1.17 “</w:t>
      </w:r>
      <w:r>
        <w:rPr>
          <w:rFonts w:ascii="Arial" w:cs="Arial" w:eastAsia="Arial" w:hAnsi="Arial"/>
          <w:sz w:val="14"/>
          <w:szCs w:val="14"/>
          <w:b w:val="1"/>
          <w:bCs w:val="1"/>
          <w:color w:val="auto"/>
        </w:rPr>
        <w:t>Differentiation License Agreement</w:t>
      </w:r>
      <w:r>
        <w:rPr>
          <w:rFonts w:ascii="Arial" w:cs="Arial" w:eastAsia="Arial" w:hAnsi="Arial"/>
          <w:sz w:val="14"/>
          <w:szCs w:val="14"/>
          <w:color w:val="auto"/>
        </w:rPr>
        <w:t>” means a certain agreement entered into between the Parties on Effective Date under which CDI grants an exclusive license to Century under certain patent rights and know-how related to human iPSC-derived T cells, NK cells, dendritic cells, and macrophages under the terms and conditions set forth therein.</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1.18 “</w:t>
      </w:r>
      <w:r>
        <w:rPr>
          <w:rFonts w:ascii="Arial" w:cs="Arial" w:eastAsia="Arial" w:hAnsi="Arial"/>
          <w:sz w:val="14"/>
          <w:szCs w:val="14"/>
          <w:b w:val="1"/>
          <w:bCs w:val="1"/>
          <w:color w:val="auto"/>
        </w:rPr>
        <w:t>DMF</w:t>
      </w:r>
      <w:r>
        <w:rPr>
          <w:rFonts w:ascii="Arial" w:cs="Arial" w:eastAsia="Arial" w:hAnsi="Arial"/>
          <w:sz w:val="14"/>
          <w:szCs w:val="14"/>
          <w:color w:val="auto"/>
        </w:rPr>
        <w:t>” means a drug master file and all equivalents, and related proprietary dossiers, in any country or jurisdiction for the Licensed Products with appropriate information related to the reprogramming of human somatic cells to iPSCs for the regulatory submission for the Licensed Product and the development of the Licensed Products.</w:t>
      </w:r>
    </w:p>
    <w:p>
      <w:pPr>
        <w:spacing w:after="0" w:line="123"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of this Agreement.</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1.20 “</w:t>
      </w:r>
      <w:r>
        <w:rPr>
          <w:rFonts w:ascii="Arial" w:cs="Arial" w:eastAsia="Arial" w:hAnsi="Arial"/>
          <w:sz w:val="14"/>
          <w:szCs w:val="14"/>
          <w:b w:val="1"/>
          <w:bCs w:val="1"/>
          <w:color w:val="auto"/>
        </w:rPr>
        <w:t>European Union</w:t>
      </w:r>
      <w:r>
        <w:rPr>
          <w:rFonts w:ascii="Arial" w:cs="Arial" w:eastAsia="Arial" w:hAnsi="Arial"/>
          <w:sz w:val="14"/>
          <w:szCs w:val="14"/>
          <w:color w:val="auto"/>
        </w:rPr>
        <w:t>” or “</w:t>
      </w:r>
      <w:r>
        <w:rPr>
          <w:rFonts w:ascii="Arial" w:cs="Arial" w:eastAsia="Arial" w:hAnsi="Arial"/>
          <w:sz w:val="14"/>
          <w:szCs w:val="14"/>
          <w:b w:val="1"/>
          <w:bCs w:val="1"/>
          <w:color w:val="auto"/>
        </w:rPr>
        <w:t>E.U.</w:t>
      </w:r>
      <w:r>
        <w:rPr>
          <w:rFonts w:ascii="Arial" w:cs="Arial" w:eastAsia="Arial" w:hAnsi="Arial"/>
          <w:sz w:val="14"/>
          <w:szCs w:val="14"/>
          <w:color w:val="auto"/>
        </w:rPr>
        <w:t>” means the economic, scientific, and political organization of member states known as the European Union, as its membership may be altered from time to time, and any successor thereto, and includes, for purposes of this Agreement, Great Britain (whether Great Britain is a member of the E.U. or not).</w:t>
      </w:r>
    </w:p>
    <w:p>
      <w:pPr>
        <w:spacing w:after="0" w:line="12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b w:val="1"/>
          <w:bCs w:val="1"/>
          <w:color w:val="auto"/>
        </w:rPr>
        <w:t>Exploit</w:t>
      </w:r>
      <w:r>
        <w:rPr>
          <w:rFonts w:ascii="Arial" w:cs="Arial" w:eastAsia="Arial" w:hAnsi="Arial"/>
          <w:sz w:val="14"/>
          <w:szCs w:val="14"/>
          <w:color w:val="auto"/>
        </w:rPr>
        <w:t>” or “</w:t>
      </w:r>
      <w:r>
        <w:rPr>
          <w:rFonts w:ascii="Arial" w:cs="Arial" w:eastAsia="Arial" w:hAnsi="Arial"/>
          <w:sz w:val="14"/>
          <w:szCs w:val="14"/>
          <w:b w:val="1"/>
          <w:bCs w:val="1"/>
          <w:color w:val="auto"/>
        </w:rPr>
        <w:t>Exploitation</w:t>
      </w:r>
      <w:r>
        <w:rPr>
          <w:rFonts w:ascii="Arial" w:cs="Arial" w:eastAsia="Arial" w:hAnsi="Arial"/>
          <w:sz w:val="14"/>
          <w:szCs w:val="14"/>
          <w:color w:val="auto"/>
        </w:rPr>
        <w:t>” shall mean, with respect to a particular Licensed Product, to make, have made, use, have used, sell, have sold, offer for sale, have offered for sale, import, and have imported, including to research, develop, Commercialize or otherwise exploit, such Licensed Product, provided, however “Exploit” or “Exploitation” does not include any activities to make or have made human iPSC by reprogramming of human somatic cells into iPSC.</w:t>
      </w:r>
    </w:p>
    <w:p>
      <w:pPr>
        <w:spacing w:after="0" w:line="135"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FDA</w:t>
      </w:r>
      <w:r>
        <w:rPr>
          <w:rFonts w:ascii="Arial" w:cs="Arial" w:eastAsia="Arial" w:hAnsi="Arial"/>
          <w:sz w:val="13"/>
          <w:szCs w:val="13"/>
          <w:color w:val="auto"/>
        </w:rPr>
        <w:t>” means the United States Food and Drug Administration and any successor agency thereto.</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Field</w:t>
      </w:r>
      <w:r>
        <w:rPr>
          <w:rFonts w:ascii="Arial" w:cs="Arial" w:eastAsia="Arial" w:hAnsi="Arial"/>
          <w:sz w:val="12"/>
          <w:szCs w:val="12"/>
          <w:color w:val="auto"/>
        </w:rPr>
        <w:t xml:space="preserve">” means any cancer immunotherapeutic use in humans and subject to a prior written agreement between the Parties pursuant to </w:t>
      </w:r>
      <w:r>
        <w:rPr>
          <w:rFonts w:ascii="Arial" w:cs="Arial" w:eastAsia="Arial" w:hAnsi="Arial"/>
          <w:sz w:val="12"/>
          <w:szCs w:val="12"/>
          <w:u w:val="single" w:color="auto"/>
          <w:color w:val="auto"/>
        </w:rPr>
        <w:t>Section 10.6,</w:t>
      </w:r>
      <w:r>
        <w:rPr>
          <w:rFonts w:ascii="Arial" w:cs="Arial" w:eastAsia="Arial" w:hAnsi="Arial"/>
          <w:sz w:val="12"/>
          <w:szCs w:val="12"/>
          <w:color w:val="auto"/>
        </w:rPr>
        <w:t xml:space="preserve"> any other use.</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Fujifilm</w:t>
      </w:r>
      <w:r>
        <w:rPr>
          <w:rFonts w:ascii="Arial" w:cs="Arial" w:eastAsia="Arial" w:hAnsi="Arial"/>
          <w:sz w:val="13"/>
          <w:szCs w:val="13"/>
          <w:color w:val="auto"/>
        </w:rPr>
        <w:t>” means Fujifilm Corporation.</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ICC</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10.11(b)</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Indemnified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8.3</w:t>
      </w:r>
      <w:r>
        <w:rPr>
          <w:rFonts w:ascii="Arial" w:cs="Arial" w:eastAsia="Arial" w:hAnsi="Arial"/>
          <w:sz w:val="13"/>
          <w:szCs w:val="13"/>
          <w:color w:val="auto"/>
        </w:rPr>
        <w:t>.</w:t>
      </w:r>
    </w:p>
    <w:p>
      <w:pPr>
        <w:spacing w:after="0" w:line="184" w:lineRule="exact"/>
        <w:rPr>
          <w:sz w:val="20"/>
          <w:szCs w:val="20"/>
          <w:color w:val="auto"/>
        </w:rPr>
      </w:pPr>
    </w:p>
    <w:p>
      <w:pPr>
        <w:jc w:val="center"/>
        <w:ind w:right="60"/>
        <w:spacing w:after="0" w:line="423" w:lineRule="auto"/>
        <w:rPr>
          <w:sz w:val="20"/>
          <w:szCs w:val="20"/>
          <w:color w:val="auto"/>
        </w:rPr>
      </w:pPr>
      <w:r>
        <w:rPr>
          <w:rFonts w:ascii="Arial" w:cs="Arial" w:eastAsia="Arial" w:hAnsi="Arial"/>
          <w:sz w:val="14"/>
          <w:szCs w:val="14"/>
          <w:color w:val="auto"/>
        </w:rPr>
        <w:t>1.28  “</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ideas, concepts, discoveries, inventions, developments, Know-How, trade secrets, techniques, methodologies, modifications, innovations,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7159625"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1" w:right="319" w:bottom="1440" w:gutter="0" w:footer="0" w:header="0"/>
        </w:sectPr>
      </w:pPr>
    </w:p>
    <w:bookmarkStart w:id="604" w:name="page605"/>
    <w:bookmarkEnd w:id="604"/>
    <w:p>
      <w:pPr>
        <w:jc w:val="both"/>
        <w:spacing w:after="0" w:line="288" w:lineRule="auto"/>
        <w:rPr>
          <w:sz w:val="20"/>
          <w:szCs w:val="20"/>
          <w:color w:val="auto"/>
        </w:rPr>
      </w:pPr>
      <w:r>
        <w:rPr>
          <w:rFonts w:ascii="Arial" w:cs="Arial" w:eastAsia="Arial" w:hAnsi="Arial"/>
          <w:sz w:val="14"/>
          <w:szCs w:val="14"/>
          <w:color w:val="auto"/>
        </w:rPr>
        <w:t>improvements, writings, documentation, electronic code,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w:t>
      </w:r>
    </w:p>
    <w:p>
      <w:pPr>
        <w:spacing w:after="0" w:line="128"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iPSC(s)</w:t>
      </w:r>
      <w:r>
        <w:rPr>
          <w:rFonts w:ascii="Arial" w:cs="Arial" w:eastAsia="Arial" w:hAnsi="Arial"/>
          <w:sz w:val="13"/>
          <w:szCs w:val="13"/>
          <w:color w:val="auto"/>
        </w:rPr>
        <w:t>” means human induced pluripotent stem cell(s), including T-cell- derived induced pluripotent stem cell(s) (TiPSC).</w:t>
      </w:r>
    </w:p>
    <w:p>
      <w:pPr>
        <w:spacing w:after="0" w:line="184"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4"/>
          <w:szCs w:val="14"/>
          <w:color w:val="auto"/>
        </w:rPr>
        <w:t>1.30 “</w:t>
      </w:r>
      <w:r>
        <w:rPr>
          <w:rFonts w:ascii="Arial" w:cs="Arial" w:eastAsia="Arial" w:hAnsi="Arial"/>
          <w:sz w:val="14"/>
          <w:szCs w:val="14"/>
          <w:b w:val="1"/>
          <w:bCs w:val="1"/>
          <w:color w:val="auto"/>
        </w:rPr>
        <w:t>Know-How</w:t>
      </w:r>
      <w:r>
        <w:rPr>
          <w:rFonts w:ascii="Arial" w:cs="Arial" w:eastAsia="Arial" w:hAnsi="Arial"/>
          <w:sz w:val="14"/>
          <w:szCs w:val="14"/>
          <w:color w:val="auto"/>
        </w:rPr>
        <w:t>” means any and all commercial, technical, regulatory, scientific and other know-how and information, knowledge, technology, materials (including biological and chemical materials), methods, processes, practices, standard operating procedures, formulae, instructions, skills, techniques, procedures, assay protocols, experiences, ideas, technical assistance, designs, drawings, assembly procedures, specifications, regulatory filings, data and results (including biological, chemical, pharmacological, toxicological, pharmaceutical, physical and analytical, pre-clinical, clinical, safety, regulatory, manufacturing and quality control data and know-how, including study designs and protocols), whether or not confidential, proprietary or patentable, in written, electronic or any other form.</w:t>
      </w:r>
    </w:p>
    <w:p>
      <w:pPr>
        <w:spacing w:after="0" w:line="14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1.31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means all laws, statutes, rules, codes, regulations, orders, judgments or ordinances applicable to a Party, this Agreement or the activities contemplated hereunder.</w:t>
      </w:r>
    </w:p>
    <w:p>
      <w:pPr>
        <w:spacing w:after="0" w:line="184"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1.32 “</w:t>
      </w:r>
      <w:r>
        <w:rPr>
          <w:rFonts w:ascii="Arial" w:cs="Arial" w:eastAsia="Arial" w:hAnsi="Arial"/>
          <w:sz w:val="14"/>
          <w:szCs w:val="14"/>
          <w:b w:val="1"/>
          <w:bCs w:val="1"/>
          <w:color w:val="auto"/>
        </w:rPr>
        <w:t>Licensed Patent Rights</w:t>
      </w:r>
      <w:r>
        <w:rPr>
          <w:rFonts w:ascii="Arial" w:cs="Arial" w:eastAsia="Arial" w:hAnsi="Arial"/>
          <w:sz w:val="14"/>
          <w:szCs w:val="14"/>
          <w:color w:val="auto"/>
        </w:rPr>
        <w:t>” means (i) those patent and patent applications listed on Exhibit B and (ii) Patent Rights Owned by CDI at any time during the Term that are (a) related to reprogramming of human cells to iPSCs and (b) reasonably essential to Exploit a Licensed Product.</w:t>
      </w:r>
    </w:p>
    <w:p>
      <w:pPr>
        <w:spacing w:after="0" w:line="12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1.33 “</w:t>
      </w:r>
      <w:r>
        <w:rPr>
          <w:rFonts w:ascii="Arial" w:cs="Arial" w:eastAsia="Arial" w:hAnsi="Arial"/>
          <w:sz w:val="14"/>
          <w:szCs w:val="14"/>
          <w:b w:val="1"/>
          <w:bCs w:val="1"/>
          <w:color w:val="auto"/>
        </w:rPr>
        <w:t>Licensed Product</w:t>
      </w:r>
      <w:r>
        <w:rPr>
          <w:rFonts w:ascii="Arial" w:cs="Arial" w:eastAsia="Arial" w:hAnsi="Arial"/>
          <w:sz w:val="14"/>
          <w:szCs w:val="14"/>
          <w:color w:val="auto"/>
        </w:rPr>
        <w:t>” means cancer immunotherapy products (for the treatment of cancer in humans) consisting of cells that are or are modifications of T cells, NK cells, dendritic cells, and macrophages derived from human iPSC (including TiPSC) exclusively manufactured by CDI. For the sake of clarity, such “modifications” exclude materials or substances extracted, isolated from, or secreted by, such modified or unmodified cells.</w:t>
      </w:r>
    </w:p>
    <w:p>
      <w:pPr>
        <w:spacing w:after="0" w:line="135"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b w:val="1"/>
          <w:bCs w:val="1"/>
          <w:color w:val="auto"/>
        </w:rPr>
        <w:t>Non-Commercial Research Purposes</w:t>
      </w:r>
      <w:r>
        <w:rPr>
          <w:rFonts w:ascii="Arial" w:cs="Arial" w:eastAsia="Arial" w:hAnsi="Arial"/>
          <w:sz w:val="14"/>
          <w:szCs w:val="14"/>
          <w:color w:val="auto"/>
        </w:rPr>
        <w:t>” means use of the technology for internal academic research purposes or other internal not-for-profit or scholarly purposes not involving the use of the technology to perform services for a fee or for the production or manufacture of products for sale to third parties.</w:t>
      </w:r>
    </w:p>
    <w:p>
      <w:pPr>
        <w:spacing w:after="0" w:line="12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1.35 “</w:t>
      </w:r>
      <w:r>
        <w:rPr>
          <w:rFonts w:ascii="Arial" w:cs="Arial" w:eastAsia="Arial" w:hAnsi="Arial"/>
          <w:sz w:val="14"/>
          <w:szCs w:val="14"/>
          <w:b w:val="1"/>
          <w:bCs w:val="1"/>
          <w:color w:val="auto"/>
        </w:rPr>
        <w:t>Owned</w:t>
      </w:r>
      <w:r>
        <w:rPr>
          <w:rFonts w:ascii="Arial" w:cs="Arial" w:eastAsia="Arial" w:hAnsi="Arial"/>
          <w:sz w:val="14"/>
          <w:szCs w:val="14"/>
          <w:color w:val="auto"/>
        </w:rPr>
        <w:t>” means, with respect to patents, patent applications that a Person owns, solely or jointly, in each case with the ability to grant a right, license, or access to such material, information or Intellectual Property right to another Person on the terms and conditions set forth herein, without violating the terms of any agreement or other arrangement with any of such Person’s Affiliates and/or Third Party(ies). “Ownership” has the correlative meaning.</w:t>
      </w:r>
    </w:p>
    <w:p>
      <w:pPr>
        <w:spacing w:after="0" w:line="13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1.36 “</w:t>
      </w:r>
      <w:r>
        <w:rPr>
          <w:rFonts w:ascii="Arial" w:cs="Arial" w:eastAsia="Arial" w:hAnsi="Arial"/>
          <w:sz w:val="14"/>
          <w:szCs w:val="14"/>
          <w:b w:val="1"/>
          <w:bCs w:val="1"/>
          <w:color w:val="auto"/>
        </w:rPr>
        <w:t>Patent Rights</w:t>
      </w:r>
      <w:r>
        <w:rPr>
          <w:rFonts w:ascii="Arial" w:cs="Arial" w:eastAsia="Arial" w:hAnsi="Arial"/>
          <w:sz w:val="14"/>
          <w:szCs w:val="14"/>
          <w:color w:val="auto"/>
        </w:rPr>
        <w:t>” means with respect to any patents or patent applications, (a) such patents or patent applications; (b) patents issuing from such patent applications; (c) substitutions, divisionals, renewals, continuations or continuations-in-part (only to the extent of claims that are entitled to the priority date of the parent application); (d) patents of addition, restorations, extensions, supplementary protection certificates, registration or confirmation patents, patents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05" w:name="page606"/>
    <w:bookmarkEnd w:id="605"/>
    <w:p>
      <w:pPr>
        <w:jc w:val="both"/>
        <w:spacing w:after="0" w:line="267" w:lineRule="auto"/>
        <w:rPr>
          <w:sz w:val="20"/>
          <w:szCs w:val="20"/>
          <w:color w:val="auto"/>
        </w:rPr>
      </w:pPr>
      <w:r>
        <w:rPr>
          <w:rFonts w:ascii="Arial" w:cs="Arial" w:eastAsia="Arial" w:hAnsi="Arial"/>
          <w:sz w:val="14"/>
          <w:szCs w:val="14"/>
          <w:color w:val="auto"/>
        </w:rPr>
        <w:t>resulting from post-grant proceedings, re-issues and re-examinations; (e) other patents or patent applications claiming and entitled to claim priority to (i) such patents and patent applications specified in (a), (b), (c) or (d) or (ii) any patent or patent application from which such patents and patent applications specified in (a), (b), (c) or (d) claims and is entitled to claim priority; (f) all rights of priority attendant to such listed in (a) through (e); and (g) in each case of such patents and patent applications described in (a) through (e), including all counterparts and foreign equivalents thereof filed in any country, territory or jurisdiction in the world.</w:t>
      </w:r>
    </w:p>
    <w:p>
      <w:pPr>
        <w:spacing w:after="0" w:line="14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1.37 “</w:t>
      </w:r>
      <w:r>
        <w:rPr>
          <w:rFonts w:ascii="Arial" w:cs="Arial" w:eastAsia="Arial" w:hAnsi="Arial"/>
          <w:sz w:val="14"/>
          <w:szCs w:val="14"/>
          <w:b w:val="1"/>
          <w:bCs w:val="1"/>
          <w:color w:val="auto"/>
        </w:rPr>
        <w:t>Person</w:t>
      </w:r>
      <w:r>
        <w:rPr>
          <w:rFonts w:ascii="Arial" w:cs="Arial" w:eastAsia="Arial" w:hAnsi="Arial"/>
          <w:sz w:val="14"/>
          <w:szCs w:val="14"/>
          <w:color w:val="auto"/>
        </w:rPr>
        <w:t>” means any natural person or any corporation, company, partnership, joint venture, firm or other entity, including a Party, or any government or agency or political subdivision thereof.</w:t>
      </w:r>
    </w:p>
    <w:p>
      <w:pPr>
        <w:spacing w:after="0" w:line="12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1.38 “</w:t>
      </w:r>
      <w:r>
        <w:rPr>
          <w:rFonts w:ascii="Arial" w:cs="Arial" w:eastAsia="Arial" w:hAnsi="Arial"/>
          <w:sz w:val="14"/>
          <w:szCs w:val="14"/>
          <w:b w:val="1"/>
          <w:bCs w:val="1"/>
          <w:color w:val="auto"/>
        </w:rPr>
        <w:t>Regulatory Approval</w:t>
      </w:r>
      <w:r>
        <w:rPr>
          <w:rFonts w:ascii="Arial" w:cs="Arial" w:eastAsia="Arial" w:hAnsi="Arial"/>
          <w:sz w:val="14"/>
          <w:szCs w:val="14"/>
          <w:color w:val="auto"/>
        </w:rPr>
        <w:t>” means, with respect to a country or territory, the approvals (including any applicable governmental price and reimbursement approvals), licenses, registrations or authorizations of Regulatory Authorities necessary for the commercialization of a pharmaceutical product in such country or territory, including, as applicable, approval of an BLA or comparable filing in the United States or approval of a comparable filing in any other country or jurisdiction.</w:t>
      </w:r>
    </w:p>
    <w:p>
      <w:pPr>
        <w:spacing w:after="0" w:line="135"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1.39 “</w:t>
      </w:r>
      <w:r>
        <w:rPr>
          <w:rFonts w:ascii="Arial" w:cs="Arial" w:eastAsia="Arial" w:hAnsi="Arial"/>
          <w:sz w:val="14"/>
          <w:szCs w:val="14"/>
          <w:b w:val="1"/>
          <w:bCs w:val="1"/>
          <w:color w:val="auto"/>
        </w:rPr>
        <w:t>Regulatory Authority</w:t>
      </w:r>
      <w:r>
        <w:rPr>
          <w:rFonts w:ascii="Arial" w:cs="Arial" w:eastAsia="Arial" w:hAnsi="Arial"/>
          <w:sz w:val="14"/>
          <w:szCs w:val="14"/>
          <w:color w:val="auto"/>
        </w:rPr>
        <w:t>” means a federal, national, multinational, state, provincial or local regulatory agency, department, bureau or other governmental entity with authority over the testing, manufacture, use, storage, import, promotion, marketing or sale of a product in the applicable country.</w:t>
      </w:r>
    </w:p>
    <w:p>
      <w:pPr>
        <w:spacing w:after="0" w:line="123"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4"/>
          <w:szCs w:val="14"/>
          <w:color w:val="auto"/>
        </w:rPr>
        <w:t>1.40 “</w:t>
      </w:r>
      <w:r>
        <w:rPr>
          <w:rFonts w:ascii="Arial" w:cs="Arial" w:eastAsia="Arial" w:hAnsi="Arial"/>
          <w:sz w:val="14"/>
          <w:szCs w:val="14"/>
          <w:b w:val="1"/>
          <w:bCs w:val="1"/>
          <w:color w:val="auto"/>
        </w:rPr>
        <w:t>Reprogrammed iPS Cells</w:t>
      </w:r>
      <w:r>
        <w:rPr>
          <w:rFonts w:ascii="Arial" w:cs="Arial" w:eastAsia="Arial" w:hAnsi="Arial"/>
          <w:sz w:val="14"/>
          <w:szCs w:val="14"/>
          <w:color w:val="auto"/>
        </w:rPr>
        <w:t>” means cells obtained or created by changing the state of a cell to a state of pluripotency using methods or materials that would otherwise constitute infringement of any of the claims of the Licensed Patent Rights.</w:t>
      </w:r>
    </w:p>
    <w:p>
      <w:pPr>
        <w:spacing w:after="0" w:line="12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1.41 “</w:t>
      </w:r>
      <w:r>
        <w:rPr>
          <w:rFonts w:ascii="Arial" w:cs="Arial" w:eastAsia="Arial" w:hAnsi="Arial"/>
          <w:sz w:val="14"/>
          <w:szCs w:val="14"/>
          <w:b w:val="1"/>
          <w:bCs w:val="1"/>
          <w:color w:val="auto"/>
        </w:rPr>
        <w:t>Reprogrammed iPS Cell Derivative Materials</w:t>
      </w:r>
      <w:r>
        <w:rPr>
          <w:rFonts w:ascii="Arial" w:cs="Arial" w:eastAsia="Arial" w:hAnsi="Arial"/>
          <w:sz w:val="14"/>
          <w:szCs w:val="14"/>
          <w:color w:val="auto"/>
        </w:rPr>
        <w:t>” means any compositions or materials derived from the use of Reprogrammed iPS Cells, or produced by the use of Reprogrammed iPS Cells, or which incorporate wholly or partially Reprogrammed iPS Cells, including without limitation, fully or partially differentiated cells or cell lines derived from Reprogrammed iPS Cells.</w:t>
      </w:r>
    </w:p>
    <w:p>
      <w:pPr>
        <w:spacing w:after="0" w:line="135"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Filing</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6.4(d)</w:t>
      </w:r>
      <w:r>
        <w:rPr>
          <w:rFonts w:ascii="Arial" w:cs="Arial" w:eastAsia="Arial" w:hAnsi="Arial"/>
          <w:sz w:val="13"/>
          <w:szCs w:val="13"/>
          <w:color w:val="auto"/>
        </w:rPr>
        <w:t>.</w:t>
      </w:r>
    </w:p>
    <w:p>
      <w:pPr>
        <w:spacing w:after="0" w:line="18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4"/>
          <w:szCs w:val="14"/>
          <w:color w:val="auto"/>
        </w:rPr>
        <w:t>1.43 “</w:t>
      </w:r>
      <w:r>
        <w:rPr>
          <w:rFonts w:ascii="Arial" w:cs="Arial" w:eastAsia="Arial" w:hAnsi="Arial"/>
          <w:sz w:val="14"/>
          <w:szCs w:val="14"/>
          <w:b w:val="1"/>
          <w:bCs w:val="1"/>
          <w:color w:val="auto"/>
        </w:rPr>
        <w:t>Selling Price</w:t>
      </w:r>
      <w:r>
        <w:rPr>
          <w:rFonts w:ascii="Arial" w:cs="Arial" w:eastAsia="Arial" w:hAnsi="Arial"/>
          <w:sz w:val="14"/>
          <w:szCs w:val="14"/>
          <w:color w:val="auto"/>
        </w:rPr>
        <w:t>” means (a) in the case where Century transacts a sale with an end user (including an end user that is an Affiliate), the invoice price to the end user of Licensed Products (regardless of uncollectible accounts) less any shipping costs, allowances because of returned Licensed Products, or sales taxes; (b) in the case where Century transacts a sale with a Third Party or an Affiliate for the purposes of enabling the Third Party or Affiliate to directly or indirectly resell or distribute Licensed Products and where Century does not have the ability to know the price an end user pays to Third Party or Affiliate, the average invoice price to the end user of that type of Licensed Product during the applicable calendar quarter (regardless of uncollectible accounts) less any shipping costs, allowances because of returned Licensed Products, or sales taxes; and (c) in the case where Century transacts a sale with a Third Party or an Affiliate for the purposes of enabling the Third Party or Affiliate to directly or indirectly resell</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06" w:name="page607"/>
    <w:bookmarkEnd w:id="606"/>
    <w:p>
      <w:pPr>
        <w:jc w:val="both"/>
        <w:spacing w:after="0" w:line="303" w:lineRule="auto"/>
        <w:rPr>
          <w:sz w:val="20"/>
          <w:szCs w:val="20"/>
          <w:color w:val="auto"/>
        </w:rPr>
      </w:pPr>
      <w:r>
        <w:rPr>
          <w:rFonts w:ascii="Arial" w:cs="Arial" w:eastAsia="Arial" w:hAnsi="Arial"/>
          <w:sz w:val="13"/>
          <w:szCs w:val="13"/>
          <w:color w:val="auto"/>
        </w:rPr>
        <w:t>or distribute Licensed Products and where Century does have the ability to know the price an end user pays to Third Party or Affiliate, the invoice price to the end user of Licensed Products (regardless of uncollectible accounts) less any shipping costs, allowances because of returned Licensed Products, or sales taxes. The “Selling Price” for a Licensed Product that is transferred to a Third Party without charge or at a discount, e.g., for promotional purposes, will be the average invoice price to the end user of that type of Licensed Product during the applicable calendar quarter.</w:t>
      </w:r>
    </w:p>
    <w:p>
      <w:pPr>
        <w:spacing w:after="0" w:line="120"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Signing Date</w:t>
      </w:r>
      <w:r>
        <w:rPr>
          <w:rFonts w:ascii="Arial" w:cs="Arial" w:eastAsia="Arial" w:hAnsi="Arial"/>
          <w:sz w:val="12"/>
          <w:szCs w:val="12"/>
          <w:color w:val="auto"/>
        </w:rPr>
        <w:t>” means the date on which an authorized representative of either Party last executed this Agreement.</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Sublicensee</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2.3(a)</w:t>
      </w:r>
      <w:r>
        <w:rPr>
          <w:rFonts w:ascii="Arial" w:cs="Arial" w:eastAsia="Arial" w:hAnsi="Arial"/>
          <w:sz w:val="12"/>
          <w:szCs w:val="12"/>
          <w:color w:val="auto"/>
        </w:rPr>
        <w:t>.</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xml:space="preserve">” means the term of this Agreement as provided in </w:t>
      </w:r>
      <w:r>
        <w:rPr>
          <w:rFonts w:ascii="Arial" w:cs="Arial" w:eastAsia="Arial" w:hAnsi="Arial"/>
          <w:sz w:val="13"/>
          <w:szCs w:val="13"/>
          <w:u w:val="single" w:color="auto"/>
          <w:color w:val="auto"/>
        </w:rPr>
        <w:t>Section 9.1</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Territory</w:t>
      </w:r>
      <w:r>
        <w:rPr>
          <w:rFonts w:ascii="Arial" w:cs="Arial" w:eastAsia="Arial" w:hAnsi="Arial"/>
          <w:sz w:val="13"/>
          <w:szCs w:val="13"/>
          <w:color w:val="auto"/>
        </w:rPr>
        <w:t xml:space="preserve">” means worldwide, excluding Japan and any country(ies) eliminated from the Territory pursuant to </w:t>
      </w:r>
      <w:r>
        <w:rPr>
          <w:rFonts w:ascii="Arial" w:cs="Arial" w:eastAsia="Arial" w:hAnsi="Arial"/>
          <w:sz w:val="13"/>
          <w:szCs w:val="13"/>
          <w:u w:val="single" w:color="auto"/>
          <w:color w:val="auto"/>
        </w:rPr>
        <w:t>Section 9.6</w:t>
      </w:r>
      <w:r>
        <w:rPr>
          <w:rFonts w:ascii="Arial" w:cs="Arial" w:eastAsia="Arial" w:hAnsi="Arial"/>
          <w:sz w:val="13"/>
          <w:szCs w:val="13"/>
          <w:color w:val="auto"/>
        </w:rPr>
        <w:t>.</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w:t>
      </w:r>
      <w:r>
        <w:rPr>
          <w:rFonts w:ascii="Arial" w:cs="Arial" w:eastAsia="Arial" w:hAnsi="Arial"/>
          <w:sz w:val="13"/>
          <w:szCs w:val="13"/>
          <w:color w:val="auto"/>
        </w:rPr>
        <w:t>” means any Person other than a Party or any of its Affiliates.</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1.49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United States</w:t>
      </w:r>
      <w:r>
        <w:rPr>
          <w:rFonts w:ascii="Arial" w:cs="Arial" w:eastAsia="Arial" w:hAnsi="Arial"/>
          <w:sz w:val="13"/>
          <w:szCs w:val="13"/>
          <w:color w:val="auto"/>
        </w:rPr>
        <w:t>” or “</w:t>
      </w:r>
      <w:r>
        <w:rPr>
          <w:rFonts w:ascii="Arial" w:cs="Arial" w:eastAsia="Arial" w:hAnsi="Arial"/>
          <w:sz w:val="13"/>
          <w:szCs w:val="13"/>
          <w:b w:val="1"/>
          <w:bCs w:val="1"/>
          <w:color w:val="auto"/>
        </w:rPr>
        <w:t>U.S.</w:t>
      </w:r>
      <w:r>
        <w:rPr>
          <w:rFonts w:ascii="Arial" w:cs="Arial" w:eastAsia="Arial" w:hAnsi="Arial"/>
          <w:sz w:val="13"/>
          <w:szCs w:val="13"/>
          <w:color w:val="auto"/>
        </w:rPr>
        <w:t>” means the United States of America and its territories and possessions (including the District of Columbia and Puerto Rico).</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WARF License Agreement</w:t>
      </w:r>
      <w:r>
        <w:rPr>
          <w:rFonts w:ascii="Arial" w:cs="Arial" w:eastAsia="Arial" w:hAnsi="Arial"/>
          <w:sz w:val="13"/>
          <w:szCs w:val="13"/>
          <w:color w:val="auto"/>
        </w:rPr>
        <w:t>” means the License Agreement, dated as of June 6, 2012, between Wisconsin Alumni Research Foundation (“</w:t>
      </w:r>
      <w:r>
        <w:rPr>
          <w:rFonts w:ascii="Arial" w:cs="Arial" w:eastAsia="Arial" w:hAnsi="Arial"/>
          <w:sz w:val="13"/>
          <w:szCs w:val="13"/>
          <w:b w:val="1"/>
          <w:bCs w:val="1"/>
          <w:color w:val="auto"/>
        </w:rPr>
        <w:t>WARF</w:t>
      </w:r>
      <w:r>
        <w:rPr>
          <w:rFonts w:ascii="Arial" w:cs="Arial" w:eastAsia="Arial" w:hAnsi="Arial"/>
          <w:sz w:val="13"/>
          <w:szCs w:val="13"/>
          <w:color w:val="auto"/>
        </w:rPr>
        <w:t>”) and CDI, as amended.</w:t>
      </w:r>
    </w:p>
    <w:p>
      <w:pPr>
        <w:spacing w:after="0" w:line="184"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1.51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WARF Patent Rights</w:t>
      </w:r>
      <w:r>
        <w:rPr>
          <w:rFonts w:ascii="Arial" w:cs="Arial" w:eastAsia="Arial" w:hAnsi="Arial"/>
          <w:sz w:val="13"/>
          <w:szCs w:val="13"/>
          <w:color w:val="auto"/>
        </w:rPr>
        <w:t>” means the Licensed Patent Rights that are licensed to CDI by WARF under the WARF License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Grant; Technology Transfer</w:t>
      </w:r>
    </w:p>
    <w:p>
      <w:pPr>
        <w:spacing w:after="0" w:line="175"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License Grants to Century</w:t>
      </w:r>
      <w:r>
        <w:rPr>
          <w:rFonts w:ascii="Arial" w:cs="Arial" w:eastAsia="Arial" w:hAnsi="Arial"/>
          <w:sz w:val="13"/>
          <w:szCs w:val="13"/>
          <w:color w:val="auto"/>
        </w:rPr>
        <w:t xml:space="preserve">. Subject to the terms and conditions of this Agreement and WARF License Agreement, CDI hereby grants to Century, a non-exclusive, non- transferable (except in accordance with </w:t>
      </w:r>
      <w:r>
        <w:rPr>
          <w:rFonts w:ascii="Arial" w:cs="Arial" w:eastAsia="Arial" w:hAnsi="Arial"/>
          <w:sz w:val="13"/>
          <w:szCs w:val="13"/>
          <w:u w:val="single" w:color="auto"/>
          <w:color w:val="auto"/>
        </w:rPr>
        <w:t>Section 10.3)</w:t>
      </w:r>
      <w:r>
        <w:rPr>
          <w:rFonts w:ascii="Arial" w:cs="Arial" w:eastAsia="Arial" w:hAnsi="Arial"/>
          <w:sz w:val="13"/>
          <w:szCs w:val="13"/>
          <w:color w:val="auto"/>
        </w:rPr>
        <w:t xml:space="preserve">, royalty bearing, sublicensable (with limitation as set forth in </w:t>
      </w:r>
      <w:r>
        <w:rPr>
          <w:rFonts w:ascii="Arial" w:cs="Arial" w:eastAsia="Arial" w:hAnsi="Arial"/>
          <w:sz w:val="13"/>
          <w:szCs w:val="13"/>
          <w:u w:val="single" w:color="auto"/>
          <w:color w:val="auto"/>
        </w:rPr>
        <w:t>Section 2.3(a))</w:t>
      </w:r>
      <w:r>
        <w:rPr>
          <w:rFonts w:ascii="Arial" w:cs="Arial" w:eastAsia="Arial" w:hAnsi="Arial"/>
          <w:sz w:val="13"/>
          <w:szCs w:val="13"/>
          <w:color w:val="auto"/>
        </w:rPr>
        <w:t xml:space="preserve"> license under the Licensed Patent Rights to Exploit the Licensed Products within the Field in the Territory. Notwithstanding any term or implication herein to the contrary and for the sake of clarity, the foregoing license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 of a Licensed Product other than a Licensed Product that that is being researched, developed or commercialized by or on behalf of</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07" w:name="page608"/>
    <w:bookmarkEnd w:id="607"/>
    <w:p>
      <w:pPr>
        <w:spacing w:after="0" w:line="288" w:lineRule="auto"/>
        <w:rPr>
          <w:sz w:val="20"/>
          <w:szCs w:val="20"/>
          <w:color w:val="auto"/>
        </w:rPr>
      </w:pPr>
      <w:r>
        <w:rPr>
          <w:rFonts w:ascii="Arial" w:cs="Arial" w:eastAsia="Arial" w:hAnsi="Arial"/>
          <w:sz w:val="14"/>
          <w:szCs w:val="14"/>
          <w:color w:val="auto"/>
        </w:rPr>
        <w:t xml:space="preserve">Century or its Affiliates or Sublicensees. </w:t>
      </w:r>
      <w:r>
        <w:rPr>
          <w:rFonts w:ascii="Arial" w:cs="Arial" w:eastAsia="Arial" w:hAnsi="Arial"/>
          <w:sz w:val="14"/>
          <w:szCs w:val="14"/>
          <w:u w:val="single" w:color="auto"/>
          <w:color w:val="auto"/>
        </w:rPr>
        <w:t>License Grants to CDI</w:t>
      </w:r>
      <w:r>
        <w:rPr>
          <w:rFonts w:ascii="Arial" w:cs="Arial" w:eastAsia="Arial" w:hAnsi="Arial"/>
          <w:sz w:val="14"/>
          <w:szCs w:val="14"/>
          <w:color w:val="auto"/>
        </w:rPr>
        <w:t>. Subject to the terms and conditions of this Agreement, Century (on behalf of itself and its Affiliates) hereby grants to, and will require its Sublicensee(s) to grant, to CDI the following licenses and options:</w:t>
      </w:r>
    </w:p>
    <w:p>
      <w:pPr>
        <w:spacing w:after="0" w:line="132" w:lineRule="exact"/>
        <w:rPr>
          <w:sz w:val="20"/>
          <w:szCs w:val="20"/>
          <w:color w:val="auto"/>
        </w:rPr>
      </w:pPr>
    </w:p>
    <w:p>
      <w:pPr>
        <w:jc w:val="both"/>
        <w:ind w:firstLine="1042"/>
        <w:spacing w:after="0" w:line="273" w:lineRule="auto"/>
        <w:tabs>
          <w:tab w:leader="none" w:pos="1393" w:val="left"/>
        </w:tabs>
        <w:numPr>
          <w:ilvl w:val="0"/>
          <w:numId w:val="427"/>
        </w:numPr>
        <w:rPr>
          <w:rFonts w:ascii="Arial" w:cs="Arial" w:eastAsia="Arial" w:hAnsi="Arial"/>
          <w:sz w:val="14"/>
          <w:szCs w:val="14"/>
          <w:color w:val="auto"/>
        </w:rPr>
      </w:pPr>
      <w:r>
        <w:rPr>
          <w:rFonts w:ascii="Arial" w:cs="Arial" w:eastAsia="Arial" w:hAnsi="Arial"/>
          <w:sz w:val="14"/>
          <w:szCs w:val="14"/>
          <w:color w:val="auto"/>
        </w:rPr>
        <w:t>a world-wide, non-exclusive, royalty-free, irrevocable, paid-up license, with the right to grant sublicenses, to WARF, the University of Wisconsin, the WiCell Research Institute and the Morgridge Institute for Research, to make, have made, use and otherwise practice Developments for Non-Commercial Research Purposes in organizations associated with either WARF or the University of Wisconsin;</w:t>
      </w:r>
    </w:p>
    <w:p>
      <w:pPr>
        <w:spacing w:after="0" w:line="141" w:lineRule="exact"/>
        <w:rPr>
          <w:rFonts w:ascii="Arial" w:cs="Arial" w:eastAsia="Arial" w:hAnsi="Arial"/>
          <w:sz w:val="14"/>
          <w:szCs w:val="14"/>
          <w:color w:val="auto"/>
        </w:rPr>
      </w:pPr>
    </w:p>
    <w:p>
      <w:pPr>
        <w:jc w:val="both"/>
        <w:ind w:firstLine="1042"/>
        <w:spacing w:after="0" w:line="273" w:lineRule="auto"/>
        <w:tabs>
          <w:tab w:leader="none" w:pos="1419" w:val="left"/>
        </w:tabs>
        <w:numPr>
          <w:ilvl w:val="0"/>
          <w:numId w:val="427"/>
        </w:numPr>
        <w:rPr>
          <w:rFonts w:ascii="Arial" w:cs="Arial" w:eastAsia="Arial" w:hAnsi="Arial"/>
          <w:sz w:val="14"/>
          <w:szCs w:val="14"/>
          <w:color w:val="auto"/>
        </w:rPr>
      </w:pPr>
      <w:r>
        <w:rPr>
          <w:rFonts w:ascii="Arial" w:cs="Arial" w:eastAsia="Arial" w:hAnsi="Arial"/>
          <w:sz w:val="14"/>
          <w:szCs w:val="14"/>
          <w:color w:val="auto"/>
        </w:rPr>
        <w:t xml:space="preserve">a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(i) to make, have made, use and otherwise practice Developments made by Century or its Affiliates or Sublicensees in the Field outside the Territory or within the Territory in connection with Abandoned Indication and (ii) to practice Developments to manufacture the Licensed Products in the Field worldwide; and</w:t>
      </w:r>
    </w:p>
    <w:p>
      <w:pPr>
        <w:spacing w:after="0" w:line="141" w:lineRule="exact"/>
        <w:rPr>
          <w:rFonts w:ascii="Arial" w:cs="Arial" w:eastAsia="Arial" w:hAnsi="Arial"/>
          <w:sz w:val="14"/>
          <w:szCs w:val="14"/>
          <w:color w:val="auto"/>
        </w:rPr>
      </w:pPr>
    </w:p>
    <w:p>
      <w:pPr>
        <w:jc w:val="both"/>
        <w:ind w:firstLine="1042"/>
        <w:spacing w:after="0" w:line="265" w:lineRule="auto"/>
        <w:tabs>
          <w:tab w:leader="none" w:pos="1411" w:val="left"/>
        </w:tabs>
        <w:numPr>
          <w:ilvl w:val="0"/>
          <w:numId w:val="427"/>
        </w:numPr>
        <w:rPr>
          <w:rFonts w:ascii="Arial" w:cs="Arial" w:eastAsia="Arial" w:hAnsi="Arial"/>
          <w:sz w:val="14"/>
          <w:szCs w:val="14"/>
          <w:color w:val="auto"/>
        </w:rPr>
      </w:pPr>
      <w:r>
        <w:rPr>
          <w:rFonts w:ascii="Arial" w:cs="Arial" w:eastAsia="Arial" w:hAnsi="Arial"/>
          <w:sz w:val="14"/>
          <w:szCs w:val="14"/>
          <w:color w:val="auto"/>
        </w:rPr>
        <w:t xml:space="preserve">an option to obtain a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sublicensable (with the ability to sublicense through multiple tiers) license, under Intellectual Property Rights that are owned or controlled by a Third Party and licensed to Century or its Affiliate to Exploit the Licensed Products in the Field outside the Territory or within the Territory in connection with the Abandoned Indication, </w:t>
      </w:r>
      <w:r>
        <w:rPr>
          <w:rFonts w:ascii="Arial" w:cs="Arial" w:eastAsia="Arial" w:hAnsi="Arial"/>
          <w:sz w:val="14"/>
          <w:szCs w:val="14"/>
          <w:i w:val="1"/>
          <w:iCs w:val="1"/>
          <w:color w:val="auto"/>
        </w:rPr>
        <w:t>provided</w:t>
      </w:r>
      <w:r>
        <w:rPr>
          <w:rFonts w:ascii="Arial" w:cs="Arial" w:eastAsia="Arial" w:hAnsi="Arial"/>
          <w:sz w:val="14"/>
          <w:szCs w:val="14"/>
          <w:color w:val="auto"/>
        </w:rPr>
        <w:t>, however, in the event Century or its Affiliates or Subcontractors are required to pay royalty for its sublicense to CDI and its Sublicensees the Parties will agree on an equitable apportionment of any royalty between the Parties to reflect the fair value attributable to the use of such Intellectual Property Rights for the Exploitation of the Licensed Products in each Party’s territory.</w:t>
      </w:r>
    </w:p>
    <w:p>
      <w:pPr>
        <w:spacing w:after="0" w:line="147"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u w:val="single" w:color="auto"/>
          <w:color w:val="auto"/>
        </w:rPr>
        <w:t>Sublicensing.</w:t>
      </w:r>
    </w:p>
    <w:p>
      <w:pPr>
        <w:spacing w:after="0" w:line="184" w:lineRule="exact"/>
        <w:rPr>
          <w:sz w:val="20"/>
          <w:szCs w:val="20"/>
          <w:color w:val="auto"/>
        </w:rPr>
      </w:pPr>
    </w:p>
    <w:p>
      <w:pPr>
        <w:jc w:val="both"/>
        <w:ind w:firstLine="1042"/>
        <w:spacing w:after="0" w:line="265" w:lineRule="auto"/>
        <w:tabs>
          <w:tab w:leader="none" w:pos="1411" w:val="left"/>
        </w:tabs>
        <w:numPr>
          <w:ilvl w:val="0"/>
          <w:numId w:val="428"/>
        </w:numPr>
        <w:rPr>
          <w:rFonts w:ascii="Arial" w:cs="Arial" w:eastAsia="Arial" w:hAnsi="Arial"/>
          <w:sz w:val="14"/>
          <w:szCs w:val="14"/>
          <w:color w:val="auto"/>
        </w:rPr>
      </w:pPr>
      <w:r>
        <w:rPr>
          <w:rFonts w:ascii="Arial" w:cs="Arial" w:eastAsia="Arial" w:hAnsi="Arial"/>
          <w:sz w:val="14"/>
          <w:szCs w:val="14"/>
          <w:color w:val="auto"/>
        </w:rPr>
        <w:t xml:space="preserve">Subject to the terms and conditions of this Agreement and WARF License Agreement, Century shall have the right to grant sublicenses under the license granted to it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to Affiliates and Third Parties (each, a “</w:t>
      </w:r>
      <w:r>
        <w:rPr>
          <w:rFonts w:ascii="Arial" w:cs="Arial" w:eastAsia="Arial" w:hAnsi="Arial"/>
          <w:sz w:val="14"/>
          <w:szCs w:val="14"/>
          <w:b w:val="1"/>
          <w:bCs w:val="1"/>
          <w:color w:val="auto"/>
        </w:rPr>
        <w:t>Sublicensee</w:t>
      </w:r>
      <w:r>
        <w:rPr>
          <w:rFonts w:ascii="Arial" w:cs="Arial" w:eastAsia="Arial" w:hAnsi="Arial"/>
          <w:sz w:val="14"/>
          <w:szCs w:val="14"/>
          <w:color w:val="auto"/>
        </w:rPr>
        <w:t xml:space="preserve">”) through multiple tiers;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such sublicense shall only be through one tier solely, if such sublicense includes a sublicense of Licensed Patent Rights under the WARF License Agreement and the terms of such license require the consent of WARF thereunder for Sublicensee to have further rights to sublicense;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further that any sublicense shall be pursuant to a written agreement and each sublicense shall be subject to terms and conditions no less restrictive than those set forth in this Agreement. For the avoidance of doubt, each sublicense terminates automatically upon the termination of this Agreement.</w:t>
      </w:r>
    </w:p>
    <w:p>
      <w:pPr>
        <w:spacing w:after="0" w:line="147" w:lineRule="exact"/>
        <w:rPr>
          <w:rFonts w:ascii="Arial" w:cs="Arial" w:eastAsia="Arial" w:hAnsi="Arial"/>
          <w:sz w:val="14"/>
          <w:szCs w:val="14"/>
          <w:color w:val="auto"/>
        </w:rPr>
      </w:pPr>
    </w:p>
    <w:p>
      <w:pPr>
        <w:jc w:val="both"/>
        <w:ind w:firstLine="1042"/>
        <w:spacing w:after="0" w:line="267" w:lineRule="auto"/>
        <w:tabs>
          <w:tab w:leader="none" w:pos="1419" w:val="left"/>
        </w:tabs>
        <w:numPr>
          <w:ilvl w:val="0"/>
          <w:numId w:val="428"/>
        </w:numPr>
        <w:rPr>
          <w:rFonts w:ascii="Arial" w:cs="Arial" w:eastAsia="Arial" w:hAnsi="Arial"/>
          <w:sz w:val="14"/>
          <w:szCs w:val="14"/>
          <w:color w:val="auto"/>
        </w:rPr>
      </w:pPr>
      <w:r>
        <w:rPr>
          <w:rFonts w:ascii="Arial" w:cs="Arial" w:eastAsia="Arial" w:hAnsi="Arial"/>
          <w:sz w:val="14"/>
          <w:szCs w:val="14"/>
          <w:color w:val="auto"/>
        </w:rPr>
        <w:t>Century shall have the same responsibility for the activities of any Sublicensee as if the activities were directly those of Century. Century shall be responsible for each of its Sublicensees complying with all obligations of Century under this Agreement that are applicable to sublicenses and any breach by a Sublicensee under any such sublicense shall be deemed to be a breach of Century under this Agreement. Century will provide CDI with the name, contact information and address of each Sublicensee, as well as information regarding the number of full-time employees of any such Sublicensee. Century will provide to CDI copies of</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08" w:name="page609"/>
    <w:bookmarkEnd w:id="608"/>
    <w:p>
      <w:pPr>
        <w:jc w:val="both"/>
        <w:spacing w:after="0" w:line="273" w:lineRule="auto"/>
        <w:rPr>
          <w:sz w:val="20"/>
          <w:szCs w:val="20"/>
          <w:color w:val="auto"/>
        </w:rPr>
      </w:pPr>
      <w:r>
        <w:rPr>
          <w:rFonts w:ascii="Arial" w:cs="Arial" w:eastAsia="Arial" w:hAnsi="Arial"/>
          <w:sz w:val="14"/>
          <w:szCs w:val="14"/>
          <w:color w:val="auto"/>
        </w:rPr>
        <w:t>each sublicense agreement and any amendments thereto within thirty (30) days of executing a sublicense. If such sublicense includes a sublicense of Licensed Patent Rights under the WARF License Agreement and the terms thereof promptly and without condition from such licensor its consent to such sublicense and shall provide Century with copies of all communications with or from WARF promptly after transmission or receipt, as applicable, related to such efforts to obtain consent.</w:t>
      </w:r>
    </w:p>
    <w:p>
      <w:pPr>
        <w:spacing w:after="0" w:line="141" w:lineRule="exact"/>
        <w:rPr>
          <w:sz w:val="20"/>
          <w:szCs w:val="20"/>
          <w:color w:val="auto"/>
        </w:rPr>
      </w:pPr>
    </w:p>
    <w:p>
      <w:pPr>
        <w:jc w:val="both"/>
        <w:ind w:firstLine="1042"/>
        <w:spacing w:after="0" w:line="273" w:lineRule="auto"/>
        <w:tabs>
          <w:tab w:leader="none" w:pos="1411" w:val="left"/>
        </w:tabs>
        <w:numPr>
          <w:ilvl w:val="0"/>
          <w:numId w:val="429"/>
        </w:numPr>
        <w:rPr>
          <w:rFonts w:ascii="Arial" w:cs="Arial" w:eastAsia="Arial" w:hAnsi="Arial"/>
          <w:sz w:val="14"/>
          <w:szCs w:val="14"/>
          <w:color w:val="auto"/>
        </w:rPr>
      </w:pPr>
      <w:r>
        <w:rPr>
          <w:rFonts w:ascii="Arial" w:cs="Arial" w:eastAsia="Arial" w:hAnsi="Arial"/>
          <w:sz w:val="14"/>
          <w:szCs w:val="14"/>
          <w:color w:val="auto"/>
        </w:rPr>
        <w:t xml:space="preserve">If this Agreement is terminated for any reason other than by Century pursuant to </w:t>
      </w:r>
      <w:r>
        <w:rPr>
          <w:rFonts w:ascii="Arial" w:cs="Arial" w:eastAsia="Arial" w:hAnsi="Arial"/>
          <w:sz w:val="14"/>
          <w:szCs w:val="14"/>
          <w:u w:val="single" w:color="auto"/>
          <w:color w:val="auto"/>
        </w:rPr>
        <w:t>Section 9.6</w:t>
      </w:r>
      <w:r>
        <w:rPr>
          <w:rFonts w:ascii="Arial" w:cs="Arial" w:eastAsia="Arial" w:hAnsi="Arial"/>
          <w:sz w:val="14"/>
          <w:szCs w:val="14"/>
          <w:color w:val="auto"/>
        </w:rPr>
        <w:t>, then, at the option of any Sublicensee not in default of the applicable sublicense (or any provision of this Agreement applicable to such Sublicensee), a terminating Party shall use Commercially Best Efforts to execute a possible direct license arrangement with such Sublicensee under, and subject to the terms and conditions of, this Agreement.</w:t>
      </w:r>
    </w:p>
    <w:p>
      <w:pPr>
        <w:spacing w:after="0" w:line="141"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Technical Support</w:t>
      </w:r>
      <w:r>
        <w:rPr>
          <w:rFonts w:ascii="Arial" w:cs="Arial" w:eastAsia="Arial" w:hAnsi="Arial"/>
          <w:sz w:val="14"/>
          <w:szCs w:val="14"/>
          <w:color w:val="auto"/>
        </w:rPr>
        <w:t>. CDI shall, or shall cause its Affiliates to, use Commercially Reasonable Best Efforts to provide Century (including Century’s Affiliates) with the reasonably necessary technical support where reasonably necessary to allow Century to Exploit the Licensed Products in the Field in the Territory pursuant to this Agreement. Further, CDI expressly agrees that Century shall have the right to reference any DMF as required by a Regulatory Authority maintained, or that at any time during the Term becomes maintained, by CDI in the ordinary course of business insofar as such DMF is necessary in connection with obtaining any Regulatory Approval by Century or its Sublicensees for Licensed Products in the Field in the Territory. For clarification, CDI may establish and maintain DMF with appropriate information for the regulatory submissions of Century, and its Sublicensees for the Licensed Product and the Development of the Licensed Product in the Territory. Century expressly agrees that CDI shall have the right to reference any DMF that are maintained, or that at any time during the Term becomes maintained, by Century and its Sublicensees in the ordinary course of business relating to the Developments insofar as such information is necessary in connection with obtaining any Regulatory Approval for Licensed Products in the Field outside the Territory.</w:t>
      </w:r>
    </w:p>
    <w:p>
      <w:pPr>
        <w:spacing w:after="0" w:line="153"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No Implied License</w:t>
      </w:r>
      <w:r>
        <w:rPr>
          <w:rFonts w:ascii="Arial" w:cs="Arial" w:eastAsia="Arial" w:hAnsi="Arial"/>
          <w:sz w:val="14"/>
          <w:szCs w:val="14"/>
          <w:color w:val="auto"/>
        </w:rPr>
        <w:t>. Except as explicitly set forth in this Agreement, neither Party shall acquire any license, intellectual property interest or other rights, by implication or otherwise, in any Know-How or under any Patent Rights Owned or Controlled by the other Party or its Affiliates.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3"/>
          <w:szCs w:val="13"/>
          <w:u w:val="single" w:color="auto"/>
          <w:color w:val="auto"/>
        </w:rPr>
        <w:t>WARF License Agreement</w:t>
      </w:r>
      <w:r>
        <w:rPr>
          <w:rFonts w:ascii="Arial" w:cs="Arial" w:eastAsia="Arial" w:hAnsi="Arial"/>
          <w:sz w:val="13"/>
          <w:szCs w:val="13"/>
          <w:color w:val="auto"/>
        </w:rPr>
        <w:t>.</w:t>
      </w:r>
    </w:p>
    <w:p>
      <w:pPr>
        <w:spacing w:after="0" w:line="184" w:lineRule="exact"/>
        <w:rPr>
          <w:sz w:val="20"/>
          <w:szCs w:val="20"/>
          <w:color w:val="auto"/>
        </w:rPr>
      </w:pPr>
    </w:p>
    <w:p>
      <w:pPr>
        <w:jc w:val="both"/>
        <w:ind w:firstLine="1042"/>
        <w:spacing w:after="0" w:line="263" w:lineRule="auto"/>
        <w:tabs>
          <w:tab w:leader="none" w:pos="1429" w:val="left"/>
        </w:tabs>
        <w:numPr>
          <w:ilvl w:val="0"/>
          <w:numId w:val="430"/>
        </w:numPr>
        <w:rPr>
          <w:rFonts w:ascii="Arial" w:cs="Arial" w:eastAsia="Arial" w:hAnsi="Arial"/>
          <w:sz w:val="14"/>
          <w:szCs w:val="14"/>
          <w:color w:val="auto"/>
        </w:rPr>
      </w:pPr>
      <w:r>
        <w:rPr>
          <w:rFonts w:ascii="Arial" w:cs="Arial" w:eastAsia="Arial" w:hAnsi="Arial"/>
          <w:sz w:val="14"/>
          <w:szCs w:val="14"/>
          <w:u w:val="single" w:color="auto"/>
          <w:color w:val="auto"/>
        </w:rPr>
        <w:t>Limitations under the WARF License Agreement</w:t>
      </w:r>
      <w:r>
        <w:rPr>
          <w:rFonts w:ascii="Arial" w:cs="Arial" w:eastAsia="Arial" w:hAnsi="Arial"/>
          <w:sz w:val="14"/>
          <w:szCs w:val="14"/>
          <w:color w:val="auto"/>
        </w:rPr>
        <w:t xml:space="preserve">. The license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includes sublicenses under the WARF License Agreement. CDI has, prior to the Effective Date, provided Century with copies of the WARF License Agreement (including all amendments). Century acknowledges that its rights with respect to the WARF Patent Rights are subject to the terms and conditions of the WARF License Agreement, including the field limitations and rights reserved to Third Parties. Century acknowledges that the license grant to CDI under the WARF License Agreement (A) is limited to products or services that are used (x) as research tools in drug discovery and development of the Licensed Products of Century or its Sublicensees, and (y) in the treatment of disease in humans, as applicable, and, therefore, that the license grant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respect to the WARF Patent Rights in-licensed by CDI pursuant to the WARF License Agreement shall be only in such fields as to CDI’s rights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09" w:name="page610"/>
    <w:bookmarkEnd w:id="609"/>
    <w:p>
      <w:pPr>
        <w:spacing w:after="0" w:line="288" w:lineRule="auto"/>
        <w:rPr>
          <w:sz w:val="20"/>
          <w:szCs w:val="20"/>
          <w:color w:val="auto"/>
        </w:rPr>
      </w:pPr>
      <w:r>
        <w:rPr>
          <w:rFonts w:ascii="Arial" w:cs="Arial" w:eastAsia="Arial" w:hAnsi="Arial"/>
          <w:sz w:val="14"/>
          <w:szCs w:val="14"/>
          <w:color w:val="auto"/>
        </w:rPr>
        <w:t xml:space="preserve">to such WARF Patent Rights, and (B) such license is subject to rights retained by the U.S. Government and the license grant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respect to the Licensed Patent Rights in-licensed by CDI pursuant to the WARF License Agreement is subject to the provisions of 37 C.F.R. Part 401 of the U.S. Federal Regulations.</w:t>
      </w:r>
    </w:p>
    <w:p>
      <w:pPr>
        <w:spacing w:after="0" w:line="132" w:lineRule="exact"/>
        <w:rPr>
          <w:sz w:val="20"/>
          <w:szCs w:val="20"/>
          <w:color w:val="auto"/>
        </w:rPr>
      </w:pPr>
    </w:p>
    <w:p>
      <w:pPr>
        <w:ind w:left="1380" w:hanging="338"/>
        <w:spacing w:after="0"/>
        <w:tabs>
          <w:tab w:leader="none" w:pos="1380" w:val="left"/>
        </w:tabs>
        <w:numPr>
          <w:ilvl w:val="0"/>
          <w:numId w:val="431"/>
        </w:numPr>
        <w:rPr>
          <w:rFonts w:ascii="Arial" w:cs="Arial" w:eastAsia="Arial" w:hAnsi="Arial"/>
          <w:sz w:val="14"/>
          <w:szCs w:val="14"/>
          <w:color w:val="auto"/>
        </w:rPr>
      </w:pPr>
      <w:r>
        <w:rPr>
          <w:rFonts w:ascii="Arial" w:cs="Arial" w:eastAsia="Arial" w:hAnsi="Arial"/>
          <w:sz w:val="14"/>
          <w:szCs w:val="14"/>
          <w:color w:val="auto"/>
        </w:rPr>
        <w:t>CDI hereby acknowledges and agrees to the extent permitted by applicable law that CDI will not [***].</w:t>
      </w:r>
    </w:p>
    <w:p>
      <w:pPr>
        <w:spacing w:after="0" w:line="184" w:lineRule="exact"/>
        <w:rPr>
          <w:rFonts w:ascii="Arial" w:cs="Arial" w:eastAsia="Arial" w:hAnsi="Arial"/>
          <w:sz w:val="14"/>
          <w:szCs w:val="14"/>
          <w:color w:val="auto"/>
        </w:rPr>
      </w:pPr>
    </w:p>
    <w:p>
      <w:pPr>
        <w:ind w:left="1360" w:hanging="318"/>
        <w:spacing w:after="0"/>
        <w:tabs>
          <w:tab w:leader="none" w:pos="1360" w:val="left"/>
        </w:tabs>
        <w:numPr>
          <w:ilvl w:val="0"/>
          <w:numId w:val="431"/>
        </w:numPr>
        <w:rPr>
          <w:rFonts w:ascii="Arial" w:cs="Arial" w:eastAsia="Arial" w:hAnsi="Arial"/>
          <w:sz w:val="14"/>
          <w:szCs w:val="14"/>
          <w:color w:val="auto"/>
        </w:rPr>
      </w:pPr>
      <w:r>
        <w:rPr>
          <w:rFonts w:ascii="Arial" w:cs="Arial" w:eastAsia="Arial" w:hAnsi="Arial"/>
          <w:sz w:val="14"/>
          <w:szCs w:val="14"/>
          <w:u w:val="single" w:color="auto"/>
          <w:color w:val="auto"/>
        </w:rPr>
        <w:t>Covenants Regarding the WARF License Agreements</w:t>
      </w:r>
      <w:r>
        <w:rPr>
          <w:rFonts w:ascii="Arial" w:cs="Arial" w:eastAsia="Arial" w:hAnsi="Arial"/>
          <w:sz w:val="14"/>
          <w:szCs w:val="14"/>
          <w:color w:val="auto"/>
        </w:rPr>
        <w:t xml:space="preserve"> CDI agrees that during the Term:</w:t>
      </w:r>
    </w:p>
    <w:p>
      <w:pPr>
        <w:spacing w:after="0" w:line="184" w:lineRule="exact"/>
        <w:rPr>
          <w:rFonts w:ascii="Arial" w:cs="Arial" w:eastAsia="Arial" w:hAnsi="Arial"/>
          <w:sz w:val="14"/>
          <w:szCs w:val="14"/>
          <w:color w:val="auto"/>
        </w:rPr>
      </w:pPr>
    </w:p>
    <w:p>
      <w:pPr>
        <w:jc w:val="both"/>
        <w:ind w:left="460" w:firstLine="1035"/>
        <w:spacing w:after="0" w:line="273" w:lineRule="auto"/>
        <w:tabs>
          <w:tab w:leader="none" w:pos="1847" w:val="left"/>
        </w:tabs>
        <w:numPr>
          <w:ilvl w:val="1"/>
          <w:numId w:val="431"/>
        </w:numPr>
        <w:rPr>
          <w:rFonts w:ascii="Arial" w:cs="Arial" w:eastAsia="Arial" w:hAnsi="Arial"/>
          <w:sz w:val="14"/>
          <w:szCs w:val="14"/>
          <w:color w:val="auto"/>
        </w:rPr>
      </w:pPr>
      <w:r>
        <w:rPr>
          <w:rFonts w:ascii="Arial" w:cs="Arial" w:eastAsia="Arial" w:hAnsi="Arial"/>
          <w:sz w:val="14"/>
          <w:szCs w:val="14"/>
          <w:color w:val="auto"/>
        </w:rPr>
        <w:t>CDI shall not modify, amend or terminate any of its rights or obligations under the WARF License Agreement to Century’s disadvantage without Century’s prior written consent which consent shall not be unreasonably withhold, delayed or conditioned. CDI shall provide Century with a copy of any modified or amended the WARF License Agreement;</w:t>
      </w:r>
    </w:p>
    <w:p>
      <w:pPr>
        <w:spacing w:after="0" w:line="141" w:lineRule="exact"/>
        <w:rPr>
          <w:rFonts w:ascii="Arial" w:cs="Arial" w:eastAsia="Arial" w:hAnsi="Arial"/>
          <w:sz w:val="14"/>
          <w:szCs w:val="14"/>
          <w:color w:val="auto"/>
        </w:rPr>
      </w:pPr>
    </w:p>
    <w:p>
      <w:pPr>
        <w:ind w:left="460" w:firstLine="1035"/>
        <w:spacing w:after="0" w:line="288" w:lineRule="auto"/>
        <w:tabs>
          <w:tab w:leader="none" w:pos="1885" w:val="left"/>
        </w:tabs>
        <w:numPr>
          <w:ilvl w:val="1"/>
          <w:numId w:val="431"/>
        </w:numPr>
        <w:rPr>
          <w:rFonts w:ascii="Arial" w:cs="Arial" w:eastAsia="Arial" w:hAnsi="Arial"/>
          <w:sz w:val="14"/>
          <w:szCs w:val="14"/>
          <w:color w:val="auto"/>
        </w:rPr>
      </w:pPr>
      <w:r>
        <w:rPr>
          <w:rFonts w:ascii="Arial" w:cs="Arial" w:eastAsia="Arial" w:hAnsi="Arial"/>
          <w:sz w:val="14"/>
          <w:szCs w:val="14"/>
          <w:color w:val="auto"/>
        </w:rPr>
        <w:t>To the extent CDI has not disclosed to Century CDI’s non- compliance with the WARF License Agreement, as of the Effective Date, CDI shall promptly notify Century if CDI knows or reasonably believes that it will not be able to comply with the terms and conditions of the WARF License Agreement;</w:t>
      </w:r>
    </w:p>
    <w:p>
      <w:pPr>
        <w:spacing w:after="0" w:line="131" w:lineRule="exact"/>
        <w:rPr>
          <w:rFonts w:ascii="Arial" w:cs="Arial" w:eastAsia="Arial" w:hAnsi="Arial"/>
          <w:sz w:val="14"/>
          <w:szCs w:val="14"/>
          <w:color w:val="auto"/>
        </w:rPr>
      </w:pPr>
    </w:p>
    <w:p>
      <w:pPr>
        <w:jc w:val="both"/>
        <w:ind w:left="460" w:firstLine="1035"/>
        <w:spacing w:after="0" w:line="273" w:lineRule="auto"/>
        <w:tabs>
          <w:tab w:leader="none" w:pos="1945" w:val="left"/>
        </w:tabs>
        <w:numPr>
          <w:ilvl w:val="1"/>
          <w:numId w:val="431"/>
        </w:numPr>
        <w:rPr>
          <w:rFonts w:ascii="Arial" w:cs="Arial" w:eastAsia="Arial" w:hAnsi="Arial"/>
          <w:sz w:val="14"/>
          <w:szCs w:val="14"/>
          <w:color w:val="auto"/>
        </w:rPr>
      </w:pPr>
      <w:r>
        <w:rPr>
          <w:rFonts w:ascii="Arial" w:cs="Arial" w:eastAsia="Arial" w:hAnsi="Arial"/>
          <w:sz w:val="14"/>
          <w:szCs w:val="14"/>
          <w:color w:val="auto"/>
        </w:rPr>
        <w:t>CDI shall furnish Century with copies of all notices received by CDI relating to any alleged breach by CDI under the WARF License Agreement within ten (10) Business Days after CDI’s receipt thereof; in addition, if CDI should at any time breach an the WARF License Agreement or become unable to timely perform its obligations thereunder, CDI shall immediately notify Century unless Century has not been advised of similar types of CDI’s non-performance of the WARF License Agreement;</w:t>
      </w:r>
    </w:p>
    <w:p>
      <w:pPr>
        <w:spacing w:after="0" w:line="141" w:lineRule="exact"/>
        <w:rPr>
          <w:rFonts w:ascii="Arial" w:cs="Arial" w:eastAsia="Arial" w:hAnsi="Arial"/>
          <w:sz w:val="14"/>
          <w:szCs w:val="14"/>
          <w:color w:val="auto"/>
        </w:rPr>
      </w:pPr>
    </w:p>
    <w:p>
      <w:pPr>
        <w:jc w:val="both"/>
        <w:ind w:left="460" w:firstLine="1035"/>
        <w:spacing w:after="0" w:line="273" w:lineRule="auto"/>
        <w:tabs>
          <w:tab w:leader="none" w:pos="1937" w:val="left"/>
        </w:tabs>
        <w:numPr>
          <w:ilvl w:val="1"/>
          <w:numId w:val="431"/>
        </w:numPr>
        <w:rPr>
          <w:rFonts w:ascii="Arial" w:cs="Arial" w:eastAsia="Arial" w:hAnsi="Arial"/>
          <w:sz w:val="14"/>
          <w:szCs w:val="14"/>
          <w:color w:val="auto"/>
        </w:rPr>
      </w:pPr>
      <w:r>
        <w:rPr>
          <w:rFonts w:ascii="Arial" w:cs="Arial" w:eastAsia="Arial" w:hAnsi="Arial"/>
          <w:sz w:val="14"/>
          <w:szCs w:val="14"/>
          <w:color w:val="auto"/>
        </w:rPr>
        <w:t>If CDI cannot cure or otherwise resolve any alleged breach under the WARF License Agreement, CDI shall so notify Century within [***] of CDI’s first becoming aware of such inability, which shall not be less than [***] prior to the expiration of the cure period under the WARF License Agreement; provided that CDI shall use commercially reasonable efforts to cure or otherwise resolve any such alleged breach; and</w:t>
      </w:r>
    </w:p>
    <w:p>
      <w:pPr>
        <w:spacing w:after="0" w:line="141" w:lineRule="exact"/>
        <w:rPr>
          <w:rFonts w:ascii="Arial" w:cs="Arial" w:eastAsia="Arial" w:hAnsi="Arial"/>
          <w:sz w:val="14"/>
          <w:szCs w:val="14"/>
          <w:color w:val="auto"/>
        </w:rPr>
      </w:pPr>
    </w:p>
    <w:p>
      <w:pPr>
        <w:ind w:left="1880" w:hanging="385"/>
        <w:spacing w:after="0"/>
        <w:tabs>
          <w:tab w:leader="none" w:pos="1880" w:val="left"/>
        </w:tabs>
        <w:numPr>
          <w:ilvl w:val="1"/>
          <w:numId w:val="431"/>
        </w:numPr>
        <w:rPr>
          <w:rFonts w:ascii="Arial" w:cs="Arial" w:eastAsia="Arial" w:hAnsi="Arial"/>
          <w:sz w:val="13"/>
          <w:szCs w:val="13"/>
          <w:color w:val="auto"/>
        </w:rPr>
      </w:pPr>
      <w:r>
        <w:rPr>
          <w:rFonts w:ascii="Arial" w:cs="Arial" w:eastAsia="Arial" w:hAnsi="Arial"/>
          <w:sz w:val="13"/>
          <w:szCs w:val="13"/>
          <w:color w:val="auto"/>
        </w:rPr>
        <w:t>Notwithstanding any provision to the contrary CDI shall reserve its rights to terminate the WARF License Agreement with due cause at any time during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10" w:name="page611"/>
    <w:bookmarkEnd w:id="610"/>
    <w:p>
      <w:pPr>
        <w:jc w:val="both"/>
        <w:spacing w:after="0" w:line="329" w:lineRule="auto"/>
        <w:rPr>
          <w:sz w:val="20"/>
          <w:szCs w:val="20"/>
          <w:color w:val="auto"/>
        </w:rPr>
      </w:pPr>
      <w:r>
        <w:rPr>
          <w:rFonts w:ascii="Arial" w:cs="Arial" w:eastAsia="Arial" w:hAnsi="Arial"/>
          <w:sz w:val="13"/>
          <w:szCs w:val="13"/>
          <w:color w:val="auto"/>
        </w:rPr>
        <w:t>Term in which event CDI shall use Commercially Reasonable Best Efforts to cause WARF to enter into a direct license with Century under the terms no less favorable than those under this Agreement. CDI shall not be held responsible for terminating the WARF License Agreement so long as Century may enter into a comparable direct license with WARF with the assistance of CDI.</w:t>
      </w:r>
    </w:p>
    <w:p>
      <w:pPr>
        <w:spacing w:after="0" w:line="10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3"/>
          <w:szCs w:val="13"/>
          <w:u w:val="single" w:color="auto"/>
          <w:color w:val="auto"/>
        </w:rPr>
        <w:t>Section 365(n) of the Bankruptcy Code</w:t>
      </w:r>
    </w:p>
    <w:p>
      <w:pPr>
        <w:spacing w:after="0" w:line="184" w:lineRule="exact"/>
        <w:rPr>
          <w:sz w:val="20"/>
          <w:szCs w:val="20"/>
          <w:color w:val="auto"/>
        </w:rPr>
      </w:pPr>
    </w:p>
    <w:p>
      <w:pPr>
        <w:jc w:val="both"/>
        <w:ind w:firstLine="1042"/>
        <w:spacing w:after="0" w:line="265" w:lineRule="auto"/>
        <w:tabs>
          <w:tab w:leader="none" w:pos="1313" w:val="left"/>
        </w:tabs>
        <w:numPr>
          <w:ilvl w:val="0"/>
          <w:numId w:val="432"/>
        </w:numPr>
        <w:rPr>
          <w:rFonts w:ascii="Arial" w:cs="Arial" w:eastAsia="Arial" w:hAnsi="Arial"/>
          <w:sz w:val="14"/>
          <w:szCs w:val="14"/>
          <w:color w:val="auto"/>
        </w:rPr>
      </w:pPr>
      <w:r>
        <w:rPr>
          <w:rFonts w:ascii="Arial" w:cs="Arial" w:eastAsia="Arial" w:hAnsi="Arial"/>
          <w:sz w:val="14"/>
          <w:szCs w:val="14"/>
          <w:color w:val="auto"/>
        </w:rPr>
        <w:t>All rights and licenses granted under or pursuant to any section of this Agreement are and will otherwise be deemed to be for purposes of Section 365(n) of the United States Bankruptcy Code (Title 11, U.S. Code), as amended or any comparable Law outside the United States (the “</w:t>
      </w:r>
      <w:r>
        <w:rPr>
          <w:rFonts w:ascii="Arial" w:cs="Arial" w:eastAsia="Arial" w:hAnsi="Arial"/>
          <w:sz w:val="14"/>
          <w:szCs w:val="14"/>
          <w:b w:val="1"/>
          <w:bCs w:val="1"/>
          <w:color w:val="auto"/>
        </w:rPr>
        <w:t>Bankruptcy Code</w:t>
      </w:r>
      <w:r>
        <w:rPr>
          <w:rFonts w:ascii="Arial" w:cs="Arial" w:eastAsia="Arial" w:hAnsi="Arial"/>
          <w:sz w:val="14"/>
          <w:szCs w:val="14"/>
          <w:color w:val="auto"/>
        </w:rPr>
        <w:t>”), licenses of rights to “intellectual property” as defined in Section 101(35A) of the Bankruptcy Code. Each licensing Party agrees that a licensed Party, as licensee of such rights under this Agreement, will retain and may fully exercise all of its rights and elections under the Bankruptcy Code or any other provisions of Law outside the United States that provide similar protection for “intellectual property.” Any agreement supplemental hereto will be deemed to be “agreements supplementary to” this Agreement for purposes of Section 365(n) of the Bankruptcy Code.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Development, Commercialization and Manufacture</w:t>
      </w:r>
    </w:p>
    <w:p>
      <w:pPr>
        <w:spacing w:after="0" w:line="175"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Development and Commercialization</w:t>
      </w:r>
      <w:r>
        <w:rPr>
          <w:rFonts w:ascii="Arial" w:cs="Arial" w:eastAsia="Arial" w:hAnsi="Arial"/>
          <w:sz w:val="14"/>
          <w:szCs w:val="14"/>
          <w:color w:val="auto"/>
        </w:rPr>
        <w:t>. Century shall be solely responsible for developing, preparing any and all regulatory filings for, obtaining Regulatory Approval of, and Commercializing Licensed Products in the Field and in the Territory, in its sole discretion.</w:t>
      </w:r>
    </w:p>
    <w:p>
      <w:pPr>
        <w:spacing w:after="0" w:line="132" w:lineRule="exact"/>
        <w:rPr>
          <w:sz w:val="20"/>
          <w:szCs w:val="20"/>
          <w:color w:val="auto"/>
        </w:rPr>
      </w:pPr>
    </w:p>
    <w:p>
      <w:pPr>
        <w:ind w:firstLine="518"/>
        <w:spacing w:after="0" w:line="329"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Diligence</w:t>
      </w:r>
      <w:r>
        <w:rPr>
          <w:rFonts w:ascii="Arial" w:cs="Arial" w:eastAsia="Arial" w:hAnsi="Arial"/>
          <w:sz w:val="13"/>
          <w:szCs w:val="13"/>
          <w:color w:val="auto"/>
        </w:rPr>
        <w:t>. Century intends to develop the Licensed Products in the Field in the Territory throughout the Term of this Agreement. Century shall use Commercially Reasonable Best Efforts, or shall cause one or more of its Sublicensees to use Commercially Reasonable Best Efforts, to continue to pursue the development of Licensed Product [***].</w:t>
      </w:r>
    </w:p>
    <w:p>
      <w:pPr>
        <w:spacing w:after="0" w:line="108"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3"/>
          <w:szCs w:val="13"/>
          <w:u w:val="single" w:color="auto"/>
          <w:color w:val="auto"/>
        </w:rPr>
        <w:t>Development Reports</w:t>
      </w:r>
      <w:r>
        <w:rPr>
          <w:rFonts w:ascii="Arial" w:cs="Arial" w:eastAsia="Arial" w:hAnsi="Arial"/>
          <w:sz w:val="13"/>
          <w:szCs w:val="13"/>
          <w:color w:val="auto"/>
        </w:rPr>
        <w:t>.</w:t>
      </w:r>
    </w:p>
    <w:p>
      <w:pPr>
        <w:spacing w:after="0" w:line="184" w:lineRule="exact"/>
        <w:rPr>
          <w:sz w:val="20"/>
          <w:szCs w:val="20"/>
          <w:color w:val="auto"/>
        </w:rPr>
      </w:pPr>
    </w:p>
    <w:p>
      <w:pPr>
        <w:jc w:val="both"/>
        <w:ind w:firstLine="1042"/>
        <w:spacing w:after="0" w:line="263" w:lineRule="auto"/>
        <w:tabs>
          <w:tab w:leader="none" w:pos="1414" w:val="left"/>
        </w:tabs>
        <w:numPr>
          <w:ilvl w:val="0"/>
          <w:numId w:val="433"/>
        </w:numPr>
        <w:rPr>
          <w:rFonts w:ascii="Arial" w:cs="Arial" w:eastAsia="Arial" w:hAnsi="Arial"/>
          <w:sz w:val="14"/>
          <w:szCs w:val="14"/>
          <w:color w:val="auto"/>
        </w:rPr>
      </w:pPr>
      <w:r>
        <w:rPr>
          <w:rFonts w:ascii="Arial" w:cs="Arial" w:eastAsia="Arial" w:hAnsi="Arial"/>
          <w:sz w:val="14"/>
          <w:szCs w:val="14"/>
          <w:color w:val="auto"/>
        </w:rPr>
        <w:t>Century shall provide Development Report that summarizes the status of research, development and Commercialization efforts, of Century and its Sublicensees and activities with respect to Licensed Products, during each semi-annual period to CDI on or before thirty (30) days from the end of corresponding semi-annual period ending June 30 and December 31 for which a report is due, and will set forth in each Development Report sufficient detail to enable CDI (and WARF) to ascertain progress of Century and its Sublicensees toward the requirements of the Development Plan. CDI and WARF reserves the right to audit records of Century and its Sublicensees relating to the development activities required under this Agreement and the WARF License Agreement. Such record keeping and audit procedures will be subject to the procedures and restrictions set forth in Section 6 for auditing the financial records of Century and its Sublicensees.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8" w:right="319" w:bottom="1440" w:gutter="0" w:footer="0" w:header="0"/>
        </w:sectPr>
      </w:pPr>
    </w:p>
    <w:bookmarkStart w:id="611" w:name="page612"/>
    <w:bookmarkEnd w:id="611"/>
    <w:p>
      <w:pPr>
        <w:jc w:val="both"/>
        <w:ind w:left="-520" w:firstLine="1042"/>
        <w:spacing w:after="0" w:line="273" w:lineRule="auto"/>
        <w:tabs>
          <w:tab w:leader="none" w:pos="845" w:val="left"/>
        </w:tabs>
        <w:numPr>
          <w:ilvl w:val="0"/>
          <w:numId w:val="434"/>
        </w:numPr>
        <w:rPr>
          <w:rFonts w:ascii="Arial" w:cs="Arial" w:eastAsia="Arial" w:hAnsi="Arial"/>
          <w:sz w:val="14"/>
          <w:szCs w:val="14"/>
          <w:color w:val="auto"/>
        </w:rPr>
      </w:pPr>
      <w:r>
        <w:rPr>
          <w:rFonts w:ascii="Arial" w:cs="Arial" w:eastAsia="Arial" w:hAnsi="Arial"/>
          <w:sz w:val="14"/>
          <w:szCs w:val="14"/>
          <w:color w:val="auto"/>
        </w:rPr>
        <w:t xml:space="preserve">Century acknowledges that any failure by Century or its Sublicensees, to reasonably implement the Development Report, or to make timely submission to CDI and Century of any Development Report, or the providing of any false information to CDI and WARF regarding development activities of Century and its Sublicensees hereunder, will be a Material Breach of the terms of this Agreement, subject to the right to cure under </w:t>
      </w:r>
      <w:r>
        <w:rPr>
          <w:rFonts w:ascii="Arial" w:cs="Arial" w:eastAsia="Arial" w:hAnsi="Arial"/>
          <w:sz w:val="14"/>
          <w:szCs w:val="14"/>
          <w:u w:val="single" w:color="auto"/>
          <w:color w:val="auto"/>
        </w:rPr>
        <w:t>Section 9.2</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ind w:left="840" w:hanging="318"/>
        <w:spacing w:after="0"/>
        <w:tabs>
          <w:tab w:leader="none" w:pos="840" w:val="left"/>
        </w:tabs>
        <w:numPr>
          <w:ilvl w:val="0"/>
          <w:numId w:val="434"/>
        </w:numPr>
        <w:rPr>
          <w:rFonts w:ascii="Arial" w:cs="Arial" w:eastAsia="Arial" w:hAnsi="Arial"/>
          <w:sz w:val="14"/>
          <w:szCs w:val="14"/>
          <w:color w:val="auto"/>
        </w:rPr>
      </w:pPr>
      <w:r>
        <w:rPr>
          <w:rFonts w:ascii="Arial" w:cs="Arial" w:eastAsia="Arial" w:hAnsi="Arial"/>
          <w:sz w:val="14"/>
          <w:szCs w:val="14"/>
          <w:color w:val="auto"/>
        </w:rPr>
        <w:t>Century further agrees to and warrants that it or its Sublicensees will reach the following “Milestones” with respect to development of Licensed Product:</w:t>
      </w:r>
    </w:p>
    <w:p>
      <w:pPr>
        <w:spacing w:after="0" w:line="184" w:lineRule="exact"/>
        <w:rPr>
          <w:rFonts w:ascii="Arial" w:cs="Arial" w:eastAsia="Arial" w:hAnsi="Arial"/>
          <w:sz w:val="14"/>
          <w:szCs w:val="14"/>
          <w:color w:val="auto"/>
        </w:rPr>
      </w:pPr>
    </w:p>
    <w:p>
      <w:pPr>
        <w:ind w:left="1360" w:hanging="385"/>
        <w:spacing w:after="0"/>
        <w:tabs>
          <w:tab w:leader="none" w:pos="1360" w:val="left"/>
        </w:tabs>
        <w:numPr>
          <w:ilvl w:val="1"/>
          <w:numId w:val="434"/>
        </w:numPr>
        <w:rPr>
          <w:rFonts w:ascii="Arial" w:cs="Arial" w:eastAsia="Arial" w:hAnsi="Arial"/>
          <w:sz w:val="14"/>
          <w:szCs w:val="14"/>
          <w:color w:val="auto"/>
        </w:rPr>
      </w:pPr>
      <w:r>
        <w:rPr>
          <w:rFonts w:ascii="Arial" w:cs="Arial" w:eastAsia="Arial" w:hAnsi="Arial"/>
          <w:sz w:val="14"/>
          <w:szCs w:val="14"/>
          <w:color w:val="auto"/>
        </w:rPr>
        <w:t>[***]; and</w:t>
      </w:r>
    </w:p>
    <w:p>
      <w:pPr>
        <w:spacing w:after="0" w:line="184" w:lineRule="exact"/>
        <w:rPr>
          <w:rFonts w:ascii="Arial" w:cs="Arial" w:eastAsia="Arial" w:hAnsi="Arial"/>
          <w:sz w:val="14"/>
          <w:szCs w:val="14"/>
          <w:color w:val="auto"/>
        </w:rPr>
      </w:pPr>
    </w:p>
    <w:p>
      <w:pPr>
        <w:ind w:left="1360" w:hanging="385"/>
        <w:spacing w:after="0"/>
        <w:tabs>
          <w:tab w:leader="none" w:pos="1360" w:val="left"/>
        </w:tabs>
        <w:numPr>
          <w:ilvl w:val="1"/>
          <w:numId w:val="434"/>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3"/>
          <w:szCs w:val="13"/>
          <w:u w:val="single" w:color="auto"/>
          <w:color w:val="auto"/>
        </w:rPr>
        <w:t>Manufacture</w:t>
      </w:r>
      <w:r>
        <w:rPr>
          <w:rFonts w:ascii="Arial" w:cs="Arial" w:eastAsia="Arial" w:hAnsi="Arial"/>
          <w:sz w:val="13"/>
          <w:szCs w:val="13"/>
          <w:color w:val="auto"/>
        </w:rPr>
        <w:t>.</w:t>
      </w:r>
    </w:p>
    <w:p>
      <w:pPr>
        <w:spacing w:after="0" w:line="184" w:lineRule="exact"/>
        <w:rPr>
          <w:sz w:val="20"/>
          <w:szCs w:val="20"/>
          <w:color w:val="auto"/>
        </w:rPr>
      </w:pPr>
    </w:p>
    <w:p>
      <w:pPr>
        <w:jc w:val="both"/>
        <w:ind w:left="-520" w:firstLine="1042"/>
        <w:spacing w:after="0" w:line="261" w:lineRule="auto"/>
        <w:tabs>
          <w:tab w:leader="none" w:pos="837" w:val="left"/>
        </w:tabs>
        <w:numPr>
          <w:ilvl w:val="0"/>
          <w:numId w:val="435"/>
        </w:numPr>
        <w:rPr>
          <w:rFonts w:ascii="Arial" w:cs="Arial" w:eastAsia="Arial" w:hAnsi="Arial"/>
          <w:sz w:val="14"/>
          <w:szCs w:val="14"/>
          <w:color w:val="auto"/>
        </w:rPr>
      </w:pPr>
      <w:r>
        <w:rPr>
          <w:rFonts w:ascii="Arial" w:cs="Arial" w:eastAsia="Arial" w:hAnsi="Arial"/>
          <w:sz w:val="14"/>
          <w:szCs w:val="14"/>
          <w:color w:val="auto"/>
        </w:rPr>
        <w:t xml:space="preserve">During the Term and subject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CDI (and its Affiliates) shall have the exclusive right to manufacture and supply iPSC to Century for [***] beginning on the Effective Date. If at any time following [***] of the Effective Date, Century wishes to have a Third Party manufacture human iPSC (including TiPSC), Century shall discuss with CDI in good faith the possibility of using such Third Party to manufacture human iPSC (including TiPSC),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Century shall have the sole discretion to determine whether to use CDI or such Third Party for such manufacture of iPSC (including TiPSC). In the event that Century elects to use a Third Party manufacturer, CDI hereby agrees to amend the terms of this Agreement without delay to provide Century, its Affiliates and Sublicensees with the necessary licenses under the Licensed Patent Rights for the Exploitation of such products, including amending the definition of “Licensed Product” to remove the limitation that iPSC be exclusive manufactured by CDI. The Parties shall negotiate in good faith as soon as reasonably practical the terms of a manufacturing and supply agreement under which CDI or its Affiliate would itself manufacture and supply iPSC (a “</w:t>
      </w:r>
      <w:r>
        <w:rPr>
          <w:rFonts w:ascii="Arial" w:cs="Arial" w:eastAsia="Arial" w:hAnsi="Arial"/>
          <w:sz w:val="14"/>
          <w:szCs w:val="14"/>
          <w:b w:val="1"/>
          <w:bCs w:val="1"/>
          <w:color w:val="auto"/>
        </w:rPr>
        <w:t>Supply Agreement</w:t>
      </w:r>
      <w:r>
        <w:rPr>
          <w:rFonts w:ascii="Arial" w:cs="Arial" w:eastAsia="Arial" w:hAnsi="Arial"/>
          <w:sz w:val="14"/>
          <w:szCs w:val="14"/>
          <w:color w:val="auto"/>
        </w:rPr>
        <w:t>”) and the terms of a quality agreement which would provide the responsibilities of Century and CDI or its Affiliates for quality assurance of human iPSC (including TiPSC) and the Licensed Products referenced in the Supply Agreement (a “</w:t>
      </w:r>
      <w:r>
        <w:rPr>
          <w:rFonts w:ascii="Arial" w:cs="Arial" w:eastAsia="Arial" w:hAnsi="Arial"/>
          <w:sz w:val="14"/>
          <w:szCs w:val="14"/>
          <w:b w:val="1"/>
          <w:bCs w:val="1"/>
          <w:color w:val="auto"/>
        </w:rPr>
        <w:t>Quality</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jc w:val="both"/>
        <w:ind w:left="-520" w:firstLine="1042"/>
        <w:spacing w:after="0" w:line="273" w:lineRule="auto"/>
        <w:tabs>
          <w:tab w:leader="none" w:pos="843" w:val="left"/>
        </w:tabs>
        <w:numPr>
          <w:ilvl w:val="0"/>
          <w:numId w:val="435"/>
        </w:numPr>
        <w:rPr>
          <w:rFonts w:ascii="Arial" w:cs="Arial" w:eastAsia="Arial" w:hAnsi="Arial"/>
          <w:sz w:val="14"/>
          <w:szCs w:val="14"/>
          <w:color w:val="auto"/>
        </w:rPr>
      </w:pPr>
      <w:r>
        <w:rPr>
          <w:rFonts w:ascii="Arial" w:cs="Arial" w:eastAsia="Arial" w:hAnsi="Arial"/>
          <w:sz w:val="14"/>
          <w:szCs w:val="14"/>
          <w:color w:val="auto"/>
        </w:rPr>
        <w:t>The Supply Agreement and Quality Agreement shall each contain terms and conditions that are commercially reasonable given the terms of the Parties’ collaboration under this Agreement, including manufacturing capacity, quantity, forecasting, timeliness of delivery, quality, cost, and failure of supply that are consistent with prevailing industry standards for Third Party contract manufacturing agreements for comparable products.</w:t>
      </w:r>
    </w:p>
    <w:p>
      <w:pPr>
        <w:spacing w:after="0" w:line="141" w:lineRule="exact"/>
        <w:rPr>
          <w:rFonts w:ascii="Arial" w:cs="Arial" w:eastAsia="Arial" w:hAnsi="Arial"/>
          <w:sz w:val="14"/>
          <w:szCs w:val="14"/>
          <w:color w:val="auto"/>
        </w:rPr>
      </w:pPr>
    </w:p>
    <w:p>
      <w:pPr>
        <w:ind w:left="840" w:hanging="318"/>
        <w:spacing w:after="0"/>
        <w:tabs>
          <w:tab w:leader="none" w:pos="840" w:val="left"/>
        </w:tabs>
        <w:numPr>
          <w:ilvl w:val="0"/>
          <w:numId w:val="435"/>
        </w:numPr>
        <w:rPr>
          <w:rFonts w:ascii="Arial" w:cs="Arial" w:eastAsia="Arial" w:hAnsi="Arial"/>
          <w:sz w:val="14"/>
          <w:szCs w:val="14"/>
          <w:color w:val="auto"/>
        </w:rPr>
      </w:pPr>
      <w:r>
        <w:rPr>
          <w:rFonts w:ascii="Arial" w:cs="Arial" w:eastAsia="Arial" w:hAnsi="Arial"/>
          <w:sz w:val="14"/>
          <w:szCs w:val="14"/>
          <w:color w:val="auto"/>
        </w:rPr>
        <w:t>The Supply Agreement shall provide:</w:t>
      </w:r>
    </w:p>
    <w:p>
      <w:pPr>
        <w:spacing w:after="0" w:line="184" w:lineRule="exact"/>
        <w:rPr>
          <w:sz w:val="20"/>
          <w:szCs w:val="20"/>
          <w:color w:val="auto"/>
        </w:rPr>
      </w:pPr>
    </w:p>
    <w:p>
      <w:pPr>
        <w:ind w:left="1360" w:hanging="385"/>
        <w:spacing w:after="0"/>
        <w:tabs>
          <w:tab w:leader="none" w:pos="1360" w:val="left"/>
        </w:tabs>
        <w:numPr>
          <w:ilvl w:val="0"/>
          <w:numId w:val="436"/>
        </w:numPr>
        <w:rPr>
          <w:rFonts w:ascii="Arial" w:cs="Arial" w:eastAsia="Arial" w:hAnsi="Arial"/>
          <w:sz w:val="14"/>
          <w:szCs w:val="14"/>
          <w:color w:val="auto"/>
        </w:rPr>
      </w:pPr>
      <w:r>
        <w:rPr>
          <w:rFonts w:ascii="Arial" w:cs="Arial" w:eastAsia="Arial" w:hAnsi="Arial"/>
          <w:sz w:val="14"/>
          <w:szCs w:val="14"/>
          <w:color w:val="auto"/>
        </w:rPr>
        <w:t>CDI’s (and its Affiliates) exclusive right to manufacture and supply human iPSC (including TiPSC) to Century and its Sublicensees:</w:t>
      </w:r>
    </w:p>
    <w:p>
      <w:pPr>
        <w:spacing w:after="0" w:line="97" w:lineRule="exact"/>
        <w:rPr>
          <w:rFonts w:ascii="Arial" w:cs="Arial" w:eastAsia="Arial" w:hAnsi="Arial"/>
          <w:sz w:val="14"/>
          <w:szCs w:val="14"/>
          <w:color w:val="auto"/>
        </w:rPr>
      </w:pPr>
    </w:p>
    <w:p>
      <w:pPr>
        <w:ind w:left="5000"/>
        <w:spacing w:after="0"/>
        <w:rPr>
          <w:rFonts w:ascii="Arial" w:cs="Arial" w:eastAsia="Arial" w:hAnsi="Arial"/>
          <w:sz w:val="14"/>
          <w:szCs w:val="14"/>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13970</wp:posOffset>
            </wp:positionV>
            <wp:extent cx="7159625"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474" w:right="319" w:bottom="1440" w:gutter="0" w:footer="0" w:header="0"/>
        </w:sectPr>
      </w:pPr>
    </w:p>
    <w:bookmarkStart w:id="612" w:name="page613"/>
    <w:bookmarkEnd w:id="612"/>
    <w:p>
      <w:pPr>
        <w:ind w:left="1880" w:hanging="385"/>
        <w:spacing w:after="0"/>
        <w:tabs>
          <w:tab w:leader="none" w:pos="1880" w:val="left"/>
        </w:tabs>
        <w:numPr>
          <w:ilvl w:val="0"/>
          <w:numId w:val="437"/>
        </w:numPr>
        <w:rPr>
          <w:rFonts w:ascii="Arial" w:cs="Arial" w:eastAsia="Arial" w:hAnsi="Arial"/>
          <w:sz w:val="13"/>
          <w:szCs w:val="13"/>
          <w:color w:val="auto"/>
        </w:rPr>
      </w:pPr>
      <w:r>
        <w:rPr>
          <w:rFonts w:ascii="Arial" w:cs="Arial" w:eastAsia="Arial" w:hAnsi="Arial"/>
          <w:sz w:val="13"/>
          <w:szCs w:val="13"/>
          <w:color w:val="auto"/>
        </w:rPr>
        <w:t>CDI’s (and its Affiliates or contractors) obligations to perform manufacturing activities in a good scientific manner and in compliance in all material respects with</w:t>
      </w:r>
    </w:p>
    <w:p>
      <w:pPr>
        <w:spacing w:after="0" w:line="32"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all applicable Law; and</w:t>
      </w:r>
    </w:p>
    <w:p>
      <w:pPr>
        <w:spacing w:after="0" w:line="174" w:lineRule="exact"/>
        <w:rPr>
          <w:rFonts w:ascii="Arial" w:cs="Arial" w:eastAsia="Arial" w:hAnsi="Arial"/>
          <w:sz w:val="13"/>
          <w:szCs w:val="13"/>
          <w:color w:val="auto"/>
        </w:rPr>
      </w:pPr>
    </w:p>
    <w:p>
      <w:pPr>
        <w:ind w:left="460" w:firstLine="1035"/>
        <w:spacing w:after="0" w:line="288" w:lineRule="auto"/>
        <w:tabs>
          <w:tab w:leader="none" w:pos="1945" w:val="left"/>
        </w:tabs>
        <w:numPr>
          <w:ilvl w:val="0"/>
          <w:numId w:val="437"/>
        </w:numPr>
        <w:rPr>
          <w:rFonts w:ascii="Arial" w:cs="Arial" w:eastAsia="Arial" w:hAnsi="Arial"/>
          <w:sz w:val="14"/>
          <w:szCs w:val="14"/>
          <w:color w:val="auto"/>
        </w:rPr>
      </w:pPr>
      <w:r>
        <w:rPr>
          <w:rFonts w:ascii="Arial" w:cs="Arial" w:eastAsia="Arial" w:hAnsi="Arial"/>
          <w:sz w:val="14"/>
          <w:szCs w:val="14"/>
          <w:color w:val="auto"/>
        </w:rPr>
        <w:t>Century’s ability to manufacture by itself or through its Affiliate, or to grant to a Third Party manufacturer the right to manufacture, the Licensed Products in minimal quantities necessary to prevent a supply interruption in the event of a non-supply event upon Century’s request.</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3"/>
          <w:szCs w:val="13"/>
          <w:u w:val="single" w:color="auto"/>
          <w:color w:val="auto"/>
        </w:rPr>
        <w:t>Collaboration Agreement</w:t>
      </w:r>
    </w:p>
    <w:p>
      <w:pPr>
        <w:spacing w:after="0" w:line="184" w:lineRule="exact"/>
        <w:rPr>
          <w:sz w:val="20"/>
          <w:szCs w:val="20"/>
          <w:color w:val="auto"/>
        </w:rPr>
      </w:pPr>
    </w:p>
    <w:p>
      <w:pPr>
        <w:jc w:val="both"/>
        <w:ind w:firstLine="1042"/>
        <w:spacing w:after="0" w:line="273" w:lineRule="auto"/>
        <w:tabs>
          <w:tab w:leader="none" w:pos="1355" w:val="left"/>
        </w:tabs>
        <w:numPr>
          <w:ilvl w:val="1"/>
          <w:numId w:val="438"/>
        </w:numPr>
        <w:rPr>
          <w:rFonts w:ascii="Arial" w:cs="Arial" w:eastAsia="Arial" w:hAnsi="Arial"/>
          <w:sz w:val="14"/>
          <w:szCs w:val="14"/>
          <w:color w:val="auto"/>
        </w:rPr>
      </w:pPr>
      <w:r>
        <w:rPr>
          <w:rFonts w:ascii="Arial" w:cs="Arial" w:eastAsia="Arial" w:hAnsi="Arial"/>
          <w:sz w:val="14"/>
          <w:szCs w:val="14"/>
          <w:color w:val="auto"/>
        </w:rPr>
        <w:t xml:space="preserve">Within two (2) months from the Effective Date the Parties will use Commercially Reasonable Best Efforts to enter into a Collaboration Agreement, which shall include among other things the terms set forth on Exhibit A as well as other customary terms. Century acknowledges that any material breach by Century of the Collaboration Agreement, including its failure to pay consideration under the Collaboration Agreement will constitute a Material Breach, subject to the termination right under </w:t>
      </w:r>
      <w:r>
        <w:rPr>
          <w:rFonts w:ascii="Arial" w:cs="Arial" w:eastAsia="Arial" w:hAnsi="Arial"/>
          <w:sz w:val="14"/>
          <w:szCs w:val="14"/>
          <w:u w:val="single" w:color="auto"/>
          <w:color w:val="auto"/>
        </w:rPr>
        <w:t>Section 9.2(c)</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ind w:left="1380" w:hanging="338"/>
        <w:spacing w:after="0"/>
        <w:tabs>
          <w:tab w:leader="none" w:pos="1380" w:val="left"/>
        </w:tabs>
        <w:numPr>
          <w:ilvl w:val="1"/>
          <w:numId w:val="438"/>
        </w:numPr>
        <w:rPr>
          <w:rFonts w:ascii="Arial" w:cs="Arial" w:eastAsia="Arial" w:hAnsi="Arial"/>
          <w:sz w:val="13"/>
          <w:szCs w:val="13"/>
          <w:color w:val="auto"/>
        </w:rPr>
      </w:pPr>
      <w:r>
        <w:rPr>
          <w:rFonts w:ascii="Arial" w:cs="Arial" w:eastAsia="Arial" w:hAnsi="Arial"/>
          <w:sz w:val="13"/>
          <w:szCs w:val="13"/>
          <w:color w:val="auto"/>
        </w:rPr>
        <w:t>If the Collaboration Agreement is not entered into between the Parties within two (2) months from the Effective Date for any reasons, Century shall pay CDI the amount of</w:t>
      </w:r>
    </w:p>
    <w:p>
      <w:pPr>
        <w:spacing w:after="0" w:line="32" w:lineRule="exact"/>
        <w:rPr>
          <w:rFonts w:ascii="Arial" w:cs="Arial" w:eastAsia="Arial" w:hAnsi="Arial"/>
          <w:sz w:val="13"/>
          <w:szCs w:val="13"/>
          <w:color w:val="auto"/>
        </w:rPr>
      </w:pPr>
    </w:p>
    <w:p>
      <w:pPr>
        <w:ind w:firstLine="6"/>
        <w:spacing w:after="0" w:line="274" w:lineRule="auto"/>
        <w:tabs>
          <w:tab w:leader="none" w:pos="350" w:val="left"/>
        </w:tabs>
        <w:numPr>
          <w:ilvl w:val="0"/>
          <w:numId w:val="438"/>
        </w:numPr>
        <w:rPr>
          <w:rFonts w:ascii="Arial" w:cs="Arial" w:eastAsia="Arial" w:hAnsi="Arial"/>
          <w:sz w:val="14"/>
          <w:szCs w:val="14"/>
          <w:color w:val="auto"/>
        </w:rPr>
      </w:pPr>
      <w:r>
        <w:rPr>
          <w:rFonts w:ascii="Arial" w:cs="Arial" w:eastAsia="Arial" w:hAnsi="Arial"/>
          <w:sz w:val="14"/>
          <w:szCs w:val="14"/>
          <w:color w:val="auto"/>
        </w:rPr>
        <w:t>which is non-refundable and creditable towards any and all amounts due under the Collaboration Agreement, which such [***] amount shall be due in three (3) equal installments according to the following schedule:</w:t>
      </w:r>
    </w:p>
    <w:p>
      <w:pPr>
        <w:spacing w:after="0" w:line="140" w:lineRule="exact"/>
        <w:rPr>
          <w:rFonts w:ascii="Arial" w:cs="Arial" w:eastAsia="Arial" w:hAnsi="Arial"/>
          <w:sz w:val="14"/>
          <w:szCs w:val="14"/>
          <w:color w:val="auto"/>
        </w:rPr>
      </w:pPr>
    </w:p>
    <w:p>
      <w:pPr>
        <w:ind w:left="1880" w:hanging="385"/>
        <w:spacing w:after="0"/>
        <w:tabs>
          <w:tab w:leader="none" w:pos="1880" w:val="left"/>
        </w:tabs>
        <w:numPr>
          <w:ilvl w:val="2"/>
          <w:numId w:val="438"/>
        </w:numPr>
        <w:rPr>
          <w:rFonts w:ascii="Arial" w:cs="Arial" w:eastAsia="Arial" w:hAnsi="Arial"/>
          <w:sz w:val="14"/>
          <w:szCs w:val="14"/>
          <w:color w:val="auto"/>
        </w:rPr>
      </w:pPr>
      <w:r>
        <w:rPr>
          <w:rFonts w:ascii="Arial" w:cs="Arial" w:eastAsia="Arial" w:hAnsi="Arial"/>
          <w:sz w:val="14"/>
          <w:szCs w:val="14"/>
          <w:color w:val="auto"/>
        </w:rPr>
        <w:t>on the day that is two (2) month after the Effective Date;</w:t>
      </w:r>
    </w:p>
    <w:p>
      <w:pPr>
        <w:spacing w:after="0" w:line="184" w:lineRule="exact"/>
        <w:rPr>
          <w:rFonts w:ascii="Arial" w:cs="Arial" w:eastAsia="Arial" w:hAnsi="Arial"/>
          <w:sz w:val="14"/>
          <w:szCs w:val="14"/>
          <w:color w:val="auto"/>
        </w:rPr>
      </w:pPr>
    </w:p>
    <w:p>
      <w:pPr>
        <w:ind w:left="1880" w:hanging="385"/>
        <w:spacing w:after="0"/>
        <w:tabs>
          <w:tab w:leader="none" w:pos="1880" w:val="left"/>
        </w:tabs>
        <w:numPr>
          <w:ilvl w:val="2"/>
          <w:numId w:val="438"/>
        </w:numPr>
        <w:rPr>
          <w:rFonts w:ascii="Arial" w:cs="Arial" w:eastAsia="Arial" w:hAnsi="Arial"/>
          <w:sz w:val="14"/>
          <w:szCs w:val="14"/>
          <w:color w:val="auto"/>
        </w:rPr>
      </w:pPr>
      <w:r>
        <w:rPr>
          <w:rFonts w:ascii="Arial" w:cs="Arial" w:eastAsia="Arial" w:hAnsi="Arial"/>
          <w:sz w:val="14"/>
          <w:szCs w:val="14"/>
          <w:color w:val="auto"/>
        </w:rPr>
        <w:t>on the first anniversary of the payment day set forth in clause (i); and</w:t>
      </w:r>
    </w:p>
    <w:p>
      <w:pPr>
        <w:spacing w:after="0" w:line="184" w:lineRule="exact"/>
        <w:rPr>
          <w:rFonts w:ascii="Arial" w:cs="Arial" w:eastAsia="Arial" w:hAnsi="Arial"/>
          <w:sz w:val="14"/>
          <w:szCs w:val="14"/>
          <w:color w:val="auto"/>
        </w:rPr>
      </w:pPr>
    </w:p>
    <w:p>
      <w:pPr>
        <w:ind w:left="1940" w:hanging="445"/>
        <w:spacing w:after="0"/>
        <w:tabs>
          <w:tab w:leader="none" w:pos="1940" w:val="left"/>
        </w:tabs>
        <w:numPr>
          <w:ilvl w:val="2"/>
          <w:numId w:val="438"/>
        </w:numPr>
        <w:rPr>
          <w:rFonts w:ascii="Arial" w:cs="Arial" w:eastAsia="Arial" w:hAnsi="Arial"/>
          <w:sz w:val="14"/>
          <w:szCs w:val="14"/>
          <w:color w:val="auto"/>
        </w:rPr>
      </w:pPr>
      <w:r>
        <w:rPr>
          <w:rFonts w:ascii="Arial" w:cs="Arial" w:eastAsia="Arial" w:hAnsi="Arial"/>
          <w:sz w:val="14"/>
          <w:szCs w:val="14"/>
          <w:color w:val="auto"/>
        </w:rPr>
        <w:t>on the second anniversary of the payment day set forth in clause (ii).</w:t>
      </w:r>
    </w:p>
    <w:p>
      <w:pPr>
        <w:spacing w:after="0" w:line="184" w:lineRule="exact"/>
        <w:rPr>
          <w:rFonts w:ascii="Arial" w:cs="Arial" w:eastAsia="Arial" w:hAnsi="Arial"/>
          <w:sz w:val="14"/>
          <w:szCs w:val="14"/>
          <w:color w:val="auto"/>
        </w:rPr>
      </w:pPr>
    </w:p>
    <w:p>
      <w:pPr>
        <w:ind w:firstLine="1042"/>
        <w:spacing w:after="0" w:line="288" w:lineRule="auto"/>
        <w:tabs>
          <w:tab w:leader="none" w:pos="1357" w:val="left"/>
        </w:tabs>
        <w:numPr>
          <w:ilvl w:val="1"/>
          <w:numId w:val="439"/>
        </w:numPr>
        <w:rPr>
          <w:rFonts w:ascii="Arial" w:cs="Arial" w:eastAsia="Arial" w:hAnsi="Arial"/>
          <w:sz w:val="14"/>
          <w:szCs w:val="14"/>
          <w:color w:val="auto"/>
        </w:rPr>
      </w:pPr>
      <w:r>
        <w:rPr>
          <w:rFonts w:ascii="Arial" w:cs="Arial" w:eastAsia="Arial" w:hAnsi="Arial"/>
          <w:sz w:val="14"/>
          <w:szCs w:val="14"/>
          <w:color w:val="auto"/>
        </w:rPr>
        <w:t xml:space="preserve">Century acknowledges that any failure by Century or its Sublicensees, of the payment set forth in </w:t>
      </w:r>
      <w:r>
        <w:rPr>
          <w:rFonts w:ascii="Arial" w:cs="Arial" w:eastAsia="Arial" w:hAnsi="Arial"/>
          <w:sz w:val="14"/>
          <w:szCs w:val="14"/>
          <w:u w:val="single" w:color="auto"/>
          <w:color w:val="auto"/>
        </w:rPr>
        <w:t>Section 3.5(b)</w:t>
      </w:r>
      <w:r>
        <w:rPr>
          <w:rFonts w:ascii="Arial" w:cs="Arial" w:eastAsia="Arial" w:hAnsi="Arial"/>
          <w:sz w:val="14"/>
          <w:szCs w:val="14"/>
          <w:color w:val="auto"/>
        </w:rPr>
        <w:t xml:space="preserve"> will constitutes a Material Breach, subject to the termination right under </w:t>
      </w:r>
      <w:r>
        <w:rPr>
          <w:rFonts w:ascii="Arial" w:cs="Arial" w:eastAsia="Arial" w:hAnsi="Arial"/>
          <w:sz w:val="14"/>
          <w:szCs w:val="14"/>
          <w:u w:val="single" w:color="auto"/>
          <w:color w:val="auto"/>
        </w:rPr>
        <w:t>Section 9.2(c)</w:t>
      </w:r>
      <w:r>
        <w:rPr>
          <w:rFonts w:ascii="Arial" w:cs="Arial" w:eastAsia="Arial" w:hAnsi="Arial"/>
          <w:sz w:val="14"/>
          <w:szCs w:val="14"/>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82828"/>
        </w:rPr>
        <w:t>Consideration, Record Keeping</w:t>
      </w:r>
    </w:p>
    <w:p>
      <w:pPr>
        <w:spacing w:after="0" w:line="175"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u w:val="single" w:color="auto"/>
          <w:color w:val="auto"/>
        </w:rPr>
        <w:t>Consideration</w:t>
      </w:r>
      <w:r>
        <w:rPr>
          <w:rFonts w:ascii="Arial" w:cs="Arial" w:eastAsia="Arial" w:hAnsi="Arial"/>
          <w:sz w:val="13"/>
          <w:szCs w:val="13"/>
          <w:color w:val="auto"/>
        </w:rPr>
        <w:t>.</w:t>
      </w:r>
    </w:p>
    <w:p>
      <w:pPr>
        <w:spacing w:after="0" w:line="184" w:lineRule="exact"/>
        <w:rPr>
          <w:sz w:val="20"/>
          <w:szCs w:val="20"/>
          <w:color w:val="auto"/>
        </w:rPr>
      </w:pPr>
    </w:p>
    <w:p>
      <w:pPr>
        <w:ind w:left="1360" w:hanging="318"/>
        <w:spacing w:after="0"/>
        <w:tabs>
          <w:tab w:leader="none" w:pos="1360" w:val="left"/>
        </w:tabs>
        <w:numPr>
          <w:ilvl w:val="0"/>
          <w:numId w:val="440"/>
        </w:numPr>
        <w:rPr>
          <w:rFonts w:ascii="Arial" w:cs="Arial" w:eastAsia="Arial" w:hAnsi="Arial"/>
          <w:sz w:val="14"/>
          <w:szCs w:val="14"/>
          <w:color w:val="auto"/>
        </w:rPr>
      </w:pPr>
      <w:r>
        <w:rPr>
          <w:rFonts w:ascii="Arial" w:cs="Arial" w:eastAsia="Arial" w:hAnsi="Arial"/>
          <w:sz w:val="14"/>
          <w:szCs w:val="14"/>
          <w:u w:val="single" w:color="auto"/>
          <w:color w:val="auto"/>
        </w:rPr>
        <w:t>WARF Royalties</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460" w:firstLine="1035"/>
        <w:spacing w:after="0" w:line="288" w:lineRule="auto"/>
        <w:tabs>
          <w:tab w:leader="none" w:pos="1839" w:val="left"/>
        </w:tabs>
        <w:numPr>
          <w:ilvl w:val="1"/>
          <w:numId w:val="440"/>
        </w:numPr>
        <w:rPr>
          <w:rFonts w:ascii="Arial" w:cs="Arial" w:eastAsia="Arial" w:hAnsi="Arial"/>
          <w:sz w:val="14"/>
          <w:szCs w:val="14"/>
          <w:color w:val="auto"/>
        </w:rPr>
      </w:pPr>
      <w:r>
        <w:rPr>
          <w:rFonts w:ascii="Arial" w:cs="Arial" w:eastAsia="Arial" w:hAnsi="Arial"/>
          <w:sz w:val="14"/>
          <w:szCs w:val="14"/>
          <w:color w:val="auto"/>
        </w:rPr>
        <w:t>As consideration for the license and other rights granted to Century hereunder, Century shall pay to CDI royalties required pursuant to the terms of the WARF License Agreement with respect to any Licensed Product that is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4" w:right="319" w:bottom="1440" w:gutter="0" w:footer="0" w:header="0"/>
        </w:sectPr>
      </w:pPr>
    </w:p>
    <w:bookmarkStart w:id="613" w:name="page614"/>
    <w:bookmarkEnd w:id="613"/>
    <w:p>
      <w:pPr>
        <w:jc w:val="both"/>
        <w:spacing w:after="0" w:line="267" w:lineRule="auto"/>
        <w:rPr>
          <w:sz w:val="20"/>
          <w:szCs w:val="20"/>
          <w:color w:val="auto"/>
        </w:rPr>
      </w:pPr>
      <w:r>
        <w:rPr>
          <w:rFonts w:ascii="Arial" w:cs="Arial" w:eastAsia="Arial" w:hAnsi="Arial"/>
          <w:sz w:val="14"/>
          <w:szCs w:val="14"/>
          <w:color w:val="auto"/>
        </w:rPr>
        <w:t xml:space="preserve">covered by a WARF Patent Right as follows: [***] on the Selling Price of all Licensed Products. The royalty obligations of Century shall commence on first commercial sale of a Licensed Product and continue on a Licensed Product-by- Licensed Product and country-by-country basis, until the expiration or termination of the last to expire WARF Patent Right that covers such Licensed Product in such country. Upon expiration of the royalty obligations hereunder with respect to the WARF Patent Rights, the license granted to Century under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 respect to the WARF Patent Rights shall be become fully paid-up, perpetual and irrevocable.</w:t>
      </w:r>
    </w:p>
    <w:p>
      <w:pPr>
        <w:spacing w:after="0" w:line="147" w:lineRule="exact"/>
        <w:rPr>
          <w:sz w:val="20"/>
          <w:szCs w:val="20"/>
          <w:color w:val="auto"/>
        </w:rPr>
      </w:pPr>
    </w:p>
    <w:p>
      <w:pPr>
        <w:jc w:val="both"/>
        <w:ind w:left="460" w:firstLine="1035"/>
        <w:spacing w:after="0" w:line="267" w:lineRule="auto"/>
        <w:tabs>
          <w:tab w:leader="none" w:pos="1905" w:val="left"/>
        </w:tabs>
        <w:numPr>
          <w:ilvl w:val="1"/>
          <w:numId w:val="441"/>
        </w:numPr>
        <w:rPr>
          <w:rFonts w:ascii="Arial" w:cs="Arial" w:eastAsia="Arial" w:hAnsi="Arial"/>
          <w:sz w:val="14"/>
          <w:szCs w:val="14"/>
          <w:color w:val="auto"/>
        </w:rPr>
      </w:pPr>
      <w:r>
        <w:rPr>
          <w:rFonts w:ascii="Arial" w:cs="Arial" w:eastAsia="Arial" w:hAnsi="Arial"/>
          <w:sz w:val="14"/>
          <w:szCs w:val="14"/>
          <w:color w:val="auto"/>
        </w:rPr>
        <w:t xml:space="preserve">If Century is required to make payments to a Third Party for a license or similar right to such Third Party’s patents, in the absence of which right or license Century could not legally make, use or sell Licensed Products, then the royalty payable under this Section will be reduced by [***] for each additional [***] of royalties payable to such Third Parties on that Licensed Product;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adjusted royalty rate to CDI will be no less than [***] of the applicable royalty rate payable to CDI under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4.1(a)(ii)</w:t>
      </w:r>
      <w:r>
        <w:rPr>
          <w:rFonts w:ascii="Arial" w:cs="Arial" w:eastAsia="Arial" w:hAnsi="Arial"/>
          <w:sz w:val="14"/>
          <w:szCs w:val="14"/>
          <w:color w:val="auto"/>
        </w:rPr>
        <w:t xml:space="preserve"> of this Agreement for such Licensed Products, even in cases where </w:t>
      </w:r>
      <w:r>
        <w:rPr>
          <w:rFonts w:ascii="Arial" w:cs="Arial" w:eastAsia="Arial" w:hAnsi="Arial"/>
          <w:sz w:val="14"/>
          <w:szCs w:val="14"/>
          <w:u w:val="single" w:color="auto"/>
          <w:color w:val="auto"/>
        </w:rPr>
        <w:t>Section 4.1(b)(iii)</w:t>
      </w:r>
      <w:r>
        <w:rPr>
          <w:rFonts w:ascii="Arial" w:cs="Arial" w:eastAsia="Arial" w:hAnsi="Arial"/>
          <w:sz w:val="14"/>
          <w:szCs w:val="14"/>
          <w:color w:val="auto"/>
        </w:rPr>
        <w:t xml:space="preserve"> below also applies.</w:t>
      </w:r>
    </w:p>
    <w:p>
      <w:pPr>
        <w:spacing w:after="0" w:line="146" w:lineRule="exact"/>
        <w:rPr>
          <w:rFonts w:ascii="Arial" w:cs="Arial" w:eastAsia="Arial" w:hAnsi="Arial"/>
          <w:sz w:val="14"/>
          <w:szCs w:val="14"/>
          <w:color w:val="auto"/>
        </w:rPr>
      </w:pPr>
    </w:p>
    <w:p>
      <w:pPr>
        <w:jc w:val="both"/>
        <w:ind w:left="460" w:firstLine="1035"/>
        <w:spacing w:after="0" w:line="265" w:lineRule="auto"/>
        <w:tabs>
          <w:tab w:leader="none" w:pos="1946" w:val="left"/>
        </w:tabs>
        <w:numPr>
          <w:ilvl w:val="1"/>
          <w:numId w:val="441"/>
        </w:numPr>
        <w:rPr>
          <w:rFonts w:ascii="Arial" w:cs="Arial" w:eastAsia="Arial" w:hAnsi="Arial"/>
          <w:sz w:val="14"/>
          <w:szCs w:val="14"/>
          <w:color w:val="auto"/>
        </w:rPr>
      </w:pPr>
      <w:r>
        <w:rPr>
          <w:rFonts w:ascii="Arial" w:cs="Arial" w:eastAsia="Arial" w:hAnsi="Arial"/>
          <w:sz w:val="14"/>
          <w:szCs w:val="14"/>
          <w:color w:val="auto"/>
        </w:rPr>
        <w:t xml:space="preserve">In the event that the sale, lease, or other transfer by Century of Licensed Products under this Agreement also requires payment to CDI of royalties under any other agreement between CDI and Century, the cumulative earned royalties owed to CDI for that Licensed Product under all such agreements will not exceed the single highest royalty as set forth in those agreements. Century will pay to CDI royalties under all such agreements individually and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(For example, if Century owes to CDI a [***] earned royalty under this Agreement and a [***] earned royalty under a separate agreement, the cumulative royalties owed to CDI will be [***], but will be paid proportionately under each agreement in payments of [***] under this Agreement and [***] on the other.)</w:t>
      </w:r>
    </w:p>
    <w:p>
      <w:pPr>
        <w:spacing w:after="0" w:line="147" w:lineRule="exact"/>
        <w:rPr>
          <w:rFonts w:ascii="Arial" w:cs="Arial" w:eastAsia="Arial" w:hAnsi="Arial"/>
          <w:sz w:val="14"/>
          <w:szCs w:val="14"/>
          <w:color w:val="auto"/>
        </w:rPr>
      </w:pPr>
    </w:p>
    <w:p>
      <w:pPr>
        <w:jc w:val="both"/>
        <w:ind w:left="460" w:firstLine="1035"/>
        <w:spacing w:after="0" w:line="273" w:lineRule="auto"/>
        <w:tabs>
          <w:tab w:leader="none" w:pos="1946" w:val="left"/>
        </w:tabs>
        <w:numPr>
          <w:ilvl w:val="1"/>
          <w:numId w:val="441"/>
        </w:numPr>
        <w:rPr>
          <w:rFonts w:ascii="Arial" w:cs="Arial" w:eastAsia="Arial" w:hAnsi="Arial"/>
          <w:sz w:val="14"/>
          <w:szCs w:val="14"/>
          <w:color w:val="auto"/>
        </w:rPr>
      </w:pPr>
      <w:r>
        <w:rPr>
          <w:rFonts w:ascii="Arial" w:cs="Arial" w:eastAsia="Arial" w:hAnsi="Arial"/>
          <w:sz w:val="14"/>
          <w:szCs w:val="14"/>
          <w:color w:val="auto"/>
        </w:rPr>
        <w:t xml:space="preserve">In cases where Century and CDI agree that Century may develop and Commercialize cancer immunotherapy product based on human iPSC manufactured by a Third Party other than CDI (or its Affiliate) and Century Exploits such product that is covered by the Licensed Patent Rights, Century shall pay to CDI royalties of [***] on the Selling Price of such products. In such case, such adjusted royalty rate to CDI as provided in </w:t>
      </w:r>
      <w:r>
        <w:rPr>
          <w:rFonts w:ascii="Arial" w:cs="Arial" w:eastAsia="Arial" w:hAnsi="Arial"/>
          <w:sz w:val="14"/>
          <w:szCs w:val="14"/>
          <w:u w:val="single" w:color="auto"/>
          <w:color w:val="auto"/>
        </w:rPr>
        <w:t>Section 4.1(b)(ii)</w:t>
      </w:r>
      <w:r>
        <w:rPr>
          <w:rFonts w:ascii="Arial" w:cs="Arial" w:eastAsia="Arial" w:hAnsi="Arial"/>
          <w:sz w:val="14"/>
          <w:szCs w:val="14"/>
          <w:color w:val="auto"/>
        </w:rPr>
        <w:t xml:space="preserve"> above will not apply to the rate of [***].</w:t>
      </w:r>
    </w:p>
    <w:p>
      <w:pPr>
        <w:spacing w:after="0" w:line="141" w:lineRule="exact"/>
        <w:rPr>
          <w:rFonts w:ascii="Arial" w:cs="Arial" w:eastAsia="Arial" w:hAnsi="Arial"/>
          <w:sz w:val="14"/>
          <w:szCs w:val="14"/>
          <w:color w:val="auto"/>
        </w:rPr>
      </w:pPr>
    </w:p>
    <w:p>
      <w:pPr>
        <w:ind w:left="1400" w:hanging="358"/>
        <w:spacing w:after="0"/>
        <w:tabs>
          <w:tab w:leader="none" w:pos="1400" w:val="left"/>
        </w:tabs>
        <w:numPr>
          <w:ilvl w:val="0"/>
          <w:numId w:val="442"/>
        </w:numPr>
        <w:rPr>
          <w:rFonts w:ascii="Arial" w:cs="Arial" w:eastAsia="Arial" w:hAnsi="Arial"/>
          <w:sz w:val="14"/>
          <w:szCs w:val="14"/>
          <w:color w:val="auto"/>
        </w:rPr>
      </w:pPr>
      <w:r>
        <w:rPr>
          <w:rFonts w:ascii="Arial" w:cs="Arial" w:eastAsia="Arial" w:hAnsi="Arial"/>
          <w:sz w:val="14"/>
          <w:szCs w:val="14"/>
          <w:u w:val="single" w:color="auto"/>
          <w:color w:val="auto"/>
        </w:rPr>
        <w:t>WARF Milestone Fees</w:t>
      </w:r>
      <w:r>
        <w:rPr>
          <w:rFonts w:ascii="Arial" w:cs="Arial" w:eastAsia="Arial" w:hAnsi="Arial"/>
          <w:sz w:val="14"/>
          <w:szCs w:val="14"/>
          <w:color w:val="auto"/>
        </w:rPr>
        <w:t>.</w:t>
      </w:r>
    </w:p>
    <w:p>
      <w:pPr>
        <w:spacing w:after="0" w:line="184" w:lineRule="exact"/>
        <w:rPr>
          <w:sz w:val="20"/>
          <w:szCs w:val="20"/>
          <w:color w:val="auto"/>
        </w:rPr>
      </w:pPr>
    </w:p>
    <w:p>
      <w:pPr>
        <w:ind w:firstLine="1554"/>
        <w:spacing w:after="0" w:line="329" w:lineRule="auto"/>
        <w:rPr>
          <w:sz w:val="20"/>
          <w:szCs w:val="20"/>
          <w:color w:val="auto"/>
        </w:rPr>
      </w:pPr>
      <w:r>
        <w:rPr>
          <w:rFonts w:ascii="Arial" w:cs="Arial" w:eastAsia="Arial" w:hAnsi="Arial"/>
          <w:sz w:val="13"/>
          <w:szCs w:val="13"/>
          <w:color w:val="auto"/>
        </w:rPr>
        <w:t xml:space="preserve">As additional consideration for the license and other rights granted to Century hereunder, Century shall pay to CDI the amounts detailed below within twenty (20) days of the achievement of the corresponding milestones for each Licensed Product developed by or for Century or its Sublicensees in the Field in the Territory as set forth in </w:t>
      </w:r>
      <w:r>
        <w:rPr>
          <w:rFonts w:ascii="Arial" w:cs="Arial" w:eastAsia="Arial" w:hAnsi="Arial"/>
          <w:sz w:val="13"/>
          <w:szCs w:val="13"/>
          <w:u w:val="single" w:color="auto"/>
          <w:color w:val="auto"/>
        </w:rPr>
        <w:t>Section 3.3(c)</w:t>
      </w:r>
      <w:r>
        <w:rPr>
          <w:rFonts w:ascii="Arial" w:cs="Arial" w:eastAsia="Arial" w:hAnsi="Arial"/>
          <w:sz w:val="13"/>
          <w:szCs w:val="13"/>
          <w:color w:val="auto"/>
        </w:rPr>
        <w:t>.</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8360" w:type="dxa"/>
            <w:vAlign w:val="bottom"/>
            <w:tcBorders>
              <w:top w:val="single" w:sz="8" w:color="auto"/>
              <w:left w:val="single" w:sz="8" w:color="auto"/>
              <w:bottom w:val="single" w:sz="8" w:color="auto"/>
              <w:right w:val="single" w:sz="8" w:color="auto"/>
            </w:tcBorders>
          </w:tcPr>
          <w:p>
            <w:pPr>
              <w:ind w:left="3860"/>
              <w:spacing w:after="0"/>
              <w:rPr>
                <w:sz w:val="20"/>
                <w:szCs w:val="20"/>
                <w:color w:val="auto"/>
              </w:rPr>
            </w:pPr>
            <w:r>
              <w:rPr>
                <w:rFonts w:ascii="Arial" w:cs="Arial" w:eastAsia="Arial" w:hAnsi="Arial"/>
                <w:sz w:val="14"/>
                <w:szCs w:val="14"/>
                <w:color w:val="313944"/>
              </w:rPr>
              <w:t>Milestone</w:t>
            </w:r>
          </w:p>
        </w:tc>
        <w:tc>
          <w:tcPr>
            <w:tcW w:w="294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4"/>
                <w:szCs w:val="14"/>
                <w:color w:val="313944"/>
              </w:rPr>
              <w:t>WARF Milestone Fee</w:t>
            </w: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8" w:right="319" w:bottom="1440" w:gutter="0" w:footer="0" w:header="0"/>
        </w:sectPr>
      </w:pPr>
    </w:p>
    <w:bookmarkStart w:id="614" w:name="page615"/>
    <w:bookmarkEnd w:id="614"/>
    <w:tbl>
      <w:tblPr>
        <w:tblLayout w:type="fixed"/>
        <w:tblInd w:w="10" w:type="dxa"/>
        <w:tblCellMar>
          <w:top w:w="0" w:type="dxa"/>
          <w:left w:w="0" w:type="dxa"/>
          <w:bottom w:w="0" w:type="dxa"/>
          <w:right w:w="0" w:type="dxa"/>
        </w:tblCellMar>
      </w:tblPr>
      <w:tr>
        <w:trPr>
          <w:trHeight w:val="183"/>
        </w:trPr>
        <w:tc>
          <w:tcPr>
            <w:tcW w:w="83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282828"/>
              </w:rPr>
              <w:t>Filing an Investigational New Drug application (or an equivalent) for a Licensed Product by Century or its Sublicensees with the FDA</w:t>
            </w:r>
          </w:p>
        </w:tc>
        <w:tc>
          <w:tcPr>
            <w:tcW w:w="2940" w:type="dxa"/>
            <w:vAlign w:val="bottom"/>
            <w:tcBorders>
              <w:top w:val="single" w:sz="8" w:color="auto"/>
              <w:bottom w:val="single" w:sz="8" w:color="auto"/>
              <w:right w:val="single" w:sz="8" w:color="auto"/>
            </w:tcBorders>
          </w:tcPr>
          <w:p>
            <w:pPr>
              <w:jc w:val="right"/>
              <w:ind w:right="1248"/>
              <w:spacing w:after="0"/>
              <w:rPr>
                <w:sz w:val="20"/>
                <w:szCs w:val="20"/>
                <w:color w:val="auto"/>
              </w:rPr>
            </w:pPr>
            <w:r>
              <w:rPr>
                <w:rFonts w:ascii="Arial" w:cs="Arial" w:eastAsia="Arial" w:hAnsi="Arial"/>
                <w:sz w:val="14"/>
                <w:szCs w:val="14"/>
                <w:color w:val="auto"/>
              </w:rPr>
              <w:t>[***]</w:t>
            </w:r>
          </w:p>
        </w:tc>
      </w:tr>
      <w:tr>
        <w:trPr>
          <w:trHeight w:val="163"/>
        </w:trPr>
        <w:tc>
          <w:tcPr>
            <w:tcW w:w="8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282828"/>
              </w:rPr>
              <w:t>File a BLA (or an equivalent) for a Licensed Product by Century or its Sublicensees with the FDA</w:t>
            </w:r>
          </w:p>
        </w:tc>
        <w:tc>
          <w:tcPr>
            <w:tcW w:w="2940" w:type="dxa"/>
            <w:vAlign w:val="bottom"/>
            <w:tcBorders>
              <w:bottom w:val="single" w:sz="8" w:color="auto"/>
              <w:right w:val="single" w:sz="8" w:color="auto"/>
            </w:tcBorders>
          </w:tcPr>
          <w:p>
            <w:pPr>
              <w:jc w:val="right"/>
              <w:ind w:right="1248"/>
              <w:spacing w:after="0"/>
              <w:rPr>
                <w:sz w:val="20"/>
                <w:szCs w:val="20"/>
                <w:color w:val="auto"/>
              </w:rPr>
            </w:pPr>
            <w:r>
              <w:rPr>
                <w:rFonts w:ascii="Arial" w:cs="Arial" w:eastAsia="Arial" w:hAnsi="Arial"/>
                <w:sz w:val="14"/>
                <w:szCs w:val="14"/>
                <w:color w:val="auto"/>
              </w:rPr>
              <w:t>[***]</w:t>
            </w:r>
          </w:p>
        </w:tc>
      </w:tr>
      <w:tr>
        <w:trPr>
          <w:trHeight w:val="163"/>
        </w:trPr>
        <w:tc>
          <w:tcPr>
            <w:tcW w:w="8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282828"/>
              </w:rPr>
              <w:t>Achievement by Century or its Sublicensees of [***] in total Selling Price on a single Calendar Year for each Licensed Product.</w:t>
            </w:r>
          </w:p>
        </w:tc>
        <w:tc>
          <w:tcPr>
            <w:tcW w:w="2940" w:type="dxa"/>
            <w:vAlign w:val="bottom"/>
            <w:tcBorders>
              <w:bottom w:val="single" w:sz="8" w:color="auto"/>
              <w:right w:val="single" w:sz="8" w:color="auto"/>
            </w:tcBorders>
          </w:tcPr>
          <w:p>
            <w:pPr>
              <w:jc w:val="right"/>
              <w:ind w:right="1248"/>
              <w:spacing w:after="0"/>
              <w:rPr>
                <w:sz w:val="20"/>
                <w:szCs w:val="20"/>
                <w:color w:val="auto"/>
              </w:rPr>
            </w:pPr>
            <w:r>
              <w:rPr>
                <w:rFonts w:ascii="Arial" w:cs="Arial" w:eastAsia="Arial" w:hAnsi="Arial"/>
                <w:sz w:val="14"/>
                <w:szCs w:val="14"/>
                <w:color w:val="auto"/>
              </w:rPr>
              <w:t>[***]</w:t>
            </w:r>
          </w:p>
        </w:tc>
      </w:tr>
    </w:tbl>
    <w:p>
      <w:pPr>
        <w:spacing w:after="0" w:line="162" w:lineRule="exact"/>
        <w:rPr>
          <w:sz w:val="20"/>
          <w:szCs w:val="20"/>
          <w:color w:val="auto"/>
        </w:rPr>
      </w:pPr>
    </w:p>
    <w:p>
      <w:pPr>
        <w:ind w:left="1040"/>
        <w:spacing w:after="0"/>
        <w:tabs>
          <w:tab w:leader="none" w:pos="134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4"/>
          <w:szCs w:val="14"/>
          <w:u w:val="single" w:color="auto"/>
          <w:color w:val="auto"/>
        </w:rPr>
        <w:t>Accounting: Payments.</w:t>
      </w:r>
    </w:p>
    <w:p>
      <w:pPr>
        <w:spacing w:after="0" w:line="184" w:lineRule="exact"/>
        <w:rPr>
          <w:sz w:val="20"/>
          <w:szCs w:val="20"/>
          <w:color w:val="auto"/>
        </w:rPr>
      </w:pPr>
    </w:p>
    <w:p>
      <w:pPr>
        <w:ind w:left="1880" w:hanging="385"/>
        <w:spacing w:after="0"/>
        <w:tabs>
          <w:tab w:leader="none" w:pos="1880" w:val="left"/>
        </w:tabs>
        <w:numPr>
          <w:ilvl w:val="0"/>
          <w:numId w:val="443"/>
        </w:numPr>
        <w:rPr>
          <w:rFonts w:ascii="Arial" w:cs="Arial" w:eastAsia="Arial" w:hAnsi="Arial"/>
          <w:sz w:val="13"/>
          <w:szCs w:val="13"/>
          <w:color w:val="auto"/>
        </w:rPr>
      </w:pPr>
      <w:r>
        <w:rPr>
          <w:rFonts w:ascii="Arial" w:cs="Arial" w:eastAsia="Arial" w:hAnsi="Arial"/>
          <w:sz w:val="13"/>
          <w:szCs w:val="13"/>
          <w:color w:val="auto"/>
        </w:rPr>
        <w:t xml:space="preserve">Amounts owing to CDI under </w:t>
      </w:r>
      <w:r>
        <w:rPr>
          <w:rFonts w:ascii="Arial" w:cs="Arial" w:eastAsia="Arial" w:hAnsi="Arial"/>
          <w:sz w:val="13"/>
          <w:szCs w:val="13"/>
          <w:u w:val="single" w:color="auto"/>
          <w:color w:val="auto"/>
        </w:rPr>
        <w:t>Section 4.1(a)</w:t>
      </w:r>
      <w:r>
        <w:rPr>
          <w:rFonts w:ascii="Arial" w:cs="Arial" w:eastAsia="Arial" w:hAnsi="Arial"/>
          <w:sz w:val="13"/>
          <w:szCs w:val="13"/>
          <w:color w:val="auto"/>
        </w:rPr>
        <w:t xml:space="preserve"> of this Agreement will be paid on a quarterly basis, with such amounts due and received by CDI on or before the</w:t>
      </w:r>
    </w:p>
    <w:p>
      <w:pPr>
        <w:spacing w:after="0" w:line="33" w:lineRule="exact"/>
        <w:rPr>
          <w:sz w:val="20"/>
          <w:szCs w:val="20"/>
          <w:color w:val="auto"/>
        </w:rPr>
      </w:pPr>
    </w:p>
    <w:p>
      <w:pPr>
        <w:jc w:val="both"/>
        <w:ind w:left="460"/>
        <w:spacing w:after="0" w:line="225" w:lineRule="auto"/>
        <w:rPr>
          <w:sz w:val="20"/>
          <w:szCs w:val="20"/>
          <w:color w:val="auto"/>
        </w:rPr>
      </w:pPr>
      <w:r>
        <w:rPr>
          <w:rFonts w:ascii="Arial" w:cs="Arial" w:eastAsia="Arial" w:hAnsi="Arial"/>
          <w:sz w:val="14"/>
          <w:szCs w:val="14"/>
          <w:color w:val="auto"/>
        </w:rPr>
        <w:t>thirtieth (30</w:t>
      </w:r>
      <w:r>
        <w:rPr>
          <w:rFonts w:ascii="Arial" w:cs="Arial" w:eastAsia="Arial" w:hAnsi="Arial"/>
          <w:sz w:val="23"/>
          <w:szCs w:val="23"/>
          <w:color w:val="auto"/>
          <w:vertAlign w:val="superscript"/>
        </w:rPr>
        <w:t>th</w:t>
      </w:r>
      <w:r>
        <w:rPr>
          <w:rFonts w:ascii="Arial" w:cs="Arial" w:eastAsia="Arial" w:hAnsi="Arial"/>
          <w:sz w:val="14"/>
          <w:szCs w:val="14"/>
          <w:color w:val="auto"/>
        </w:rPr>
        <w:t>) day following the end of the calendar quarter ending on March 31, June 30, September 30 or December 31 in which such amounts were earned. The balance of any amounts which remain unpaid more than thirty (30) days after they are due to CDI will accrue interest until paid at the rate of the lesser of one percent (1%) per month or the maximum amount allowed under applicable law. However, in no event will this interest provision be construed as a grant of permission for any payment delays.</w:t>
      </w:r>
    </w:p>
    <w:p>
      <w:pPr>
        <w:spacing w:after="0" w:line="164" w:lineRule="exact"/>
        <w:rPr>
          <w:sz w:val="20"/>
          <w:szCs w:val="20"/>
          <w:color w:val="auto"/>
        </w:rPr>
      </w:pPr>
    </w:p>
    <w:p>
      <w:pPr>
        <w:jc w:val="both"/>
        <w:ind w:left="460" w:firstLine="1035"/>
        <w:spacing w:after="0" w:line="263" w:lineRule="auto"/>
        <w:tabs>
          <w:tab w:leader="none" w:pos="1887" w:val="left"/>
        </w:tabs>
        <w:numPr>
          <w:ilvl w:val="0"/>
          <w:numId w:val="444"/>
        </w:numPr>
        <w:rPr>
          <w:rFonts w:ascii="Arial" w:cs="Arial" w:eastAsia="Arial" w:hAnsi="Arial"/>
          <w:sz w:val="14"/>
          <w:szCs w:val="14"/>
          <w:color w:val="auto"/>
        </w:rPr>
      </w:pPr>
      <w:r>
        <w:rPr>
          <w:rFonts w:ascii="Arial" w:cs="Arial" w:eastAsia="Arial" w:hAnsi="Arial"/>
          <w:sz w:val="14"/>
          <w:szCs w:val="14"/>
          <w:color w:val="auto"/>
        </w:rPr>
        <w:t>Except as otherwise directed, all amounts owing to CDI under this Agreement will be paid in U.S. dollars. All royalties owing with respect to the Selling Prices are stated in currencies other than U.S. dollars will be converted at the rate shown in the Federal Reserve Noon Valuation - Value of Foreign Currencies on the day preceding the payment. All payments due under this Agreement will be made without deduction for taxes, assessments, or other charges of any kind which may be imposed on CDI or WARF with respect to any amounts payable to CDI or WARF pursuant to this Agreement. All such taxes, assessments, or other charges will be assumed by Century or its Sublicensee(s). If any deduction or withholding is required by law, Century shall pay to CDI such amount as will, after the deduction or withholding has been made, leave CDI with the same amount as it would have been entitled to receive without such deduction or withholding.</w:t>
      </w:r>
    </w:p>
    <w:p>
      <w:pPr>
        <w:spacing w:after="0" w:line="149" w:lineRule="exact"/>
        <w:rPr>
          <w:rFonts w:ascii="Arial" w:cs="Arial" w:eastAsia="Arial" w:hAnsi="Arial"/>
          <w:sz w:val="14"/>
          <w:szCs w:val="14"/>
          <w:color w:val="auto"/>
        </w:rPr>
      </w:pPr>
    </w:p>
    <w:p>
      <w:pPr>
        <w:jc w:val="both"/>
        <w:ind w:left="460" w:firstLine="1035"/>
        <w:spacing w:after="0" w:line="273" w:lineRule="auto"/>
        <w:tabs>
          <w:tab w:leader="none" w:pos="1937" w:val="left"/>
        </w:tabs>
        <w:numPr>
          <w:ilvl w:val="0"/>
          <w:numId w:val="444"/>
        </w:numPr>
        <w:rPr>
          <w:rFonts w:ascii="Arial" w:cs="Arial" w:eastAsia="Arial" w:hAnsi="Arial"/>
          <w:sz w:val="14"/>
          <w:szCs w:val="14"/>
          <w:color w:val="auto"/>
        </w:rPr>
      </w:pPr>
      <w:r>
        <w:rPr>
          <w:rFonts w:ascii="Arial" w:cs="Arial" w:eastAsia="Arial" w:hAnsi="Arial"/>
          <w:sz w:val="14"/>
          <w:szCs w:val="14"/>
          <w:color w:val="auto"/>
        </w:rPr>
        <w:t xml:space="preserve">A full accounting showing how any amounts owing to CDI under </w:t>
      </w:r>
      <w:r>
        <w:rPr>
          <w:rFonts w:ascii="Arial" w:cs="Arial" w:eastAsia="Arial" w:hAnsi="Arial"/>
          <w:sz w:val="14"/>
          <w:szCs w:val="14"/>
          <w:u w:val="single" w:color="auto"/>
          <w:color w:val="auto"/>
        </w:rPr>
        <w:t>Section 4.1(b)</w:t>
      </w:r>
      <w:r>
        <w:rPr>
          <w:rFonts w:ascii="Arial" w:cs="Arial" w:eastAsia="Arial" w:hAnsi="Arial"/>
          <w:sz w:val="14"/>
          <w:szCs w:val="14"/>
          <w:color w:val="auto"/>
        </w:rPr>
        <w:t xml:space="preserve"> have been calculated will be submitted to CDI on the date of each such payment. Such accounting will be on a per-country and Licensed Product line, model or tradename basis and will be summarized on the form shown in Exhibit C of this Agreement. In the event no payment is owed to CDI, a statement setting forth that fact will be supplied to CDI.</w:t>
      </w:r>
    </w:p>
    <w:p>
      <w:pPr>
        <w:spacing w:after="0" w:line="141"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2"/>
          <w:szCs w:val="12"/>
          <w:u w:val="single" w:color="auto"/>
          <w:color w:val="auto"/>
        </w:rPr>
        <w:t>Recordkeeping.</w:t>
      </w:r>
    </w:p>
    <w:p>
      <w:pPr>
        <w:spacing w:after="0" w:line="184" w:lineRule="exact"/>
        <w:rPr>
          <w:sz w:val="20"/>
          <w:szCs w:val="20"/>
          <w:color w:val="auto"/>
        </w:rPr>
      </w:pPr>
    </w:p>
    <w:p>
      <w:pPr>
        <w:jc w:val="both"/>
        <w:ind w:firstLine="1042"/>
        <w:spacing w:after="0" w:line="303" w:lineRule="auto"/>
        <w:tabs>
          <w:tab w:leader="none" w:pos="1357" w:val="left"/>
        </w:tabs>
        <w:numPr>
          <w:ilvl w:val="0"/>
          <w:numId w:val="445"/>
        </w:numPr>
        <w:rPr>
          <w:rFonts w:ascii="Arial" w:cs="Arial" w:eastAsia="Arial" w:hAnsi="Arial"/>
          <w:sz w:val="13"/>
          <w:szCs w:val="13"/>
          <w:color w:val="auto"/>
        </w:rPr>
      </w:pPr>
      <w:r>
        <w:rPr>
          <w:rFonts w:ascii="Arial" w:cs="Arial" w:eastAsia="Arial" w:hAnsi="Arial"/>
          <w:sz w:val="13"/>
          <w:szCs w:val="13"/>
          <w:color w:val="auto"/>
        </w:rPr>
        <w:t>Century and its Sublicensee(s) will keep books and records sufficient to verify the accuracy and completeness of Century’s, and its Sublicensee(s)’s accounting referred to above, including without limitation inventory, purchase and invoice records relating to any Licensed Products sold under this Agreement. In addition, Century will keep books and records sufficient to verify the accuracy and completeness of Century’s Development Report. Such documentation may include, but is not limited to, invoices for studies, laboratory notebooks,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615" w:name="page616"/>
    <w:bookmarkEnd w:id="615"/>
    <w:p>
      <w:pPr>
        <w:spacing w:after="0" w:line="288" w:lineRule="auto"/>
        <w:rPr>
          <w:sz w:val="20"/>
          <w:szCs w:val="20"/>
          <w:color w:val="auto"/>
        </w:rPr>
      </w:pPr>
      <w:r>
        <w:rPr>
          <w:rFonts w:ascii="Arial" w:cs="Arial" w:eastAsia="Arial" w:hAnsi="Arial"/>
          <w:sz w:val="14"/>
          <w:szCs w:val="14"/>
          <w:color w:val="282828"/>
        </w:rPr>
        <w:t>i</w:t>
      </w:r>
      <w:r>
        <w:rPr>
          <w:rFonts w:ascii="Arial" w:cs="Arial" w:eastAsia="Arial" w:hAnsi="Arial"/>
          <w:sz w:val="14"/>
          <w:szCs w:val="14"/>
          <w:color w:val="000000"/>
        </w:rPr>
        <w:t>nternal job cost records, and filings made to the Internal Revenue Department to obtain tax credit, if available, for research and development. All such books and records will be preserved for a</w:t>
      </w:r>
      <w:r>
        <w:rPr>
          <w:rFonts w:ascii="Arial" w:cs="Arial" w:eastAsia="Arial" w:hAnsi="Arial"/>
          <w:sz w:val="14"/>
          <w:szCs w:val="14"/>
          <w:color w:val="282828"/>
        </w:rPr>
        <w:t xml:space="preserve"> </w:t>
      </w:r>
      <w:r>
        <w:rPr>
          <w:rFonts w:ascii="Arial" w:cs="Arial" w:eastAsia="Arial" w:hAnsi="Arial"/>
          <w:sz w:val="14"/>
          <w:szCs w:val="14"/>
          <w:color w:val="000000"/>
        </w:rPr>
        <w:t>period not less than six (6) years after they are created during and after the Term of this Agreement.</w:t>
      </w:r>
    </w:p>
    <w:p>
      <w:pPr>
        <w:spacing w:after="0" w:line="132" w:lineRule="exact"/>
        <w:rPr>
          <w:sz w:val="20"/>
          <w:szCs w:val="20"/>
          <w:color w:val="auto"/>
        </w:rPr>
      </w:pPr>
    </w:p>
    <w:p>
      <w:pPr>
        <w:jc w:val="both"/>
        <w:ind w:firstLine="1042"/>
        <w:spacing w:after="0" w:line="267" w:lineRule="auto"/>
        <w:tabs>
          <w:tab w:leader="none" w:pos="1365" w:val="left"/>
        </w:tabs>
        <w:numPr>
          <w:ilvl w:val="0"/>
          <w:numId w:val="446"/>
        </w:numPr>
        <w:rPr>
          <w:rFonts w:ascii="Arial" w:cs="Arial" w:eastAsia="Arial" w:hAnsi="Arial"/>
          <w:sz w:val="14"/>
          <w:szCs w:val="14"/>
          <w:color w:val="auto"/>
        </w:rPr>
      </w:pPr>
      <w:r>
        <w:rPr>
          <w:rFonts w:ascii="Arial" w:cs="Arial" w:eastAsia="Arial" w:hAnsi="Arial"/>
          <w:sz w:val="14"/>
          <w:szCs w:val="14"/>
          <w:color w:val="auto"/>
        </w:rPr>
        <w:t>Century and its Sublicensee(s) will take all steps reasonably necessary so that CDI and WARF may, within thirty (30) days of its request, review Century’s and its Sublicensee(s)’s books and records to allow CDI and WARF to verify the accuracy of Century’s and its Sublicensee(s)’s Development Report and the payments made by Century and its Sublicensee(s) to CDI. Such review will be performed no more than annually and by an attorney or registered CPA and scientific expert designated by CDI at CDI’s expense upon reasonable notice and during regular business hours.</w:t>
      </w:r>
    </w:p>
    <w:p>
      <w:pPr>
        <w:spacing w:after="0" w:line="146" w:lineRule="exact"/>
        <w:rPr>
          <w:rFonts w:ascii="Arial" w:cs="Arial" w:eastAsia="Arial" w:hAnsi="Arial"/>
          <w:sz w:val="14"/>
          <w:szCs w:val="14"/>
          <w:color w:val="auto"/>
        </w:rPr>
      </w:pPr>
    </w:p>
    <w:p>
      <w:pPr>
        <w:jc w:val="both"/>
        <w:ind w:firstLine="1042"/>
        <w:spacing w:after="0" w:line="303" w:lineRule="auto"/>
        <w:tabs>
          <w:tab w:leader="none" w:pos="1357" w:val="left"/>
        </w:tabs>
        <w:numPr>
          <w:ilvl w:val="0"/>
          <w:numId w:val="446"/>
        </w:numPr>
        <w:rPr>
          <w:rFonts w:ascii="Arial" w:cs="Arial" w:eastAsia="Arial" w:hAnsi="Arial"/>
          <w:sz w:val="13"/>
          <w:szCs w:val="13"/>
          <w:color w:val="auto"/>
        </w:rPr>
      </w:pPr>
      <w:r>
        <w:rPr>
          <w:rFonts w:ascii="Arial" w:cs="Arial" w:eastAsia="Arial" w:hAnsi="Arial"/>
          <w:sz w:val="13"/>
          <w:szCs w:val="13"/>
          <w:color w:val="auto"/>
        </w:rPr>
        <w:t xml:space="preserve">If a royalty payment deficiency is determined, Century and its Sublicensee(s), as applicable, will pay the royalty deficiency outstanding within thirty (30) days of receiving written notice thereof, plus interest on outstanding amounts as described in </w:t>
      </w:r>
      <w:r>
        <w:rPr>
          <w:rFonts w:ascii="Arial" w:cs="Arial" w:eastAsia="Arial" w:hAnsi="Arial"/>
          <w:sz w:val="13"/>
          <w:szCs w:val="13"/>
          <w:u w:val="single" w:color="auto"/>
          <w:color w:val="auto"/>
        </w:rPr>
        <w:t>Section 4.1(b)(i)</w:t>
      </w:r>
      <w:r>
        <w:rPr>
          <w:rFonts w:ascii="Arial" w:cs="Arial" w:eastAsia="Arial" w:hAnsi="Arial"/>
          <w:sz w:val="13"/>
          <w:szCs w:val="13"/>
          <w:color w:val="auto"/>
        </w:rPr>
        <w:t>. If a royalty payment deficiency for a Calendar Year exceeds the lesser of [***] of the royalties paid for that year or [***], then Century or its Sublicensee(s) will be responsible for paying out-of-pocket expenses incurred with respect to such review by CDI and WARF.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 Protection and Related Matters</w:t>
      </w:r>
    </w:p>
    <w:p>
      <w:pPr>
        <w:spacing w:after="0" w:line="17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Ownership</w:t>
      </w:r>
      <w:r>
        <w:rPr>
          <w:rFonts w:ascii="Arial" w:cs="Arial" w:eastAsia="Arial" w:hAnsi="Arial"/>
          <w:sz w:val="14"/>
          <w:szCs w:val="14"/>
          <w:color w:val="auto"/>
        </w:rPr>
        <w:t xml:space="preserve">. As between the Parties, each Party or its Affiliates shall solely Own all Intellectual Property, including Patent Rights related thereto, made, conceived, reduced to practice, or otherwise discovered, whether prior to, on or after the Effective Date, solely by employees, agents and consultants of such Party or its Affiliates. For purposes of determining ownership under this </w:t>
      </w:r>
      <w:r>
        <w:rPr>
          <w:rFonts w:ascii="Arial" w:cs="Arial" w:eastAsia="Arial" w:hAnsi="Arial"/>
          <w:sz w:val="14"/>
          <w:szCs w:val="14"/>
          <w:u w:val="single" w:color="auto"/>
          <w:color w:val="auto"/>
        </w:rPr>
        <w:t>Section 5.1</w:t>
      </w:r>
      <w:r>
        <w:rPr>
          <w:rFonts w:ascii="Arial" w:cs="Arial" w:eastAsia="Arial" w:hAnsi="Arial"/>
          <w:sz w:val="14"/>
          <w:szCs w:val="14"/>
          <w:color w:val="auto"/>
        </w:rPr>
        <w:t>, inventorship shall be determined in accordance with the rules of inventorship under U.S. patent Laws.</w:t>
      </w:r>
    </w:p>
    <w:p>
      <w:pPr>
        <w:spacing w:after="0" w:line="141" w:lineRule="exact"/>
        <w:rPr>
          <w:sz w:val="20"/>
          <w:szCs w:val="20"/>
          <w:color w:val="auto"/>
        </w:rPr>
      </w:pPr>
    </w:p>
    <w:p>
      <w:pPr>
        <w:jc w:val="both"/>
        <w:ind w:firstLine="518"/>
        <w:spacing w:after="0" w:line="329"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Patent Term Extensions</w:t>
      </w:r>
      <w:r>
        <w:rPr>
          <w:rFonts w:ascii="Arial" w:cs="Arial" w:eastAsia="Arial" w:hAnsi="Arial"/>
          <w:sz w:val="13"/>
          <w:szCs w:val="13"/>
          <w:color w:val="auto"/>
        </w:rPr>
        <w:t>. As between the Parties, CDI shall have the sole right to obtain patent term extensions or supplemental protection certificates or their equivalents with respect to any Licensed Product in the Field, including with respect to any Licensed Patent Right worldwide and Century shall reasonably cooperate with CDI and WARF in connection therewith.</w:t>
      </w:r>
    </w:p>
    <w:p>
      <w:pPr>
        <w:spacing w:after="0" w:line="10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Third Party Infringement</w:t>
      </w:r>
      <w:r>
        <w:rPr>
          <w:rFonts w:ascii="Arial" w:cs="Arial" w:eastAsia="Arial" w:hAnsi="Arial"/>
          <w:sz w:val="14"/>
          <w:szCs w:val="14"/>
          <w:color w:val="auto"/>
        </w:rPr>
        <w:t xml:space="preserve"> Each Party shall notify the other Party promptly of any knowledge it acquires of any actual or potential infringements of the Licensed Patent Rights with respect to any activities of a Third Party in the Field in any country in the world and shall provide the other Party with all available evidence regarding such known or suspected infringement or unauthorized use. Notwithstanding any provision to the contrary CDI is not obligated to enforce the Licensed Patent Rights against such Third Party.</w:t>
      </w:r>
    </w:p>
    <w:p>
      <w:pPr>
        <w:spacing w:after="0" w:line="14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Defense of Infringement Claims</w:t>
      </w:r>
      <w:r>
        <w:rPr>
          <w:rFonts w:ascii="Arial" w:cs="Arial" w:eastAsia="Arial" w:hAnsi="Arial"/>
          <w:sz w:val="14"/>
          <w:szCs w:val="14"/>
          <w:color w:val="auto"/>
        </w:rPr>
        <w:t>. If the manufacture, sale or use of a Licensed Product pursuant to this Agreement results in, or may result in, any claim, suit, or proceeding by a Third Party alleging patent infringement by Century (or its Affiliates or</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16" w:name="page617"/>
    <w:bookmarkEnd w:id="616"/>
    <w:p>
      <w:pPr>
        <w:jc w:val="both"/>
        <w:spacing w:after="0" w:line="294" w:lineRule="auto"/>
        <w:rPr>
          <w:sz w:val="20"/>
          <w:szCs w:val="20"/>
          <w:color w:val="auto"/>
        </w:rPr>
      </w:pPr>
      <w:r>
        <w:rPr>
          <w:rFonts w:ascii="Arial" w:cs="Arial" w:eastAsia="Arial" w:hAnsi="Arial"/>
          <w:sz w:val="13"/>
          <w:szCs w:val="13"/>
          <w:color w:val="auto"/>
        </w:rPr>
        <w:t xml:space="preserve">Sublicensees), Century shall promptly notify CDI thereof in writing. Century or its Affiliates or Sublicensees shall have the exclusive right to defend and control the defense of any such claim, suit or proceeding at its own expense, using counsel of its own choice;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however, that Century and its Affiliates and Sublicensees shall afford CDI and WARJF an opportunity to participate in such defense at their own cost and expense and shall not enter into any settlement which admits or concedes that any aspect of Licensed Patent Rights are invalid or unenforceable without the prior written consent of CDI, not to be unreasonably withheld. Century shall keep CDI reasonably informed of all material developments in connection with any such claim, suit, or proceeding.</w:t>
      </w:r>
    </w:p>
    <w:p>
      <w:pPr>
        <w:spacing w:after="0" w:line="13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Patent Invalidity Claim.</w:t>
      </w:r>
      <w:r>
        <w:rPr>
          <w:rFonts w:ascii="Arial" w:cs="Arial" w:eastAsia="Arial" w:hAnsi="Arial"/>
          <w:sz w:val="14"/>
          <w:szCs w:val="14"/>
          <w:color w:val="auto"/>
        </w:rPr>
        <w:t xml:space="preserve"> During the Term, each Party shall promptly notify the other Party in the event of any legal or administrative action by any Third Party against a Licensed Patent Right of which such Party becomes aware, including any nullity, revocation, reexamination or compulsory license proceeding or similar proceeding.</w:t>
      </w:r>
    </w:p>
    <w:p>
      <w:pPr>
        <w:spacing w:after="0" w:line="13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Patent Marking</w:t>
      </w:r>
      <w:r>
        <w:rPr>
          <w:rFonts w:ascii="Arial" w:cs="Arial" w:eastAsia="Arial" w:hAnsi="Arial"/>
          <w:sz w:val="14"/>
          <w:szCs w:val="14"/>
          <w:color w:val="auto"/>
        </w:rPr>
        <w:t>. Century agrees to comply with the patent marking statutes in each country in which Licensed Products are sold by or on behalf of Century and/or its Affiliates or Sublicensees.</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3"/>
          <w:szCs w:val="13"/>
          <w:u w:val="single" w:color="auto"/>
          <w:color w:val="auto"/>
        </w:rPr>
        <w:t>Contest of Validity.</w:t>
      </w:r>
    </w:p>
    <w:p>
      <w:pPr>
        <w:spacing w:after="0" w:line="184" w:lineRule="exact"/>
        <w:rPr>
          <w:sz w:val="20"/>
          <w:szCs w:val="20"/>
          <w:color w:val="auto"/>
        </w:rPr>
      </w:pPr>
    </w:p>
    <w:p>
      <w:pPr>
        <w:ind w:firstLine="1042"/>
        <w:spacing w:after="0" w:line="288" w:lineRule="auto"/>
        <w:tabs>
          <w:tab w:leader="none" w:pos="1357" w:val="left"/>
        </w:tabs>
        <w:numPr>
          <w:ilvl w:val="0"/>
          <w:numId w:val="447"/>
        </w:numPr>
        <w:rPr>
          <w:rFonts w:ascii="Arial" w:cs="Arial" w:eastAsia="Arial" w:hAnsi="Arial"/>
          <w:sz w:val="14"/>
          <w:szCs w:val="14"/>
          <w:color w:val="auto"/>
        </w:rPr>
      </w:pPr>
      <w:r>
        <w:rPr>
          <w:rFonts w:ascii="Arial" w:cs="Arial" w:eastAsia="Arial" w:hAnsi="Arial"/>
          <w:sz w:val="14"/>
          <w:szCs w:val="14"/>
          <w:color w:val="auto"/>
        </w:rPr>
        <w:t>Century, its Affiliates and its Sublicensee(s) must provide CDI at least three (3) months prior written notice before filing any action that contests the validity of any Licensed Patent Rights during the Term of this Agreement.</w:t>
      </w:r>
    </w:p>
    <w:p>
      <w:pPr>
        <w:spacing w:after="0" w:line="131" w:lineRule="exact"/>
        <w:rPr>
          <w:rFonts w:ascii="Arial" w:cs="Arial" w:eastAsia="Arial" w:hAnsi="Arial"/>
          <w:sz w:val="14"/>
          <w:szCs w:val="14"/>
          <w:color w:val="auto"/>
        </w:rPr>
      </w:pPr>
    </w:p>
    <w:p>
      <w:pPr>
        <w:jc w:val="both"/>
        <w:ind w:firstLine="1042"/>
        <w:spacing w:after="0" w:line="265" w:lineRule="auto"/>
        <w:tabs>
          <w:tab w:leader="none" w:pos="1365" w:val="left"/>
        </w:tabs>
        <w:numPr>
          <w:ilvl w:val="0"/>
          <w:numId w:val="447"/>
        </w:numPr>
        <w:rPr>
          <w:rFonts w:ascii="Arial" w:cs="Arial" w:eastAsia="Arial" w:hAnsi="Arial"/>
          <w:sz w:val="14"/>
          <w:szCs w:val="14"/>
          <w:color w:val="auto"/>
        </w:rPr>
      </w:pPr>
      <w:r>
        <w:rPr>
          <w:rFonts w:ascii="Arial" w:cs="Arial" w:eastAsia="Arial" w:hAnsi="Arial"/>
          <w:sz w:val="14"/>
          <w:szCs w:val="14"/>
          <w:color w:val="auto"/>
        </w:rPr>
        <w:t xml:space="preserve">In the event Century, its Affiliates or its Sublicensee(s) files any action contesting the validity of any Licensed Patent Rights, the filing party will pay a royalty rate of [***] times the royalty rate specified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of this Agreement for all Licensed Products sold during the pendency of such action. Moreover, should the outcome of such contest determine that any claim of a Licensed Patent Right challenged is valid and would be infringed by a Licensed Product sold by Century (or its Affiliates or its Sublicensee(s), if such Sublicensee filed the action) if not for the license granted by this Agreement, Century (or its Affiliates, its Sublicensee(s), if such Sublicensee filed the action) will thereafter, and for the remaining Term of this Agreement, pay a royalty rate of [***] times the royalty rate specified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of this Agreement.</w:t>
      </w:r>
    </w:p>
    <w:p>
      <w:pPr>
        <w:spacing w:after="0" w:line="147" w:lineRule="exact"/>
        <w:rPr>
          <w:rFonts w:ascii="Arial" w:cs="Arial" w:eastAsia="Arial" w:hAnsi="Arial"/>
          <w:sz w:val="14"/>
          <w:szCs w:val="14"/>
          <w:color w:val="auto"/>
        </w:rPr>
      </w:pPr>
    </w:p>
    <w:p>
      <w:pPr>
        <w:jc w:val="both"/>
        <w:ind w:firstLine="1042"/>
        <w:spacing w:after="0" w:line="273" w:lineRule="auto"/>
        <w:tabs>
          <w:tab w:leader="none" w:pos="1357" w:val="left"/>
        </w:tabs>
        <w:numPr>
          <w:ilvl w:val="0"/>
          <w:numId w:val="447"/>
        </w:numPr>
        <w:rPr>
          <w:rFonts w:ascii="Arial" w:cs="Arial" w:eastAsia="Arial" w:hAnsi="Arial"/>
          <w:sz w:val="14"/>
          <w:szCs w:val="14"/>
          <w:color w:val="auto"/>
        </w:rPr>
      </w:pPr>
      <w:r>
        <w:rPr>
          <w:rFonts w:ascii="Arial" w:cs="Arial" w:eastAsia="Arial" w:hAnsi="Arial"/>
          <w:sz w:val="14"/>
          <w:szCs w:val="14"/>
          <w:color w:val="auto"/>
        </w:rPr>
        <w:t>In the event that Century, its Affiliates, or its Sublicensee(s) contests the validity of any Licensed Patent Rights during the Term of this Agreement, Century agrees (and will require its Affiliates and its Sublicensee(s) to agree) to pay to CDI all royalties due under the Agreement during the period of challenge. For the sake of clarity, such amounts will not be paid into any escrow or other account, but directly to CDI, and will not be refunded.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Confidentiality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17" w:name="page618"/>
    <w:bookmarkEnd w:id="617"/>
    <w:p>
      <w:pPr>
        <w:jc w:val="both"/>
        <w:ind w:firstLine="518"/>
        <w:spacing w:after="0" w:line="282"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Confidential Obligations.</w:t>
      </w:r>
      <w:r>
        <w:rPr>
          <w:rFonts w:ascii="Arial" w:cs="Arial" w:eastAsia="Arial" w:hAnsi="Arial"/>
          <w:sz w:val="13"/>
          <w:szCs w:val="13"/>
          <w:color w:val="auto"/>
        </w:rPr>
        <w:t xml:space="preserve"> Each Party shall (a) maintain in strict confidence the Confidential Information of the other Party to the same extent such Party maintains its own confidential information, but in no event less than a reasonable degree of care, (b) not disclose such Confidential Information to any Third Party without the prior written consent of the other Party (except as permitted pursuant to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below), and (c) not use such Confidential Information for any purpose except those expressly permitted by this Agreement. The obligations of confidentiality, non-disclosure and non-use under this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shall be in full force during the Term and for a period of [***] thereafter. Except as may be authorized in advance in writing by CDI, Century will only grant access to CDI’s Confidential Information to its Affiliates, its Sublicensee(s) and those officers and employees of Century, its Affiliates and its Sublicensee(s) involved in research relating to the Licensed Patent Rights. Century will require its Affiliates and its Sublicensee(s) and all such officers and employees to be bound by terms of confidentiality no less restrictive than those set forth in this </w:t>
      </w:r>
      <w:r>
        <w:rPr>
          <w:rFonts w:ascii="Arial" w:cs="Arial" w:eastAsia="Arial" w:hAnsi="Arial"/>
          <w:sz w:val="13"/>
          <w:szCs w:val="13"/>
          <w:u w:val="single" w:color="auto"/>
          <w:color w:val="auto"/>
        </w:rPr>
        <w:t>Article 6</w:t>
      </w:r>
      <w:r>
        <w:rPr>
          <w:rFonts w:ascii="Arial" w:cs="Arial" w:eastAsia="Arial" w:hAnsi="Arial"/>
          <w:sz w:val="13"/>
          <w:szCs w:val="13"/>
          <w:color w:val="auto"/>
        </w:rPr>
        <w:t>. Century, its Affiliates and its Sublicensee(s) will not use any Confidential Information including, but not limited to, for the purpose of claiming priority to the Licensed Patent Rights in any patent prosecution. As between the Parties, Confidential Information of WARF, including the WARF License Agreement shall be deemed to be CDI’s Confidential Information Each Party, upon the request of the other Party, will return all copies of or destroy (and certify such destruction in writing) the Confidential Information disclosed or transferred to it by the other Party pursuant to this Agreement, within sixty (60) days of such request or, if earlier, the termination or expiration of this Agreement.</w:t>
      </w:r>
    </w:p>
    <w:p>
      <w:pPr>
        <w:spacing w:after="0" w:line="14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Exceptions to Confidentiality</w:t>
      </w:r>
      <w:r>
        <w:rPr>
          <w:rFonts w:ascii="Arial" w:cs="Arial" w:eastAsia="Arial" w:hAnsi="Arial"/>
          <w:sz w:val="14"/>
          <w:szCs w:val="14"/>
          <w:color w:val="auto"/>
        </w:rPr>
        <w:t xml:space="preserve">. Notwithstanding the foregoing, the obligations of confidentiality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 xml:space="preserve"> shall not apply to information that, in each case as demonstrated by competent written documentation:</w:t>
      </w:r>
    </w:p>
    <w:p>
      <w:pPr>
        <w:spacing w:after="0" w:line="132" w:lineRule="exact"/>
        <w:rPr>
          <w:sz w:val="20"/>
          <w:szCs w:val="20"/>
          <w:color w:val="auto"/>
        </w:rPr>
      </w:pPr>
    </w:p>
    <w:p>
      <w:pPr>
        <w:ind w:left="1360" w:hanging="318"/>
        <w:spacing w:after="0"/>
        <w:tabs>
          <w:tab w:leader="none" w:pos="1360" w:val="left"/>
        </w:tabs>
        <w:numPr>
          <w:ilvl w:val="0"/>
          <w:numId w:val="448"/>
        </w:numPr>
        <w:rPr>
          <w:rFonts w:ascii="Arial" w:cs="Arial" w:eastAsia="Arial" w:hAnsi="Arial"/>
          <w:sz w:val="14"/>
          <w:szCs w:val="14"/>
          <w:color w:val="auto"/>
        </w:rPr>
      </w:pPr>
      <w:r>
        <w:rPr>
          <w:rFonts w:ascii="Arial" w:cs="Arial" w:eastAsia="Arial" w:hAnsi="Arial"/>
          <w:sz w:val="14"/>
          <w:szCs w:val="14"/>
          <w:color w:val="auto"/>
        </w:rPr>
        <w:t>is publicly disclosed or made generally available to the public by the disclosing Party, either before or after it becomes known to the receiving Party;</w:t>
      </w:r>
    </w:p>
    <w:p>
      <w:pPr>
        <w:spacing w:after="0" w:line="184" w:lineRule="exact"/>
        <w:rPr>
          <w:rFonts w:ascii="Arial" w:cs="Arial" w:eastAsia="Arial" w:hAnsi="Arial"/>
          <w:sz w:val="14"/>
          <w:szCs w:val="14"/>
          <w:color w:val="auto"/>
        </w:rPr>
      </w:pPr>
    </w:p>
    <w:p>
      <w:pPr>
        <w:ind w:firstLine="1042"/>
        <w:spacing w:after="0" w:line="288" w:lineRule="auto"/>
        <w:tabs>
          <w:tab w:leader="none" w:pos="1365" w:val="left"/>
        </w:tabs>
        <w:numPr>
          <w:ilvl w:val="0"/>
          <w:numId w:val="448"/>
        </w:numPr>
        <w:rPr>
          <w:rFonts w:ascii="Arial" w:cs="Arial" w:eastAsia="Arial" w:hAnsi="Arial"/>
          <w:sz w:val="14"/>
          <w:szCs w:val="14"/>
          <w:color w:val="auto"/>
        </w:rPr>
      </w:pPr>
      <w:r>
        <w:rPr>
          <w:rFonts w:ascii="Arial" w:cs="Arial" w:eastAsia="Arial" w:hAnsi="Arial"/>
          <w:sz w:val="14"/>
          <w:szCs w:val="14"/>
          <w:color w:val="auto"/>
        </w:rPr>
        <w:t>was known to the receiving Party, without any obligation to keep it confidential, prior to the date of first disclosure by the disclosing Party to the receiving Party, as shown by the receiving Party’s files and records;</w:t>
      </w:r>
    </w:p>
    <w:p>
      <w:pPr>
        <w:spacing w:after="0" w:line="131" w:lineRule="exact"/>
        <w:rPr>
          <w:rFonts w:ascii="Arial" w:cs="Arial" w:eastAsia="Arial" w:hAnsi="Arial"/>
          <w:sz w:val="14"/>
          <w:szCs w:val="14"/>
          <w:color w:val="auto"/>
        </w:rPr>
      </w:pPr>
    </w:p>
    <w:p>
      <w:pPr>
        <w:ind w:firstLine="1042"/>
        <w:spacing w:after="0" w:line="288" w:lineRule="auto"/>
        <w:tabs>
          <w:tab w:leader="none" w:pos="1357" w:val="left"/>
        </w:tabs>
        <w:numPr>
          <w:ilvl w:val="0"/>
          <w:numId w:val="448"/>
        </w:numPr>
        <w:rPr>
          <w:rFonts w:ascii="Arial" w:cs="Arial" w:eastAsia="Arial" w:hAnsi="Arial"/>
          <w:sz w:val="14"/>
          <w:szCs w:val="14"/>
          <w:color w:val="auto"/>
        </w:rPr>
      </w:pPr>
      <w:r>
        <w:rPr>
          <w:rFonts w:ascii="Arial" w:cs="Arial" w:eastAsia="Arial" w:hAnsi="Arial"/>
          <w:sz w:val="14"/>
          <w:szCs w:val="14"/>
          <w:color w:val="auto"/>
        </w:rPr>
        <w:t>is subsequently disclosed to the receiving Party by a Third Party lawfully in possession thereof without obligation to keep it confidential and without a breach of such Third Party’s obligations of confidentiality;</w:t>
      </w:r>
    </w:p>
    <w:p>
      <w:pPr>
        <w:spacing w:after="0" w:line="131" w:lineRule="exact"/>
        <w:rPr>
          <w:rFonts w:ascii="Arial" w:cs="Arial" w:eastAsia="Arial" w:hAnsi="Arial"/>
          <w:sz w:val="14"/>
          <w:szCs w:val="14"/>
          <w:color w:val="auto"/>
        </w:rPr>
      </w:pPr>
    </w:p>
    <w:p>
      <w:pPr>
        <w:ind w:left="1380" w:hanging="338"/>
        <w:spacing w:after="0"/>
        <w:tabs>
          <w:tab w:leader="none" w:pos="1380" w:val="left"/>
        </w:tabs>
        <w:numPr>
          <w:ilvl w:val="0"/>
          <w:numId w:val="448"/>
        </w:numPr>
        <w:rPr>
          <w:rFonts w:ascii="Arial" w:cs="Arial" w:eastAsia="Arial" w:hAnsi="Arial"/>
          <w:sz w:val="13"/>
          <w:szCs w:val="13"/>
          <w:color w:val="auto"/>
        </w:rPr>
      </w:pPr>
      <w:r>
        <w:rPr>
          <w:rFonts w:ascii="Arial" w:cs="Arial" w:eastAsia="Arial" w:hAnsi="Arial"/>
          <w:sz w:val="13"/>
          <w:szCs w:val="13"/>
          <w:color w:val="auto"/>
        </w:rPr>
        <w:t>has been publicly disclosed or made generally available to the public other than through any act or omission of the receiving Party or its Affiliates in breach of this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 or</w:t>
      </w:r>
    </w:p>
    <w:p>
      <w:pPr>
        <w:spacing w:after="0" w:line="174" w:lineRule="exact"/>
        <w:rPr>
          <w:rFonts w:ascii="Arial" w:cs="Arial" w:eastAsia="Arial" w:hAnsi="Arial"/>
          <w:sz w:val="13"/>
          <w:szCs w:val="13"/>
          <w:color w:val="auto"/>
        </w:rPr>
      </w:pPr>
    </w:p>
    <w:p>
      <w:pPr>
        <w:ind w:firstLine="1042"/>
        <w:spacing w:after="0" w:line="288" w:lineRule="auto"/>
        <w:tabs>
          <w:tab w:leader="none" w:pos="1357" w:val="left"/>
        </w:tabs>
        <w:numPr>
          <w:ilvl w:val="0"/>
          <w:numId w:val="448"/>
        </w:numPr>
        <w:rPr>
          <w:rFonts w:ascii="Arial" w:cs="Arial" w:eastAsia="Arial" w:hAnsi="Arial"/>
          <w:sz w:val="14"/>
          <w:szCs w:val="14"/>
          <w:color w:val="auto"/>
        </w:rPr>
      </w:pPr>
      <w:r>
        <w:rPr>
          <w:rFonts w:ascii="Arial" w:cs="Arial" w:eastAsia="Arial" w:hAnsi="Arial"/>
          <w:sz w:val="14"/>
          <w:szCs w:val="14"/>
          <w:color w:val="auto"/>
        </w:rPr>
        <w:t>has been independently developed by the receiving Party without the aid, application or use of the disclosing Party’s Confidential Information (the competent written proof of which must be contemporaneous with such independent development).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8" w:right="319" w:bottom="1440" w:gutter="0" w:footer="0" w:header="0"/>
        </w:sectPr>
      </w:pPr>
    </w:p>
    <w:bookmarkStart w:id="618" w:name="page619"/>
    <w:bookmarkEnd w:id="618"/>
    <w:p>
      <w:pPr>
        <w:ind w:firstLine="518"/>
        <w:spacing w:after="0" w:line="288"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Authorized Disclosure.</w:t>
      </w:r>
      <w:r>
        <w:rPr>
          <w:rFonts w:ascii="Arial" w:cs="Arial" w:eastAsia="Arial" w:hAnsi="Arial"/>
          <w:sz w:val="14"/>
          <w:szCs w:val="14"/>
          <w:color w:val="auto"/>
        </w:rPr>
        <w:t xml:space="preserve"> Notwithstanding </w:t>
      </w:r>
      <w:r>
        <w:rPr>
          <w:rFonts w:ascii="Arial" w:cs="Arial" w:eastAsia="Arial" w:hAnsi="Arial"/>
          <w:sz w:val="14"/>
          <w:szCs w:val="14"/>
          <w:u w:val="single" w:color="auto"/>
          <w:color w:val="auto"/>
        </w:rPr>
        <w:t>Section 6.1</w:t>
      </w:r>
      <w:r>
        <w:rPr>
          <w:rFonts w:ascii="Arial" w:cs="Arial" w:eastAsia="Arial" w:hAnsi="Arial"/>
          <w:sz w:val="14"/>
          <w:szCs w:val="14"/>
          <w:color w:val="auto"/>
        </w:rPr>
        <w:t>, a Party may disclose Confidential Information of the other Party to the extent such disclosure is reasonably necessary in the following instances:</w:t>
      </w:r>
    </w:p>
    <w:p>
      <w:pPr>
        <w:spacing w:after="0" w:line="132" w:lineRule="exact"/>
        <w:rPr>
          <w:sz w:val="20"/>
          <w:szCs w:val="20"/>
          <w:color w:val="auto"/>
        </w:rPr>
      </w:pPr>
    </w:p>
    <w:p>
      <w:pPr>
        <w:ind w:firstLine="1042"/>
        <w:spacing w:after="0" w:line="329" w:lineRule="auto"/>
        <w:tabs>
          <w:tab w:leader="none" w:pos="1357" w:val="left"/>
        </w:tabs>
        <w:numPr>
          <w:ilvl w:val="0"/>
          <w:numId w:val="449"/>
        </w:numPr>
        <w:rPr>
          <w:rFonts w:ascii="Arial" w:cs="Arial" w:eastAsia="Arial" w:hAnsi="Arial"/>
          <w:sz w:val="13"/>
          <w:szCs w:val="13"/>
          <w:color w:val="auto"/>
        </w:rPr>
      </w:pPr>
      <w:r>
        <w:rPr>
          <w:rFonts w:ascii="Arial" w:cs="Arial" w:eastAsia="Arial" w:hAnsi="Arial"/>
          <w:sz w:val="13"/>
          <w:szCs w:val="13"/>
          <w:color w:val="auto"/>
        </w:rPr>
        <w:t xml:space="preserve">Prosecuting and Maintaining Patent Rights in accordance with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non-filing Party whose Confidential information is being disclosed is given a reasonable opportunity to review the proposed disclosure of such Confidential Information and the filing Party considers in good faith any comments provided by the non-filing Party;</w:t>
      </w:r>
    </w:p>
    <w:p>
      <w:pPr>
        <w:spacing w:after="0" w:line="108" w:lineRule="exact"/>
        <w:rPr>
          <w:rFonts w:ascii="Arial" w:cs="Arial" w:eastAsia="Arial" w:hAnsi="Arial"/>
          <w:sz w:val="13"/>
          <w:szCs w:val="13"/>
          <w:color w:val="auto"/>
        </w:rPr>
      </w:pPr>
    </w:p>
    <w:p>
      <w:pPr>
        <w:jc w:val="both"/>
        <w:ind w:firstLine="1042"/>
        <w:spacing w:after="0" w:line="265" w:lineRule="auto"/>
        <w:tabs>
          <w:tab w:leader="none" w:pos="1365" w:val="left"/>
        </w:tabs>
        <w:numPr>
          <w:ilvl w:val="0"/>
          <w:numId w:val="449"/>
        </w:numPr>
        <w:rPr>
          <w:rFonts w:ascii="Arial" w:cs="Arial" w:eastAsia="Arial" w:hAnsi="Arial"/>
          <w:sz w:val="14"/>
          <w:szCs w:val="14"/>
          <w:color w:val="auto"/>
        </w:rPr>
      </w:pPr>
      <w:r>
        <w:rPr>
          <w:rFonts w:ascii="Arial" w:cs="Arial" w:eastAsia="Arial" w:hAnsi="Arial"/>
          <w:sz w:val="14"/>
          <w:szCs w:val="14"/>
          <w:color w:val="auto"/>
        </w:rPr>
        <w:t xml:space="preserve">communicating and making filings with Regulatory Authorities or otherwise complying with applicable Laws or submitting information to tax or other governmental authorities, including referencing any DMF in accordance with </w:t>
      </w:r>
      <w:r>
        <w:rPr>
          <w:rFonts w:ascii="Arial" w:cs="Arial" w:eastAsia="Arial" w:hAnsi="Arial"/>
          <w:sz w:val="14"/>
          <w:szCs w:val="14"/>
          <w:u w:val="single" w:color="auto"/>
          <w:color w:val="auto"/>
        </w:rPr>
        <w:t>Section 2.4</w:t>
      </w:r>
      <w:r>
        <w:rPr>
          <w:rFonts w:ascii="Arial" w:cs="Arial" w:eastAsia="Arial" w:hAnsi="Arial"/>
          <w:sz w:val="14"/>
          <w:szCs w:val="14"/>
          <w:color w:val="auto"/>
        </w:rPr>
        <w:t>; provided that if a Party is required by Law to make any public disclosure of Confidential Information of the other Party, to the extent it may legally do so, it will give reasonable advance written notice to the other Party of such disclosure and will use its reasonable efforts to secure confidential treatment of such Confidential Information prior to its disclosure (whether through protective orders or otherwise), and shall disclose only that portion of the Confidential Information which is legally required to be disclosed;</w:t>
      </w:r>
    </w:p>
    <w:p>
      <w:pPr>
        <w:spacing w:after="0" w:line="147" w:lineRule="exact"/>
        <w:rPr>
          <w:rFonts w:ascii="Arial" w:cs="Arial" w:eastAsia="Arial" w:hAnsi="Arial"/>
          <w:sz w:val="14"/>
          <w:szCs w:val="14"/>
          <w:color w:val="auto"/>
        </w:rPr>
      </w:pPr>
    </w:p>
    <w:p>
      <w:pPr>
        <w:ind w:left="1360" w:hanging="318"/>
        <w:spacing w:after="0"/>
        <w:tabs>
          <w:tab w:leader="none" w:pos="136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to the extent mutually agreed to in writing by the Parties; or</w:t>
      </w:r>
    </w:p>
    <w:p>
      <w:pPr>
        <w:spacing w:after="0" w:line="184" w:lineRule="exact"/>
        <w:rPr>
          <w:rFonts w:ascii="Arial" w:cs="Arial" w:eastAsia="Arial" w:hAnsi="Arial"/>
          <w:sz w:val="14"/>
          <w:szCs w:val="14"/>
          <w:color w:val="auto"/>
        </w:rPr>
      </w:pPr>
    </w:p>
    <w:p>
      <w:pPr>
        <w:ind w:left="1380" w:hanging="338"/>
        <w:spacing w:after="0"/>
        <w:tabs>
          <w:tab w:leader="none" w:pos="1380" w:val="left"/>
        </w:tabs>
        <w:numPr>
          <w:ilvl w:val="0"/>
          <w:numId w:val="449"/>
        </w:numPr>
        <w:rPr>
          <w:rFonts w:ascii="Arial" w:cs="Arial" w:eastAsia="Arial" w:hAnsi="Arial"/>
          <w:sz w:val="14"/>
          <w:szCs w:val="14"/>
          <w:color w:val="auto"/>
        </w:rPr>
      </w:pPr>
      <w:r>
        <w:rPr>
          <w:rFonts w:ascii="Arial" w:cs="Arial" w:eastAsia="Arial" w:hAnsi="Arial"/>
          <w:sz w:val="14"/>
          <w:szCs w:val="14"/>
          <w:color w:val="auto"/>
        </w:rPr>
        <w:t>to WARF to the extent necessary to perform CDI’s obligations under the WARF License Agreement.</w:t>
      </w:r>
    </w:p>
    <w:p>
      <w:pPr>
        <w:spacing w:after="0" w:line="184"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2"/>
          <w:szCs w:val="12"/>
          <w:u w:val="single" w:color="auto"/>
          <w:color w:val="auto"/>
        </w:rPr>
        <w:t>Press Releases and Other Permitted Disclosures.</w:t>
      </w:r>
    </w:p>
    <w:p>
      <w:pPr>
        <w:spacing w:after="0" w:line="184" w:lineRule="exact"/>
        <w:rPr>
          <w:sz w:val="20"/>
          <w:szCs w:val="20"/>
          <w:color w:val="auto"/>
        </w:rPr>
      </w:pPr>
    </w:p>
    <w:p>
      <w:pPr>
        <w:jc w:val="both"/>
        <w:ind w:firstLine="1042"/>
        <w:spacing w:after="0" w:line="287" w:lineRule="auto"/>
        <w:tabs>
          <w:tab w:leader="none" w:pos="1357" w:val="left"/>
        </w:tabs>
        <w:numPr>
          <w:ilvl w:val="0"/>
          <w:numId w:val="450"/>
        </w:numPr>
        <w:rPr>
          <w:rFonts w:ascii="Arial" w:cs="Arial" w:eastAsia="Arial" w:hAnsi="Arial"/>
          <w:sz w:val="13"/>
          <w:szCs w:val="13"/>
          <w:color w:val="auto"/>
        </w:rPr>
      </w:pPr>
      <w:r>
        <w:rPr>
          <w:rFonts w:ascii="Arial" w:cs="Arial" w:eastAsia="Arial" w:hAnsi="Arial"/>
          <w:sz w:val="13"/>
          <w:szCs w:val="13"/>
          <w:color w:val="auto"/>
        </w:rPr>
        <w:t xml:space="preserve">CDI and Century each agree not to disclose any of the terms and conditions of this Agreement to any Third Party, except as described below in this </w:t>
      </w:r>
      <w:r>
        <w:rPr>
          <w:rFonts w:ascii="Arial" w:cs="Arial" w:eastAsia="Arial" w:hAnsi="Arial"/>
          <w:sz w:val="13"/>
          <w:szCs w:val="13"/>
          <w:u w:val="single" w:color="auto"/>
          <w:color w:val="auto"/>
        </w:rPr>
        <w:t>Section 6.4</w:t>
      </w:r>
      <w:r>
        <w:rPr>
          <w:rFonts w:ascii="Arial" w:cs="Arial" w:eastAsia="Arial" w:hAnsi="Arial"/>
          <w:sz w:val="13"/>
          <w:szCs w:val="13"/>
          <w:color w:val="auto"/>
        </w:rPr>
        <w:t xml:space="preserve"> or as otherwise agreed in writing by the Parties. The Parties have agreed on a press release to be issued by Century announcing this Agreement after the Effective Date in substantially the form set forth in Exhibit D; provided that the timing of the publication and release of such press release shall be agreed to by the Parties. Each Party shall have the right to disclose the existence of this Agreement, including that Century has received a license to CDI’s Licensed Patent Rights. Subject to the other provisions of this Agreement, no press release, public statement or public disclosure concerning the existence or terms of this Agreement shall be made, either directly or indirectly, by either Party without the prior written approval of the other Party. Once any public statement or public disclosure has been approved in accordance with this </w:t>
      </w:r>
      <w:r>
        <w:rPr>
          <w:rFonts w:ascii="Arial" w:cs="Arial" w:eastAsia="Arial" w:hAnsi="Arial"/>
          <w:sz w:val="13"/>
          <w:szCs w:val="13"/>
          <w:u w:val="single" w:color="auto"/>
          <w:color w:val="auto"/>
        </w:rPr>
        <w:t>Section 6.4</w:t>
      </w:r>
      <w:r>
        <w:rPr>
          <w:rFonts w:ascii="Arial" w:cs="Arial" w:eastAsia="Arial" w:hAnsi="Arial"/>
          <w:sz w:val="13"/>
          <w:szCs w:val="13"/>
          <w:color w:val="auto"/>
        </w:rPr>
        <w:t>, then either Party may appropriately communicate information contained in such permitted statement or disclosure.</w:t>
      </w:r>
    </w:p>
    <w:p>
      <w:pPr>
        <w:spacing w:after="0" w:line="135" w:lineRule="exact"/>
        <w:rPr>
          <w:rFonts w:ascii="Arial" w:cs="Arial" w:eastAsia="Arial" w:hAnsi="Arial"/>
          <w:sz w:val="13"/>
          <w:szCs w:val="13"/>
          <w:color w:val="auto"/>
        </w:rPr>
      </w:pPr>
    </w:p>
    <w:p>
      <w:pPr>
        <w:jc w:val="both"/>
        <w:ind w:firstLine="1042"/>
        <w:spacing w:after="0" w:line="303" w:lineRule="auto"/>
        <w:tabs>
          <w:tab w:leader="none" w:pos="1365" w:val="left"/>
        </w:tabs>
        <w:numPr>
          <w:ilvl w:val="0"/>
          <w:numId w:val="450"/>
        </w:numPr>
        <w:rPr>
          <w:rFonts w:ascii="Arial" w:cs="Arial" w:eastAsia="Arial" w:hAnsi="Arial"/>
          <w:sz w:val="13"/>
          <w:szCs w:val="13"/>
          <w:color w:val="auto"/>
        </w:rPr>
      </w:pPr>
      <w:r>
        <w:rPr>
          <w:rFonts w:ascii="Arial" w:cs="Arial" w:eastAsia="Arial" w:hAnsi="Arial"/>
          <w:sz w:val="13"/>
          <w:szCs w:val="13"/>
          <w:color w:val="auto"/>
        </w:rPr>
        <w:t>Century may disclose the terms and conditions of this Agreement on a strictly need-to-know basis to (i) its Affiliates, employees, consultants, independent contractors, agents or professional advisors (including attorneys, accountants and actual and prospective investment bankers), (ii) actual or potential investors, lenders, Sublicensees, licensees, licensors, or collaborators, but only with the express prior written consent of CDI, which shall not be unreasonably conditioned, delayed or withheld (and, for clarity, the conditioning of such consent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619" w:name="page620"/>
    <w:bookmarkEnd w:id="619"/>
    <w:p>
      <w:pPr>
        <w:jc w:val="both"/>
        <w:spacing w:after="0" w:line="267" w:lineRule="auto"/>
        <w:rPr>
          <w:sz w:val="20"/>
          <w:szCs w:val="20"/>
          <w:color w:val="auto"/>
        </w:rPr>
      </w:pPr>
      <w:r>
        <w:rPr>
          <w:rFonts w:ascii="Arial" w:cs="Arial" w:eastAsia="Arial" w:hAnsi="Arial"/>
          <w:sz w:val="14"/>
          <w:szCs w:val="14"/>
          <w:color w:val="auto"/>
        </w:rPr>
        <w:t>on only a redacted copy of this Agreement approved by CDI being disclosed to any of the foregoing persons in this clause (ii) shall not automatically be deemed to be unreasonable) or (iii) acquirers or merger partners that have entered into a letter of intent or are actively negotiating a definitive acquisition or merger agreement with Century; in each case under the foregoing clause (i), (ii) or (iii), under obligations of confidentiality at least as restrictive as those set forth herein, and solely in connection with Century performing its obligations or exercising its rights under this Agreement or for the purpose of assisting the recipient with evaluating and entering into a transaction with Century.</w:t>
      </w:r>
    </w:p>
    <w:p>
      <w:pPr>
        <w:spacing w:after="0" w:line="147" w:lineRule="exact"/>
        <w:rPr>
          <w:sz w:val="20"/>
          <w:szCs w:val="20"/>
          <w:color w:val="auto"/>
        </w:rPr>
      </w:pPr>
    </w:p>
    <w:p>
      <w:pPr>
        <w:jc w:val="both"/>
        <w:ind w:firstLine="1042"/>
        <w:spacing w:after="0" w:line="285" w:lineRule="auto"/>
        <w:tabs>
          <w:tab w:leader="none" w:pos="1357" w:val="left"/>
        </w:tabs>
        <w:numPr>
          <w:ilvl w:val="0"/>
          <w:numId w:val="451"/>
        </w:numPr>
        <w:rPr>
          <w:rFonts w:ascii="Arial" w:cs="Arial" w:eastAsia="Arial" w:hAnsi="Arial"/>
          <w:sz w:val="13"/>
          <w:szCs w:val="13"/>
          <w:color w:val="auto"/>
        </w:rPr>
      </w:pPr>
      <w:r>
        <w:rPr>
          <w:rFonts w:ascii="Arial" w:cs="Arial" w:eastAsia="Arial" w:hAnsi="Arial"/>
          <w:sz w:val="13"/>
          <w:szCs w:val="13"/>
          <w:color w:val="auto"/>
        </w:rPr>
        <w:t>CDI may disclose the terms and conditions of this Agreement on a strictly need-to-know basis to (i) its Affiliates, employees, consultants, independent contractors, agents or professional advisors (including attorneys, accountants and actual and prospective investment bankers), (ii) actual or potential investors, lenders, licensors, licensees, or collaborators, but except in the case of CDI’s licensors of any of the Licensed Patent Rights (to which this clause does not apply), only with the express prior written consent of Century, which shall not be unreasonably conditioned, delayed or withheld (and, for clarity, the conditioning of such consent on only a redacted copy of this Agreement approved by Century being disclosed to any of the foregoing persons in this clause (ii) shall not automatically be deemed to be unreasonable), or (iii) acquirers or merger partners that have entered into a letter of intent or are actively negotiating a definitive acquisition or merger agreement with CDI; in each case under the foregoing clause (i), (ii) or (iii), under obligations of confidentiality at least as restrictive as those set forth herein, and solely in connection with CDI performing its obligations or exercising its rights under this Agreement or for the purpose of assisting the recipient with evaluating and entering into a transaction with CDI.</w:t>
      </w:r>
    </w:p>
    <w:p>
      <w:pPr>
        <w:spacing w:after="0" w:line="138" w:lineRule="exact"/>
        <w:rPr>
          <w:rFonts w:ascii="Arial" w:cs="Arial" w:eastAsia="Arial" w:hAnsi="Arial"/>
          <w:sz w:val="13"/>
          <w:szCs w:val="13"/>
          <w:color w:val="auto"/>
        </w:rPr>
      </w:pPr>
    </w:p>
    <w:p>
      <w:pPr>
        <w:jc w:val="both"/>
        <w:ind w:firstLine="1042"/>
        <w:spacing w:after="0" w:line="285" w:lineRule="auto"/>
        <w:tabs>
          <w:tab w:leader="none" w:pos="1365" w:val="left"/>
        </w:tabs>
        <w:numPr>
          <w:ilvl w:val="0"/>
          <w:numId w:val="451"/>
        </w:numPr>
        <w:rPr>
          <w:rFonts w:ascii="Arial" w:cs="Arial" w:eastAsia="Arial" w:hAnsi="Arial"/>
          <w:sz w:val="13"/>
          <w:szCs w:val="13"/>
          <w:color w:val="auto"/>
        </w:rPr>
      </w:pPr>
      <w:r>
        <w:rPr>
          <w:rFonts w:ascii="Arial" w:cs="Arial" w:eastAsia="Arial" w:hAnsi="Arial"/>
          <w:sz w:val="13"/>
          <w:szCs w:val="13"/>
          <w:color w:val="auto"/>
        </w:rPr>
        <w:t xml:space="preserve">Notwithstanding the foregoing provisions of this </w:t>
      </w:r>
      <w:r>
        <w:rPr>
          <w:rFonts w:ascii="Arial" w:cs="Arial" w:eastAsia="Arial" w:hAnsi="Arial"/>
          <w:sz w:val="13"/>
          <w:szCs w:val="13"/>
          <w:u w:val="single" w:color="auto"/>
          <w:color w:val="auto"/>
        </w:rPr>
        <w:t>Article 6</w:t>
      </w:r>
      <w:r>
        <w:rPr>
          <w:rFonts w:ascii="Arial" w:cs="Arial" w:eastAsia="Arial" w:hAnsi="Arial"/>
          <w:sz w:val="13"/>
          <w:szCs w:val="13"/>
          <w:color w:val="auto"/>
        </w:rPr>
        <w:t>, a Party may disclose the existence and terms of this Agreement or the Confidential Information of the other Party where required, as reasonably determined by the legal counsel of the disclosing Party, by applicable Law, by applicable stock exchange regulation or by order or other ruling of a competent court or other governmental authority, although, to the extent practicable, the other Party shall be given at least three (3) Business Days advance written notice of any such legally required disclosure to comment and the disclosing Party shall reasonably consider such comments provided by such other Party on the proposed disclosure. In case either Party is obliged to publicly disclose or file this Agreement as a “material agreement” in accordance with applicable Law or applicable stock exchange regulations (“</w:t>
      </w:r>
      <w:r>
        <w:rPr>
          <w:rFonts w:ascii="Arial" w:cs="Arial" w:eastAsia="Arial" w:hAnsi="Arial"/>
          <w:sz w:val="13"/>
          <w:szCs w:val="13"/>
          <w:b w:val="1"/>
          <w:bCs w:val="1"/>
          <w:color w:val="auto"/>
        </w:rPr>
        <w:t>SEC Filing</w:t>
      </w:r>
      <w:r>
        <w:rPr>
          <w:rFonts w:ascii="Arial" w:cs="Arial" w:eastAsia="Arial" w:hAnsi="Arial"/>
          <w:sz w:val="13"/>
          <w:szCs w:val="13"/>
          <w:color w:val="auto"/>
        </w:rPr>
        <w:t xml:space="preserve">”), this Agreement shall be redacted by the filing Party to the extent permissible upon the advice of legal counsel, and the filing Party shall provide the other Party a copy of such redacted Agreement in advance of such SEC Filing to enable the other Party to review and comment on the scope of such redaction;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filing Party shall consider in good faith any comments provided by such other Party.</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Warranties and Covenants</w:t>
      </w:r>
    </w:p>
    <w:p>
      <w:pPr>
        <w:spacing w:after="0" w:line="175"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Representations of Authority.</w:t>
      </w:r>
      <w:r>
        <w:rPr>
          <w:rFonts w:ascii="Arial" w:cs="Arial" w:eastAsia="Arial" w:hAnsi="Arial"/>
          <w:sz w:val="14"/>
          <w:szCs w:val="14"/>
          <w:color w:val="auto"/>
        </w:rPr>
        <w:t xml:space="preserve"> Each Party represents and warrants to the other that as of the Effective Date it has full right, power and authority to enter into this Agreement and to perform its respective obligations under this Agreement.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20" w:name="page621"/>
    <w:bookmarkEnd w:id="620"/>
    <w:p>
      <w:pPr>
        <w:jc w:val="both"/>
        <w:ind w:firstLine="518"/>
        <w:spacing w:after="0" w:line="329"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Consents.</w:t>
      </w:r>
      <w:r>
        <w:rPr>
          <w:rFonts w:ascii="Arial" w:cs="Arial" w:eastAsia="Arial" w:hAnsi="Arial"/>
          <w:sz w:val="13"/>
          <w:szCs w:val="13"/>
          <w:color w:val="auto"/>
        </w:rPr>
        <w:t xml:space="preserve"> Each Party represents and warrants that as of the Effective Date all necessary consents (excluding WARF’s consent set forth in </w:t>
      </w:r>
      <w:r>
        <w:rPr>
          <w:rFonts w:ascii="Arial" w:cs="Arial" w:eastAsia="Arial" w:hAnsi="Arial"/>
          <w:sz w:val="13"/>
          <w:szCs w:val="13"/>
          <w:u w:val="single" w:color="auto"/>
          <w:color w:val="auto"/>
        </w:rPr>
        <w:t>Section 9.1</w:t>
      </w:r>
      <w:r>
        <w:rPr>
          <w:rFonts w:ascii="Arial" w:cs="Arial" w:eastAsia="Arial" w:hAnsi="Arial"/>
          <w:sz w:val="13"/>
          <w:szCs w:val="13"/>
          <w:color w:val="auto"/>
        </w:rPr>
        <w:t>), approvals and authorizations of all government authorities and other Persons required to be obtained by such Party in connection with execution, delivery and performance of this Agreement have been obtained.</w:t>
      </w:r>
    </w:p>
    <w:p>
      <w:pPr>
        <w:spacing w:after="0" w:line="108"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No Conflict.</w:t>
      </w:r>
      <w:r>
        <w:rPr>
          <w:rFonts w:ascii="Arial" w:cs="Arial" w:eastAsia="Arial" w:hAnsi="Arial"/>
          <w:sz w:val="14"/>
          <w:szCs w:val="14"/>
          <w:color w:val="auto"/>
        </w:rPr>
        <w:t xml:space="preserve"> Each Party represents and warrants that, as of the Effective Date, the execution and delivery of this Agreement and the performance of such Party’s obligations hereunder (a) do not conflict with or violate any requirement of applicable Laws and (b) do not conflict with, violate or breach or constitute a default of, or require any consent under, any contractual obligations of such Party, except such consents as have been obtained as of the Effective Date. For the avoidance of doubt, this Agreement is subject to the WARF License Agreement and in the case of any inconsistency between the WARF License Agreement and this Agreement the WARF License Agreement prevails.</w:t>
      </w:r>
    </w:p>
    <w:p>
      <w:pPr>
        <w:spacing w:after="0" w:line="14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Employee, Consultant and Advisor Obligations.</w:t>
      </w:r>
      <w:r>
        <w:rPr>
          <w:rFonts w:ascii="Arial" w:cs="Arial" w:eastAsia="Arial" w:hAnsi="Arial"/>
          <w:sz w:val="14"/>
          <w:szCs w:val="14"/>
          <w:color w:val="auto"/>
        </w:rPr>
        <w:t xml:space="preserve"> Each Party represents and warrants that, as of the Effective Date, each of its and its Affiliates’ employees, consultants and advisors has executed an agreement or has an existing obligation under law obligating such employee, consultant or advisor to maintain the confidentiality of Confidential Information to the extent required under </w:t>
      </w:r>
      <w:r>
        <w:rPr>
          <w:rFonts w:ascii="Arial" w:cs="Arial" w:eastAsia="Arial" w:hAnsi="Arial"/>
          <w:sz w:val="14"/>
          <w:szCs w:val="14"/>
          <w:u w:val="single" w:color="auto"/>
          <w:color w:val="auto"/>
        </w:rPr>
        <w:t>Article 6</w:t>
      </w:r>
      <w:r>
        <w:rPr>
          <w:rFonts w:ascii="Arial" w:cs="Arial" w:eastAsia="Arial" w:hAnsi="Arial"/>
          <w:sz w:val="14"/>
          <w:szCs w:val="14"/>
          <w:color w:val="auto"/>
        </w:rPr>
        <w:t>.</w:t>
      </w:r>
    </w:p>
    <w:p>
      <w:pPr>
        <w:spacing w:after="0" w:line="141"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u w:val="single" w:color="auto"/>
          <w:color w:val="auto"/>
        </w:rPr>
        <w:t>Intellectual Property.</w:t>
      </w:r>
    </w:p>
    <w:p>
      <w:pPr>
        <w:spacing w:after="0" w:line="184" w:lineRule="exact"/>
        <w:rPr>
          <w:sz w:val="20"/>
          <w:szCs w:val="20"/>
          <w:color w:val="auto"/>
        </w:rPr>
      </w:pPr>
    </w:p>
    <w:p>
      <w:pPr>
        <w:jc w:val="both"/>
        <w:ind w:firstLine="1042"/>
        <w:spacing w:after="0" w:line="282" w:lineRule="auto"/>
        <w:tabs>
          <w:tab w:leader="none" w:pos="1357" w:val="left"/>
        </w:tabs>
        <w:numPr>
          <w:ilvl w:val="0"/>
          <w:numId w:val="452"/>
        </w:numPr>
        <w:rPr>
          <w:rFonts w:ascii="Arial" w:cs="Arial" w:eastAsia="Arial" w:hAnsi="Arial"/>
          <w:sz w:val="13"/>
          <w:szCs w:val="13"/>
          <w:color w:val="auto"/>
        </w:rPr>
      </w:pPr>
      <w:r>
        <w:rPr>
          <w:rFonts w:ascii="Arial" w:cs="Arial" w:eastAsia="Arial" w:hAnsi="Arial"/>
          <w:sz w:val="13"/>
          <w:szCs w:val="13"/>
          <w:color w:val="auto"/>
        </w:rPr>
        <w:t>CDI represents and warrants to Century that (i) it Controls the entire right, title and interest in and to the Licensed Patent Rights, (ii) it has the right to grant to Century the rights and licenses under the Licensed Patent Rights granted in this Agreement and will not take any of the foregoing actions in any manner inconsistent with the terms hereof, (iii) to the knowledge of CDI, none of the Licensed Patent Rights was fraudulently procured from the relevant governmental patent granting authority, (iv) as of the Effective Date, except for the currently pending dispute between CDI and [***] to the extent fully disclosed to Century as of the Effective Date, current pending opposition and third party observation against EP patent to the knowledge of CDI, there is no claim or demand of any Person pertaining to, or any proceeding which is pending or threatened, that asserts the invalidity, misuse or unenforceability of the Licensed Patent Rights or challenges its ownership of such Patent Rights or makes any adverse claim with respect thereto, including any claim that such Patent Rights infringe or misappropriate Intellectual Property of any Third Party, and, to the knowledge of CDI, there is no basis for any such claim, demand or proceeding, (v) except for the currently pending dispute between CDI and [***] to the extent fully disclosed to Century as of the Effective Date, to the knowledge of CDI (without any duty to investigate), as of the Effective Date, the Licensed Patent Rights are not being infringed by any Third Party, (vi) the Licensed Patent Rights include all Patent Rights that are owned or exclusively licensed by it as of the Effective Date with respect to the reprogramming of human somatic cells to iPSCs except for the Patent Rights exclusively licensed from [***] and (vii) none of its Affiliates own or control, as of the Effective Date, any Patent Rights pertaining to reprogramming of human somatic cells to iPSC that are reasonably necessary to Exploit a Licensed Product.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621" w:name="page622"/>
    <w:bookmarkEnd w:id="621"/>
    <w:p>
      <w:pPr>
        <w:jc w:val="both"/>
        <w:ind w:firstLine="1042"/>
        <w:spacing w:after="0" w:line="265" w:lineRule="auto"/>
        <w:tabs>
          <w:tab w:leader="none" w:pos="1365" w:val="left"/>
        </w:tabs>
        <w:numPr>
          <w:ilvl w:val="0"/>
          <w:numId w:val="453"/>
        </w:numPr>
        <w:rPr>
          <w:rFonts w:ascii="Arial" w:cs="Arial" w:eastAsia="Arial" w:hAnsi="Arial"/>
          <w:sz w:val="14"/>
          <w:szCs w:val="14"/>
          <w:color w:val="auto"/>
        </w:rPr>
      </w:pPr>
      <w:r>
        <w:rPr>
          <w:rFonts w:ascii="Arial" w:cs="Arial" w:eastAsia="Arial" w:hAnsi="Arial"/>
          <w:sz w:val="14"/>
          <w:szCs w:val="14"/>
          <w:color w:val="auto"/>
        </w:rPr>
        <w:t>During the Term, CDI shall uses Commercially Reasonable Best Efforts to retain and maintain sufficient license rights under, any Licensed Patent Rights to enable CDI to grant the licenses and rights to such Patent Rights as reasonably necessary to practice, such Patent Rights in accordance with the license to be granted under this Agreement. CDI shall not, during the Term, sell, assign, transfer, pledge, fail to maintain control of otherwise dispose of, or incur any lien or encumbrance on, any Licensed Patent Rights. Notwithstanding any provision to the contrary, CDI may sell, assign, transfer, license, pledge, fail to maintain control of, otherwise dispose of, or grant any option or other right, title or interest in to or under, or incur any lien or encumbrance on, any Patent Rights licensed under this Agreement so long as such disposition is subject to this Agreement.</w:t>
      </w:r>
    </w:p>
    <w:p>
      <w:pPr>
        <w:spacing w:after="0" w:line="147" w:lineRule="exact"/>
        <w:rPr>
          <w:rFonts w:ascii="Arial" w:cs="Arial" w:eastAsia="Arial" w:hAnsi="Arial"/>
          <w:sz w:val="14"/>
          <w:szCs w:val="14"/>
          <w:color w:val="auto"/>
        </w:rPr>
      </w:pPr>
    </w:p>
    <w:p>
      <w:pPr>
        <w:jc w:val="both"/>
        <w:ind w:firstLine="1042"/>
        <w:spacing w:after="0" w:line="265" w:lineRule="auto"/>
        <w:tabs>
          <w:tab w:leader="none" w:pos="1357" w:val="left"/>
        </w:tabs>
        <w:numPr>
          <w:ilvl w:val="0"/>
          <w:numId w:val="453"/>
        </w:numPr>
        <w:rPr>
          <w:rFonts w:ascii="Arial" w:cs="Arial" w:eastAsia="Arial" w:hAnsi="Arial"/>
          <w:sz w:val="14"/>
          <w:szCs w:val="14"/>
          <w:color w:val="auto"/>
        </w:rPr>
      </w:pPr>
      <w:r>
        <w:rPr>
          <w:rFonts w:ascii="Arial" w:cs="Arial" w:eastAsia="Arial" w:hAnsi="Arial"/>
          <w:sz w:val="14"/>
          <w:szCs w:val="14"/>
          <w:color w:val="auto"/>
        </w:rPr>
        <w:t>Nothing in this Agreement will, however, be construed as: (i) a warranty or representation by CDI as to the validity, enforceability, or scope of any of the Licensed Patent Rights; (ii) a warranty or representation that anything made, used or transferred under the licenses granted in this Agreement will or will not infringe patents of Third Parties; (iii) an obligation to furnish any assistance, or Know-How not provided in the Licensed Patent Rights or any materials or services other than those specified in this Agreement; or (iv) an obligation to file any patent application or secure or maintain any patent right Century represents and warrants that Products produced under the licenses granted herein shall be manufactured substantially in the United States as required by 35 U.S.C § 204 and applicable regulations of Chapter 37 of the Code of Federal Regulations.</w:t>
      </w:r>
    </w:p>
    <w:p>
      <w:pPr>
        <w:spacing w:after="0" w:line="147" w:lineRule="exact"/>
        <w:rPr>
          <w:rFonts w:ascii="Arial" w:cs="Arial" w:eastAsia="Arial" w:hAnsi="Arial"/>
          <w:sz w:val="14"/>
          <w:szCs w:val="14"/>
          <w:color w:val="auto"/>
        </w:rPr>
      </w:pPr>
    </w:p>
    <w:p>
      <w:pPr>
        <w:ind w:firstLine="1042"/>
        <w:spacing w:after="0" w:line="288" w:lineRule="auto"/>
        <w:tabs>
          <w:tab w:leader="none" w:pos="1365" w:val="left"/>
        </w:tabs>
        <w:numPr>
          <w:ilvl w:val="0"/>
          <w:numId w:val="453"/>
        </w:numPr>
        <w:rPr>
          <w:rFonts w:ascii="Arial" w:cs="Arial" w:eastAsia="Arial" w:hAnsi="Arial"/>
          <w:sz w:val="14"/>
          <w:szCs w:val="14"/>
          <w:color w:val="auto"/>
        </w:rPr>
      </w:pPr>
      <w:r>
        <w:rPr>
          <w:rFonts w:ascii="Arial" w:cs="Arial" w:eastAsia="Arial" w:hAnsi="Arial"/>
          <w:sz w:val="14"/>
          <w:szCs w:val="14"/>
          <w:color w:val="auto"/>
        </w:rPr>
        <w:t>If During the Term, CDI develops, conceives, generates any Intellectual Property pertaining to reprogramming of human somatic cells to iPSC that are reasonably necessary to Exploit the Licensed Products, CDI shall maintain Control over such Intellectual Property.</w:t>
      </w:r>
    </w:p>
    <w:p>
      <w:pPr>
        <w:spacing w:after="0" w:line="132"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2"/>
          <w:szCs w:val="12"/>
          <w:u w:val="single" w:color="auto"/>
          <w:color w:val="auto"/>
        </w:rPr>
        <w:t>No Warranties.</w:t>
      </w:r>
    </w:p>
    <w:p>
      <w:pPr>
        <w:spacing w:after="0" w:line="180" w:lineRule="exact"/>
        <w:rPr>
          <w:sz w:val="20"/>
          <w:szCs w:val="20"/>
          <w:color w:val="auto"/>
        </w:rPr>
      </w:pPr>
    </w:p>
    <w:p>
      <w:pPr>
        <w:jc w:val="both"/>
        <w:ind w:firstLine="1042"/>
        <w:spacing w:after="0" w:line="266" w:lineRule="auto"/>
        <w:tabs>
          <w:tab w:leader="none" w:pos="1357" w:val="left"/>
        </w:tabs>
        <w:numPr>
          <w:ilvl w:val="0"/>
          <w:numId w:val="454"/>
        </w:numPr>
        <w:rPr>
          <w:rFonts w:ascii="Arial" w:cs="Arial" w:eastAsia="Arial" w:hAnsi="Arial"/>
          <w:sz w:val="14"/>
          <w:szCs w:val="14"/>
          <w:color w:val="auto"/>
        </w:rPr>
      </w:pPr>
      <w:r>
        <w:rPr>
          <w:rFonts w:ascii="Arial" w:cs="Arial" w:eastAsia="Arial" w:hAnsi="Arial"/>
          <w:sz w:val="14"/>
          <w:szCs w:val="14"/>
          <w:b w:val="1"/>
          <w:bCs w:val="1"/>
          <w:color w:val="auto"/>
        </w:rPr>
        <w:t>EXCEPT AS OTHERWISE EXPRESSLY SET FORTH IN ARTICLE 7 HEREOF, THE PARTIES MAKE NO REPRESENTATIONS AND EXTEND NO WARRANTIES OF ANY KIND, EITHER EXPRESS OR IMPLIED, INCLUDING WARRANTIES OF MERCHANTABILITY, FITNESS FOR A PARTICULAR PURPOSE, NON-INFRINGEMENT, OR NON-MISAPPROPRIATION OF THIRD PARTY INTELLECTUAL PROPERTY RIGHTS, ARE MADE OR GIVEN BY OR ON BEHALF OF A PARTY. EXCEPT AS EXPRESSLY STATED IN THIS AGREEMENT, ALL REPRESENTATIONS AND WARRANTIES, WHETHER ARISING BY OPERATION OF LAW OR OTHERWISE, ARE HEREBY EXPRESSLY EXCLUDED.</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ARTICLE 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Insurance; and Limitation on Damages</w:t>
      </w:r>
    </w:p>
    <w:p>
      <w:pPr>
        <w:spacing w:after="0" w:line="175" w:lineRule="exact"/>
        <w:rPr>
          <w:sz w:val="20"/>
          <w:szCs w:val="20"/>
          <w:color w:val="auto"/>
        </w:rPr>
      </w:pPr>
    </w:p>
    <w:p>
      <w:pPr>
        <w:ind w:firstLine="518"/>
        <w:spacing w:after="0" w:line="329"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By Century.</w:t>
      </w:r>
      <w:r>
        <w:rPr>
          <w:rFonts w:ascii="Arial" w:cs="Arial" w:eastAsia="Arial" w:hAnsi="Arial"/>
          <w:sz w:val="13"/>
          <w:szCs w:val="13"/>
          <w:color w:val="auto"/>
        </w:rPr>
        <w:t xml:space="preserve"> Century, its Affiliates and its Sublicensee(s) will, at all times during the Term of this Agreement and thereafter, indemnify, defend and hold harmless CDI, WARF, the Morgridge Institute for Research, the WiCell Research Institute, and the University of Wisconsin (the “</w:t>
      </w:r>
      <w:r>
        <w:rPr>
          <w:rFonts w:ascii="Arial" w:cs="Arial" w:eastAsia="Arial" w:hAnsi="Arial"/>
          <w:sz w:val="13"/>
          <w:szCs w:val="13"/>
          <w:b w:val="1"/>
          <w:bCs w:val="1"/>
          <w:color w:val="auto"/>
        </w:rPr>
        <w:t>University</w:t>
      </w:r>
      <w:r>
        <w:rPr>
          <w:rFonts w:ascii="Arial" w:cs="Arial" w:eastAsia="Arial" w:hAnsi="Arial"/>
          <w:sz w:val="13"/>
          <w:szCs w:val="13"/>
          <w:color w:val="auto"/>
        </w:rPr>
        <w:t>”), and their respective trustees, directors, officers, shareholders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622" w:name="page623"/>
    <w:bookmarkEnd w:id="622"/>
    <w:p>
      <w:pPr>
        <w:jc w:val="both"/>
        <w:spacing w:after="0" w:line="303" w:lineRule="auto"/>
        <w:rPr>
          <w:sz w:val="20"/>
          <w:szCs w:val="20"/>
          <w:color w:val="auto"/>
        </w:rPr>
      </w:pPr>
      <w:r>
        <w:rPr>
          <w:rFonts w:ascii="Arial" w:cs="Arial" w:eastAsia="Arial" w:hAnsi="Arial"/>
          <w:sz w:val="13"/>
          <w:szCs w:val="13"/>
          <w:color w:val="auto"/>
        </w:rPr>
        <w:t>and employees (including without limitation any inventors of the Licensed Patent Rights) against all liabilities, demands, damages, settlements, suits, claims, proceedings, costs and expenses, including legal expenses and reasonable attorney’s fees, arising out of or relating to the death of or injury to any person or persons or any damage to property, due to the sale, marketing, use, or manufacture of Licensed Products or Developments. CDI at all times reserves the right to select and retain counsel of its own to defend CDI’s interests in any such proceeding.</w:t>
      </w:r>
    </w:p>
    <w:p>
      <w:pPr>
        <w:spacing w:after="0" w:line="124"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By CDI.</w:t>
      </w:r>
      <w:r>
        <w:rPr>
          <w:rFonts w:ascii="Arial" w:cs="Arial" w:eastAsia="Arial" w:hAnsi="Arial"/>
          <w:sz w:val="13"/>
          <w:szCs w:val="13"/>
          <w:color w:val="auto"/>
        </w:rPr>
        <w:t xml:space="preserve"> CDI, its Affiliates and its Sublicensee(s) will, at all times during </w:t>
      </w:r>
      <w:r>
        <w:rPr>
          <w:rFonts w:ascii="Arial" w:cs="Arial" w:eastAsia="Arial" w:hAnsi="Arial"/>
          <w:sz w:val="13"/>
          <w:szCs w:val="13"/>
          <w:color w:val="282828"/>
        </w:rPr>
        <w:t>the Term of this Agreement and thereafter, indemnify, defend and hold harmless Century, its Affiliates and</w:t>
      </w:r>
      <w:r>
        <w:rPr>
          <w:rFonts w:ascii="Arial" w:cs="Arial" w:eastAsia="Arial" w:hAnsi="Arial"/>
          <w:sz w:val="13"/>
          <w:szCs w:val="13"/>
          <w:color w:val="auto"/>
        </w:rPr>
        <w:t xml:space="preserve"> </w:t>
      </w:r>
      <w:r>
        <w:rPr>
          <w:rFonts w:ascii="Arial" w:cs="Arial" w:eastAsia="Arial" w:hAnsi="Arial"/>
          <w:sz w:val="13"/>
          <w:szCs w:val="13"/>
          <w:color w:val="282828"/>
        </w:rPr>
        <w:t xml:space="preserve">its Sublicensees, and their respective trustees, directors, officers, shareholders and employees against all liabilities, demands, damages, settlements, suits, claims, proceedings, costs and expenses, including legal expenses and reasonable attorney’s fees, arising out of or relating to (a) any material breach by CDI of any of its representations, warranties or obligations pursuant to this Agreement, or (b) the willful misconduct or grossly negligent acts of CDI or its Affiliates; excluding, in each case (a) and (b), any damages or other amounts for which Century has an obligations to indemnify CDI pursuant to </w:t>
      </w:r>
      <w:r>
        <w:rPr>
          <w:rFonts w:ascii="Arial" w:cs="Arial" w:eastAsia="Arial" w:hAnsi="Arial"/>
          <w:sz w:val="13"/>
          <w:szCs w:val="13"/>
          <w:u w:val="single" w:color="auto"/>
          <w:color w:val="282828"/>
        </w:rPr>
        <w:t>Section 8.1</w:t>
      </w:r>
      <w:r>
        <w:rPr>
          <w:rFonts w:ascii="Arial" w:cs="Arial" w:eastAsia="Arial" w:hAnsi="Arial"/>
          <w:sz w:val="13"/>
          <w:szCs w:val="13"/>
          <w:color w:val="282828"/>
        </w:rPr>
        <w:t>, as to which damages or amounts each Party shall indemnify the other to the extent of their respective liability for such damages or amounts.</w:t>
      </w:r>
    </w:p>
    <w:p>
      <w:pPr>
        <w:spacing w:after="0" w:line="129"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Procedures.</w:t>
      </w:r>
      <w:r>
        <w:rPr>
          <w:rFonts w:ascii="Arial" w:cs="Arial" w:eastAsia="Arial" w:hAnsi="Arial"/>
          <w:sz w:val="13"/>
          <w:szCs w:val="13"/>
          <w:color w:val="auto"/>
        </w:rPr>
        <w:t xml:space="preserve"> A Person entitled to indemnification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give prompt written notification to the Party from whom indemnification is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of any claim, suit, action or demand for which indemnification is sought under this Agreement; provided,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thirty (30) days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138"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8.4 Insurance. Century warrants, and will have its Affiliates and its Sublicensee(s) warrant, that it now maintains and will continue to maintain liability insurance coverage reasonably appropriate to the risk involved in use, sale, marketing, and manufacture of Licensed Products or Developments, under this Agreement, and that such insurance coverage is sufficient to cover CDI and the inventors of the WARF Patent Rights as additional insureds. Upon CDI’s request, Century, its Affiliates and its Sublicensee(s), if applicable, will present evidence to CDI that such coverage is being maintained.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6" w:right="319" w:bottom="1440" w:gutter="0" w:footer="0" w:header="0"/>
        </w:sectPr>
      </w:pPr>
    </w:p>
    <w:bookmarkStart w:id="623" w:name="page624"/>
    <w:bookmarkEnd w:id="623"/>
    <w:p>
      <w:pPr>
        <w:jc w:val="both"/>
        <w:ind w:firstLine="518"/>
        <w:spacing w:after="0" w:line="265"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No Consequential or Punitive Damages</w:t>
      </w:r>
      <w:r>
        <w:rPr>
          <w:rFonts w:ascii="Arial" w:cs="Arial" w:eastAsia="Arial" w:hAnsi="Arial"/>
          <w:sz w:val="14"/>
          <w:szCs w:val="14"/>
          <w:color w:val="auto"/>
        </w:rPr>
        <w:t>. TO THE MAXIMUM EXTENT PERMITTED BY LAW, IN NO EVENT WILL EITHER PARTY OR THEIR RESPECTIVE TRUSTEES, DIRECTORS, OFFICERS AND EMPLOYEES (INCLUDING WITHOUT LIMITAION ANY INVENTORS OF THE LICENSED PATENT RIGHTS) BE LIABLE FOR ANY INDIRECT, INCIDENTAL OR CONSEQUENTIAL DAMAGES OF ANY KIND. INCLUDING ECONOMIC DAMAGES OR INJURY TO PROPERTY AND LOST PROFITS, REGARDLESS OF WHETHER SUCH PARTY HAS BEEN ADVISED OF THE POSSIBILITY OF SUCH DAMAGES AND NOTWITHSTANDING THE FAILURE OF THE ESSENTIAL PURPOSE OF ANY LIMITED REMEDY.</w:t>
      </w:r>
    </w:p>
    <w:p>
      <w:pPr>
        <w:spacing w:after="0" w:line="147"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Limitation of Liability.</w:t>
      </w:r>
      <w:r>
        <w:rPr>
          <w:rFonts w:ascii="Arial" w:cs="Arial" w:eastAsia="Arial" w:hAnsi="Arial"/>
          <w:sz w:val="14"/>
          <w:szCs w:val="14"/>
          <w:color w:val="auto"/>
        </w:rPr>
        <w:t xml:space="preserve"> EXCEPT FOR GROSS NEGLIGENCE OR WILLFUL MISCONDUCT, TO THE MAXIMUM EXTENT PERMITTED BY APPLICABLE LAW, CDI’S LIABILITY UNDER OR IN CONNECTION WITH THIS AGREEMENT HOWSOEVER ARISING (WHETHER IN CONTRACT, TORT, NEGLIGENCE, BREACH OF STATUTORY DUTY, OR OTHERWISE) WILL NOT EXCEED THE TOTAL AMOUNTS ACTUALLY PAID BY CENTURY UNDER THIS AGREEMENT BEFORE THE DATE OF THE ACTION OR OMISSION ALLEGED TO HAVE CAUSED SUCH LIABILITY.</w:t>
      </w:r>
    </w:p>
    <w:p>
      <w:pPr>
        <w:spacing w:after="0" w:line="143"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ARTICLE 9</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Term and Termination</w:t>
      </w:r>
    </w:p>
    <w:p>
      <w:pPr>
        <w:spacing w:after="0" w:line="17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Term</w:t>
      </w:r>
      <w:r>
        <w:rPr>
          <w:rFonts w:ascii="Arial" w:cs="Arial" w:eastAsia="Arial" w:hAnsi="Arial"/>
          <w:sz w:val="14"/>
          <w:szCs w:val="14"/>
          <w:color w:val="auto"/>
        </w:rPr>
        <w:t>. This Agreement shall become effective either on the Signing Date or the date on which WARF provides CDI with a written consent to this Agreement, whichever comes later (the “</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and shall otherwise remain in effect, unless terminated as set forth in this </w:t>
      </w:r>
      <w:r>
        <w:rPr>
          <w:rFonts w:ascii="Arial" w:cs="Arial" w:eastAsia="Arial" w:hAnsi="Arial"/>
          <w:sz w:val="14"/>
          <w:szCs w:val="14"/>
          <w:u w:val="single" w:color="auto"/>
          <w:color w:val="auto"/>
        </w:rPr>
        <w:t>Article 9</w:t>
      </w:r>
      <w:r>
        <w:rPr>
          <w:rFonts w:ascii="Arial" w:cs="Arial" w:eastAsia="Arial" w:hAnsi="Arial"/>
          <w:sz w:val="14"/>
          <w:szCs w:val="14"/>
          <w:color w:val="auto"/>
        </w:rPr>
        <w:t>, (the “</w:t>
      </w:r>
      <w:r>
        <w:rPr>
          <w:rFonts w:ascii="Arial" w:cs="Arial" w:eastAsia="Arial" w:hAnsi="Arial"/>
          <w:sz w:val="14"/>
          <w:szCs w:val="14"/>
          <w:b w:val="1"/>
          <w:bCs w:val="1"/>
          <w:color w:val="auto"/>
        </w:rPr>
        <w:t>Term</w:t>
      </w:r>
      <w:r>
        <w:rPr>
          <w:rFonts w:ascii="Arial" w:cs="Arial" w:eastAsia="Arial" w:hAnsi="Arial"/>
          <w:sz w:val="14"/>
          <w:szCs w:val="14"/>
          <w:color w:val="auto"/>
        </w:rPr>
        <w:t xml:space="preserve">”), provided, however with respect to the Licensed Patent Rights, this Agreement shall remain until the expiration of the last to expire Licensed Patent Rights unless earlier terminated as set forth in this </w:t>
      </w:r>
      <w:r>
        <w:rPr>
          <w:rFonts w:ascii="Arial" w:cs="Arial" w:eastAsia="Arial" w:hAnsi="Arial"/>
          <w:sz w:val="14"/>
          <w:szCs w:val="14"/>
          <w:u w:val="single" w:color="auto"/>
          <w:color w:val="auto"/>
        </w:rPr>
        <w:t>Article 9</w:t>
      </w:r>
      <w:r>
        <w:rPr>
          <w:rFonts w:ascii="Arial" w:cs="Arial" w:eastAsia="Arial" w:hAnsi="Arial"/>
          <w:sz w:val="14"/>
          <w:szCs w:val="14"/>
          <w:color w:val="auto"/>
        </w:rPr>
        <w:t>.</w:t>
      </w:r>
    </w:p>
    <w:p>
      <w:pPr>
        <w:spacing w:after="0" w:line="141"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u w:val="single" w:color="auto"/>
          <w:color w:val="auto"/>
        </w:rPr>
        <w:t>Termination for Material Breach</w:t>
      </w:r>
      <w:r>
        <w:rPr>
          <w:rFonts w:ascii="Arial" w:cs="Arial" w:eastAsia="Arial" w:hAnsi="Arial"/>
          <w:sz w:val="13"/>
          <w:szCs w:val="13"/>
          <w:color w:val="auto"/>
        </w:rPr>
        <w:t>.</w:t>
      </w:r>
    </w:p>
    <w:p>
      <w:pPr>
        <w:spacing w:after="0" w:line="180" w:lineRule="exact"/>
        <w:rPr>
          <w:sz w:val="20"/>
          <w:szCs w:val="20"/>
          <w:color w:val="auto"/>
        </w:rPr>
      </w:pPr>
    </w:p>
    <w:p>
      <w:pPr>
        <w:jc w:val="both"/>
        <w:ind w:firstLine="1042"/>
        <w:spacing w:after="0" w:line="276" w:lineRule="auto"/>
        <w:tabs>
          <w:tab w:leader="none" w:pos="1349" w:val="left"/>
        </w:tabs>
        <w:numPr>
          <w:ilvl w:val="0"/>
          <w:numId w:val="455"/>
        </w:numPr>
        <w:rPr>
          <w:rFonts w:ascii="Arial" w:cs="Arial" w:eastAsia="Arial" w:hAnsi="Arial"/>
          <w:sz w:val="14"/>
          <w:szCs w:val="14"/>
          <w:color w:val="auto"/>
        </w:rPr>
      </w:pPr>
      <w:r>
        <w:rPr>
          <w:rFonts w:ascii="Arial" w:cs="Arial" w:eastAsia="Arial" w:hAnsi="Arial"/>
          <w:sz w:val="14"/>
          <w:szCs w:val="14"/>
          <w:color w:val="auto"/>
        </w:rPr>
        <w:t>Any material failure by a Party (the “</w:t>
      </w:r>
      <w:r>
        <w:rPr>
          <w:rFonts w:ascii="Arial" w:cs="Arial" w:eastAsia="Arial" w:hAnsi="Arial"/>
          <w:sz w:val="14"/>
          <w:szCs w:val="14"/>
          <w:b w:val="1"/>
          <w:bCs w:val="1"/>
          <w:color w:val="auto"/>
        </w:rPr>
        <w:t>Breaching Party</w:t>
      </w:r>
      <w:r>
        <w:rPr>
          <w:rFonts w:ascii="Arial" w:cs="Arial" w:eastAsia="Arial" w:hAnsi="Arial"/>
          <w:sz w:val="14"/>
          <w:szCs w:val="14"/>
          <w:color w:val="auto"/>
        </w:rPr>
        <w:t>”) to comply with any of its material obligations contained in this Agreement (such failure, a “</w:t>
      </w:r>
      <w:r>
        <w:rPr>
          <w:rFonts w:ascii="Arial" w:cs="Arial" w:eastAsia="Arial" w:hAnsi="Arial"/>
          <w:sz w:val="14"/>
          <w:szCs w:val="14"/>
          <w:b w:val="1"/>
          <w:bCs w:val="1"/>
          <w:color w:val="auto"/>
        </w:rPr>
        <w:t>Material Breach</w:t>
      </w:r>
      <w:r>
        <w:rPr>
          <w:rFonts w:ascii="Arial" w:cs="Arial" w:eastAsia="Arial" w:hAnsi="Arial"/>
          <w:sz w:val="14"/>
          <w:szCs w:val="14"/>
          <w:color w:val="auto"/>
        </w:rPr>
        <w:t>”) shall entitle the other Party (the “</w:t>
      </w:r>
      <w:r>
        <w:rPr>
          <w:rFonts w:ascii="Arial" w:cs="Arial" w:eastAsia="Arial" w:hAnsi="Arial"/>
          <w:sz w:val="14"/>
          <w:szCs w:val="14"/>
          <w:b w:val="1"/>
          <w:bCs w:val="1"/>
          <w:color w:val="auto"/>
        </w:rPr>
        <w:t>Non-Breaching Party</w:t>
      </w:r>
      <w:r>
        <w:rPr>
          <w:rFonts w:ascii="Arial" w:cs="Arial" w:eastAsia="Arial" w:hAnsi="Arial"/>
          <w:sz w:val="14"/>
          <w:szCs w:val="14"/>
          <w:color w:val="auto"/>
        </w:rPr>
        <w:t>”) to give to the Breaching Party written notice specifying the nature of the Material Breach, requiring the Breaching Party to cure such Material Breach.</w:t>
      </w:r>
    </w:p>
    <w:p>
      <w:pPr>
        <w:spacing w:after="0" w:line="139" w:lineRule="exact"/>
        <w:rPr>
          <w:rFonts w:ascii="Arial" w:cs="Arial" w:eastAsia="Arial" w:hAnsi="Arial"/>
          <w:sz w:val="14"/>
          <w:szCs w:val="14"/>
          <w:color w:val="auto"/>
        </w:rPr>
      </w:pPr>
    </w:p>
    <w:p>
      <w:pPr>
        <w:jc w:val="both"/>
        <w:ind w:firstLine="1042"/>
        <w:spacing w:after="0" w:line="290" w:lineRule="auto"/>
        <w:tabs>
          <w:tab w:leader="none" w:pos="1365" w:val="left"/>
        </w:tabs>
        <w:numPr>
          <w:ilvl w:val="0"/>
          <w:numId w:val="455"/>
        </w:numPr>
        <w:rPr>
          <w:rFonts w:ascii="Arial" w:cs="Arial" w:eastAsia="Arial" w:hAnsi="Arial"/>
          <w:sz w:val="13"/>
          <w:szCs w:val="13"/>
          <w:color w:val="auto"/>
        </w:rPr>
      </w:pPr>
      <w:r>
        <w:rPr>
          <w:rFonts w:ascii="Arial" w:cs="Arial" w:eastAsia="Arial" w:hAnsi="Arial"/>
          <w:sz w:val="13"/>
          <w:szCs w:val="13"/>
          <w:color w:val="auto"/>
        </w:rPr>
        <w:t xml:space="preserve">If such Material Breach is not cured within sixty (60) days after the receipt of notice pursuant to </w:t>
      </w:r>
      <w:r>
        <w:rPr>
          <w:rFonts w:ascii="Arial" w:cs="Arial" w:eastAsia="Arial" w:hAnsi="Arial"/>
          <w:sz w:val="13"/>
          <w:szCs w:val="13"/>
          <w:u w:val="single" w:color="auto"/>
          <w:color w:val="auto"/>
        </w:rPr>
        <w:t>Section 9.2(a)</w:t>
      </w:r>
      <w:r>
        <w:rPr>
          <w:rFonts w:ascii="Arial" w:cs="Arial" w:eastAsia="Arial" w:hAnsi="Arial"/>
          <w:sz w:val="13"/>
          <w:szCs w:val="13"/>
          <w:color w:val="auto"/>
        </w:rPr>
        <w:t xml:space="preserve"> above, the Non-Breaching Party shall be entitled to terminate this Agreement on written notice to the Breaching Party and without prejudice to any of its other rights conferred on it by this Agreement; provided that if a Material Breach cannot reasonably be cured within such sixty (60)-day period and the Breaching Party promptly delivers a plan to cure such Material Breach (reasonably acceptable to the Non-Breaching Party) and uses Commercially Reasonable Best Efforts to implement such plan, then the cure period shall be extended for so long as the Breaching Party is using Commercially Reasonable Best Efforts to cure such Material Breach (up to a maximum cure period of one hundred twenty (120) days from the date of initial notice); further provided, however, that if the Breaching Party disputes the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624" w:name="page625"/>
    <w:bookmarkEnd w:id="624"/>
    <w:p>
      <w:pPr>
        <w:spacing w:after="0" w:line="329" w:lineRule="auto"/>
        <w:rPr>
          <w:sz w:val="20"/>
          <w:szCs w:val="20"/>
          <w:color w:val="auto"/>
        </w:rPr>
      </w:pPr>
      <w:r>
        <w:rPr>
          <w:rFonts w:ascii="Arial" w:cs="Arial" w:eastAsia="Arial" w:hAnsi="Arial"/>
          <w:sz w:val="13"/>
          <w:szCs w:val="13"/>
          <w:color w:val="auto"/>
        </w:rPr>
        <w:t xml:space="preserve">existence of a Material Breach, the matter shall be submitted for resolution in accordance with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shall not have the right to terminate this Agreement unless and until a final decision of Material Breach is rendered under </w:t>
      </w:r>
      <w:r>
        <w:rPr>
          <w:rFonts w:ascii="Arial" w:cs="Arial" w:eastAsia="Arial" w:hAnsi="Arial"/>
          <w:sz w:val="13"/>
          <w:szCs w:val="13"/>
          <w:u w:val="single" w:color="auto"/>
          <w:color w:val="auto"/>
        </w:rPr>
        <w:t>Section 10.11</w:t>
      </w:r>
      <w:r>
        <w:rPr>
          <w:rFonts w:ascii="Arial" w:cs="Arial" w:eastAsia="Arial" w:hAnsi="Arial"/>
          <w:sz w:val="13"/>
          <w:szCs w:val="13"/>
          <w:color w:val="auto"/>
        </w:rPr>
        <w:t xml:space="preserve"> and the Breaching Party fails to cure such Material Breach within sixty (60) days thereafter.</w:t>
      </w:r>
    </w:p>
    <w:p>
      <w:pPr>
        <w:spacing w:after="0" w:line="108" w:lineRule="exact"/>
        <w:rPr>
          <w:sz w:val="20"/>
          <w:szCs w:val="20"/>
          <w:color w:val="auto"/>
        </w:rPr>
      </w:pPr>
    </w:p>
    <w:p>
      <w:pPr>
        <w:jc w:val="both"/>
        <w:ind w:firstLine="1042"/>
        <w:spacing w:after="0" w:line="290" w:lineRule="auto"/>
        <w:tabs>
          <w:tab w:leader="none" w:pos="1357" w:val="left"/>
        </w:tabs>
        <w:numPr>
          <w:ilvl w:val="0"/>
          <w:numId w:val="456"/>
        </w:numPr>
        <w:rPr>
          <w:rFonts w:ascii="Arial" w:cs="Arial" w:eastAsia="Arial" w:hAnsi="Arial"/>
          <w:sz w:val="13"/>
          <w:szCs w:val="13"/>
          <w:color w:val="auto"/>
        </w:rPr>
      </w:pPr>
      <w:r>
        <w:rPr>
          <w:rFonts w:ascii="Arial" w:cs="Arial" w:eastAsia="Arial" w:hAnsi="Arial"/>
          <w:sz w:val="13"/>
          <w:szCs w:val="13"/>
          <w:color w:val="auto"/>
        </w:rPr>
        <w:t>Notwithstanding any provision to the contrary herein, if Century at any time (i) defaults in the timely payment of any monies due to CDI or the timely submission to CDI of any report, (ii) fails to actively pursue any Development Plan, or (iii) commits any breach of any other covenant herein contained, and Century fails to remedy any such breach or default within ninety (90) days after written notice thereof by CDI, or if Century, its Affiliates or its Sublicensee(s) commits any act of bankruptcy, becomes insolvent, is unable to pay its debts as they become due, files a petition under any bankruptcy or insolvency act, or has any such petition filed against it which is not dismissed within sixty (60) days, or offers any component of the Licensed Patent Rights, or Reprogrammed iPS Cells to its creditors, CDI may, at its option, terminate this Agreement by giving notice of termination to Century.</w:t>
      </w:r>
    </w:p>
    <w:p>
      <w:pPr>
        <w:spacing w:after="0" w:line="133" w:lineRule="exact"/>
        <w:rPr>
          <w:sz w:val="20"/>
          <w:szCs w:val="20"/>
          <w:color w:val="auto"/>
        </w:rPr>
      </w:pPr>
    </w:p>
    <w:p>
      <w:pPr>
        <w:ind w:left="520"/>
        <w:spacing w:after="0"/>
        <w:tabs>
          <w:tab w:leader="none" w:pos="88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u w:val="single" w:color="auto"/>
          <w:color w:val="auto"/>
        </w:rPr>
        <w:t>Termination for Failure to Develop a Licensed Product</w:t>
      </w:r>
      <w:r>
        <w:rPr>
          <w:rFonts w:ascii="Arial" w:cs="Arial" w:eastAsia="Arial" w:hAnsi="Arial"/>
          <w:sz w:val="13"/>
          <w:szCs w:val="13"/>
          <w:color w:val="auto"/>
        </w:rPr>
        <w:t>. If Century fails to [***], CDI shall have the right to terminate this Agreement pursuant to the terms of this</w:t>
      </w:r>
      <w:r>
        <w:rPr>
          <w:rFonts w:ascii="Arial" w:cs="Arial" w:eastAsia="Arial" w:hAnsi="Arial"/>
          <w:sz w:val="13"/>
          <w:szCs w:val="13"/>
          <w:u w:val="single" w:color="auto"/>
          <w:color w:val="auto"/>
        </w:rPr>
        <w:t xml:space="preserve"> Section 9.3</w:t>
      </w:r>
      <w:r>
        <w:rPr>
          <w:rFonts w:ascii="Arial" w:cs="Arial" w:eastAsia="Arial" w:hAnsi="Arial"/>
          <w:sz w:val="13"/>
          <w:szCs w:val="13"/>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CDI may [***].</w:t>
      </w:r>
    </w:p>
    <w:p>
      <w:pPr>
        <w:spacing w:after="0" w:line="17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Termination for Termination of Differentiation License Agreement.</w:t>
      </w:r>
      <w:r>
        <w:rPr>
          <w:rFonts w:ascii="Arial" w:cs="Arial" w:eastAsia="Arial" w:hAnsi="Arial"/>
          <w:sz w:val="14"/>
          <w:szCs w:val="14"/>
          <w:color w:val="auto"/>
        </w:rPr>
        <w:t xml:space="preserve"> In the event that the Differentiation License Agreement terminates or expires CDI shall be entitled to terminate this Agreement with an immediate effect on a written notice to Century.</w:t>
      </w:r>
    </w:p>
    <w:p>
      <w:pPr>
        <w:spacing w:after="0" w:line="132"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u w:val="single" w:color="auto"/>
          <w:color w:val="auto"/>
        </w:rPr>
        <w:t>Termination for Bankruptcy.</w:t>
      </w:r>
      <w:r>
        <w:rPr>
          <w:rFonts w:ascii="Arial" w:cs="Arial" w:eastAsia="Arial" w:hAnsi="Arial"/>
          <w:sz w:val="14"/>
          <w:szCs w:val="14"/>
          <w:color w:val="auto"/>
        </w:rPr>
        <w:t xml:space="preserve"> To the extent allowed under applicable Law, either Party shall have the right to terminate this Agreement in the event that the other Party admits its inability to pay its debts generally as they become due or in the event of the commencement of any proceeding in or for bankruptcy, insolvency, dissolution or winding up by or against the other Party (other than pursuant to a corporate restructuring), or the appointment of a receiver or similar agent by a court of competent jurisdiction, that is not dismissed or otherwise disposed of within sixty (60) days thereafter and/or the administrator of the bankruptcy estate or the Party under in-court restructuring has not, within five (5) days after the receipt of an inquiry from the other Party, confirmed that the bankruptcy estate or the Party under in-court restructuring will adopt this Agreement.</w:t>
      </w:r>
    </w:p>
    <w:p>
      <w:pPr>
        <w:spacing w:after="0" w:line="14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 xml:space="preserve"> Century may terminate this Agreement, at any time and for any reason or no reason, in its entirety or on a Licensed Product-by-Licensed Product basis (to exclude such product from the Field) or country-by-country basis (to eliminate such country from the Territory), by providing [***] prior written and unambiguous notice to CDI. The termination shall become effective at the end of the [***]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8" w:right="319" w:bottom="1440" w:gutter="0" w:footer="0" w:header="0"/>
        </w:sectPr>
      </w:pPr>
    </w:p>
    <w:bookmarkStart w:id="625" w:name="page626"/>
    <w:bookmarkEnd w:id="625"/>
    <w:p>
      <w:pPr>
        <w:ind w:left="520"/>
        <w:spacing w:after="0"/>
        <w:tabs>
          <w:tab w:leader="none" w:pos="880"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3"/>
          <w:szCs w:val="13"/>
          <w:u w:val="single" w:color="auto"/>
          <w:color w:val="auto"/>
        </w:rPr>
        <w:t>Effects of Termination.</w:t>
      </w:r>
    </w:p>
    <w:p>
      <w:pPr>
        <w:spacing w:after="0" w:line="184" w:lineRule="exact"/>
        <w:rPr>
          <w:sz w:val="20"/>
          <w:szCs w:val="20"/>
          <w:color w:val="auto"/>
        </w:rPr>
      </w:pPr>
    </w:p>
    <w:p>
      <w:pPr>
        <w:jc w:val="both"/>
        <w:ind w:firstLine="1042"/>
        <w:spacing w:after="0" w:line="267" w:lineRule="auto"/>
        <w:tabs>
          <w:tab w:leader="none" w:pos="1357" w:val="left"/>
        </w:tabs>
        <w:numPr>
          <w:ilvl w:val="0"/>
          <w:numId w:val="457"/>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xml:space="preserve">. Upon termination of this Agreement or WARF License Agreement, the licenses granted herein will immediately terminate. In the event of termination under </w:t>
      </w:r>
      <w:r>
        <w:rPr>
          <w:rFonts w:ascii="Arial" w:cs="Arial" w:eastAsia="Arial" w:hAnsi="Arial"/>
          <w:sz w:val="14"/>
          <w:szCs w:val="14"/>
          <w:u w:val="single" w:color="auto"/>
          <w:color w:val="auto"/>
        </w:rPr>
        <w:t>Section 9.4</w:t>
      </w:r>
      <w:r>
        <w:rPr>
          <w:rFonts w:ascii="Arial" w:cs="Arial" w:eastAsia="Arial" w:hAnsi="Arial"/>
          <w:sz w:val="14"/>
          <w:szCs w:val="14"/>
          <w:color w:val="auto"/>
        </w:rPr>
        <w:t>, Century, its Affiliates and its Sublicensee(s) will have [***] to cease all activities involving the use of Licensed Patent Rights and Development for any purpose, and will destroy all Licensed Products in its possession. Century, its Affiliates and its Sublicensee(s) will remain obligated to pay any outstanding amounts owed as of the date of termination and all such amounts will be paid within [***] of termination.</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 xml:space="preserve">In the event of any early termination of this Agreement, the Parties will use Commercially Reasonable Best Efforts to work together in good faith to establish and implement reasonable wind-down procedures with respect to relevant Licensed Product-related activities ongoing at the time of such termination, which shall include continuation of the licenses granted to Century hereunder (and subject to the continuing terms and conditions of this Agreement) to permit Century and its Affiliates and Sublicensees to continue and complete any ongoing clinical trials of Licensed Products and to make or have made such Licensed Products as necessary to continue and complete such clinical trials;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in that the event such termination is by CDI pursuant to </w:t>
      </w:r>
      <w:r>
        <w:rPr>
          <w:rFonts w:ascii="Arial" w:cs="Arial" w:eastAsia="Arial" w:hAnsi="Arial"/>
          <w:sz w:val="13"/>
          <w:szCs w:val="13"/>
          <w:u w:val="single" w:color="auto"/>
          <w:color w:val="auto"/>
        </w:rPr>
        <w:t>Section 9.2</w:t>
      </w:r>
      <w:r>
        <w:rPr>
          <w:rFonts w:ascii="Arial" w:cs="Arial" w:eastAsia="Arial" w:hAnsi="Arial"/>
          <w:sz w:val="13"/>
          <w:szCs w:val="13"/>
          <w:color w:val="auto"/>
        </w:rPr>
        <w:t>, such activities shall be limited to those necessary for Century to comply with regulatory obligations, or medical or ethical obligations to patients consistent with industry standards.</w:t>
      </w:r>
    </w:p>
    <w:p>
      <w:pPr>
        <w:spacing w:after="0" w:line="133" w:lineRule="exact"/>
        <w:rPr>
          <w:sz w:val="20"/>
          <w:szCs w:val="20"/>
          <w:color w:val="auto"/>
        </w:rPr>
      </w:pPr>
    </w:p>
    <w:p>
      <w:pPr>
        <w:jc w:val="both"/>
        <w:ind w:firstLine="1042"/>
        <w:spacing w:after="0" w:line="273" w:lineRule="auto"/>
        <w:tabs>
          <w:tab w:leader="none" w:pos="1365" w:val="left"/>
        </w:tabs>
        <w:numPr>
          <w:ilvl w:val="0"/>
          <w:numId w:val="458"/>
        </w:numPr>
        <w:rPr>
          <w:rFonts w:ascii="Arial" w:cs="Arial" w:eastAsia="Arial" w:hAnsi="Arial"/>
          <w:sz w:val="14"/>
          <w:szCs w:val="14"/>
          <w:color w:val="auto"/>
        </w:rPr>
      </w:pPr>
      <w:r>
        <w:rPr>
          <w:rFonts w:ascii="Arial" w:cs="Arial" w:eastAsia="Arial" w:hAnsi="Arial"/>
          <w:sz w:val="14"/>
          <w:szCs w:val="14"/>
          <w:u w:val="single" w:color="auto"/>
          <w:color w:val="auto"/>
        </w:rPr>
        <w:t>Return or Destruction of Confidential Information</w:t>
      </w:r>
      <w:r>
        <w:rPr>
          <w:rFonts w:ascii="Arial" w:cs="Arial" w:eastAsia="Arial" w:hAnsi="Arial"/>
          <w:sz w:val="14"/>
          <w:szCs w:val="14"/>
          <w:color w:val="auto"/>
        </w:rPr>
        <w:t>. Upon the expiration or termination of this Agreement, each Party shall promptly return or destroy all of such other Party’s Confidential Information that relates to a Licensed Products or that was provided by or on behalf of such other Party hereunder that is in the possession or control of such Party (or any of its Affiliates).</w:t>
      </w:r>
    </w:p>
    <w:p>
      <w:pPr>
        <w:spacing w:after="0" w:line="141" w:lineRule="exact"/>
        <w:rPr>
          <w:rFonts w:ascii="Arial" w:cs="Arial" w:eastAsia="Arial" w:hAnsi="Arial"/>
          <w:sz w:val="14"/>
          <w:szCs w:val="14"/>
          <w:color w:val="auto"/>
        </w:rPr>
      </w:pPr>
    </w:p>
    <w:p>
      <w:pPr>
        <w:jc w:val="both"/>
        <w:ind w:firstLine="1042"/>
        <w:spacing w:after="0" w:line="303" w:lineRule="auto"/>
        <w:tabs>
          <w:tab w:leader="none" w:pos="1357" w:val="left"/>
        </w:tabs>
        <w:numPr>
          <w:ilvl w:val="0"/>
          <w:numId w:val="458"/>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xml:space="preserve">. The following provisions shall survive the expiration or termination of this Agreement: </w:t>
      </w:r>
      <w:r>
        <w:rPr>
          <w:rFonts w:ascii="Arial" w:cs="Arial" w:eastAsia="Arial" w:hAnsi="Arial"/>
          <w:sz w:val="13"/>
          <w:szCs w:val="13"/>
          <w:u w:val="single" w:color="auto"/>
          <w:color w:val="auto"/>
        </w:rPr>
        <w:t>Article 1</w:t>
      </w:r>
      <w:r>
        <w:rPr>
          <w:rFonts w:ascii="Arial" w:cs="Arial" w:eastAsia="Arial" w:hAnsi="Arial"/>
          <w:sz w:val="13"/>
          <w:szCs w:val="13"/>
          <w:color w:val="auto"/>
        </w:rPr>
        <w:t xml:space="preserve"> (Definitions) (to the extent necessary to give effect to other surviving provisions),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(Intellectual Property),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(Confidentiality),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(Indemnification; Insurance; and Limitation on Damages) (other than </w:t>
      </w:r>
      <w:r>
        <w:rPr>
          <w:rFonts w:ascii="Arial" w:cs="Arial" w:eastAsia="Arial" w:hAnsi="Arial"/>
          <w:sz w:val="13"/>
          <w:szCs w:val="13"/>
          <w:u w:val="single" w:color="auto"/>
          <w:color w:val="auto"/>
        </w:rPr>
        <w:t>Section 8.4</w:t>
      </w:r>
      <w:r>
        <w:rPr>
          <w:rFonts w:ascii="Arial" w:cs="Arial" w:eastAsia="Arial" w:hAnsi="Arial"/>
          <w:sz w:val="13"/>
          <w:szCs w:val="13"/>
          <w:color w:val="auto"/>
        </w:rPr>
        <w:t xml:space="preserve"> (Insurance)) and </w:t>
      </w:r>
      <w:r>
        <w:rPr>
          <w:rFonts w:ascii="Arial" w:cs="Arial" w:eastAsia="Arial" w:hAnsi="Arial"/>
          <w:sz w:val="13"/>
          <w:szCs w:val="13"/>
          <w:u w:val="single" w:color="auto"/>
          <w:color w:val="auto"/>
        </w:rPr>
        <w:t>Article 10</w:t>
      </w:r>
      <w:r>
        <w:rPr>
          <w:rFonts w:ascii="Arial" w:cs="Arial" w:eastAsia="Arial" w:hAnsi="Arial"/>
          <w:sz w:val="13"/>
          <w:szCs w:val="13"/>
          <w:color w:val="auto"/>
        </w:rPr>
        <w:t xml:space="preserve"> (Miscellaneous Provisions), and </w:t>
      </w:r>
      <w:r>
        <w:rPr>
          <w:rFonts w:ascii="Arial" w:cs="Arial" w:eastAsia="Arial" w:hAnsi="Arial"/>
          <w:sz w:val="13"/>
          <w:szCs w:val="13"/>
          <w:u w:val="single" w:color="auto"/>
          <w:color w:val="auto"/>
        </w:rPr>
        <w:t>Sections 2.3(c)</w:t>
      </w:r>
      <w:r>
        <w:rPr>
          <w:rFonts w:ascii="Arial" w:cs="Arial" w:eastAsia="Arial" w:hAnsi="Arial"/>
          <w:sz w:val="13"/>
          <w:szCs w:val="13"/>
          <w:color w:val="auto"/>
        </w:rPr>
        <w:t xml:space="preserve"> (Sublicensing), </w:t>
      </w:r>
      <w:r>
        <w:rPr>
          <w:rFonts w:ascii="Arial" w:cs="Arial" w:eastAsia="Arial" w:hAnsi="Arial"/>
          <w:sz w:val="13"/>
          <w:szCs w:val="13"/>
          <w:u w:val="single" w:color="auto"/>
          <w:color w:val="auto"/>
        </w:rPr>
        <w:t>4.1(a)(iii)</w:t>
      </w:r>
      <w:r>
        <w:rPr>
          <w:rFonts w:ascii="Arial" w:cs="Arial" w:eastAsia="Arial" w:hAnsi="Arial"/>
          <w:sz w:val="13"/>
          <w:szCs w:val="13"/>
          <w:color w:val="auto"/>
        </w:rPr>
        <w:t xml:space="preserve"> (Reports, Payments and Accounting), </w:t>
      </w:r>
      <w:r>
        <w:rPr>
          <w:rFonts w:ascii="Arial" w:cs="Arial" w:eastAsia="Arial" w:hAnsi="Arial"/>
          <w:sz w:val="13"/>
          <w:szCs w:val="13"/>
          <w:u w:val="single" w:color="auto"/>
          <w:color w:val="auto"/>
        </w:rPr>
        <w:t>9.7</w:t>
      </w:r>
      <w:r>
        <w:rPr>
          <w:rFonts w:ascii="Arial" w:cs="Arial" w:eastAsia="Arial" w:hAnsi="Arial"/>
          <w:sz w:val="13"/>
          <w:szCs w:val="13"/>
          <w:color w:val="auto"/>
        </w:rPr>
        <w:t xml:space="preserve"> (Effects of Termination) and this </w:t>
      </w:r>
      <w:r>
        <w:rPr>
          <w:rFonts w:ascii="Arial" w:cs="Arial" w:eastAsia="Arial" w:hAnsi="Arial"/>
          <w:sz w:val="13"/>
          <w:szCs w:val="13"/>
          <w:u w:val="single" w:color="auto"/>
          <w:color w:val="auto"/>
        </w:rPr>
        <w:t>Section 9.7(c)</w:t>
      </w:r>
      <w:r>
        <w:rPr>
          <w:rFonts w:ascii="Arial" w:cs="Arial" w:eastAsia="Arial" w:hAnsi="Arial"/>
          <w:sz w:val="13"/>
          <w:szCs w:val="13"/>
          <w:color w:val="auto"/>
        </w:rPr>
        <w:t xml:space="preserve"> (Survival).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 Provisions</w:t>
      </w:r>
    </w:p>
    <w:p>
      <w:pPr>
        <w:spacing w:after="0" w:line="17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Governing Law; Language.</w:t>
      </w:r>
      <w:r>
        <w:rPr>
          <w:rFonts w:ascii="Arial" w:cs="Arial" w:eastAsia="Arial" w:hAnsi="Arial"/>
          <w:sz w:val="14"/>
          <w:szCs w:val="14"/>
          <w:color w:val="auto"/>
        </w:rPr>
        <w:t xml:space="preserve"> This Agreement and all disputes arising out of or related to this Agreement shall be construed and the respective rights of the Parties determined in accordance with the Laws of the State of Wisconsin, excluding application of any conflict of laws principles that would require application of the laws of a jurisdiction other than the Laws of the State of Wisconsin. This Agreement and all communications related to it, or to any dispute or controversy arising out of it, shall be conducted in English.</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626" w:name="page627"/>
    <w:bookmarkEnd w:id="626"/>
    <w:p>
      <w:pPr>
        <w:ind w:firstLine="518"/>
        <w:spacing w:after="0" w:line="288"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Any notices required or permitted by this Agreement shall be in writing, shall specifically refer to this Agreement, and shall be sent by hand, recognized national overnight courier, confirmed electronic mail or registered or certified mail, postage prepaid, return receipt requested, to the following address of the Parties: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to CDI:</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FUJIFILM Cellular Dynamics Inc.</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525 Science Drive, Madison, WI 53711</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Attention: Chief Technology Officer</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Email: fcdi-licensing@cellulardynamics.com</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FUJIFILM Cellular Dynamics, Inc.</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525 Science Drive, Madison, WI 53711</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Attention: General Counsel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If to Century: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Century Therapeutics, Inc.</w:t>
      </w:r>
    </w:p>
    <w:p>
      <w:pPr>
        <w:ind w:left="520"/>
        <w:spacing w:after="0" w:line="207" w:lineRule="auto"/>
        <w:rPr>
          <w:sz w:val="20"/>
          <w:szCs w:val="20"/>
          <w:color w:val="auto"/>
        </w:rPr>
      </w:pPr>
      <w:r>
        <w:rPr>
          <w:rFonts w:ascii="Arial" w:cs="Arial" w:eastAsia="Arial" w:hAnsi="Arial"/>
          <w:sz w:val="14"/>
          <w:szCs w:val="14"/>
          <w:color w:val="282828"/>
        </w:rPr>
        <w:t>54 West 21</w:t>
      </w:r>
      <w:r>
        <w:rPr>
          <w:rFonts w:ascii="Arial" w:cs="Arial" w:eastAsia="Arial" w:hAnsi="Arial"/>
          <w:sz w:val="23"/>
          <w:szCs w:val="23"/>
          <w:color w:val="282828"/>
          <w:vertAlign w:val="superscript"/>
        </w:rPr>
        <w:t>st</w:t>
      </w:r>
      <w:r>
        <w:rPr>
          <w:rFonts w:ascii="Arial" w:cs="Arial" w:eastAsia="Arial" w:hAnsi="Arial"/>
          <w:sz w:val="14"/>
          <w:szCs w:val="14"/>
          <w:color w:val="282828"/>
        </w:rPr>
        <w:t xml:space="preserve"> Street, Suite 408, New York, NY 10010</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Attention: 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Email: lalo@centurytherapeutics.com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With a copy to:</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Goodwin Procter LLP</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100 Northern Avenue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Boston, MA 02210</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Attention: Mitchell S. Bloom, Esq.</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282828"/>
        </w:rPr>
        <w:t>Email: mbloom@goodwinlaw.com</w:t>
      </w:r>
    </w:p>
    <w:p>
      <w:pPr>
        <w:spacing w:after="0" w:line="175"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 xml:space="preserve">All notices under this Agreement shall be deemed effective upon receipt. A Party may change its contact information immediately upon written notice to the other Party in the manner provided in this </w:t>
      </w:r>
      <w:r>
        <w:rPr>
          <w:rFonts w:ascii="Arial" w:cs="Arial" w:eastAsia="Arial" w:hAnsi="Arial"/>
          <w:sz w:val="14"/>
          <w:szCs w:val="14"/>
          <w:u w:val="single" w:color="auto"/>
          <w:color w:val="auto"/>
        </w:rPr>
        <w:t>Section 10.2</w:t>
      </w:r>
      <w:r>
        <w:rPr>
          <w:rFonts w:ascii="Arial" w:cs="Arial" w:eastAsia="Arial" w:hAnsi="Arial"/>
          <w:sz w:val="14"/>
          <w:szCs w:val="14"/>
          <w:color w:val="auto"/>
        </w:rPr>
        <w:t>.</w:t>
      </w:r>
    </w:p>
    <w:p>
      <w:pPr>
        <w:spacing w:after="0" w:line="132" w:lineRule="exact"/>
        <w:rPr>
          <w:sz w:val="20"/>
          <w:szCs w:val="20"/>
          <w:color w:val="auto"/>
        </w:rPr>
      </w:pPr>
    </w:p>
    <w:p>
      <w:pPr>
        <w:ind w:left="520"/>
        <w:spacing w:after="0"/>
        <w:tabs>
          <w:tab w:leader="none" w:pos="92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u w:val="single" w:color="auto"/>
          <w:color w:val="auto"/>
        </w:rPr>
        <w:t>Assignment</w:t>
      </w:r>
      <w:r>
        <w:rPr>
          <w:rFonts w:ascii="Arial" w:cs="Arial" w:eastAsia="Arial" w:hAnsi="Arial"/>
          <w:sz w:val="13"/>
          <w:szCs w:val="13"/>
          <w:color w:val="auto"/>
        </w:rPr>
        <w:t>.</w:t>
      </w:r>
    </w:p>
    <w:p>
      <w:pPr>
        <w:spacing w:after="0" w:line="184" w:lineRule="exact"/>
        <w:rPr>
          <w:sz w:val="20"/>
          <w:szCs w:val="20"/>
          <w:color w:val="auto"/>
        </w:rPr>
      </w:pPr>
    </w:p>
    <w:p>
      <w:pPr>
        <w:jc w:val="both"/>
        <w:ind w:firstLine="1042"/>
        <w:spacing w:after="0" w:line="294" w:lineRule="auto"/>
        <w:tabs>
          <w:tab w:leader="none" w:pos="1357" w:val="left"/>
        </w:tabs>
        <w:numPr>
          <w:ilvl w:val="0"/>
          <w:numId w:val="459"/>
        </w:numPr>
        <w:rPr>
          <w:rFonts w:ascii="Arial" w:cs="Arial" w:eastAsia="Arial" w:hAnsi="Arial"/>
          <w:sz w:val="13"/>
          <w:szCs w:val="13"/>
          <w:color w:val="auto"/>
        </w:rPr>
      </w:pPr>
      <w:r>
        <w:rPr>
          <w:rFonts w:ascii="Arial" w:cs="Arial" w:eastAsia="Arial" w:hAnsi="Arial"/>
          <w:sz w:val="13"/>
          <w:szCs w:val="13"/>
          <w:color w:val="auto"/>
        </w:rPr>
        <w:t xml:space="preserve">Neither Party may, without the consent of the other Party, assign or transfer any of its rights and obligations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Party may assign or transfer this Agreement, in its entirety, without the consent of the other Party, (a) in connection with a sale or transfer of all or substantially all of the business and assets of such Party or that portion of the assets of such Party to which this Agreement relates, including by way of a Change of Control Event, transfer, or sale of assets related to this Agreement; </w:t>
      </w:r>
      <w:r>
        <w:rPr>
          <w:rFonts w:ascii="Arial" w:cs="Arial" w:eastAsia="Arial" w:hAnsi="Arial"/>
          <w:sz w:val="13"/>
          <w:szCs w:val="13"/>
          <w:i w:val="1"/>
          <w:iCs w:val="1"/>
          <w:color w:val="auto"/>
        </w:rPr>
        <w:t>provided further that</w:t>
      </w:r>
      <w:r>
        <w:rPr>
          <w:rFonts w:ascii="Arial" w:cs="Arial" w:eastAsia="Arial" w:hAnsi="Arial"/>
          <w:sz w:val="13"/>
          <w:szCs w:val="13"/>
          <w:color w:val="auto"/>
        </w:rPr>
        <w:t xml:space="preserve">, in the case of any such proposed assignment or transfer by Century, it has complied with </w:t>
      </w:r>
      <w:r>
        <w:rPr>
          <w:rFonts w:ascii="Arial" w:cs="Arial" w:eastAsia="Arial" w:hAnsi="Arial"/>
          <w:sz w:val="13"/>
          <w:szCs w:val="13"/>
          <w:u w:val="single" w:color="auto"/>
          <w:color w:val="auto"/>
        </w:rPr>
        <w:t>Section 10.3(b)</w:t>
      </w:r>
      <w:r>
        <w:rPr>
          <w:rFonts w:ascii="Arial" w:cs="Arial" w:eastAsia="Arial" w:hAnsi="Arial"/>
          <w:sz w:val="13"/>
          <w:szCs w:val="13"/>
          <w:color w:val="auto"/>
        </w:rPr>
        <w:t>, or (b) to an Affiliate. Any assignment or transfer in circumvention of the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74" w:right="319" w:bottom="1440" w:gutter="0" w:footer="0" w:header="0"/>
        </w:sectPr>
      </w:pPr>
    </w:p>
    <w:bookmarkStart w:id="627" w:name="page628"/>
    <w:bookmarkEnd w:id="627"/>
    <w:p>
      <w:pPr>
        <w:spacing w:after="0"/>
        <w:rPr>
          <w:sz w:val="20"/>
          <w:szCs w:val="20"/>
          <w:color w:val="auto"/>
        </w:rPr>
      </w:pPr>
      <w:r>
        <w:rPr>
          <w:rFonts w:ascii="Arial" w:cs="Arial" w:eastAsia="Arial" w:hAnsi="Arial"/>
          <w:sz w:val="13"/>
          <w:szCs w:val="13"/>
          <w:color w:val="auto"/>
        </w:rPr>
        <w:t>foregoing shall be void. Subject to the foregoing, this Agreement shall be binding upon and inure to the benefit of the Parties hereto and their respective permitted successors and assigns.</w:t>
      </w:r>
    </w:p>
    <w:p>
      <w:pPr>
        <w:spacing w:after="0" w:line="196"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4"/>
          <w:szCs w:val="14"/>
          <w:color w:val="auto"/>
        </w:rPr>
        <w:t>10.4 Notwithstanding the foregoing, Century will notify CDI in writing at least thirty (30) days in advance of any proposed assignment or transfer including by way any Change of Control Event and, with respect to any such assignment or transfer to any non-Affiliate, pay to CDI a fee of [***] to allow the transfer or assignment of the license granted herein to such non-Affiliate(s), within thirty (30) days after the occurrence of such event. In the event of such assignment or transfer Century shall nevertheless remain liable for all of its obligations, and those of any such assignee or transferee, to CDI hereunder. Entire Agreement. This Agreement constitutes the entire agreement between the Parties with respect to its subject matter and supersedes all prior agreements or understandings between the Parties relating to its subject matter. For the avoidance of doubt, the Non-Disclosure Agreement entered into between the Parties as of February 18, 2018 shall continue to be effective with respect thereof.</w:t>
      </w:r>
    </w:p>
    <w:p>
      <w:pPr>
        <w:spacing w:after="0" w:line="150"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Interpretation.</w:t>
      </w:r>
      <w:r>
        <w:rPr>
          <w:rFonts w:ascii="Arial" w:cs="Arial" w:eastAsia="Arial" w:hAnsi="Arial"/>
          <w:sz w:val="13"/>
          <w:szCs w:val="13"/>
          <w:color w:val="auto"/>
        </w:rPr>
        <w:t xml:space="preserve"> The captions and headings to this Agreement are for convenience only, and are to be of no force or effect in construing or interpreting any of the provisions of this Agreement. Unless specified to the contrary, references to Articles, Sections or Exhibits mean the particular Articles, Sections or Exhibits to this Agreement and references to this Agreement include all Exhibits hereto. Unless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“consent”, or “approval” and references to other written communications contemplated under this Agreement shall mean notice, consent, approval or communication in writing (whether or not specifically stated); (d) the words “hereof,” “herein,” “hereby” and derivative or similar words refer to this Agreement (including any Exhibits); (e) the word “or” shall be construed as the inclusive meaning identified with the phrase “and/or;” (f)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and (i) the word “law” (or “laws”) when used herein means any applicable, legally binding statute, ordinance, resolution, regulation, code, guideline, rule, order, decree judgment, injunction, mandate or other legally binding requirement of a government entity, together with any then-current modification, amendment and re- enactment thereof, and any legislative provision substituted therefor. The Parties and their respective counsel have had an opportunity to fully negotiate this Agreement. If any ambiguity or question of intent or interpretation arises, this Agreement shall be construed as if drafted jointly by the Parties, and no presumption or burden of proof shall arise favoring or disfavoring any Party by virtue of the authorship of any provision of this Agreement. No prior draft of this Agreement shall be used in the interpretation or construction of this Agreement.</w:t>
      </w:r>
    </w:p>
    <w:p>
      <w:pPr>
        <w:spacing w:after="0" w:line="14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u w:val="single" w:color="auto"/>
          <w:color w:val="auto"/>
        </w:rPr>
        <w:t>Amendment and Waiver.</w:t>
      </w:r>
      <w:r>
        <w:rPr>
          <w:rFonts w:ascii="Arial" w:cs="Arial" w:eastAsia="Arial" w:hAnsi="Arial"/>
          <w:sz w:val="14"/>
          <w:szCs w:val="14"/>
          <w:color w:val="auto"/>
        </w:rPr>
        <w:t xml:space="preserve"> This Agreement may be amended, supplemented, or otherwise modified only by means of a written instrument signed by an authorized representative of both Parties. Any waiver of any right or failure to act in a specific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28" w:name="page629"/>
    <w:bookmarkEnd w:id="628"/>
    <w:p>
      <w:pPr>
        <w:spacing w:after="0"/>
        <w:rPr>
          <w:sz w:val="20"/>
          <w:szCs w:val="20"/>
          <w:color w:val="auto"/>
        </w:rPr>
      </w:pPr>
      <w:r>
        <w:rPr>
          <w:rFonts w:ascii="Arial" w:cs="Arial" w:eastAsia="Arial" w:hAnsi="Arial"/>
          <w:sz w:val="14"/>
          <w:szCs w:val="14"/>
          <w:color w:val="auto"/>
        </w:rPr>
        <w:t>instance shall relate only to such instance and shall not be construed as an agreement to waive any right or fail to act in any other instance, whether or not similar.</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In the event that any provision of this Agreement shall be held invalid or unenforceable for any reason, such invalidity or unenforceability shall not affect any other provision of this Agreement. The Parties shall consult one another and use reasonable efforts to agree upon a valid and enforceable provision that is a reasonable substitute for the invalid or unenforceable provision and this Agreement shall be automatically amended to reflect such mutually agreed provision.</w:t>
      </w:r>
    </w:p>
    <w:p>
      <w:pPr>
        <w:spacing w:after="0" w:line="141"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10.8 </w:t>
      </w:r>
      <w:r>
        <w:rPr>
          <w:rFonts w:ascii="Arial" w:cs="Arial" w:eastAsia="Arial" w:hAnsi="Arial"/>
          <w:sz w:val="14"/>
          <w:szCs w:val="14"/>
          <w:u w:val="single" w:color="auto"/>
          <w:color w:val="auto"/>
        </w:rPr>
        <w:t>Use of Name.</w:t>
      </w:r>
      <w:r>
        <w:rPr>
          <w:rFonts w:ascii="Arial" w:cs="Arial" w:eastAsia="Arial" w:hAnsi="Arial"/>
          <w:sz w:val="14"/>
          <w:szCs w:val="14"/>
          <w:color w:val="auto"/>
        </w:rPr>
        <w:t xml:space="preserve"> Century, its Affiliates and its Sublicensee shall not use the name of CDI, any inventor of the WARF Patent Rights, or the name of WARF or the University of Wisconsin in any other form of publicity (except in connection with disclosures permitted under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or logo without the prior written approval of the entity or person whose name is being used, except where a disclosure is required by any applicable law or the rules of any securities exchange. Notwithstanding the foregoing, CDI shall have the right to disclose to existing and potential licensees the fact that CDI has entered into this Agreement with Licensee.</w:t>
      </w:r>
    </w:p>
    <w:p>
      <w:pPr>
        <w:spacing w:after="0" w:line="14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Counterparts.</w:t>
      </w:r>
      <w:r>
        <w:rPr>
          <w:rFonts w:ascii="Arial" w:cs="Arial" w:eastAsia="Arial" w:hAnsi="Arial"/>
          <w:sz w:val="14"/>
          <w:szCs w:val="14"/>
          <w:color w:val="auto"/>
        </w:rPr>
        <w:t xml:space="preserve"> This Agreement may be executed in counterparts, each of which counterparts, when so executed and delivered, shall be deemed to be an original, and all of which counterparts, taken together, shall constitute one and the same instrument.</w:t>
      </w:r>
    </w:p>
    <w:p>
      <w:pPr>
        <w:spacing w:after="0" w:line="13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10.10 </w:t>
      </w:r>
      <w:r>
        <w:rPr>
          <w:rFonts w:ascii="Arial" w:cs="Arial" w:eastAsia="Arial" w:hAnsi="Arial"/>
          <w:sz w:val="14"/>
          <w:szCs w:val="14"/>
          <w:u w:val="single" w:color="auto"/>
          <w:color w:val="auto"/>
        </w:rPr>
        <w:t>Force Majeure.</w:t>
      </w:r>
      <w:r>
        <w:rPr>
          <w:rFonts w:ascii="Arial" w:cs="Arial" w:eastAsia="Arial" w:hAnsi="Arial"/>
          <w:sz w:val="14"/>
          <w:szCs w:val="14"/>
          <w:color w:val="auto"/>
        </w:rPr>
        <w:t xml:space="preserve"> Neither Party will be responsible for delays resulting from causes beyond the reasonable control of such Party, including fire, explosion, flood, war, strike, or riot,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the nonperforming Party uses Commercially Reasonable Best Efforts for a company of its size and resources to avoid or remove such causes of nonperformance and continues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under this Agreement with reasonable dispatch whenever such causes are removed.</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Dispute Resolution</w:t>
      </w:r>
      <w:r>
        <w:rPr>
          <w:rFonts w:ascii="Arial" w:cs="Arial" w:eastAsia="Arial" w:hAnsi="Arial"/>
          <w:sz w:val="14"/>
          <w:szCs w:val="14"/>
          <w:color w:val="auto"/>
        </w:rPr>
        <w:t>.</w:t>
      </w:r>
    </w:p>
    <w:p>
      <w:pPr>
        <w:spacing w:after="0" w:line="184" w:lineRule="exact"/>
        <w:rPr>
          <w:sz w:val="20"/>
          <w:szCs w:val="20"/>
          <w:color w:val="auto"/>
        </w:rPr>
      </w:pPr>
    </w:p>
    <w:p>
      <w:pPr>
        <w:jc w:val="both"/>
        <w:ind w:firstLine="1042"/>
        <w:spacing w:after="0" w:line="267" w:lineRule="auto"/>
        <w:tabs>
          <w:tab w:leader="none" w:pos="1357" w:val="left"/>
        </w:tabs>
        <w:numPr>
          <w:ilvl w:val="0"/>
          <w:numId w:val="460"/>
        </w:numPr>
        <w:rPr>
          <w:rFonts w:ascii="Arial" w:cs="Arial" w:eastAsia="Arial" w:hAnsi="Arial"/>
          <w:sz w:val="14"/>
          <w:szCs w:val="14"/>
          <w:color w:val="auto"/>
        </w:rPr>
      </w:pPr>
      <w:r>
        <w:rPr>
          <w:rFonts w:ascii="Arial" w:cs="Arial" w:eastAsia="Arial" w:hAnsi="Arial"/>
          <w:sz w:val="14"/>
          <w:szCs w:val="14"/>
          <w:u w:val="single" w:color="auto"/>
          <w:color w:val="auto"/>
        </w:rPr>
        <w:t>Escalation</w:t>
      </w:r>
      <w:r>
        <w:rPr>
          <w:rFonts w:ascii="Arial" w:cs="Arial" w:eastAsia="Arial" w:hAnsi="Arial"/>
          <w:sz w:val="14"/>
          <w:szCs w:val="14"/>
          <w:color w:val="auto"/>
        </w:rPr>
        <w:t xml:space="preserve">. If any dispute arises out of or relates to this Agreement, the Parties agree to first seek to resolve such dispute by referring such dispute to the respective Chief Executive Officers of each Party for resolution. Such referral shall take place within thirty (30) days after a written request by either Party to the other Party that resolution by the Chief Executive Officers be attempted. If, within sixty (60) days following the dispute being referred to the Chief Executive Officers of the Parties, the Chief Executive Officers of the Parties have not resolved the dispute, and a Party wishes to pursue the matter, such Party may initiate binding arbitration in accordance with </w:t>
      </w:r>
      <w:r>
        <w:rPr>
          <w:rFonts w:ascii="Arial" w:cs="Arial" w:eastAsia="Arial" w:hAnsi="Arial"/>
          <w:sz w:val="14"/>
          <w:szCs w:val="14"/>
          <w:u w:val="single" w:color="auto"/>
          <w:color w:val="auto"/>
        </w:rPr>
        <w:t>Section 10.11(b)</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firstLine="1042"/>
        <w:spacing w:after="0" w:line="267" w:lineRule="auto"/>
        <w:tabs>
          <w:tab w:leader="none" w:pos="1365" w:val="left"/>
        </w:tabs>
        <w:numPr>
          <w:ilvl w:val="0"/>
          <w:numId w:val="460"/>
        </w:numPr>
        <w:rPr>
          <w:rFonts w:ascii="Arial" w:cs="Arial" w:eastAsia="Arial" w:hAnsi="Arial"/>
          <w:sz w:val="14"/>
          <w:szCs w:val="14"/>
          <w:color w:val="auto"/>
        </w:rPr>
      </w:pPr>
      <w:r>
        <w:rPr>
          <w:rFonts w:ascii="Arial" w:cs="Arial" w:eastAsia="Arial" w:hAnsi="Arial"/>
          <w:sz w:val="14"/>
          <w:szCs w:val="14"/>
          <w:u w:val="single" w:color="auto"/>
          <w:color w:val="auto"/>
        </w:rPr>
        <w:t>Alternative Dispute Resolution</w:t>
      </w:r>
      <w:r>
        <w:rPr>
          <w:rFonts w:ascii="Arial" w:cs="Arial" w:eastAsia="Arial" w:hAnsi="Arial"/>
          <w:sz w:val="14"/>
          <w:szCs w:val="14"/>
          <w:color w:val="auto"/>
        </w:rPr>
        <w:t xml:space="preserve">. Any dispute arising out of or relating to this Agreement that has not been resolved pursuant to </w:t>
      </w:r>
      <w:r>
        <w:rPr>
          <w:rFonts w:ascii="Arial" w:cs="Arial" w:eastAsia="Arial" w:hAnsi="Arial"/>
          <w:sz w:val="14"/>
          <w:szCs w:val="14"/>
          <w:u w:val="single" w:color="auto"/>
          <w:color w:val="auto"/>
        </w:rPr>
        <w:t>Section 10.11(a)</w:t>
      </w:r>
      <w:r>
        <w:rPr>
          <w:rFonts w:ascii="Arial" w:cs="Arial" w:eastAsia="Arial" w:hAnsi="Arial"/>
          <w:sz w:val="14"/>
          <w:szCs w:val="14"/>
          <w:color w:val="auto"/>
        </w:rPr>
        <w:t xml:space="preserve"> shall be shall be finally settled, in Tokyo in the event Century is a claimant and in New York in the event CDI is a claimant, under the Rules of Arbitration of the International Chamber of Commerce (“</w:t>
      </w:r>
      <w:r>
        <w:rPr>
          <w:rFonts w:ascii="Arial" w:cs="Arial" w:eastAsia="Arial" w:hAnsi="Arial"/>
          <w:sz w:val="14"/>
          <w:szCs w:val="14"/>
          <w:b w:val="1"/>
          <w:bCs w:val="1"/>
          <w:color w:val="auto"/>
        </w:rPr>
        <w:t>ICC</w:t>
      </w:r>
      <w:r>
        <w:rPr>
          <w:rFonts w:ascii="Arial" w:cs="Arial" w:eastAsia="Arial" w:hAnsi="Arial"/>
          <w:sz w:val="14"/>
          <w:szCs w:val="14"/>
          <w:color w:val="auto"/>
        </w:rPr>
        <w:t>”). The arbitral tribunal shall consist of three arbitrators, one selected by the claimant in the request for arbitration, the second selected by the respondent within thirty (30) days of receipt of the request for arbitration, and the third, who shall act as presiding arbitrator, selected by the two</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8" w:right="319" w:bottom="1440" w:gutter="0" w:footer="0" w:header="0"/>
        </w:sectPr>
      </w:pPr>
    </w:p>
    <w:bookmarkStart w:id="629" w:name="page630"/>
    <w:bookmarkEnd w:id="629"/>
    <w:p>
      <w:pPr>
        <w:spacing w:after="0" w:line="288" w:lineRule="auto"/>
        <w:rPr>
          <w:sz w:val="20"/>
          <w:szCs w:val="20"/>
          <w:color w:val="auto"/>
        </w:rPr>
      </w:pPr>
      <w:r>
        <w:rPr>
          <w:rFonts w:ascii="Arial" w:cs="Arial" w:eastAsia="Arial" w:hAnsi="Arial"/>
          <w:sz w:val="14"/>
          <w:szCs w:val="14"/>
          <w:color w:val="auto"/>
        </w:rPr>
        <w:t>party appointed arbitrators within thirty (30) days of the selection of the second arbitrator. If any arbitrators are not selected within these time periods, the International Court of Arbitration shall, upon the request of any Party, make the selection(s).</w:t>
      </w:r>
    </w:p>
    <w:p>
      <w:pPr>
        <w:spacing w:after="0" w:line="132" w:lineRule="exact"/>
        <w:rPr>
          <w:sz w:val="20"/>
          <w:szCs w:val="20"/>
          <w:color w:val="auto"/>
        </w:rPr>
      </w:pPr>
    </w:p>
    <w:p>
      <w:pPr>
        <w:jc w:val="both"/>
        <w:ind w:firstLine="1042"/>
        <w:spacing w:after="0" w:line="267" w:lineRule="auto"/>
        <w:tabs>
          <w:tab w:leader="none" w:pos="1357" w:val="left"/>
        </w:tabs>
        <w:numPr>
          <w:ilvl w:val="0"/>
          <w:numId w:val="461"/>
        </w:numPr>
        <w:rPr>
          <w:rFonts w:ascii="Arial" w:cs="Arial" w:eastAsia="Arial" w:hAnsi="Arial"/>
          <w:sz w:val="14"/>
          <w:szCs w:val="14"/>
          <w:color w:val="auto"/>
        </w:rPr>
      </w:pPr>
      <w:r>
        <w:rPr>
          <w:rFonts w:ascii="Arial" w:cs="Arial" w:eastAsia="Arial" w:hAnsi="Arial"/>
          <w:sz w:val="14"/>
          <w:szCs w:val="14"/>
          <w:u w:val="single" w:color="auto"/>
          <w:color w:val="auto"/>
        </w:rPr>
        <w:t>No Limitation</w:t>
      </w:r>
      <w:r>
        <w:rPr>
          <w:rFonts w:ascii="Arial" w:cs="Arial" w:eastAsia="Arial" w:hAnsi="Arial"/>
          <w:sz w:val="14"/>
          <w:szCs w:val="14"/>
          <w:color w:val="auto"/>
        </w:rPr>
        <w:t xml:space="preserve">. Nothing in this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shall be construed as limiting in any way the right of a Party to seek a preliminary injunction or other provisional relief with respect to any actual or threatened breach of this Agreement or to bring an action in aid of arbitration. Should any Party seek an injunction or other equitable relief, or bring an action in aid of arbitration, then for purposes of determining whether to grant such injunction or other equitable relief, or whether to issue any order in aid of arbitration, the dispute underlying the request for such injunction or other equitable relief, or action in aid of arbitration, may be heard by the court in which such action or proceeding is brought.</w:t>
      </w:r>
    </w:p>
    <w:p>
      <w:pPr>
        <w:spacing w:after="0" w:line="14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No Third Party Beneficiaries.</w:t>
      </w:r>
      <w:r>
        <w:rPr>
          <w:rFonts w:ascii="Arial" w:cs="Arial" w:eastAsia="Arial" w:hAnsi="Arial"/>
          <w:sz w:val="14"/>
          <w:szCs w:val="14"/>
          <w:color w:val="auto"/>
        </w:rPr>
        <w:t xml:space="preserve"> No Person other than Century, CDI and their respective Affiliates, successors and permitted assignees hereunder, shall be deemed an intended beneficiary hereunder or have any right to enforce any obligation of this Agreement.</w:t>
      </w:r>
    </w:p>
    <w:p>
      <w:pPr>
        <w:spacing w:after="0" w:line="13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 xml:space="preserve">10.13 </w:t>
      </w:r>
      <w:r>
        <w:rPr>
          <w:rFonts w:ascii="Arial" w:cs="Arial" w:eastAsia="Arial" w:hAnsi="Arial"/>
          <w:sz w:val="14"/>
          <w:szCs w:val="14"/>
          <w:u w:val="single" w:color="auto"/>
          <w:color w:val="auto"/>
        </w:rPr>
        <w:t>Independent Contractors.</w:t>
      </w:r>
      <w:r>
        <w:rPr>
          <w:rFonts w:ascii="Arial" w:cs="Arial" w:eastAsia="Arial" w:hAnsi="Arial"/>
          <w:sz w:val="14"/>
          <w:szCs w:val="14"/>
          <w:color w:val="auto"/>
        </w:rPr>
        <w:t xml:space="preserve"> It is expressly agreed that Century and CDI shall be independent contractors and that the relationship between Century and CDI shall not constitute a partnership, joint venture or agency. Neither Century nor CDI shall have the authority to make any statements, representations, or commitments of any kind, or to take any action, which shall be binding on the other Party, without the prior written consent of such other Party.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30" w:name="page631"/>
    <w:bookmarkEnd w:id="630"/>
    <w:p>
      <w:pPr>
        <w:ind w:left="5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executed this Agreement as of the Signing Date.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FUJIFILM CELLULAR DYNAMICS INC.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Seimi Satahe</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Seimi Satahe</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CEO</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Date: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18 Sep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59625"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INC.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w:t>
            </w:r>
          </w:p>
        </w:tc>
      </w:tr>
      <w:tr>
        <w:trPr>
          <w:trHeight w:val="165"/>
        </w:trPr>
        <w:tc>
          <w:tcPr>
            <w:tcW w:w="560" w:type="dxa"/>
            <w:vAlign w:val="bottom"/>
          </w:tcPr>
          <w:p>
            <w:pPr>
              <w:spacing w:after="0"/>
              <w:rPr>
                <w:sz w:val="20"/>
                <w:szCs w:val="20"/>
                <w:color w:val="auto"/>
              </w:rPr>
            </w:pPr>
            <w:r>
              <w:rPr>
                <w:rFonts w:ascii="Arial" w:cs="Arial" w:eastAsia="Arial" w:hAnsi="Arial"/>
                <w:sz w:val="14"/>
                <w:szCs w:val="14"/>
                <w:color w:val="auto"/>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w:t>
            </w:r>
          </w:p>
        </w:tc>
      </w:tr>
      <w:tr>
        <w:trPr>
          <w:trHeight w:val="163"/>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Executive Officer</w:t>
            </w:r>
          </w:p>
        </w:tc>
      </w:tr>
      <w:tr>
        <w:trPr>
          <w:trHeight w:val="163"/>
        </w:trPr>
        <w:tc>
          <w:tcPr>
            <w:tcW w:w="560" w:type="dxa"/>
            <w:vAlign w:val="bottom"/>
          </w:tcPr>
          <w:p>
            <w:pPr>
              <w:spacing w:after="0"/>
              <w:rPr>
                <w:sz w:val="20"/>
                <w:szCs w:val="20"/>
                <w:color w:val="auto"/>
              </w:rPr>
            </w:pPr>
            <w:r>
              <w:rPr>
                <w:rFonts w:ascii="Arial" w:cs="Arial" w:eastAsia="Arial" w:hAnsi="Arial"/>
                <w:sz w:val="14"/>
                <w:szCs w:val="14"/>
                <w:color w:val="auto"/>
              </w:rPr>
              <w:t>Date: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13 Sept 2018</w:t>
            </w:r>
          </w:p>
        </w:tc>
      </w:tr>
    </w:tbl>
    <w:p>
      <w:pPr>
        <w:sectPr>
          <w:pgSz w:w="11900" w:h="16838" w:orient="portrait"/>
          <w:cols w:equalWidth="0" w:num="2">
            <w:col w:w="5960" w:space="40"/>
            <w:col w:w="5280"/>
          </w:cols>
          <w:pgMar w:left="300" w:top="471" w:right="319" w:bottom="1440" w:gutter="0" w:footer="0" w:header="0"/>
        </w:sectPr>
      </w:pPr>
    </w:p>
    <w:bookmarkStart w:id="631" w:name="page632"/>
    <w:bookmarkEnd w:id="631"/>
    <w:p>
      <w:pPr>
        <w:jc w:val="center"/>
        <w:ind w:right="-1140"/>
        <w:spacing w:after="0"/>
        <w:rPr>
          <w:sz w:val="20"/>
          <w:szCs w:val="20"/>
          <w:color w:val="auto"/>
        </w:rPr>
      </w:pPr>
      <w:r>
        <w:rPr>
          <w:rFonts w:ascii="Arial" w:cs="Arial" w:eastAsia="Arial" w:hAnsi="Arial"/>
          <w:sz w:val="14"/>
          <w:szCs w:val="14"/>
          <w:b w:val="1"/>
          <w:bCs w:val="1"/>
          <w:u w:val="single" w:color="auto"/>
          <w:color w:val="auto"/>
        </w:rPr>
        <w:t>Exhibit A</w:t>
      </w:r>
    </w:p>
    <w:p>
      <w:pPr>
        <w:spacing w:after="0" w:line="184" w:lineRule="exact"/>
        <w:rPr>
          <w:sz w:val="20"/>
          <w:szCs w:val="20"/>
          <w:color w:val="auto"/>
        </w:rPr>
      </w:pPr>
    </w:p>
    <w:p>
      <w:pPr>
        <w:jc w:val="right"/>
        <w:ind w:right="3259"/>
        <w:spacing w:after="0"/>
        <w:rPr>
          <w:sz w:val="20"/>
          <w:szCs w:val="20"/>
          <w:color w:val="auto"/>
        </w:rPr>
      </w:pPr>
      <w:r>
        <w:rPr>
          <w:rFonts w:ascii="Arial" w:cs="Arial" w:eastAsia="Arial" w:hAnsi="Arial"/>
          <w:sz w:val="14"/>
          <w:szCs w:val="14"/>
          <w:b w:val="1"/>
          <w:bCs w:val="1"/>
          <w:color w:val="auto"/>
        </w:rPr>
        <w:t>Term sheet for Collaboration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7159625"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71" w:right="1440" w:bottom="1440" w:gutter="0" w:footer="0" w:header="0"/>
        </w:sectPr>
      </w:pPr>
    </w:p>
    <w:bookmarkStart w:id="632" w:name="page633"/>
    <w:bookmarkEnd w:id="632"/>
    <w:p>
      <w:pPr>
        <w:jc w:val="center"/>
        <w:ind w:right="-1120"/>
        <w:spacing w:after="0"/>
        <w:rPr>
          <w:sz w:val="20"/>
          <w:szCs w:val="20"/>
          <w:color w:val="auto"/>
        </w:rPr>
      </w:pPr>
      <w:r>
        <w:rPr>
          <w:rFonts w:ascii="Arial" w:cs="Arial" w:eastAsia="Arial" w:hAnsi="Arial"/>
          <w:sz w:val="14"/>
          <w:szCs w:val="14"/>
          <w:b w:val="1"/>
          <w:bCs w:val="1"/>
          <w:u w:val="single" w:color="auto"/>
          <w:color w:val="auto"/>
        </w:rPr>
        <w:t>Exhibit B</w:t>
      </w:r>
    </w:p>
    <w:p>
      <w:pPr>
        <w:spacing w:after="0" w:line="184" w:lineRule="exact"/>
        <w:rPr>
          <w:sz w:val="20"/>
          <w:szCs w:val="20"/>
          <w:color w:val="auto"/>
        </w:rPr>
      </w:pPr>
    </w:p>
    <w:p>
      <w:pPr>
        <w:jc w:val="right"/>
        <w:ind w:right="3219"/>
        <w:spacing w:after="0"/>
        <w:rPr>
          <w:sz w:val="20"/>
          <w:szCs w:val="20"/>
          <w:color w:val="auto"/>
        </w:rPr>
      </w:pPr>
      <w:r>
        <w:rPr>
          <w:rFonts w:ascii="Arial" w:cs="Arial" w:eastAsia="Arial" w:hAnsi="Arial"/>
          <w:sz w:val="14"/>
          <w:szCs w:val="14"/>
          <w:b w:val="1"/>
          <w:bCs w:val="1"/>
          <w:u w:val="single" w:color="auto"/>
          <w:color w:val="auto"/>
        </w:rPr>
        <w:t>Licensed Patent Rights Controlled by CDI</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7159625"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71" w:right="1440" w:bottom="1440" w:gutter="0" w:footer="0" w:header="0"/>
        </w:sectPr>
      </w:pPr>
    </w:p>
    <w:bookmarkStart w:id="633" w:name="page634"/>
    <w:bookmarkEnd w:id="633"/>
    <w:p>
      <w:pPr>
        <w:jc w:val="center"/>
        <w:ind w:right="-1120"/>
        <w:spacing w:after="0"/>
        <w:rPr>
          <w:sz w:val="20"/>
          <w:szCs w:val="20"/>
          <w:color w:val="auto"/>
        </w:rPr>
      </w:pPr>
      <w:r>
        <w:rPr>
          <w:rFonts w:ascii="Arial" w:cs="Arial" w:eastAsia="Arial" w:hAnsi="Arial"/>
          <w:sz w:val="14"/>
          <w:szCs w:val="14"/>
          <w:b w:val="1"/>
          <w:bCs w:val="1"/>
          <w:u w:val="single" w:color="auto"/>
          <w:color w:val="auto"/>
        </w:rPr>
        <w:t>Exhibit C</w:t>
      </w:r>
    </w:p>
    <w:p>
      <w:pPr>
        <w:spacing w:after="0" w:line="184" w:lineRule="exact"/>
        <w:rPr>
          <w:sz w:val="20"/>
          <w:szCs w:val="20"/>
          <w:color w:val="auto"/>
        </w:rPr>
      </w:pPr>
    </w:p>
    <w:p>
      <w:pPr>
        <w:jc w:val="right"/>
        <w:ind w:right="3879"/>
        <w:spacing w:after="0"/>
        <w:rPr>
          <w:sz w:val="20"/>
          <w:szCs w:val="20"/>
          <w:color w:val="auto"/>
        </w:rPr>
      </w:pPr>
      <w:r>
        <w:rPr>
          <w:rFonts w:ascii="Arial" w:cs="Arial" w:eastAsia="Arial" w:hAnsi="Arial"/>
          <w:sz w:val="14"/>
          <w:szCs w:val="14"/>
          <w:b w:val="1"/>
          <w:bCs w:val="1"/>
          <w:u w:val="single" w:color="auto"/>
          <w:color w:val="auto"/>
        </w:rPr>
        <w:t>Development Report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7159625"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71" w:right="1440" w:bottom="1440" w:gutter="0" w:footer="0" w:header="0"/>
        </w:sectPr>
      </w:pPr>
    </w:p>
    <w:bookmarkStart w:id="634" w:name="page635"/>
    <w:bookmarkEnd w:id="634"/>
    <w:p>
      <w:pPr>
        <w:jc w:val="center"/>
        <w:ind w:right="-1140"/>
        <w:spacing w:after="0"/>
        <w:rPr>
          <w:sz w:val="20"/>
          <w:szCs w:val="20"/>
          <w:color w:val="auto"/>
        </w:rPr>
      </w:pPr>
      <w:r>
        <w:rPr>
          <w:rFonts w:ascii="Arial" w:cs="Arial" w:eastAsia="Arial" w:hAnsi="Arial"/>
          <w:sz w:val="14"/>
          <w:szCs w:val="14"/>
          <w:b w:val="1"/>
          <w:bCs w:val="1"/>
          <w:u w:val="single" w:color="auto"/>
          <w:color w:val="auto"/>
        </w:rPr>
        <w:t>Exhibit D</w:t>
      </w:r>
    </w:p>
    <w:p>
      <w:pPr>
        <w:spacing w:after="0" w:line="184" w:lineRule="exact"/>
        <w:rPr>
          <w:sz w:val="20"/>
          <w:szCs w:val="20"/>
          <w:color w:val="auto"/>
        </w:rPr>
      </w:pPr>
    </w:p>
    <w:p>
      <w:pPr>
        <w:jc w:val="right"/>
        <w:ind w:right="4099"/>
        <w:spacing w:after="0"/>
        <w:rPr>
          <w:sz w:val="20"/>
          <w:szCs w:val="20"/>
          <w:color w:val="auto"/>
        </w:rPr>
      </w:pPr>
      <w:r>
        <w:rPr>
          <w:rFonts w:ascii="Arial" w:cs="Arial" w:eastAsia="Arial" w:hAnsi="Arial"/>
          <w:sz w:val="14"/>
          <w:szCs w:val="14"/>
          <w:b w:val="1"/>
          <w:bCs w:val="1"/>
          <w:u w:val="single" w:color="auto"/>
          <w:color w:val="auto"/>
        </w:rPr>
        <w:t>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7159625"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71" w:right="1440" w:bottom="1440" w:gutter="0" w:footer="0" w:header="0"/>
        </w:sectPr>
      </w:pPr>
    </w:p>
    <w:bookmarkStart w:id="635" w:name="page636"/>
    <w:bookmarkEnd w:id="635"/>
    <w:p>
      <w:pPr>
        <w:ind w:left="10300"/>
        <w:spacing w:after="0"/>
        <w:rPr>
          <w:sz w:val="20"/>
          <w:szCs w:val="20"/>
          <w:color w:val="auto"/>
        </w:rPr>
      </w:pPr>
      <w:r>
        <w:rPr>
          <w:rFonts w:ascii="Arial" w:cs="Arial" w:eastAsia="Arial" w:hAnsi="Arial"/>
          <w:sz w:val="16"/>
          <w:szCs w:val="16"/>
          <w:b w:val="1"/>
          <w:bCs w:val="1"/>
          <w:color w:val="auto"/>
        </w:rPr>
        <w:t>Exhibit 10.24</w:t>
      </w:r>
    </w:p>
    <w:p>
      <w:pPr>
        <w:spacing w:after="0" w:line="216" w:lineRule="exact"/>
        <w:rPr>
          <w:sz w:val="20"/>
          <w:szCs w:val="20"/>
          <w:color w:val="auto"/>
        </w:rPr>
      </w:pPr>
    </w:p>
    <w:p>
      <w:pPr>
        <w:jc w:val="center"/>
        <w:ind w:left="4700" w:right="60" w:hanging="4631"/>
        <w:spacing w:after="0" w:line="288" w:lineRule="auto"/>
        <w:tabs>
          <w:tab w:leader="none" w:pos="425" w:val="left"/>
        </w:tabs>
        <w:numPr>
          <w:ilvl w:val="0"/>
          <w:numId w:val="462"/>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Reprogramming</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FIRST AMENDMENT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AGREEMENT</w:t>
      </w:r>
    </w:p>
    <w:p>
      <w:pPr>
        <w:spacing w:after="0" w:line="171" w:lineRule="exact"/>
        <w:rPr>
          <w:sz w:val="20"/>
          <w:szCs w:val="20"/>
          <w:color w:val="auto"/>
        </w:rPr>
      </w:pPr>
    </w:p>
    <w:p>
      <w:pPr>
        <w:jc w:val="both"/>
        <w:ind w:firstLine="1036"/>
        <w:spacing w:after="0" w:line="266" w:lineRule="auto"/>
        <w:rPr>
          <w:sz w:val="20"/>
          <w:szCs w:val="20"/>
          <w:color w:val="auto"/>
        </w:rPr>
      </w:pPr>
      <w:r>
        <w:rPr>
          <w:rFonts w:ascii="Arial" w:cs="Arial" w:eastAsia="Arial" w:hAnsi="Arial"/>
          <w:sz w:val="14"/>
          <w:szCs w:val="14"/>
          <w:color w:val="auto"/>
        </w:rPr>
        <w:t>This First Amendment to License Agreement (the “</w:t>
      </w:r>
      <w:r>
        <w:rPr>
          <w:rFonts w:ascii="Arial" w:cs="Arial" w:eastAsia="Arial" w:hAnsi="Arial"/>
          <w:sz w:val="14"/>
          <w:szCs w:val="14"/>
          <w:b w:val="1"/>
          <w:bCs w:val="1"/>
          <w:color w:val="auto"/>
        </w:rPr>
        <w:t>First Amendment</w:t>
      </w:r>
      <w:r>
        <w:rPr>
          <w:rFonts w:ascii="Arial" w:cs="Arial" w:eastAsia="Arial" w:hAnsi="Arial"/>
          <w:sz w:val="14"/>
          <w:szCs w:val="14"/>
          <w:color w:val="auto"/>
        </w:rPr>
        <w:t>”) is made and effective as of March 23, 2021 (the “</w:t>
      </w:r>
      <w:r>
        <w:rPr>
          <w:rFonts w:ascii="Arial" w:cs="Arial" w:eastAsia="Arial" w:hAnsi="Arial"/>
          <w:sz w:val="14"/>
          <w:szCs w:val="14"/>
          <w:b w:val="1"/>
          <w:bCs w:val="1"/>
          <w:color w:val="auto"/>
        </w:rPr>
        <w:t>First Amendment Effective Date</w:t>
      </w:r>
      <w:r>
        <w:rPr>
          <w:rFonts w:ascii="Arial" w:cs="Arial" w:eastAsia="Arial" w:hAnsi="Arial"/>
          <w:sz w:val="14"/>
          <w:szCs w:val="14"/>
          <w:color w:val="auto"/>
        </w:rPr>
        <w:t>”) between Century Therapeutics, Inc. (f/k/a Century Therapeutics, LLC), a Delaware corporation (“</w:t>
      </w:r>
      <w:r>
        <w:rPr>
          <w:rFonts w:ascii="Arial" w:cs="Arial" w:eastAsia="Arial" w:hAnsi="Arial"/>
          <w:sz w:val="14"/>
          <w:szCs w:val="14"/>
          <w:b w:val="1"/>
          <w:bCs w:val="1"/>
          <w:color w:val="auto"/>
        </w:rPr>
        <w:t>Century</w:t>
      </w:r>
      <w:r>
        <w:rPr>
          <w:rFonts w:ascii="Arial" w:cs="Arial" w:eastAsia="Arial" w:hAnsi="Arial"/>
          <w:sz w:val="14"/>
          <w:szCs w:val="14"/>
          <w:color w:val="auto"/>
        </w:rPr>
        <w:t>”) having a principal place of business at 3675 Market Street, Philadelphia, PA 19104 USA, and FUJIFILM Cellular Dynamics Inc., a Wisconsin corporation (“</w:t>
      </w:r>
      <w:r>
        <w:rPr>
          <w:rFonts w:ascii="Arial" w:cs="Arial" w:eastAsia="Arial" w:hAnsi="Arial"/>
          <w:sz w:val="14"/>
          <w:szCs w:val="14"/>
          <w:b w:val="1"/>
          <w:bCs w:val="1"/>
          <w:color w:val="auto"/>
        </w:rPr>
        <w:t>CDI</w:t>
      </w:r>
      <w:r>
        <w:rPr>
          <w:rFonts w:ascii="Arial" w:cs="Arial" w:eastAsia="Arial" w:hAnsi="Arial"/>
          <w:sz w:val="14"/>
          <w:szCs w:val="14"/>
          <w:color w:val="auto"/>
        </w:rPr>
        <w:t>”) having an address at 525 Science Drive, Madison, WI 53711 USA, and amends the License Agreement by and between Century (as assignee of Century Therapeutics, Inc. (“</w:t>
      </w:r>
      <w:r>
        <w:rPr>
          <w:rFonts w:ascii="Arial" w:cs="Arial" w:eastAsia="Arial" w:hAnsi="Arial"/>
          <w:sz w:val="14"/>
          <w:szCs w:val="14"/>
          <w:b w:val="1"/>
          <w:bCs w:val="1"/>
          <w:color w:val="auto"/>
        </w:rPr>
        <w:t>Century Inc.</w:t>
      </w:r>
      <w:r>
        <w:rPr>
          <w:rFonts w:ascii="Arial" w:cs="Arial" w:eastAsia="Arial" w:hAnsi="Arial"/>
          <w:sz w:val="14"/>
          <w:szCs w:val="14"/>
          <w:color w:val="auto"/>
        </w:rPr>
        <w:t>”)) and CDI dated September 18, 2018 (as amended, the “</w:t>
      </w:r>
      <w:r>
        <w:rPr>
          <w:rFonts w:ascii="Arial" w:cs="Arial" w:eastAsia="Arial" w:hAnsi="Arial"/>
          <w:sz w:val="14"/>
          <w:szCs w:val="14"/>
          <w:b w:val="1"/>
          <w:bCs w:val="1"/>
          <w:color w:val="auto"/>
        </w:rPr>
        <w:t>License Agreement</w:t>
      </w:r>
      <w:r>
        <w:rPr>
          <w:rFonts w:ascii="Arial" w:cs="Arial" w:eastAsia="Arial" w:hAnsi="Arial"/>
          <w:sz w:val="14"/>
          <w:szCs w:val="14"/>
          <w:color w:val="auto"/>
        </w:rPr>
        <w:t>”). All capitalized terms used but not otherwise defined herein shall have the meaning set forth in the License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18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WHEREAS, on September 18, 2018, Century Inc. and CDI entered into the License Agreement;</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WHEREAS, pursuant to the License Agreement CDI granted Century Inc. a non-exclusive license under the Licensed Patent Rights to Exploit the Licensed Products in the Field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in the Territory;</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WHEREAS, Century Inc. assigned all of its rights and obligations under the License Agreement to Century;</w:t>
      </w:r>
    </w:p>
    <w:p>
      <w:pPr>
        <w:spacing w:after="0" w:line="184"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WHEREAS, certain terms of the License Agreement were modified as set forth in that certain Letter Agreement Regarding WARF/CDI License Agreement and CDI/Century Sublicense Agreement dated as of July 2, 2019, by and among CDI, Century and Wisconsin Alumni Research Foundation (“</w:t>
      </w:r>
      <w:r>
        <w:rPr>
          <w:rFonts w:ascii="Arial" w:cs="Arial" w:eastAsia="Arial" w:hAnsi="Arial"/>
          <w:sz w:val="14"/>
          <w:szCs w:val="14"/>
          <w:b w:val="1"/>
          <w:bCs w:val="1"/>
          <w:color w:val="auto"/>
        </w:rPr>
        <w:t>WARF Side Letter</w:t>
      </w:r>
      <w:r>
        <w:rPr>
          <w:rFonts w:ascii="Arial" w:cs="Arial" w:eastAsia="Arial" w:hAnsi="Arial"/>
          <w:sz w:val="14"/>
          <w:szCs w:val="14"/>
          <w:color w:val="auto"/>
        </w:rPr>
        <w:t>”); and</w:t>
      </w:r>
    </w:p>
    <w:p>
      <w:pPr>
        <w:spacing w:after="0" w:line="132" w:lineRule="exact"/>
        <w:rPr>
          <w:sz w:val="20"/>
          <w:szCs w:val="20"/>
          <w:color w:val="auto"/>
        </w:rPr>
      </w:pPr>
    </w:p>
    <w:p>
      <w:pPr>
        <w:jc w:val="both"/>
        <w:ind w:firstLine="1036"/>
        <w:spacing w:after="0" w:line="288" w:lineRule="auto"/>
        <w:rPr>
          <w:sz w:val="20"/>
          <w:szCs w:val="20"/>
          <w:color w:val="auto"/>
        </w:rPr>
      </w:pPr>
      <w:r>
        <w:rPr>
          <w:rFonts w:ascii="Arial" w:cs="Arial" w:eastAsia="Arial" w:hAnsi="Arial"/>
          <w:sz w:val="14"/>
          <w:szCs w:val="14"/>
          <w:color w:val="auto"/>
        </w:rPr>
        <w:t>WHEREAS, pursuant to, and in accordance with, Section 10.6 of the License Agreement, Century and CDI desire that the License Agreement, as modified by the WARF Side Letter, be amended as set forth herein.</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THEREFORE, in consideration of the mutual covenants and conditions set forth in this First Amendment, it is agreed as follows:</w:t>
      </w:r>
    </w:p>
    <w:p>
      <w:pPr>
        <w:spacing w:after="0" w:line="184" w:lineRule="exact"/>
        <w:rPr>
          <w:sz w:val="20"/>
          <w:szCs w:val="20"/>
          <w:color w:val="auto"/>
        </w:rPr>
      </w:pPr>
    </w:p>
    <w:p>
      <w:pPr>
        <w:ind w:left="520" w:hanging="514"/>
        <w:spacing w:after="0"/>
        <w:tabs>
          <w:tab w:leader="none" w:pos="520" w:val="left"/>
        </w:tabs>
        <w:numPr>
          <w:ilvl w:val="0"/>
          <w:numId w:val="463"/>
        </w:numPr>
        <w:rPr>
          <w:rFonts w:ascii="Arial" w:cs="Arial" w:eastAsia="Arial" w:hAnsi="Arial"/>
          <w:sz w:val="14"/>
          <w:szCs w:val="14"/>
          <w:color w:val="auto"/>
        </w:rPr>
      </w:pPr>
      <w:r>
        <w:rPr>
          <w:rFonts w:ascii="Arial" w:cs="Arial" w:eastAsia="Arial" w:hAnsi="Arial"/>
          <w:sz w:val="14"/>
          <w:szCs w:val="14"/>
          <w:u w:val="single" w:color="auto"/>
          <w:color w:val="auto"/>
        </w:rPr>
        <w:t>Amendments to the License Agreement</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1.1.</w:t>
      </w:r>
      <w:r>
        <w:rPr>
          <w:rFonts w:ascii="Arial" w:cs="Arial" w:eastAsia="Arial" w:hAnsi="Arial"/>
          <w:sz w:val="12"/>
          <w:szCs w:val="12"/>
          <w:color w:val="auto"/>
        </w:rPr>
        <w:t>Section 1.11 (g) of the License Agreement shall be amended and restated as follows:</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“non-public information in relation to the Licensed Patent Rights, Licensed Know-How or Developments.”</w:t>
      </w:r>
    </w:p>
    <w:p>
      <w:pPr>
        <w:spacing w:after="0" w:line="184"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Section 1.12 of the License Agreement shall be amended and restated as follows:</w:t>
      </w:r>
    </w:p>
    <w:p>
      <w:pPr>
        <w:spacing w:after="0" w:line="180"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Controlled</w:t>
      </w:r>
      <w:r>
        <w:rPr>
          <w:rFonts w:ascii="Arial" w:cs="Arial" w:eastAsia="Arial" w:hAnsi="Arial"/>
          <w:sz w:val="14"/>
          <w:szCs w:val="14"/>
          <w:color w:val="auto"/>
        </w:rPr>
        <w:t>” means, with respect to Patent Rights or Know-How as such relates to a Party or its Affiliates, that such Party or applicable Affiliate owns or has a license or sublicense to such Patent Rights or Know-How and has the legal right to grant a license or sublicense, including having received any necessary Third Party consents, to such Patent Rights or Know-How to the other Party as provided for in this Agreement, or has the ability to assign its right, title and interest in and to such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218440</wp:posOffset>
            </wp:positionV>
            <wp:extent cx="7159625" cy="69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36" w:name="page637"/>
    <w:bookmarkEnd w:id="636"/>
    <w:p>
      <w:pPr>
        <w:jc w:val="both"/>
        <w:spacing w:after="0" w:line="273" w:lineRule="auto"/>
        <w:rPr>
          <w:sz w:val="20"/>
          <w:szCs w:val="20"/>
          <w:color w:val="auto"/>
        </w:rPr>
      </w:pPr>
      <w:r>
        <w:rPr>
          <w:rFonts w:ascii="Arial" w:cs="Arial" w:eastAsia="Arial" w:hAnsi="Arial"/>
          <w:sz w:val="14"/>
          <w:szCs w:val="14"/>
          <w:color w:val="auto"/>
        </w:rPr>
        <w:t xml:space="preserve">Rights or Know-How to the other Party, without violating the terms of any agreement or other arrangement with any Third Party. Notwithstanding the foregoing, with respect to any Patent Right or Know-How acquired or in-licensed for which a Party would be required to make payments to any Third Party in connection with the license or access granted to the other Party under this Agreement, such Patent Right or Know-How will only be treated as “Controlled” by the licensing Party pursuant to the terms of </w:t>
      </w:r>
      <w:r>
        <w:rPr>
          <w:rFonts w:ascii="Arial" w:cs="Arial" w:eastAsia="Arial" w:hAnsi="Arial"/>
          <w:sz w:val="14"/>
          <w:szCs w:val="14"/>
          <w:u w:val="single" w:color="auto"/>
          <w:color w:val="auto"/>
        </w:rPr>
        <w:t>Article 2</w:t>
      </w:r>
      <w:r>
        <w:rPr>
          <w:rFonts w:ascii="Arial" w:cs="Arial" w:eastAsia="Arial" w:hAnsi="Arial"/>
          <w:sz w:val="14"/>
          <w:szCs w:val="14"/>
          <w:color w:val="auto"/>
        </w:rPr>
        <w:t>.”</w:t>
      </w:r>
    </w:p>
    <w:p>
      <w:pPr>
        <w:spacing w:after="0" w:line="14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color w:val="auto"/>
        </w:rPr>
        <w:t>Section 1.21 of the License Agreement shall be amended and restated as follows:</w:t>
      </w:r>
    </w:p>
    <w:p>
      <w:pPr>
        <w:spacing w:after="0" w:line="180"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Exploit</w:t>
      </w:r>
      <w:r>
        <w:rPr>
          <w:rFonts w:ascii="Arial" w:cs="Arial" w:eastAsia="Arial" w:hAnsi="Arial"/>
          <w:sz w:val="14"/>
          <w:szCs w:val="14"/>
          <w:color w:val="auto"/>
        </w:rPr>
        <w:t>” or “</w:t>
      </w:r>
      <w:r>
        <w:rPr>
          <w:rFonts w:ascii="Arial" w:cs="Arial" w:eastAsia="Arial" w:hAnsi="Arial"/>
          <w:sz w:val="14"/>
          <w:szCs w:val="14"/>
          <w:b w:val="1"/>
          <w:bCs w:val="1"/>
          <w:color w:val="auto"/>
        </w:rPr>
        <w:t>Exploitation</w:t>
      </w:r>
      <w:r>
        <w:rPr>
          <w:rFonts w:ascii="Arial" w:cs="Arial" w:eastAsia="Arial" w:hAnsi="Arial"/>
          <w:sz w:val="14"/>
          <w:szCs w:val="14"/>
          <w:color w:val="auto"/>
        </w:rPr>
        <w:t>” shall mean with respect to a particular Licensed Product, to make, have made, manufacture, have manufactured, use, have used, sell, have sold, offer for sale, have offered for sale, import, and have imported, including to research, develop, Commercialize or otherwise exploit, such Licensed Product.”</w:t>
      </w:r>
    </w:p>
    <w:p>
      <w:pPr>
        <w:spacing w:after="0" w:line="12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color w:val="auto"/>
        </w:rPr>
        <w:t>Section 1.32 of the License Agreement shall be amended and restated as follows:</w:t>
      </w:r>
    </w:p>
    <w:p>
      <w:pPr>
        <w:spacing w:after="0" w:line="180"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Patent Rights</w:t>
      </w:r>
      <w:r>
        <w:rPr>
          <w:rFonts w:ascii="Arial" w:cs="Arial" w:eastAsia="Arial" w:hAnsi="Arial"/>
          <w:sz w:val="14"/>
          <w:szCs w:val="14"/>
          <w:color w:val="auto"/>
        </w:rPr>
        <w:t>” means (i) those patents and patent applications listed on Exhibit B and (ii) Patent Rights Owned by CDI at any time during the Term that are (a) (1) related to reprogramming of human cells to iPSCs and (2) reasonably essential to Exploit a Licensed Product or (b) Improvements of the Century Licensed Technology Owned or Controlled by CDI.”</w:t>
      </w:r>
    </w:p>
    <w:p>
      <w:pPr>
        <w:spacing w:after="0" w:line="139"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2"/>
          <w:szCs w:val="12"/>
          <w:color w:val="auto"/>
        </w:rPr>
        <w:t>Section 1.33 of the License Agreement shall be amended and restated as follows:</w:t>
      </w:r>
    </w:p>
    <w:p>
      <w:pPr>
        <w:spacing w:after="0" w:line="180"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Product</w:t>
      </w:r>
      <w:r>
        <w:rPr>
          <w:rFonts w:ascii="Arial" w:cs="Arial" w:eastAsia="Arial" w:hAnsi="Arial"/>
          <w:sz w:val="14"/>
          <w:szCs w:val="14"/>
          <w:color w:val="auto"/>
        </w:rPr>
        <w:t>” means cancer immunotherapy products (for the treatment of cancer in humans) consisting of cells that are or are modifications of T cells, NK cells, dendritic cells, and macrophages derived from human iPSC (including TiPSC). For the sake of clarity, such “modifications” exclude materials or substances extracted, isolated from, or secreted by, such modified or unmodified cells.”</w:t>
      </w:r>
    </w:p>
    <w:p>
      <w:pPr>
        <w:spacing w:after="0" w:line="13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1.6. After giving effect to the amendments contemplated in Sections 1.1, 1.2, 1.3, 1.4 and 1.5 above, Article 1 of the License Agreement shall be amended to add the following definitions, in appropriate alphabetical and numerical order, and the section numbers of Article 1 of the License Agreement and all cross references thereto in the License Agreement are hereby updated to reflect the addition of such defined terms:</w:t>
      </w:r>
    </w:p>
    <w:p>
      <w:pPr>
        <w:spacing w:after="0" w:line="137" w:lineRule="exact"/>
        <w:rPr>
          <w:sz w:val="20"/>
          <w:szCs w:val="20"/>
          <w:color w:val="auto"/>
        </w:rPr>
      </w:pPr>
    </w:p>
    <w:p>
      <w:pPr>
        <w:jc w:val="both"/>
        <w:ind w:firstLine="1036"/>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Century Licensed Technology</w:t>
      </w:r>
      <w:r>
        <w:rPr>
          <w:rFonts w:ascii="Arial" w:cs="Arial" w:eastAsia="Arial" w:hAnsi="Arial"/>
          <w:sz w:val="13"/>
          <w:szCs w:val="13"/>
          <w:color w:val="auto"/>
        </w:rPr>
        <w:t>” means Improvements Owned or Controlled by Century or its Affiliates that relate to the Licensed Patent Rights, the reprogramming of human somatic cells or the manufacture of iPSC(s) (including TiPSC(s)) or Reprogrammed iPS Cells. For purposes of clarity, “Century Licensed Technology” does not include technologies of gene editing, targets and binders and switches but does include, without limitation, any and all of the following: (i) strategies, criteria or methods for analytical test development and quality control test development for the reprogramming of human somatic cells or the manufacture of iPSC(s) (including TiPSC(s)) or Reprogrammed iPS Cells including, without limitation: determination of the respective tests that are required for intermediates, release and characterization; the development of the appropriate tests; and stability studies and shelf life determination; (ii) criteria and/or methods for cell expansion and scale up process; methods for, and results from, a suite of in vitro and in vivo assays that test cell performance and function; and evaluation analysis of such results; and (iii) criteria, methods or processes relating to any of the following: closed unit operations (example: closed continuous or batch centrifugation); scale up of cell expansion and cell harvest steps; process choreography, i.e., the optimal order of combining streams, transferring streams, sampling and measuring intermediates, and defining hold times; identification of standard, or design of custom-made, product-contact containers for combining streams, transferring streams, and sampling; and cell cryopreservation; and cell vial filling and visual inspection at large scale.”</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37" w:name="page638"/>
    <w:bookmarkEnd w:id="637"/>
    <w:p>
      <w:pPr>
        <w:jc w:val="both"/>
        <w:ind w:firstLine="1036"/>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Improvements</w:t>
      </w:r>
      <w:r>
        <w:rPr>
          <w:rFonts w:ascii="Arial" w:cs="Arial" w:eastAsia="Arial" w:hAnsi="Arial"/>
          <w:sz w:val="14"/>
          <w:szCs w:val="14"/>
          <w:color w:val="auto"/>
        </w:rPr>
        <w:t>” means any Intellectual Property that is an improvement to then-existing Licensed Patent Rights or Licensed Know-How that is developed by either Party or Third Parties acting on their behalf while performing activities under this Agreement or in the course of activities in the exercise of the rights licensed hereunder (including the Exploitation of Licensed Products within the Field) and all intellectual property rights (including Patent Rights) thereto. For purposes of clarity, “Improvements” does not include technologies of gene editing, targets and binders and switches.”</w:t>
      </w:r>
    </w:p>
    <w:p>
      <w:pPr>
        <w:spacing w:after="0" w:line="141" w:lineRule="exact"/>
        <w:rPr>
          <w:sz w:val="20"/>
          <w:szCs w:val="20"/>
          <w:color w:val="auto"/>
        </w:rPr>
      </w:pPr>
    </w:p>
    <w:p>
      <w:pPr>
        <w:jc w:val="both"/>
        <w:ind w:firstLine="1036"/>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Know-How</w:t>
      </w:r>
      <w:r>
        <w:rPr>
          <w:rFonts w:ascii="Arial" w:cs="Arial" w:eastAsia="Arial" w:hAnsi="Arial"/>
          <w:sz w:val="14"/>
          <w:szCs w:val="14"/>
          <w:color w:val="auto"/>
        </w:rPr>
        <w:t>” means Know-How that is Owned or Controlled by CDI that is necessary for the practice of the Licensed Patent Rights and relates to the reprogramming of human somatic cells or the manufacture of Reprogrammed iPS Cells (including TiPSC(s)). For clarity, Licensed Know-How includes Improvements of the Century Licensed Technology Owned or Controlled by CDI, but excludes technologies of gene editing, targets and binders and switches.”</w:t>
      </w:r>
    </w:p>
    <w:p>
      <w:pPr>
        <w:spacing w:after="0" w:line="135"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Sublicensee Technology</w:t>
      </w:r>
      <w:r>
        <w:rPr>
          <w:rFonts w:ascii="Arial" w:cs="Arial" w:eastAsia="Arial" w:hAnsi="Arial"/>
          <w:sz w:val="14"/>
          <w:szCs w:val="14"/>
          <w:color w:val="auto"/>
        </w:rPr>
        <w:t>” means any and all Know-How and Patent Rights that such Sublicensee (and its Affiliates) controls by way of developing, generating or inventing during the term of the applicable sublicense agreement in the course of activities in the exercise of the sublicensed rights thereunder.”</w:t>
      </w:r>
    </w:p>
    <w:p>
      <w:pPr>
        <w:spacing w:after="0" w:line="12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2"/>
          <w:szCs w:val="12"/>
          <w:color w:val="auto"/>
        </w:rPr>
        <w:t>Section 2.1 of the License Agreement shall be amended and restated as follows:</w:t>
      </w:r>
    </w:p>
    <w:p>
      <w:pPr>
        <w:spacing w:after="0" w:line="184" w:lineRule="exact"/>
        <w:rPr>
          <w:sz w:val="20"/>
          <w:szCs w:val="20"/>
          <w:color w:val="auto"/>
        </w:rPr>
      </w:pPr>
    </w:p>
    <w:p>
      <w:pPr>
        <w:jc w:val="both"/>
        <w:ind w:firstLine="1036"/>
        <w:spacing w:after="0" w:line="282" w:lineRule="auto"/>
        <w:rPr>
          <w:sz w:val="20"/>
          <w:szCs w:val="20"/>
          <w:color w:val="auto"/>
        </w:rPr>
      </w:pPr>
      <w:r>
        <w:rPr>
          <w:rFonts w:ascii="Arial" w:cs="Arial" w:eastAsia="Arial" w:hAnsi="Arial"/>
          <w:sz w:val="13"/>
          <w:szCs w:val="13"/>
          <w:u w:val="single" w:color="auto"/>
          <w:color w:val="auto"/>
        </w:rPr>
        <w:t>“License Grants to Century</w:t>
      </w:r>
      <w:r>
        <w:rPr>
          <w:rFonts w:ascii="Arial" w:cs="Arial" w:eastAsia="Arial" w:hAnsi="Arial"/>
          <w:sz w:val="13"/>
          <w:szCs w:val="13"/>
          <w:color w:val="auto"/>
        </w:rPr>
        <w:t xml:space="preserve">. (a) Subject to the terms and conditions of this Agreement and the WARF License Agreement, CDI hereby grants to Century, a non-exclusive, non-transferable (except in accordance with </w:t>
      </w:r>
      <w:r>
        <w:rPr>
          <w:rFonts w:ascii="Arial" w:cs="Arial" w:eastAsia="Arial" w:hAnsi="Arial"/>
          <w:sz w:val="13"/>
          <w:szCs w:val="13"/>
          <w:u w:val="single" w:color="auto"/>
          <w:color w:val="auto"/>
        </w:rPr>
        <w:t>Section 10.3</w:t>
      </w:r>
      <w:r>
        <w:rPr>
          <w:rFonts w:ascii="Arial" w:cs="Arial" w:eastAsia="Arial" w:hAnsi="Arial"/>
          <w:sz w:val="13"/>
          <w:szCs w:val="13"/>
          <w:color w:val="auto"/>
        </w:rPr>
        <w:t xml:space="preserve">), royalty bearing, sublicensable (with limitation as set forth in </w:t>
      </w:r>
      <w:r>
        <w:rPr>
          <w:rFonts w:ascii="Arial" w:cs="Arial" w:eastAsia="Arial" w:hAnsi="Arial"/>
          <w:sz w:val="13"/>
          <w:szCs w:val="13"/>
          <w:u w:val="single" w:color="auto"/>
          <w:color w:val="auto"/>
        </w:rPr>
        <w:t>Section 2.3(a)</w:t>
      </w:r>
      <w:r>
        <w:rPr>
          <w:rFonts w:ascii="Arial" w:cs="Arial" w:eastAsia="Arial" w:hAnsi="Arial"/>
          <w:sz w:val="13"/>
          <w:szCs w:val="13"/>
          <w:color w:val="auto"/>
        </w:rPr>
        <w:t xml:space="preserve">) license under the Licensed Patent Rights to Exploit the Licensed Products within the Field in the Territory, and (b) subject to the terms and conditions of this Agreement, CDI hereby grants to Century a non-exclusive, non-transferable (except in accordance with </w:t>
      </w:r>
      <w:r>
        <w:rPr>
          <w:rFonts w:ascii="Arial" w:cs="Arial" w:eastAsia="Arial" w:hAnsi="Arial"/>
          <w:sz w:val="13"/>
          <w:szCs w:val="13"/>
          <w:u w:val="single" w:color="auto"/>
          <w:color w:val="auto"/>
        </w:rPr>
        <w:t>Section 10.3</w:t>
      </w:r>
      <w:r>
        <w:rPr>
          <w:rFonts w:ascii="Arial" w:cs="Arial" w:eastAsia="Arial" w:hAnsi="Arial"/>
          <w:sz w:val="13"/>
          <w:szCs w:val="13"/>
          <w:color w:val="auto"/>
        </w:rPr>
        <w:t xml:space="preserve">), royalty-free, fully paid-up, sublicensable (with limitation as set forth in </w:t>
      </w:r>
      <w:r>
        <w:rPr>
          <w:rFonts w:ascii="Arial" w:cs="Arial" w:eastAsia="Arial" w:hAnsi="Arial"/>
          <w:sz w:val="13"/>
          <w:szCs w:val="13"/>
          <w:u w:val="single" w:color="auto"/>
          <w:color w:val="auto"/>
        </w:rPr>
        <w:t>Section 2.3(a)</w:t>
      </w:r>
      <w:r>
        <w:rPr>
          <w:rFonts w:ascii="Arial" w:cs="Arial" w:eastAsia="Arial" w:hAnsi="Arial"/>
          <w:sz w:val="13"/>
          <w:szCs w:val="13"/>
          <w:color w:val="auto"/>
        </w:rPr>
        <w:t>), license under the Licensed Know-How to make, have made, use, and have used, research and develop iPSC(s) (including TiPSC(s)), Reprogrammed iPS Cells to Exploit the Licensed Products within the Field in the Territory. Notwithstanding any term or implication herein to the contrary and for the sake of clarity, the foregoing license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 of a product other than a Licensed Product that that is being researched, developed or commercialized by or on behalf of Century or its Affiliates or Sublicensees.”</w:t>
      </w:r>
    </w:p>
    <w:p>
      <w:pPr>
        <w:spacing w:after="0" w:line="142"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2"/>
          <w:szCs w:val="12"/>
          <w:color w:val="auto"/>
        </w:rPr>
        <w:t>Section 2.2 of the License Agreement shall be amended and restated as follows:</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License Grants to CDI</w:t>
      </w:r>
      <w:r>
        <w:rPr>
          <w:rFonts w:ascii="Arial" w:cs="Arial" w:eastAsia="Arial" w:hAnsi="Arial"/>
          <w:sz w:val="14"/>
          <w:szCs w:val="14"/>
          <w:color w:val="auto"/>
        </w:rPr>
        <w:t>. Subject to the terms and conditions of this Agreement, Century (on behalf of itself and its Affiliates) hereby grants to, and will require its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Sublicensee(s) to grant, to CDI the following licenses and options:</w:t>
      </w:r>
    </w:p>
    <w:p>
      <w:pPr>
        <w:spacing w:after="0" w:line="175" w:lineRule="exact"/>
        <w:rPr>
          <w:sz w:val="20"/>
          <w:szCs w:val="20"/>
          <w:color w:val="auto"/>
        </w:rPr>
      </w:pPr>
    </w:p>
    <w:p>
      <w:pPr>
        <w:jc w:val="both"/>
        <w:ind w:firstLine="1560"/>
        <w:spacing w:after="0" w:line="273" w:lineRule="auto"/>
        <w:tabs>
          <w:tab w:leader="none" w:pos="2141" w:val="left"/>
        </w:tabs>
        <w:numPr>
          <w:ilvl w:val="0"/>
          <w:numId w:val="464"/>
        </w:numPr>
        <w:rPr>
          <w:rFonts w:ascii="Arial" w:cs="Arial" w:eastAsia="Arial" w:hAnsi="Arial"/>
          <w:sz w:val="14"/>
          <w:szCs w:val="14"/>
          <w:color w:val="auto"/>
        </w:rPr>
      </w:pPr>
      <w:r>
        <w:rPr>
          <w:rFonts w:ascii="Arial" w:cs="Arial" w:eastAsia="Arial" w:hAnsi="Arial"/>
          <w:sz w:val="14"/>
          <w:szCs w:val="14"/>
          <w:color w:val="auto"/>
        </w:rPr>
        <w:t>a world-wide, non-exclusive, royalty-free, irrevocable, paid-up license, with the right to grant sublicenses, to WARF, the University of Wisconsin, the WiCell Research Institute and the Morgridge Institute for Research, to make, have made, use and otherwise practice Developments for Non-Commercial Research Purposes in organizations associated with either WARF or the University of Wisconsin;</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84" w:right="319" w:bottom="1440" w:gutter="0" w:footer="0" w:header="0"/>
        </w:sectPr>
      </w:pPr>
    </w:p>
    <w:bookmarkStart w:id="638" w:name="page639"/>
    <w:bookmarkEnd w:id="638"/>
    <w:p>
      <w:pPr>
        <w:jc w:val="both"/>
        <w:ind w:firstLine="1560"/>
        <w:spacing w:after="0" w:line="273" w:lineRule="auto"/>
        <w:tabs>
          <w:tab w:leader="none" w:pos="2160" w:val="left"/>
        </w:tabs>
        <w:numPr>
          <w:ilvl w:val="0"/>
          <w:numId w:val="465"/>
        </w:numPr>
        <w:rPr>
          <w:rFonts w:ascii="Arial" w:cs="Arial" w:eastAsia="Arial" w:hAnsi="Arial"/>
          <w:sz w:val="14"/>
          <w:szCs w:val="14"/>
          <w:color w:val="auto"/>
        </w:rPr>
      </w:pPr>
      <w:r>
        <w:rPr>
          <w:rFonts w:ascii="Arial" w:cs="Arial" w:eastAsia="Arial" w:hAnsi="Arial"/>
          <w:sz w:val="14"/>
          <w:szCs w:val="14"/>
          <w:color w:val="auto"/>
        </w:rPr>
        <w:t xml:space="preserve">a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fully paid-up, sublicensable (with the ability to sublicense through multiple tiers) license (i) to make, have made, use and otherwise practice Developments made by Century or its Affiliates or Sublicensees in the Field outside the Territory or within the Territory in connection with Abandoned Indication and (ii) to practice Developments to manufacture the Licensed Products in the Field worldwide; and</w:t>
      </w:r>
    </w:p>
    <w:p>
      <w:pPr>
        <w:spacing w:after="0" w:line="141" w:lineRule="exact"/>
        <w:rPr>
          <w:rFonts w:ascii="Arial" w:cs="Arial" w:eastAsia="Arial" w:hAnsi="Arial"/>
          <w:sz w:val="14"/>
          <w:szCs w:val="14"/>
          <w:color w:val="auto"/>
        </w:rPr>
      </w:pPr>
    </w:p>
    <w:p>
      <w:pPr>
        <w:jc w:val="both"/>
        <w:ind w:firstLine="1560"/>
        <w:spacing w:after="0" w:line="267" w:lineRule="auto"/>
        <w:tabs>
          <w:tab w:leader="none" w:pos="2303" w:val="left"/>
        </w:tabs>
        <w:numPr>
          <w:ilvl w:val="0"/>
          <w:numId w:val="465"/>
        </w:numPr>
        <w:rPr>
          <w:rFonts w:ascii="Arial" w:cs="Arial" w:eastAsia="Arial" w:hAnsi="Arial"/>
          <w:sz w:val="14"/>
          <w:szCs w:val="14"/>
          <w:color w:val="auto"/>
        </w:rPr>
      </w:pPr>
      <w:r>
        <w:rPr>
          <w:rFonts w:ascii="Arial" w:cs="Arial" w:eastAsia="Arial" w:hAnsi="Arial"/>
          <w:sz w:val="14"/>
          <w:szCs w:val="14"/>
          <w:color w:val="auto"/>
        </w:rPr>
        <w:t xml:space="preserve">a fully paid-up,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sublicensable (with limitation as set forth in </w:t>
      </w:r>
      <w:r>
        <w:rPr>
          <w:rFonts w:ascii="Arial" w:cs="Arial" w:eastAsia="Arial" w:hAnsi="Arial"/>
          <w:sz w:val="14"/>
          <w:szCs w:val="14"/>
          <w:u w:val="single" w:color="auto"/>
          <w:color w:val="auto"/>
        </w:rPr>
        <w:t>Section 2.3(d)</w:t>
      </w:r>
      <w:r>
        <w:rPr>
          <w:rFonts w:ascii="Arial" w:cs="Arial" w:eastAsia="Arial" w:hAnsi="Arial"/>
          <w:sz w:val="14"/>
          <w:szCs w:val="14"/>
          <w:color w:val="auto"/>
        </w:rPr>
        <w:t xml:space="preserve">) worldwide license under the Century Licensed Technology to make, have made, use, and have used, research and develop iPSC(s) (including TiPSC(s)), Reprogrammed iPS Cells or Reprogrammed iPS Cell Derivative Materials) outside the Field, except that such rights granted under this </w:t>
      </w:r>
      <w:r>
        <w:rPr>
          <w:rFonts w:ascii="Arial" w:cs="Arial" w:eastAsia="Arial" w:hAnsi="Arial"/>
          <w:sz w:val="14"/>
          <w:szCs w:val="14"/>
          <w:u w:val="single" w:color="auto"/>
          <w:color w:val="auto"/>
        </w:rPr>
        <w:t>Section 2.2(c)</w:t>
      </w:r>
      <w:r>
        <w:rPr>
          <w:rFonts w:ascii="Arial" w:cs="Arial" w:eastAsia="Arial" w:hAnsi="Arial"/>
          <w:sz w:val="14"/>
          <w:szCs w:val="14"/>
          <w:color w:val="auto"/>
        </w:rPr>
        <w:t xml:space="preserve"> shall not be used in conjunction with any other technology to differentiate such iPSC(s) into T cells, NK cells, macrophages or dendritic cells; [***]; and</w:t>
      </w:r>
    </w:p>
    <w:p>
      <w:pPr>
        <w:spacing w:after="0" w:line="146" w:lineRule="exact"/>
        <w:rPr>
          <w:rFonts w:ascii="Arial" w:cs="Arial" w:eastAsia="Arial" w:hAnsi="Arial"/>
          <w:sz w:val="14"/>
          <w:szCs w:val="14"/>
          <w:color w:val="auto"/>
        </w:rPr>
      </w:pPr>
    </w:p>
    <w:p>
      <w:pPr>
        <w:jc w:val="both"/>
        <w:ind w:firstLine="1560"/>
        <w:spacing w:after="0" w:line="265" w:lineRule="auto"/>
        <w:tabs>
          <w:tab w:leader="none" w:pos="2171" w:val="left"/>
        </w:tabs>
        <w:numPr>
          <w:ilvl w:val="0"/>
          <w:numId w:val="465"/>
        </w:numPr>
        <w:rPr>
          <w:rFonts w:ascii="Arial" w:cs="Arial" w:eastAsia="Arial" w:hAnsi="Arial"/>
          <w:sz w:val="14"/>
          <w:szCs w:val="14"/>
          <w:color w:val="auto"/>
        </w:rPr>
      </w:pPr>
      <w:r>
        <w:rPr>
          <w:rFonts w:ascii="Arial" w:cs="Arial" w:eastAsia="Arial" w:hAnsi="Arial"/>
          <w:sz w:val="14"/>
          <w:szCs w:val="14"/>
          <w:color w:val="auto"/>
        </w:rPr>
        <w:t xml:space="preserve">an option to obtain a non-exclusive, non-transferable (except in accordance with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sublicensable (with the ability to sublicense through multiple tiers) license, under Intellectual Property Rights that are owned or controlled by a Third Party and licensed to Century or its Affiliate to Exploit the Licensed Products in the Field outside the Territory or within the Territory in connection with the Abandoned Indication,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however, in the event Century or its Affiliates or Subcontractors are required to pay royalty for its sublicense to CDI and its Sublicensees the Parties will agree on an equitable apportionment of any royalty between the Parties to reflect the fair value attributable to the use of such Intellectual Property Rights for the Exploitation of the Licensed Products in each Party’s territory.”</w:t>
      </w:r>
    </w:p>
    <w:p>
      <w:pPr>
        <w:spacing w:after="0" w:line="14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3"/>
          <w:szCs w:val="13"/>
          <w:color w:val="auto"/>
        </w:rPr>
        <w:t>Section 2.3 of the License Agreement shall be amended to include new paragraphs (d), (e) and (f) which provide:</w:t>
      </w:r>
    </w:p>
    <w:p>
      <w:pPr>
        <w:spacing w:after="0" w:line="184" w:lineRule="exact"/>
        <w:rPr>
          <w:sz w:val="20"/>
          <w:szCs w:val="20"/>
          <w:color w:val="auto"/>
        </w:rPr>
      </w:pPr>
    </w:p>
    <w:p>
      <w:pPr>
        <w:jc w:val="both"/>
        <w:ind w:firstLine="1036"/>
        <w:spacing w:after="0" w:line="294" w:lineRule="auto"/>
        <w:rPr>
          <w:sz w:val="20"/>
          <w:szCs w:val="20"/>
          <w:color w:val="auto"/>
        </w:rPr>
      </w:pPr>
      <w:r>
        <w:rPr>
          <w:rFonts w:ascii="Arial" w:cs="Arial" w:eastAsia="Arial" w:hAnsi="Arial"/>
          <w:sz w:val="13"/>
          <w:szCs w:val="13"/>
          <w:color w:val="auto"/>
        </w:rPr>
        <w:t>“(d) CDI shall have the right to grant sublicenses under the Developments and any Century Licensed Technology to its Affiliates and any Third Party (through multiple tiers); provided, that any such sublicense granted shall be pursuant to a written agreement and each sublicense shall be subject to all relevant restrictions and limitations set forth in this Agreement. CDI will be responsible for each of the Sublicensees complying with all obligations of CDI under this Agreement that are applicable to Sublicensees and any breach by a Sublicensee under any such sublicense shall be deemed to be a breach of CDI under this Agreement. CDI will notify Century in writing of the identity of any Sublicensees without delay.</w:t>
      </w:r>
    </w:p>
    <w:p>
      <w:pPr>
        <w:spacing w:after="0" w:line="131" w:lineRule="exact"/>
        <w:rPr>
          <w:sz w:val="20"/>
          <w:szCs w:val="20"/>
          <w:color w:val="auto"/>
        </w:rPr>
      </w:pPr>
    </w:p>
    <w:p>
      <w:pPr>
        <w:jc w:val="both"/>
        <w:ind w:firstLine="1042"/>
        <w:spacing w:after="0" w:line="265" w:lineRule="auto"/>
        <w:tabs>
          <w:tab w:leader="none" w:pos="1634" w:val="left"/>
        </w:tabs>
        <w:numPr>
          <w:ilvl w:val="0"/>
          <w:numId w:val="466"/>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contained herein, Century shall use commercially reasonable efforts to include in any sublicense by Century or any Affiliate of Century to a Third Party (or any further sublicenses by the applicable Sublicensee) of any rights granted by CDI under </w:t>
      </w:r>
      <w:r>
        <w:rPr>
          <w:rFonts w:ascii="Arial" w:cs="Arial" w:eastAsia="Arial" w:hAnsi="Arial"/>
          <w:sz w:val="14"/>
          <w:szCs w:val="14"/>
          <w:u w:val="single" w:color="auto"/>
          <w:color w:val="auto"/>
        </w:rPr>
        <w:t>Section 2.1(b)</w:t>
      </w:r>
      <w:r>
        <w:rPr>
          <w:rFonts w:ascii="Arial" w:cs="Arial" w:eastAsia="Arial" w:hAnsi="Arial"/>
          <w:sz w:val="14"/>
          <w:szCs w:val="14"/>
          <w:color w:val="auto"/>
        </w:rPr>
        <w:t xml:space="preserve"> that the Sublicensee will grant to Century licenses to any Sublicensee Technology on terms that are substantially similar to the licenses granted by CDI to Century in </w:t>
      </w:r>
      <w:r>
        <w:rPr>
          <w:rFonts w:ascii="Arial" w:cs="Arial" w:eastAsia="Arial" w:hAnsi="Arial"/>
          <w:sz w:val="14"/>
          <w:szCs w:val="14"/>
          <w:u w:val="single" w:color="auto"/>
          <w:color w:val="auto"/>
        </w:rPr>
        <w:t>Section 2.1(b)</w:t>
      </w:r>
      <w:r>
        <w:rPr>
          <w:rFonts w:ascii="Arial" w:cs="Arial" w:eastAsia="Arial" w:hAnsi="Arial"/>
          <w:sz w:val="14"/>
          <w:szCs w:val="14"/>
          <w:color w:val="auto"/>
        </w:rPr>
        <w:t xml:space="preserve"> (but with respect to outside the Field), which license must be fully sublicensable to CDI (through multiple tiers) pursuant to the terms and conditions of this Agreement. In such event, such Sublicensee Technology will be treated as “Century Licensed Technology” hereunder and included within the licenses granted to CDI pursuant to </w:t>
      </w:r>
      <w:r>
        <w:rPr>
          <w:rFonts w:ascii="Arial" w:cs="Arial" w:eastAsia="Arial" w:hAnsi="Arial"/>
          <w:sz w:val="14"/>
          <w:szCs w:val="14"/>
          <w:u w:val="single" w:color="auto"/>
          <w:color w:val="auto"/>
        </w:rPr>
        <w:t>Section 2.2(c)</w:t>
      </w:r>
      <w:r>
        <w:rPr>
          <w:rFonts w:ascii="Arial" w:cs="Arial" w:eastAsia="Arial" w:hAnsi="Arial"/>
          <w:sz w:val="14"/>
          <w:szCs w:val="14"/>
          <w:color w:val="auto"/>
        </w:rPr>
        <w: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88" w:right="319" w:bottom="1440" w:gutter="0" w:footer="0" w:header="0"/>
        </w:sectPr>
      </w:pPr>
    </w:p>
    <w:bookmarkStart w:id="639" w:name="page640"/>
    <w:bookmarkEnd w:id="639"/>
    <w:p>
      <w:pPr>
        <w:jc w:val="both"/>
        <w:ind w:firstLine="1042"/>
        <w:spacing w:after="0" w:line="265" w:lineRule="auto"/>
        <w:tabs>
          <w:tab w:leader="none" w:pos="1614" w:val="left"/>
        </w:tabs>
        <w:numPr>
          <w:ilvl w:val="0"/>
          <w:numId w:val="467"/>
        </w:numPr>
        <w:rPr>
          <w:rFonts w:ascii="Arial" w:cs="Arial" w:eastAsia="Arial" w:hAnsi="Arial"/>
          <w:sz w:val="14"/>
          <w:szCs w:val="14"/>
          <w:color w:val="auto"/>
        </w:rPr>
      </w:pPr>
      <w:r>
        <w:rPr>
          <w:rFonts w:ascii="Arial" w:cs="Arial" w:eastAsia="Arial" w:hAnsi="Arial"/>
          <w:sz w:val="14"/>
          <w:szCs w:val="14"/>
          <w:color w:val="auto"/>
        </w:rPr>
        <w:t xml:space="preserve">CDI shall use commercially reasonable efforts to include in any sublicense by CDI or any Affiliate of CDI to a Third Party (or any further sublicenses by the applicable CDI sublicensee) of any rights granted by Century under </w:t>
      </w:r>
      <w:r>
        <w:rPr>
          <w:rFonts w:ascii="Arial" w:cs="Arial" w:eastAsia="Arial" w:hAnsi="Arial"/>
          <w:sz w:val="14"/>
          <w:szCs w:val="14"/>
          <w:u w:val="single" w:color="auto"/>
          <w:color w:val="auto"/>
        </w:rPr>
        <w:t>Section 2.2(c)</w:t>
      </w:r>
      <w:r>
        <w:rPr>
          <w:rFonts w:ascii="Arial" w:cs="Arial" w:eastAsia="Arial" w:hAnsi="Arial"/>
          <w:sz w:val="14"/>
          <w:szCs w:val="14"/>
          <w:color w:val="auto"/>
        </w:rPr>
        <w:t xml:space="preserve"> that the CDI sublicensee will grant to CDI licenses to any Sublicensee Technology on terms that are substantially similar to the licenses granted by Century to CDI in </w:t>
      </w:r>
      <w:r>
        <w:rPr>
          <w:rFonts w:ascii="Arial" w:cs="Arial" w:eastAsia="Arial" w:hAnsi="Arial"/>
          <w:sz w:val="14"/>
          <w:szCs w:val="14"/>
          <w:u w:val="single" w:color="auto"/>
          <w:color w:val="auto"/>
        </w:rPr>
        <w:t>Section 2.2(c)</w:t>
      </w:r>
      <w:r>
        <w:rPr>
          <w:rFonts w:ascii="Arial" w:cs="Arial" w:eastAsia="Arial" w:hAnsi="Arial"/>
          <w:sz w:val="14"/>
          <w:szCs w:val="14"/>
          <w:color w:val="auto"/>
        </w:rPr>
        <w:t xml:space="preserve">, which license must be fully sublicensable to Century (through multiple tiers) pursuant to the terms and conditions of this Agreement. In such event, such Sublicensee Technology will be treated as “Licensed Patent Rights” or “Licensed Know-How” (as applicable) hereunder and included within the licenses granted to Century pursuant to </w:t>
      </w:r>
      <w:r>
        <w:rPr>
          <w:rFonts w:ascii="Arial" w:cs="Arial" w:eastAsia="Arial" w:hAnsi="Arial"/>
          <w:sz w:val="14"/>
          <w:szCs w:val="14"/>
          <w:u w:val="single" w:color="auto"/>
          <w:color w:val="auto"/>
        </w:rPr>
        <w:t>Section 2.1(b)</w:t>
      </w:r>
      <w:r>
        <w:rPr>
          <w:rFonts w:ascii="Arial" w:cs="Arial" w:eastAsia="Arial" w:hAnsi="Arial"/>
          <w:sz w:val="14"/>
          <w:szCs w:val="14"/>
          <w:color w:val="auto"/>
        </w:rPr>
        <w:t>.”</w:t>
      </w:r>
    </w:p>
    <w:p>
      <w:pPr>
        <w:spacing w:after="0" w:line="14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2"/>
          <w:szCs w:val="12"/>
          <w:color w:val="auto"/>
        </w:rPr>
        <w:t>Section 2.4 of the License Agreement shall be amended and restated as follows:</w:t>
      </w:r>
    </w:p>
    <w:p>
      <w:pPr>
        <w:spacing w:after="0" w:line="184"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u w:val="single" w:color="auto"/>
          <w:color w:val="auto"/>
        </w:rPr>
        <w:t>Regulatory Related Matters</w:t>
      </w:r>
      <w:r>
        <w:rPr>
          <w:rFonts w:ascii="Arial" w:cs="Arial" w:eastAsia="Arial" w:hAnsi="Arial"/>
          <w:sz w:val="14"/>
          <w:szCs w:val="14"/>
          <w:color w:val="auto"/>
        </w:rPr>
        <w:t>.</w:t>
      </w:r>
    </w:p>
    <w:p>
      <w:pPr>
        <w:spacing w:after="0" w:line="184" w:lineRule="exact"/>
        <w:rPr>
          <w:sz w:val="20"/>
          <w:szCs w:val="20"/>
          <w:color w:val="auto"/>
        </w:rPr>
      </w:pPr>
    </w:p>
    <w:p>
      <w:pPr>
        <w:jc w:val="both"/>
        <w:ind w:firstLine="1042"/>
        <w:spacing w:after="0" w:line="261" w:lineRule="auto"/>
        <w:tabs>
          <w:tab w:leader="none" w:pos="1231" w:val="left"/>
        </w:tabs>
        <w:numPr>
          <w:ilvl w:val="0"/>
          <w:numId w:val="468"/>
        </w:numPr>
        <w:rPr>
          <w:rFonts w:ascii="Arial" w:cs="Arial" w:eastAsia="Arial" w:hAnsi="Arial"/>
          <w:sz w:val="14"/>
          <w:szCs w:val="14"/>
          <w:color w:val="auto"/>
        </w:rPr>
      </w:pPr>
      <w:r>
        <w:rPr>
          <w:rFonts w:ascii="Arial" w:cs="Arial" w:eastAsia="Arial" w:hAnsi="Arial"/>
          <w:sz w:val="14"/>
          <w:szCs w:val="14"/>
          <w:u w:val="single" w:color="auto"/>
          <w:color w:val="auto"/>
        </w:rPr>
        <w:t>Technical Support</w:t>
      </w:r>
      <w:r>
        <w:rPr>
          <w:rFonts w:ascii="Arial" w:cs="Arial" w:eastAsia="Arial" w:hAnsi="Arial"/>
          <w:sz w:val="14"/>
          <w:szCs w:val="14"/>
          <w:color w:val="auto"/>
        </w:rPr>
        <w:t>. Each Party shall, or shall cause its Affiliates to, use commercially reasonable efforts to provide the other Party (including the other Party’s Affiliates) with the reasonably necessary technical support where reasonably necessary to allow the other Party to Exploit the Licensed Products in the Field in the Territory (in the case of Century as the other Party) or outside the Territory (in the case of CDI as the other Party) pursuant to this Agreement, and in accordance with this Section 2.4. Further, CDI expressly agrees that Century shall have the right to reference any DMF as required by a Regulatory Authority maintained, or that at any time during the Term becomes maintained, by CDI in the ordinary course of business insofar as such DMF is necessary in connection with obtaining any Regulatory Approval by Century or its Sublicensees for Licensed Products in the Field in the Territory. For clarification, CDI may establish and maintain DMF with appropriate information for the regulatory submissions of Century, and its Sublicensees for the Licensed Product and the Development of the Licensed Product in the Territory. Century expressly agrees that CDI shall have the right to reference any DMF that are maintained, or that at any time during the Term becomes maintained, by Century and its Sublicensees in the ordinary course of business relating to the Developments insofar as such information is necessary in connection with obtaining any Regulatory Approval for Licensed Products in the Field outside the Territory.</w:t>
      </w:r>
    </w:p>
    <w:p>
      <w:pPr>
        <w:spacing w:after="0" w:line="150" w:lineRule="exact"/>
        <w:rPr>
          <w:rFonts w:ascii="Arial" w:cs="Arial" w:eastAsia="Arial" w:hAnsi="Arial"/>
          <w:sz w:val="14"/>
          <w:szCs w:val="14"/>
          <w:color w:val="auto"/>
        </w:rPr>
      </w:pPr>
    </w:p>
    <w:p>
      <w:pPr>
        <w:jc w:val="both"/>
        <w:ind w:firstLine="1042"/>
        <w:spacing w:after="0" w:line="273" w:lineRule="auto"/>
        <w:tabs>
          <w:tab w:leader="none" w:pos="1261" w:val="left"/>
        </w:tabs>
        <w:numPr>
          <w:ilvl w:val="0"/>
          <w:numId w:val="468"/>
        </w:numPr>
        <w:rPr>
          <w:rFonts w:ascii="Arial" w:cs="Arial" w:eastAsia="Arial" w:hAnsi="Arial"/>
          <w:sz w:val="14"/>
          <w:szCs w:val="14"/>
          <w:color w:val="auto"/>
        </w:rPr>
      </w:pPr>
      <w:r>
        <w:rPr>
          <w:rFonts w:ascii="Arial" w:cs="Arial" w:eastAsia="Arial" w:hAnsi="Arial"/>
          <w:sz w:val="14"/>
          <w:szCs w:val="14"/>
          <w:u w:val="single" w:color="auto"/>
          <w:color w:val="auto"/>
        </w:rPr>
        <w:t>Other Regulatory Matters</w:t>
      </w:r>
      <w:r>
        <w:rPr>
          <w:rFonts w:ascii="Arial" w:cs="Arial" w:eastAsia="Arial" w:hAnsi="Arial"/>
          <w:sz w:val="14"/>
          <w:szCs w:val="14"/>
          <w:color w:val="auto"/>
        </w:rPr>
        <w:t xml:space="preserve">. The provisions of Section 8 of the Quality Agreement and Section 2.0 of the Table set forth in the Quality Agreement shall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the extent the Quality Agreement expires or is terminated prior to the expiration or earlier termination of this Agreement, such provisions of the Quality Agreement will survive such expiration or termination for purposes of this </w:t>
      </w:r>
      <w:r>
        <w:rPr>
          <w:rFonts w:ascii="Arial" w:cs="Arial" w:eastAsia="Arial" w:hAnsi="Arial"/>
          <w:sz w:val="14"/>
          <w:szCs w:val="14"/>
          <w:u w:val="single" w:color="auto"/>
          <w:color w:val="auto"/>
        </w:rPr>
        <w:t>Section 2.4</w:t>
      </w:r>
      <w:r>
        <w:rPr>
          <w:rFonts w:ascii="Arial" w:cs="Arial" w:eastAsia="Arial" w:hAnsi="Arial"/>
          <w:sz w:val="14"/>
          <w:szCs w:val="14"/>
          <w:color w:val="auto"/>
        </w:rPr>
        <w:t>, and be incorporated herein by reference.”</w:t>
      </w:r>
    </w:p>
    <w:p>
      <w:pPr>
        <w:spacing w:after="0" w:line="14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color w:val="auto"/>
        </w:rPr>
        <w:t>Article 2 of the License Agreement shall be amended to include a new Section 2.8 which provides:</w:t>
      </w:r>
    </w:p>
    <w:p>
      <w:pPr>
        <w:spacing w:after="0" w:line="184"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u w:val="single" w:color="auto"/>
          <w:color w:val="auto"/>
        </w:rPr>
        <w:t>Tech Transfer</w:t>
      </w:r>
      <w:r>
        <w:rPr>
          <w:rFonts w:ascii="Arial" w:cs="Arial" w:eastAsia="Arial" w:hAnsi="Arial"/>
          <w:sz w:val="14"/>
          <w:szCs w:val="14"/>
          <w:color w:val="auto"/>
        </w:rPr>
        <w:t>.</w:t>
      </w:r>
    </w:p>
    <w:p>
      <w:pPr>
        <w:spacing w:after="0" w:line="184" w:lineRule="exact"/>
        <w:rPr>
          <w:sz w:val="20"/>
          <w:szCs w:val="20"/>
          <w:color w:val="auto"/>
        </w:rPr>
      </w:pPr>
    </w:p>
    <w:p>
      <w:pPr>
        <w:jc w:val="both"/>
        <w:ind w:firstLine="1560"/>
        <w:spacing w:after="0" w:line="263" w:lineRule="auto"/>
        <w:tabs>
          <w:tab w:leader="none" w:pos="2141" w:val="left"/>
        </w:tabs>
        <w:numPr>
          <w:ilvl w:val="0"/>
          <w:numId w:val="469"/>
        </w:numPr>
        <w:rPr>
          <w:rFonts w:ascii="Arial" w:cs="Arial" w:eastAsia="Arial" w:hAnsi="Arial"/>
          <w:sz w:val="14"/>
          <w:szCs w:val="14"/>
          <w:color w:val="auto"/>
        </w:rPr>
      </w:pPr>
      <w:r>
        <w:rPr>
          <w:rFonts w:ascii="Arial" w:cs="Arial" w:eastAsia="Arial" w:hAnsi="Arial"/>
          <w:sz w:val="14"/>
          <w:szCs w:val="14"/>
          <w:color w:val="auto"/>
        </w:rPr>
        <w:t>After the First Amendment Effective Date and during the Term, CDI will use commercially reasonable efforts to disclose to Century Licensed Know-How in existence on the First Amendment Effective Date including, but not limited to, by providing access to and information transfer of Licensed Know-How and providing copies or samples of relevant documentation, materials, and other embodiments of such Licensed Know-How in the ordinary course of business and as provided in Section 2.8(c). In addition to the disclosure of Licensed Know-How by CDI to Century pursuant to Section 2.8(c), during the Term, upon the request of Century, but not more than [***] per Calendar Year, CDI will promptly disclose to Century any new Licensed Know-How developed, Owned or Controlled by CDI during such period relating to the Exploitation of the Licensed Products and provide copies or samples of relevant documentation, materials, and other embodiments of such Licensed Know-How.</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88" w:right="319" w:bottom="1440" w:gutter="0" w:footer="0" w:header="0"/>
        </w:sectPr>
      </w:pPr>
    </w:p>
    <w:bookmarkStart w:id="640" w:name="page641"/>
    <w:bookmarkEnd w:id="640"/>
    <w:p>
      <w:pPr>
        <w:jc w:val="both"/>
        <w:ind w:firstLine="1560"/>
        <w:spacing w:after="0" w:line="263" w:lineRule="auto"/>
        <w:tabs>
          <w:tab w:leader="none" w:pos="2278" w:val="left"/>
        </w:tabs>
        <w:numPr>
          <w:ilvl w:val="0"/>
          <w:numId w:val="470"/>
        </w:numPr>
        <w:rPr>
          <w:rFonts w:ascii="Arial" w:cs="Arial" w:eastAsia="Arial" w:hAnsi="Arial"/>
          <w:sz w:val="14"/>
          <w:szCs w:val="14"/>
          <w:color w:val="auto"/>
        </w:rPr>
      </w:pPr>
      <w:r>
        <w:rPr>
          <w:rFonts w:ascii="Arial" w:cs="Arial" w:eastAsia="Arial" w:hAnsi="Arial"/>
          <w:sz w:val="14"/>
          <w:szCs w:val="14"/>
          <w:color w:val="auto"/>
        </w:rPr>
        <w:t>After the First Amendment Effective Date and during the Term, Century will use commercially reasonable efforts to disclose to CDI Century Licensed Technology in existence on the First Amendment Effective Date including, but not limited to, by providing access to and information transfer of Century Licensed Technology and by providing copies or samples of relevant documentation, materials, and other embodiments of such Century Licensed Technology in the ordinary course of business and as provided in Section 2.8(c). In addition to the disclosure of Century Licensed Technology by Century to CDI pursuant to Section 2.8(c), during the Term, upon the request by CDI, but not more than twice per Calendar Year, Century will promptly disclose to CDI any new Century Licensed Technology developed, Owned or Controlled by Century and provide copies or samples of relevant documentation, materials, and other embodiments of such Century Licensed Technology.</w:t>
      </w:r>
    </w:p>
    <w:p>
      <w:pPr>
        <w:spacing w:after="0" w:line="149" w:lineRule="exact"/>
        <w:rPr>
          <w:rFonts w:ascii="Arial" w:cs="Arial" w:eastAsia="Arial" w:hAnsi="Arial"/>
          <w:sz w:val="14"/>
          <w:szCs w:val="14"/>
          <w:color w:val="auto"/>
        </w:rPr>
      </w:pPr>
    </w:p>
    <w:p>
      <w:pPr>
        <w:jc w:val="both"/>
        <w:ind w:firstLine="1560"/>
        <w:spacing w:after="0" w:line="267" w:lineRule="auto"/>
        <w:tabs>
          <w:tab w:leader="none" w:pos="2141" w:val="left"/>
        </w:tabs>
        <w:numPr>
          <w:ilvl w:val="0"/>
          <w:numId w:val="470"/>
        </w:numPr>
        <w:rPr>
          <w:rFonts w:ascii="Arial" w:cs="Arial" w:eastAsia="Arial" w:hAnsi="Arial"/>
          <w:sz w:val="14"/>
          <w:szCs w:val="14"/>
          <w:color w:val="auto"/>
        </w:rPr>
      </w:pPr>
      <w:r>
        <w:rPr>
          <w:rFonts w:ascii="Arial" w:cs="Arial" w:eastAsia="Arial" w:hAnsi="Arial"/>
          <w:sz w:val="14"/>
          <w:szCs w:val="14"/>
          <w:color w:val="auto"/>
        </w:rPr>
        <w:t>After the First Amendment Effective Date but not later than on the [***] anniversary of the First Amendment Effective Date, the Parties will establish a plan for the disclosure by CDI of Licensed Know-How in existence on the First Amendment Effective Date to Century as contemplated in Section 2.8(a) and the disclosure by Century of Century Licensed Know-How in existence on the First Amendment Effective Date to CDI as contemplated in Section 2.8(b). The JSC (as defined in the Differentiation License Agreement) will oversee and facilitate the Parties’ respective performance of such disclosures.”</w:t>
      </w:r>
    </w:p>
    <w:p>
      <w:pPr>
        <w:spacing w:after="0" w:line="147"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2"/>
          <w:szCs w:val="12"/>
          <w:color w:val="auto"/>
        </w:rPr>
        <w:t>Section 3.4 of the License Agreement shall be amended and restated as follows:</w:t>
      </w:r>
    </w:p>
    <w:p>
      <w:pPr>
        <w:spacing w:after="0" w:line="184" w:lineRule="exact"/>
        <w:rPr>
          <w:sz w:val="20"/>
          <w:szCs w:val="20"/>
          <w:color w:val="auto"/>
        </w:rPr>
      </w:pPr>
    </w:p>
    <w:p>
      <w:pPr>
        <w:jc w:val="both"/>
        <w:ind w:firstLine="1036"/>
        <w:spacing w:after="0" w:line="262"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Manufacture</w:t>
      </w:r>
      <w:r>
        <w:rPr>
          <w:rFonts w:ascii="Arial" w:cs="Arial" w:eastAsia="Arial" w:hAnsi="Arial"/>
          <w:sz w:val="14"/>
          <w:szCs w:val="14"/>
          <w:color w:val="auto"/>
        </w:rPr>
        <w:t>. Effective as of the First Amendment Effective Date, the Parties are entering into a manufacturing and supply agreement under which CDI or its Affiliate will manufacture and supply human iPSC (including TiPSC) and CDI and/or its Affiliates or contractors will manufacture and supply certain Licensed Products, in each case, to Century for itself and its Affiliates and Sublicensees (as the same may be amended from to time, the “</w:t>
      </w:r>
      <w:r>
        <w:rPr>
          <w:rFonts w:ascii="Arial" w:cs="Arial" w:eastAsia="Arial" w:hAnsi="Arial"/>
          <w:sz w:val="14"/>
          <w:szCs w:val="14"/>
          <w:b w:val="1"/>
          <w:bCs w:val="1"/>
          <w:color w:val="auto"/>
        </w:rPr>
        <w:t>Supply Agreement</w:t>
      </w:r>
      <w:r>
        <w:rPr>
          <w:rFonts w:ascii="Arial" w:cs="Arial" w:eastAsia="Arial" w:hAnsi="Arial"/>
          <w:sz w:val="14"/>
          <w:szCs w:val="14"/>
          <w:color w:val="auto"/>
        </w:rPr>
        <w:t>”) and as of June 29, 2020, entered into a quality agreement which provides the responsibilities of Century and CDI or its Affiliates for quality assurance of human iPSC (including TiPSC) and such Licensed Products (as the same may be amended from time to time, the “</w:t>
      </w:r>
      <w:r>
        <w:rPr>
          <w:rFonts w:ascii="Arial" w:cs="Arial" w:eastAsia="Arial" w:hAnsi="Arial"/>
          <w:sz w:val="14"/>
          <w:szCs w:val="14"/>
          <w:b w:val="1"/>
          <w:bCs w:val="1"/>
          <w:color w:val="auto"/>
        </w:rPr>
        <w:t>Quality Agreement</w:t>
      </w:r>
      <w:r>
        <w:rPr>
          <w:rFonts w:ascii="Arial" w:cs="Arial" w:eastAsia="Arial" w:hAnsi="Arial"/>
          <w:sz w:val="14"/>
          <w:szCs w:val="14"/>
          <w:color w:val="auto"/>
        </w:rPr>
        <w:t>”). Except as set forth in the Supply Agreement, Century shall have the sole discretion whether to manufacture and supply iPSC (including TiPSC), Reprogrammed iPS Cells or Reprogrammed iPS Cell Derivative Materials or any Licensed Products itself or through its Affiliates or to use CDI or a Third Party (other than any manufacturer set forth on Schedule 3.7 of the Differentiation License Agreement) for such manufacture and supply.”</w:t>
      </w:r>
    </w:p>
    <w:p>
      <w:pPr>
        <w:spacing w:after="0" w:line="15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Section 4.1 (b) of the License Agreement shall be amended to include a new paragraph after the table included in such section which provides:</w:t>
      </w:r>
    </w:p>
    <w:p>
      <w:pPr>
        <w:spacing w:after="0" w:line="184"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“For clarity, the foregoing WARF Milestone Fees shall only become payable with respect to a Licensed Product that is covered by a WARF Patent Right, and each such WARF Milestone Fee is payable only once with respect to each such Licensed Product upon the achievement of the corresponding milestone. In no event will more than $6,000,000 be payable in WARF Milestone Fees with respect to each Licensed Product that is covered by a WARF Patent Right.”</w:t>
      </w:r>
    </w:p>
    <w:p>
      <w:pPr>
        <w:spacing w:after="0" w:line="141" w:lineRule="exact"/>
        <w:rPr>
          <w:sz w:val="20"/>
          <w:szCs w:val="20"/>
          <w:color w:val="auto"/>
        </w:rPr>
      </w:pPr>
    </w:p>
    <w:p>
      <w:pPr>
        <w:ind w:left="520"/>
        <w:spacing w:after="0"/>
        <w:tabs>
          <w:tab w:leader="none" w:pos="104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2"/>
          <w:szCs w:val="12"/>
          <w:color w:val="auto"/>
        </w:rPr>
        <w:t>Section 9.6 of the License Agreement shall be amended and restated as follows:</w:t>
      </w:r>
    </w:p>
    <w:p>
      <w:pPr>
        <w:spacing w:after="0" w:line="184" w:lineRule="exact"/>
        <w:rPr>
          <w:sz w:val="20"/>
          <w:szCs w:val="20"/>
          <w:color w:val="auto"/>
        </w:rPr>
      </w:pPr>
    </w:p>
    <w:p>
      <w:pPr>
        <w:jc w:val="both"/>
        <w:ind w:firstLine="1036"/>
        <w:spacing w:after="0" w:line="267"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u w:val="single" w:color="auto"/>
          <w:color w:val="auto"/>
        </w:rPr>
        <w:t>Termination for Convenience</w:t>
      </w:r>
      <w:r>
        <w:rPr>
          <w:rFonts w:ascii="Arial" w:cs="Arial" w:eastAsia="Arial" w:hAnsi="Arial"/>
          <w:sz w:val="14"/>
          <w:szCs w:val="14"/>
          <w:color w:val="auto"/>
        </w:rPr>
        <w:t>. Century may terminate this Agreement, at any time and for any reason or no reason, in its entirety or on an indication-by-indication, a Licensed Product-by-Licensed Product basis (to exclude such product from the Field) or country-by-country basis (to eliminate such country from the Territory), by providing ninety (90) days’ prior written and unambiguous notice to CDI. The termination shall become effective at the end of the ninety (90) day period. The indication in respect of which Century terminates this Agreement is referred to herein as the “</w:t>
      </w:r>
      <w:r>
        <w:rPr>
          <w:rFonts w:ascii="Arial" w:cs="Arial" w:eastAsia="Arial" w:hAnsi="Arial"/>
          <w:sz w:val="14"/>
          <w:szCs w:val="14"/>
          <w:b w:val="1"/>
          <w:bCs w:val="1"/>
          <w:color w:val="auto"/>
        </w:rPr>
        <w:t>Abandoned Indication</w:t>
      </w:r>
      <w:r>
        <w:rPr>
          <w:rFonts w:ascii="Arial" w:cs="Arial" w:eastAsia="Arial" w:hAnsi="Arial"/>
          <w:sz w:val="14"/>
          <w:szCs w:val="14"/>
          <w:color w:val="auto"/>
        </w:rPr>
        <w: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89" w:right="319" w:bottom="1440" w:gutter="0" w:footer="0" w:header="0"/>
        </w:sectPr>
      </w:pPr>
    </w:p>
    <w:bookmarkStart w:id="641" w:name="page642"/>
    <w:bookmarkEnd w:id="641"/>
    <w:p>
      <w:pPr>
        <w:ind w:left="1040" w:right="920" w:hanging="1034"/>
        <w:spacing w:after="0" w:line="514" w:lineRule="auto"/>
        <w:tabs>
          <w:tab w:leader="none" w:pos="507" w:val="left"/>
        </w:tabs>
        <w:numPr>
          <w:ilvl w:val="0"/>
          <w:numId w:val="471"/>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Pursuant to, and in accordance with Section 10.2 of the License Agreement, as of the First Amendment Effective Date, Century’s contact information is as follows: If to Century:</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Century Therapeutics, Inc.</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3675 Market Street</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Philadelphia, PA 19104</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Attention: Chief Executive Officer</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Email: lalo@centurytx.com</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With a copy to:</w:t>
      </w:r>
    </w:p>
    <w:p>
      <w:pPr>
        <w:spacing w:after="0" w:line="18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Troutman Pepper Hamilton Sanders LLP</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3000 Two Logan Square</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Philadelphia, PA 19103</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Attention: Rachael M. Bushey, Esq.</w:t>
      </w:r>
    </w:p>
    <w:p>
      <w:pPr>
        <w:spacing w:after="0" w:line="1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Email: rachael.bushey@troutman.com</w:t>
      </w:r>
    </w:p>
    <w:p>
      <w:pPr>
        <w:spacing w:after="0" w:line="175" w:lineRule="exact"/>
        <w:rPr>
          <w:sz w:val="20"/>
          <w:szCs w:val="20"/>
          <w:color w:val="auto"/>
        </w:rPr>
      </w:pPr>
    </w:p>
    <w:p>
      <w:pPr>
        <w:ind w:left="520" w:hanging="514"/>
        <w:spacing w:after="0"/>
        <w:tabs>
          <w:tab w:leader="none" w:pos="520" w:val="left"/>
        </w:tabs>
        <w:numPr>
          <w:ilvl w:val="0"/>
          <w:numId w:val="472"/>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84"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Effect of this First Amendment</w:t>
      </w:r>
      <w:r>
        <w:rPr>
          <w:rFonts w:ascii="Arial" w:cs="Arial" w:eastAsia="Arial" w:hAnsi="Arial"/>
          <w:sz w:val="14"/>
          <w:szCs w:val="14"/>
          <w:color w:val="auto"/>
        </w:rPr>
        <w:t>. This First Amendment amends the terms of the License Agreement and is deemed incorporated into, and governed by all other terms of, the License Agreement. To the extent that the License Agreement is explicitly amended by this First Amendment, the terms of this First Amendment will control where the terms of the License Agreement are contrary to or conflict with the terms of this First Amendment. All other terms and conditions of the License Agreement not explicitly amended by this First Amendment shall remain in full force and effect. The License Agreement shall, together with this First Amendment, be read and construed as a single instrument.</w:t>
      </w:r>
    </w:p>
    <w:p>
      <w:pPr>
        <w:spacing w:after="0" w:line="147" w:lineRule="exact"/>
        <w:rPr>
          <w:sz w:val="20"/>
          <w:szCs w:val="20"/>
          <w:color w:val="auto"/>
        </w:rPr>
      </w:pPr>
    </w:p>
    <w:p>
      <w:pPr>
        <w:jc w:val="both"/>
        <w:ind w:firstLine="518"/>
        <w:spacing w:after="0" w:line="329"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WARF Side Letter</w:t>
      </w:r>
      <w:r>
        <w:rPr>
          <w:rFonts w:ascii="Arial" w:cs="Arial" w:eastAsia="Arial" w:hAnsi="Arial"/>
          <w:sz w:val="13"/>
          <w:szCs w:val="13"/>
          <w:color w:val="auto"/>
        </w:rPr>
        <w:t>. This First Amendment does not, and is not intended to, amend, modify or supplement the terms of the WARF Side Letter, which remains in full force and effect. In the event of any conflict between the terms of the License Agreement, as amended by this First Amendment, and the WARF Side Letter, the WARF Side Letter shall control.</w:t>
      </w:r>
    </w:p>
    <w:p>
      <w:pPr>
        <w:spacing w:after="0" w:line="10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Counterparts</w:t>
      </w:r>
      <w:r>
        <w:rPr>
          <w:rFonts w:ascii="Arial" w:cs="Arial" w:eastAsia="Arial" w:hAnsi="Arial"/>
          <w:sz w:val="14"/>
          <w:szCs w:val="14"/>
          <w:color w:val="auto"/>
        </w:rPr>
        <w:t>. This First Amendment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[remainder of page intentionally left blank]</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561" w:right="319" w:bottom="1440" w:gutter="0" w:footer="0" w:header="0"/>
        </w:sectPr>
      </w:pPr>
    </w:p>
    <w:bookmarkStart w:id="642" w:name="page643"/>
    <w:bookmarkEnd w:id="642"/>
    <w:p>
      <w:pPr>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Parties have executed this First Amendment as of the First Amendment Effective Date.</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Osvaldo Flores</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Name: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-100965</wp:posOffset>
            </wp:positionV>
            <wp:extent cx="3220085"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4"/>
          <w:szCs w:val="14"/>
          <w:color w:val="auto"/>
        </w:rPr>
        <w:t>Title: President and Chief Executive Officer</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FUJIFILM CELLULAR DYNAMICS INC.</w:t>
      </w:r>
    </w:p>
    <w:p>
      <w:pPr>
        <w:spacing w:after="0" w:line="188"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Takeshi Yamamoto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Name: Takeshi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-100965</wp:posOffset>
            </wp:positionV>
            <wp:extent cx="3220085"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220085" cy="698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4"/>
          <w:szCs w:val="14"/>
          <w:color w:val="auto"/>
        </w:rPr>
        <w:t>Title: President and Chief Executive Officer</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i w:val="1"/>
          <w:iCs w:val="1"/>
          <w:color w:val="auto"/>
        </w:rPr>
        <w:t>[Signature Page to First Amendment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247015</wp:posOffset>
            </wp:positionV>
            <wp:extent cx="7159625"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119"/>
          </w:cols>
          <w:pgMar w:left="1340" w:top="384" w:right="1440" w:bottom="1440" w:gutter="0" w:footer="0" w:header="0"/>
        </w:sectPr>
      </w:pPr>
    </w:p>
    <w:bookmarkStart w:id="643" w:name="page644"/>
    <w:bookmarkEnd w:id="643"/>
    <w:p>
      <w:pPr>
        <w:jc w:val="right"/>
        <w:spacing w:after="0"/>
        <w:rPr>
          <w:sz w:val="20"/>
          <w:szCs w:val="20"/>
          <w:color w:val="auto"/>
        </w:rPr>
      </w:pPr>
      <w:r>
        <w:rPr>
          <w:rFonts w:ascii="Arial" w:cs="Arial" w:eastAsia="Arial" w:hAnsi="Arial"/>
          <w:sz w:val="14"/>
          <w:szCs w:val="14"/>
          <w:b w:val="1"/>
          <w:bCs w:val="1"/>
          <w:color w:val="auto"/>
        </w:rPr>
        <w:t>Exhibit 10.25</w:t>
      </w:r>
    </w:p>
    <w:p>
      <w:pPr>
        <w:spacing w:after="0" w:line="188" w:lineRule="exact"/>
        <w:rPr>
          <w:sz w:val="20"/>
          <w:szCs w:val="20"/>
          <w:color w:val="auto"/>
        </w:rPr>
      </w:pPr>
    </w:p>
    <w:p>
      <w:pPr>
        <w:jc w:val="center"/>
        <w:ind w:left="4700" w:right="60" w:hanging="4631"/>
        <w:spacing w:after="0" w:line="288" w:lineRule="auto"/>
        <w:tabs>
          <w:tab w:leader="none" w:pos="425" w:val="left"/>
        </w:tabs>
        <w:numPr>
          <w:ilvl w:val="0"/>
          <w:numId w:val="473"/>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Execution Version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MANUFACTURING AND SUPPLY AGREEMENT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THIS MANUFACTURING AND SUPPLY AGREEMENT (the “Agreement”) is made and entered into as of March 23, 2021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BY AND BETWEEN:</w:t>
      </w:r>
    </w:p>
    <w:p>
      <w:pPr>
        <w:spacing w:after="0" w:line="180" w:lineRule="exact"/>
        <w:rPr>
          <w:sz w:val="20"/>
          <w:szCs w:val="20"/>
          <w:color w:val="auto"/>
        </w:rPr>
      </w:pPr>
    </w:p>
    <w:p>
      <w:pPr>
        <w:ind w:left="520" w:hanging="517"/>
        <w:spacing w:after="0" w:line="294" w:lineRule="auto"/>
        <w:rPr>
          <w:sz w:val="20"/>
          <w:szCs w:val="20"/>
          <w:color w:val="auto"/>
        </w:rPr>
      </w:pPr>
      <w:r>
        <w:rPr>
          <w:rFonts w:ascii="Arial" w:cs="Arial" w:eastAsia="Arial" w:hAnsi="Arial"/>
          <w:sz w:val="14"/>
          <w:szCs w:val="14"/>
          <w:b w:val="1"/>
          <w:bCs w:val="1"/>
          <w:color w:val="auto"/>
        </w:rPr>
        <w:t>Century Therapeutics, Inc</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(f/k/a Century Therapeutics, LLC) a</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registered in Delaware, United States, whose registered office is at 3675 Market Street, Philadelphia, PA 19104, United</w:t>
      </w:r>
      <w:r>
        <w:rPr>
          <w:rFonts w:ascii="Arial" w:cs="Arial" w:eastAsia="Arial" w:hAnsi="Arial"/>
          <w:sz w:val="14"/>
          <w:szCs w:val="14"/>
          <w:b w:val="1"/>
          <w:bCs w:val="1"/>
          <w:color w:val="auto"/>
        </w:rPr>
        <w:t xml:space="preserve"> </w:t>
      </w:r>
      <w:r>
        <w:rPr>
          <w:rFonts w:ascii="Arial" w:cs="Arial" w:eastAsia="Arial" w:hAnsi="Arial"/>
          <w:sz w:val="14"/>
          <w:szCs w:val="14"/>
          <w:color w:val="auto"/>
        </w:rPr>
        <w:t>States (hereafter referred to as: “CENTURY” or “Century”);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FUJIFILM Cellular Dynamics, Inc</w:t>
      </w:r>
      <w:r>
        <w:rPr>
          <w:rFonts w:ascii="Arial" w:cs="Arial" w:eastAsia="Arial" w:hAnsi="Arial"/>
          <w:sz w:val="13"/>
          <w:szCs w:val="13"/>
          <w:color w:val="auto"/>
        </w:rPr>
        <w:t>., a company registered in Wisconsin, whose registered office is at 525 Science Drive, Madison, WI 53711, United States (hereafter referred to as: “FCDI”).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WHEREAS:</w:t>
      </w:r>
    </w:p>
    <w:p>
      <w:pPr>
        <w:spacing w:after="0" w:line="180" w:lineRule="exact"/>
        <w:rPr>
          <w:sz w:val="20"/>
          <w:szCs w:val="20"/>
          <w:color w:val="auto"/>
        </w:rPr>
      </w:pPr>
    </w:p>
    <w:p>
      <w:pPr>
        <w:ind w:left="520" w:hanging="514"/>
        <w:spacing w:after="0"/>
        <w:tabs>
          <w:tab w:leader="none" w:pos="52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 xml:space="preserve">CENTURY is engaged in the discovery and development of cell therapies, including the Product(s) (as defined in </w:t>
      </w:r>
      <w:r>
        <w:rPr>
          <w:rFonts w:ascii="Arial" w:cs="Arial" w:eastAsia="Arial" w:hAnsi="Arial"/>
          <w:sz w:val="14"/>
          <w:szCs w:val="14"/>
          <w:b w:val="1"/>
          <w:bCs w:val="1"/>
          <w:color w:val="auto"/>
        </w:rPr>
        <w:t>Article 1</w:t>
      </w:r>
      <w:r>
        <w:rPr>
          <w:rFonts w:ascii="Arial" w:cs="Arial" w:eastAsia="Arial" w:hAnsi="Arial"/>
          <w:sz w:val="14"/>
          <w:szCs w:val="14"/>
          <w:color w:val="auto"/>
        </w:rPr>
        <w:t xml:space="preserve"> below);</w:t>
      </w:r>
    </w:p>
    <w:p>
      <w:pPr>
        <w:spacing w:after="0" w:line="184" w:lineRule="exact"/>
        <w:rPr>
          <w:rFonts w:ascii="Arial" w:cs="Arial" w:eastAsia="Arial" w:hAnsi="Arial"/>
          <w:sz w:val="14"/>
          <w:szCs w:val="14"/>
          <w:color w:val="auto"/>
        </w:rPr>
      </w:pPr>
    </w:p>
    <w:p>
      <w:pPr>
        <w:jc w:val="both"/>
        <w:ind w:left="520" w:hanging="514"/>
        <w:spacing w:after="0" w:line="276" w:lineRule="auto"/>
        <w:tabs>
          <w:tab w:leader="none" w:pos="52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 xml:space="preserve">FCDI and Century are parties to the Reprogramming License Agreement (as defined in </w:t>
      </w:r>
      <w:r>
        <w:rPr>
          <w:rFonts w:ascii="Arial" w:cs="Arial" w:eastAsia="Arial" w:hAnsi="Arial"/>
          <w:sz w:val="14"/>
          <w:szCs w:val="14"/>
          <w:b w:val="1"/>
          <w:bCs w:val="1"/>
          <w:color w:val="auto"/>
        </w:rPr>
        <w:t>Article 1</w:t>
      </w:r>
      <w:r>
        <w:rPr>
          <w:rFonts w:ascii="Arial" w:cs="Arial" w:eastAsia="Arial" w:hAnsi="Arial"/>
          <w:sz w:val="14"/>
          <w:szCs w:val="14"/>
          <w:color w:val="auto"/>
        </w:rPr>
        <w:t xml:space="preserve"> below) and the Differentiation License Agreement (as defined in </w:t>
      </w:r>
      <w:r>
        <w:rPr>
          <w:rFonts w:ascii="Arial" w:cs="Arial" w:eastAsia="Arial" w:hAnsi="Arial"/>
          <w:sz w:val="14"/>
          <w:szCs w:val="14"/>
          <w:b w:val="1"/>
          <w:bCs w:val="1"/>
          <w:color w:val="auto"/>
        </w:rPr>
        <w:t>Article 1</w:t>
      </w:r>
      <w:r>
        <w:rPr>
          <w:rFonts w:ascii="Arial" w:cs="Arial" w:eastAsia="Arial" w:hAnsi="Arial"/>
          <w:sz w:val="14"/>
          <w:szCs w:val="14"/>
          <w:color w:val="auto"/>
        </w:rPr>
        <w:t xml:space="preserve"> below), each of which contemplates that such parties will also enter into a Supply Agreement and a Quality Agreement. Century and FCDI now desire to enter into this Agreement pursuant thereto, in addition to the Quality Agreement, dated as of June 29, 2020 (as the same may be amended from time to time, the “Quality Agreement”);</w:t>
      </w:r>
    </w:p>
    <w:p>
      <w:pPr>
        <w:spacing w:after="0" w:line="139" w:lineRule="exact"/>
        <w:rPr>
          <w:rFonts w:ascii="Arial" w:cs="Arial" w:eastAsia="Arial" w:hAnsi="Arial"/>
          <w:sz w:val="14"/>
          <w:szCs w:val="14"/>
          <w:color w:val="auto"/>
        </w:rPr>
      </w:pPr>
    </w:p>
    <w:p>
      <w:pPr>
        <w:ind w:left="520" w:hanging="514"/>
        <w:spacing w:after="0" w:line="288" w:lineRule="auto"/>
        <w:tabs>
          <w:tab w:leader="none" w:pos="52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FCDI will operate as an independent contract manufacturer with the capability to provide analytical testing, technology transfers, process and analytical development and GMP manufacturing activities for the Product(s) on the terms and conditions of this Agreement;</w:t>
      </w:r>
    </w:p>
    <w:p>
      <w:pPr>
        <w:spacing w:after="0" w:line="131" w:lineRule="exact"/>
        <w:rPr>
          <w:rFonts w:ascii="Arial" w:cs="Arial" w:eastAsia="Arial" w:hAnsi="Arial"/>
          <w:sz w:val="14"/>
          <w:szCs w:val="14"/>
          <w:color w:val="auto"/>
        </w:rPr>
      </w:pPr>
    </w:p>
    <w:p>
      <w:pPr>
        <w:ind w:left="520" w:hanging="514"/>
        <w:spacing w:after="0" w:line="288" w:lineRule="auto"/>
        <w:tabs>
          <w:tab w:leader="none" w:pos="52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CENTURY wishes for FCDI to conduct the technology transfer and to provide process and analytical development activities, if any, and GMP manufacturing activities for the Product(s) as further described in, and on the terms and conditions of, this Agreement;</w:t>
      </w:r>
    </w:p>
    <w:p>
      <w:pPr>
        <w:spacing w:after="0" w:line="131" w:lineRule="exact"/>
        <w:rPr>
          <w:rFonts w:ascii="Arial" w:cs="Arial" w:eastAsia="Arial" w:hAnsi="Arial"/>
          <w:sz w:val="14"/>
          <w:szCs w:val="14"/>
          <w:color w:val="auto"/>
        </w:rPr>
      </w:pPr>
    </w:p>
    <w:p>
      <w:pPr>
        <w:ind w:left="520" w:hanging="514"/>
        <w:spacing w:after="0" w:line="288" w:lineRule="auto"/>
        <w:tabs>
          <w:tab w:leader="none" w:pos="520" w:val="left"/>
        </w:tabs>
        <w:numPr>
          <w:ilvl w:val="0"/>
          <w:numId w:val="474"/>
        </w:numPr>
        <w:rPr>
          <w:rFonts w:ascii="Arial" w:cs="Arial" w:eastAsia="Arial" w:hAnsi="Arial"/>
          <w:sz w:val="14"/>
          <w:szCs w:val="14"/>
          <w:color w:val="auto"/>
        </w:rPr>
      </w:pPr>
      <w:r>
        <w:rPr>
          <w:rFonts w:ascii="Arial" w:cs="Arial" w:eastAsia="Arial" w:hAnsi="Arial"/>
          <w:sz w:val="14"/>
          <w:szCs w:val="14"/>
          <w:color w:val="auto"/>
        </w:rPr>
        <w:t>FCDI wishes to conduct the aforementioned technology transfer and to provide the aforementioned Activities, including GMP manufacturing activities for the Product(s) as further described in, and on the terms and conditions of,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NOW, THEREFORE, THE PARTIES HEREBY AGREE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1 - Definitions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For the purpose of this Agreement, the following terms shall be defined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315595</wp:posOffset>
            </wp:positionV>
            <wp:extent cx="7159625"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44" w:name="page645"/>
    <w:bookmarkEnd w:id="644"/>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“Activity” or “Activities” means: all activities performed by FCDI for CENTURY pursuant to Work Orders, including but not limited to, the Technology Transfer Activities, Process Development Activities, Analytical Testing Development Activities, Manufacturing Activities, Analytical Test Activities, QA Review Activities and any related or other activities or activities as more fully described in the applicable Work Order but excluding activities that are expressly contemplated in or to be performed pursuant to the MCA.</w:t>
      </w:r>
    </w:p>
    <w:p>
      <w:pPr>
        <w:spacing w:after="0" w:line="141"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“Affiliate” means: any person or legal entity that controls, or is controlled by or is under common control with, either of the Parties. For the purpose of this definition, a person or legal entity shall be deemed to “control” another legal entity if it owns, directly or indirectly, in excess of fifty percent (50%) of the outstanding voting securities or capital stock of such legal entity or any other comparable equity or ownership interest with respect to a legal entity.</w:t>
      </w:r>
    </w:p>
    <w:p>
      <w:pPr>
        <w:spacing w:after="0" w:line="141"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“Agreement” or “MSA” means: this Manufacturing and Supply Agreement, including all appendices thereto (the “Appendices”) and any Work Order(s) signed by the Parties, in each case attached hereto and incorporated herein by reference. For clarity, this Agreement includes its Appendices and the Work Order(s), any of which may be amended from time to time in accordance with the provisions hereof.</w:t>
      </w:r>
    </w:p>
    <w:p>
      <w:pPr>
        <w:spacing w:after="0" w:line="141"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“Analytical Test Activities” means: the analytical test activities, if any, to be conducted and/or provided by FCDI in the Analytical Test Phase in accordance with this Agreement, as described in the applicable Work Order(s).</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“Analytical Testing Development Activities” means: the activities, if any, to be conducted and/or provided by FCDI in the Process Development Phase in accordance with this Agreement, as described in the applicable Work Order(s).</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“Analytical Testing Development Objectives” means: the objectives to be met by the provision of the Analytical Testing Development Activities, as described in the applicable Work Order.</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3"/>
          <w:szCs w:val="13"/>
          <w:color w:val="auto"/>
        </w:rPr>
        <w:t>“Analytical Test Phase” means: the period during which the Analytical Test Activities, if any, will be carried out.</w:t>
      </w:r>
    </w:p>
    <w:p>
      <w:pPr>
        <w:spacing w:after="0" w:line="184" w:lineRule="exact"/>
        <w:rPr>
          <w:sz w:val="20"/>
          <w:szCs w:val="20"/>
          <w:color w:val="auto"/>
        </w:rPr>
      </w:pPr>
    </w:p>
    <w:p>
      <w:pPr>
        <w:jc w:val="both"/>
        <w:ind w:left="520" w:hanging="517"/>
        <w:spacing w:after="0" w:line="264" w:lineRule="auto"/>
        <w:tabs>
          <w:tab w:leader="none" w:pos="50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“Applicable Laws” means: all laws, regulations, rules, ordinances, binding guidelines and guidances, requirements and orders of any government or governmental subdivision of each jurisdiction in which the manufacture of Products or any other Activities provided hereunder take place to the extent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applicable to such manufacture or the provision of such other Activities, as the context requires.</w:t>
      </w:r>
    </w:p>
    <w:p>
      <w:pPr>
        <w:spacing w:after="0" w:line="175"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“Batch” means: with respect to each Product produced by FCDI for CENTURY, one (1) unit of the standard production quantity of Product obtained from one (1) production Run as set forth in the applicable Work Order.</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1.10.</w:t>
        <w:tab/>
        <w:t>“Batch Production Records” or “BPRs” means: the production records and other supporting documents providing the manufacturing history of a Batch, as required under GMP. Batch Production Records or BPRs may also be referred to as “Manufacturing Procedures” or “MP.”</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645" w:name="page646"/>
    <w:bookmarkEnd w:id="645"/>
    <w:p>
      <w:pPr>
        <w:jc w:val="both"/>
        <w:ind w:left="520" w:hanging="517"/>
        <w:spacing w:after="0" w:line="329" w:lineRule="auto"/>
        <w:tabs>
          <w:tab w:leader="none" w:pos="50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color w:val="auto"/>
        </w:rPr>
        <w:t>“Century Process Development Activities” means: the activities, if any, to be conducted and/or provided by Century that are interdependent with Process Development Activities to be conducted and/or provided by FCDI, in the Process Development Phase in accordance with this Agreement, In each case, as described in the applicable Work Order(s).</w:t>
      </w:r>
    </w:p>
    <w:p>
      <w:pPr>
        <w:spacing w:after="0" w:line="108"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1.12.</w:t>
        <w:tab/>
        <w:t>“Certificate of Analysis” or “CoA” means: the GMP compliant certificate of analysis containing the outcome of the analytical testing of the Product corresponding to each Batch as performed according to the Release Specifications.</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1.13.</w:t>
        <w:tab/>
        <w:t>“Certificate of Compliance” or “CoC” means: the certificate of compliance confirming that each Batch of Product is, in all material respects, manufactured, tested, stored and supplied by FCDI in compliance with this Agreement and, in as far as applicable, the Release Specifications and GMP, in all material respects.</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1.14.</w:t>
        <w:tab/>
        <w:t>“Clinical Studies” or “Clinical Trials” means: the use of the Product pursuant to any protocols which have received or do receive approval by the authorized regulatory authorities for the purpose of conducting clinical studies in humans to determine the safety, efficacy or other characteristics of the Product.</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3"/>
          <w:szCs w:val="13"/>
          <w:color w:val="auto"/>
        </w:rPr>
        <w:t>“Current Best Practice” means: the most recent version of written procedures.</w:t>
      </w:r>
    </w:p>
    <w:p>
      <w:pPr>
        <w:spacing w:after="0" w:line="184"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1.16.</w:t>
        <w:tab/>
        <w:t>“Differentiation License Agreement” means that certain License Agreement dated as of September 18, 2018 and pertaining to certain patent rights and know how related to the manufacture of human iPSC (including TiPSC)-derived T cells, NK cells, dendritic cells, and macrophages by and between FCDI and Century Therapeutics, Inc., as assigned to Century and as may be amended from time to time.</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2"/>
          <w:szCs w:val="12"/>
          <w:color w:val="auto"/>
        </w:rPr>
        <w:t>“Draft Procedures” means: the draft procedures to develop a manufacturing process for the Product as agreed in writing between the Parties.</w:t>
      </w:r>
    </w:p>
    <w:p>
      <w:pPr>
        <w:spacing w:after="0" w:line="184" w:lineRule="exact"/>
        <w:rPr>
          <w:sz w:val="20"/>
          <w:szCs w:val="20"/>
          <w:color w:val="auto"/>
        </w:rPr>
      </w:pPr>
    </w:p>
    <w:p>
      <w:pPr>
        <w:jc w:val="both"/>
        <w:ind w:left="520" w:hanging="517"/>
        <w:spacing w:after="0" w:line="329" w:lineRule="auto"/>
        <w:tabs>
          <w:tab w:leader="none" w:pos="50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3"/>
          <w:szCs w:val="13"/>
          <w:color w:val="auto"/>
        </w:rPr>
        <w:t>“Draft Release Specifications” means: the draft specifications to be agreed by FCDI and CENTURY in writing after completion of the Process Development Activities but prior to the performance of an Engineering Batch, if any, which draft specifications, as agreed to in writing by the Parties, shall constitute an amendment to the applicable Work Order.</w:t>
      </w:r>
    </w:p>
    <w:p>
      <w:pPr>
        <w:spacing w:after="0" w:line="108" w:lineRule="exact"/>
        <w:rPr>
          <w:sz w:val="20"/>
          <w:szCs w:val="20"/>
          <w:color w:val="auto"/>
        </w:rPr>
      </w:pPr>
    </w:p>
    <w:p>
      <w:pPr>
        <w:jc w:val="both"/>
        <w:ind w:left="520" w:hanging="517"/>
        <w:spacing w:after="0" w:line="265" w:lineRule="auto"/>
        <w:tabs>
          <w:tab w:leader="none" w:pos="500" w:val="left"/>
        </w:tabs>
        <w:rPr>
          <w:sz w:val="20"/>
          <w:szCs w:val="20"/>
          <w:color w:val="auto"/>
        </w:rPr>
      </w:pPr>
      <w:r>
        <w:rPr>
          <w:rFonts w:ascii="Arial" w:cs="Arial" w:eastAsia="Arial" w:hAnsi="Arial"/>
          <w:sz w:val="14"/>
          <w:szCs w:val="14"/>
          <w:color w:val="auto"/>
        </w:rPr>
        <w:t>1.19.</w:t>
        <w:tab/>
        <w:t>“Engineering Batch” means: the product obtained from a production Run at scale (not under GMP) and in accordance with the agreed Draft Procedures and Draft Release Specifications and final process, as agreed after the Technology Transfer Phase or Process Development Phase but prior to the commencement of the Manufacturing Phase. The product resulting from this Batch will be tested to see if the Technology Transfer Objectives or Process Development Objectives can be met at large scale and Is not intended for use in Clinical Studies. It is contemplated that an Engineering Batch will require QA review and approval for testing and release of the Product but only to the extent the same is consistent with the FCDI quality management system.</w:t>
      </w:r>
    </w:p>
    <w:p>
      <w:pPr>
        <w:spacing w:after="0" w:line="147" w:lineRule="exact"/>
        <w:rPr>
          <w:sz w:val="20"/>
          <w:szCs w:val="20"/>
          <w:color w:val="auto"/>
        </w:rPr>
      </w:pPr>
    </w:p>
    <w:p>
      <w:pPr>
        <w:jc w:val="both"/>
        <w:ind w:left="520" w:hanging="517"/>
        <w:spacing w:after="0" w:line="264" w:lineRule="auto"/>
        <w:tabs>
          <w:tab w:leader="none" w:pos="500" w:val="left"/>
        </w:tabs>
        <w:rPr>
          <w:sz w:val="20"/>
          <w:szCs w:val="20"/>
          <w:color w:val="auto"/>
        </w:rPr>
      </w:pPr>
      <w:r>
        <w:rPr>
          <w:rFonts w:ascii="Arial" w:cs="Arial" w:eastAsia="Arial" w:hAnsi="Arial"/>
          <w:sz w:val="14"/>
          <w:szCs w:val="14"/>
          <w:color w:val="auto"/>
        </w:rPr>
        <w:t>1.20.</w:t>
        <w:tab/>
        <w:t>“Engineering Batch Activities” means: the manufacturing activities concerning an Engineering Batch, including but not limited to scale-up, to be conducted and/or provided by FCDI in the Engineering Phase in accordance with this Agreement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and as described in the applicable Work Order(s).</w:t>
      </w:r>
    </w:p>
    <w:p>
      <w:pPr>
        <w:spacing w:after="0" w:line="8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46" w:name="page647"/>
    <w:bookmarkEnd w:id="646"/>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1.21.</w:t>
        <w:tab/>
        <w:t>“Engineering Phase” means: the period during which the Engineering Batch Activities, if any, will be carried out, and which period commences on the date that FCDI begins production of the first Engineering Batch and ends upon completion of the Engineering Batch Activities whereby the last Engineering Batch is to be produced as specified in the applicable Work Order.</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28"/>
          <w:szCs w:val="28"/>
          <w:color w:val="auto"/>
          <w:vertAlign w:val="superscript"/>
        </w:rPr>
        <w:t>1.22.</w:t>
      </w:r>
      <w:r>
        <w:rPr>
          <w:sz w:val="20"/>
          <w:szCs w:val="20"/>
          <w:color w:val="auto"/>
        </w:rPr>
        <w:tab/>
      </w:r>
      <w:r>
        <w:rPr>
          <w:rFonts w:ascii="Arial" w:cs="Arial" w:eastAsia="Arial" w:hAnsi="Arial"/>
          <w:sz w:val="13"/>
          <w:szCs w:val="13"/>
          <w:color w:val="auto"/>
        </w:rPr>
        <w:t>“Exclusivity Term” means: the term beginning on the Effective Date and expiring on the fifth (5</w:t>
      </w:r>
      <w:r>
        <w:rPr>
          <w:rFonts w:ascii="Arial" w:cs="Arial" w:eastAsia="Arial" w:hAnsi="Arial"/>
          <w:sz w:val="21"/>
          <w:szCs w:val="21"/>
          <w:color w:val="auto"/>
          <w:vertAlign w:val="superscript"/>
        </w:rPr>
        <w:t>th</w:t>
      </w:r>
      <w:r>
        <w:rPr>
          <w:rFonts w:ascii="Arial" w:cs="Arial" w:eastAsia="Arial" w:hAnsi="Arial"/>
          <w:sz w:val="13"/>
          <w:szCs w:val="13"/>
          <w:color w:val="auto"/>
        </w:rPr>
        <w:t>) anniversary of the Effective Date.</w:t>
      </w:r>
    </w:p>
    <w:p>
      <w:pPr>
        <w:spacing w:after="0" w:line="56"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3"/>
          <w:szCs w:val="13"/>
          <w:color w:val="auto"/>
        </w:rPr>
        <w:t>“Facility” means: FCDI’s facility located at 465 Science Drive, Madison, Wisconsin, U.S.A.</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3"/>
          <w:szCs w:val="13"/>
          <w:color w:val="auto"/>
        </w:rPr>
        <w:t>“Financial Terms” means: the financial terms of this Agreement, as set forth in each Work Order. Except as may be expressly otherwise agreed in a Work Order and notwithstanding</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anything to the contrary herein, the Financial Terms will reflect financial terms providing for at least the following compensation to FCDI for the relevant Activities: [***].</w:t>
      </w:r>
    </w:p>
    <w:p>
      <w:pPr>
        <w:spacing w:after="0" w:line="175" w:lineRule="exact"/>
        <w:rPr>
          <w:sz w:val="20"/>
          <w:szCs w:val="20"/>
          <w:color w:val="auto"/>
        </w:rPr>
      </w:pPr>
    </w:p>
    <w:p>
      <w:pPr>
        <w:jc w:val="both"/>
        <w:ind w:left="520" w:hanging="517"/>
        <w:spacing w:after="0" w:line="263" w:lineRule="auto"/>
        <w:tabs>
          <w:tab w:leader="none" w:pos="500" w:val="left"/>
        </w:tabs>
        <w:rPr>
          <w:sz w:val="20"/>
          <w:szCs w:val="20"/>
          <w:color w:val="auto"/>
        </w:rPr>
      </w:pPr>
      <w:r>
        <w:rPr>
          <w:rFonts w:ascii="Arial" w:cs="Arial" w:eastAsia="Arial" w:hAnsi="Arial"/>
          <w:sz w:val="14"/>
          <w:szCs w:val="14"/>
          <w:color w:val="auto"/>
        </w:rPr>
        <w:t>1.25.</w:t>
        <w:tab/>
        <w:t>“GMP” means: current United States Good Manufacturing Practices (in Manufacturing, Processing, Packing, or Holding of Drugs and Finished Pharmaceuticals) as set forth in the Federal Register volume 66 Number 186 and those sections applicable within the FDA Regulations at 21 CFR Parts 210, 211, 600, 601 and 610, including relevant FDA Guidances on the manufacture of investigational drugs, the current European Good Manufacturing Practices for Medicinal Products as set forth in 2001/20/EC, 2001/83/EC, 2003/94/EC and 2005/28/EC (as amended), the E.U. Guide to GMP (The rules governing medicinal products in the European Union, Volume IV), including Annex 13 (Manufacture of Investigational Medicinal Products), and applicable International Conference on Harmonisation (ICH) guidelines as in effect at the time of manufacture by FCDI of the Product and the performance by FCDI of the Activities.</w:t>
      </w:r>
    </w:p>
    <w:p>
      <w:pPr>
        <w:spacing w:after="0" w:line="15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2"/>
          <w:szCs w:val="12"/>
          <w:color w:val="auto"/>
        </w:rPr>
        <w:t>“GMP Batch” means: a Batch that meets the Release Specifications, and is manufactured under GMP, in all material respects.</w:t>
      </w:r>
    </w:p>
    <w:p>
      <w:pPr>
        <w:spacing w:after="0" w:line="184"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1.27.</w:t>
        <w:tab/>
        <w:t>“GMP Procedures” means: the final procedures (following review and discussion of the Draft Procedures) agreed by FCDI and CENTURY in writing after the Process Development Activities or after the completion of the Engineering Batches pursuant to which a GMP Batch will, in all material respects, have to be manufactured.</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3"/>
          <w:szCs w:val="13"/>
          <w:color w:val="auto"/>
        </w:rPr>
        <w:t>“IND” means an investigational new drug application with the FDA, or the equivalent application in any foreign jurisdiction filed with another regulatory authority.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3"/>
          <w:szCs w:val="13"/>
          <w:color w:val="auto"/>
        </w:rPr>
        <w:t xml:space="preserve">“Joint Steering Committee” or “JSC” will have the meaning set forth in </w:t>
      </w:r>
      <w:r>
        <w:rPr>
          <w:rFonts w:ascii="Arial" w:cs="Arial" w:eastAsia="Arial" w:hAnsi="Arial"/>
          <w:sz w:val="13"/>
          <w:szCs w:val="13"/>
          <w:b w:val="1"/>
          <w:bCs w:val="1"/>
          <w:color w:val="auto"/>
        </w:rPr>
        <w:t>Article 4</w:t>
      </w:r>
      <w:r>
        <w:rPr>
          <w:rFonts w:ascii="Arial" w:cs="Arial" w:eastAsia="Arial" w:hAnsi="Arial"/>
          <w:sz w:val="13"/>
          <w:szCs w:val="13"/>
          <w:color w:val="auto"/>
        </w:rPr>
        <w:t>.</w:t>
      </w:r>
    </w:p>
    <w:p>
      <w:pPr>
        <w:spacing w:after="0" w:line="188"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1.30.</w:t>
        <w:tab/>
        <w:t>“Manufacturing Activities” means: the GMP manufacturing activities to be conducted and/or provided by FCDI in the Manufacturing Phase in accordance with this Agreement, as described in the applicable Work Order(s).</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47" w:name="page648"/>
    <w:bookmarkEnd w:id="647"/>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1.31.</w:t>
        <w:tab/>
        <w:t>“Manufacturing Phase” means: the period during which the Manufacturing Activities, if any, will be carried out, and which period commences on the date that FCDI begins production of the first GMP Batch and ends upon completion of the Manufacturing Activities whereby the last GMP Batch is to be manufactured and released, as described in the applicable Work Order.</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1.32.</w:t>
      </w:r>
      <w:r>
        <w:rPr>
          <w:sz w:val="20"/>
          <w:szCs w:val="20"/>
          <w:color w:val="auto"/>
        </w:rPr>
        <w:tab/>
      </w:r>
      <w:r>
        <w:rPr>
          <w:rFonts w:ascii="Arial" w:cs="Arial" w:eastAsia="Arial" w:hAnsi="Arial"/>
          <w:sz w:val="13"/>
          <w:szCs w:val="13"/>
          <w:color w:val="auto"/>
        </w:rPr>
        <w:t>“Master Cell Bank” means: a cell bank prepared and characterized under GMP and accompanied by GMP documentation, that is capable of producing the Product.</w:t>
      </w:r>
    </w:p>
    <w:p>
      <w:pPr>
        <w:spacing w:after="0" w:line="184" w:lineRule="exact"/>
        <w:rPr>
          <w:sz w:val="20"/>
          <w:szCs w:val="20"/>
          <w:color w:val="auto"/>
        </w:rPr>
      </w:pPr>
    </w:p>
    <w:p>
      <w:pPr>
        <w:jc w:val="both"/>
        <w:ind w:left="520" w:hanging="517"/>
        <w:spacing w:after="0" w:line="329" w:lineRule="auto"/>
        <w:tabs>
          <w:tab w:leader="none" w:pos="500" w:val="left"/>
        </w:tabs>
        <w:rPr>
          <w:sz w:val="20"/>
          <w:szCs w:val="20"/>
          <w:color w:val="auto"/>
        </w:rPr>
      </w:pPr>
      <w:r>
        <w:rPr>
          <w:rFonts w:ascii="Arial" w:cs="Arial" w:eastAsia="Arial" w:hAnsi="Arial"/>
          <w:sz w:val="14"/>
          <w:szCs w:val="14"/>
          <w:color w:val="auto"/>
        </w:rPr>
        <w:t>1.33.</w:t>
      </w:r>
      <w:r>
        <w:rPr>
          <w:sz w:val="20"/>
          <w:szCs w:val="20"/>
          <w:color w:val="auto"/>
        </w:rPr>
        <w:tab/>
      </w:r>
      <w:r>
        <w:rPr>
          <w:rFonts w:ascii="Arial" w:cs="Arial" w:eastAsia="Arial" w:hAnsi="Arial"/>
          <w:sz w:val="13"/>
          <w:szCs w:val="13"/>
          <w:color w:val="auto"/>
        </w:rPr>
        <w:t>“Material” or “Materials” means: research or Master Cell Bank(s) specific reagents and other materials or process information supplied by or on behalf of CENTURY to the extent required for particular Activities, and as described in the applicable Work Order. Unless included in the applicable Work Order, commercially available Raw Materials are excluded.</w:t>
      </w:r>
    </w:p>
    <w:p>
      <w:pPr>
        <w:spacing w:after="0" w:line="10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1.34.</w:t>
      </w:r>
      <w:r>
        <w:rPr>
          <w:sz w:val="20"/>
          <w:szCs w:val="20"/>
          <w:color w:val="auto"/>
        </w:rPr>
        <w:tab/>
      </w:r>
      <w:r>
        <w:rPr>
          <w:rFonts w:ascii="Arial" w:cs="Arial" w:eastAsia="Arial" w:hAnsi="Arial"/>
          <w:sz w:val="13"/>
          <w:szCs w:val="13"/>
          <w:color w:val="auto"/>
        </w:rPr>
        <w:t>“MCA” means: that certain Master Collaboration Agreement by and between the Parties dated October 21, 2019, as such agreement may be amended from time to time.</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1.35.</w:t>
      </w:r>
      <w:r>
        <w:rPr>
          <w:sz w:val="20"/>
          <w:szCs w:val="20"/>
          <w:color w:val="auto"/>
        </w:rPr>
        <w:tab/>
      </w:r>
      <w:r>
        <w:rPr>
          <w:rFonts w:ascii="Arial" w:cs="Arial" w:eastAsia="Arial" w:hAnsi="Arial"/>
          <w:sz w:val="13"/>
          <w:szCs w:val="13"/>
          <w:color w:val="auto"/>
        </w:rPr>
        <w:t>“NK Cells” means: human iPSC (including TiPSC) derived NK cells.</w:t>
      </w:r>
    </w:p>
    <w:p>
      <w:pPr>
        <w:spacing w:after="0" w:line="184"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1.36.</w:t>
        <w:tab/>
        <w:t>“NK Cell Product” means: a Product that is being researched and developed by CENTURY or its sublicensees (including any Affiliates) that is or is a modification of NK Cells derived from human iPSC (including TiPSC).</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1.37.</w:t>
      </w:r>
      <w:r>
        <w:rPr>
          <w:sz w:val="20"/>
          <w:szCs w:val="20"/>
          <w:color w:val="auto"/>
        </w:rPr>
        <w:tab/>
      </w:r>
      <w:r>
        <w:rPr>
          <w:rFonts w:ascii="Arial" w:cs="Arial" w:eastAsia="Arial" w:hAnsi="Arial"/>
          <w:sz w:val="13"/>
          <w:szCs w:val="13"/>
          <w:color w:val="auto"/>
        </w:rPr>
        <w:t>“Non-Supply Event” means FCDI or its Affiliate [***].</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1.38.</w:t>
      </w:r>
      <w:r>
        <w:rPr>
          <w:sz w:val="20"/>
          <w:szCs w:val="20"/>
          <w:color w:val="auto"/>
        </w:rPr>
        <w:tab/>
      </w:r>
      <w:r>
        <w:rPr>
          <w:rFonts w:ascii="Arial" w:cs="Arial" w:eastAsia="Arial" w:hAnsi="Arial"/>
          <w:sz w:val="13"/>
          <w:szCs w:val="13"/>
          <w:color w:val="auto"/>
        </w:rPr>
        <w:t>“Parties” and “Party” means: FCDI and CENTURY collectively, and FCDI or CENTURY each individually, respectively, as the context may require.</w:t>
      </w:r>
    </w:p>
    <w:p>
      <w:pPr>
        <w:spacing w:after="0" w:line="184" w:lineRule="exact"/>
        <w:rPr>
          <w:sz w:val="20"/>
          <w:szCs w:val="20"/>
          <w:color w:val="auto"/>
        </w:rPr>
      </w:pPr>
    </w:p>
    <w:p>
      <w:pPr>
        <w:jc w:val="both"/>
        <w:ind w:left="520" w:hanging="517"/>
        <w:spacing w:after="0" w:line="329" w:lineRule="auto"/>
        <w:tabs>
          <w:tab w:leader="none" w:pos="500" w:val="left"/>
        </w:tabs>
        <w:rPr>
          <w:sz w:val="20"/>
          <w:szCs w:val="20"/>
          <w:color w:val="auto"/>
        </w:rPr>
      </w:pPr>
      <w:r>
        <w:rPr>
          <w:rFonts w:ascii="Arial" w:cs="Arial" w:eastAsia="Arial" w:hAnsi="Arial"/>
          <w:sz w:val="14"/>
          <w:szCs w:val="14"/>
          <w:color w:val="auto"/>
        </w:rPr>
        <w:t>1.39.</w:t>
      </w:r>
      <w:r>
        <w:rPr>
          <w:sz w:val="20"/>
          <w:szCs w:val="20"/>
          <w:color w:val="auto"/>
        </w:rPr>
        <w:tab/>
      </w:r>
      <w:r>
        <w:rPr>
          <w:rFonts w:ascii="Arial" w:cs="Arial" w:eastAsia="Arial" w:hAnsi="Arial"/>
          <w:sz w:val="13"/>
          <w:szCs w:val="13"/>
          <w:color w:val="auto"/>
        </w:rPr>
        <w:t>“Process Development Activities” means: the activities, if any, to be conducted and/or provided by FCDI, independently or interdependently with Century’s conduct or provision of the Century Process Development Activities, in the Process Development Phase in accordance with this Agreement, in each case, as described in the applicable Work Order(s).</w:t>
      </w:r>
    </w:p>
    <w:p>
      <w:pPr>
        <w:spacing w:after="0" w:line="10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1.40.</w:t>
      </w:r>
      <w:r>
        <w:rPr>
          <w:sz w:val="20"/>
          <w:szCs w:val="20"/>
          <w:color w:val="auto"/>
        </w:rPr>
        <w:tab/>
      </w:r>
      <w:r>
        <w:rPr>
          <w:rFonts w:ascii="Arial" w:cs="Arial" w:eastAsia="Arial" w:hAnsi="Arial"/>
          <w:sz w:val="13"/>
          <w:szCs w:val="13"/>
          <w:color w:val="auto"/>
        </w:rPr>
        <w:t>“Process Development Objectives” means the objectives to be met by the provision of the Process Development Activities, as described in the applicable Work Order.</w:t>
      </w:r>
    </w:p>
    <w:p>
      <w:pPr>
        <w:spacing w:after="0" w:line="184"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1.41.</w:t>
        <w:tab/>
        <w:t>“Process Development Phase” means the period during which the Process Development Activities and the Analytical Testing Development Activities, if any, will be carried out, and which period commences on the date indicated in the</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648" w:name="page649"/>
    <w:bookmarkEnd w:id="648"/>
    <w:p>
      <w:pPr>
        <w:ind w:left="560"/>
        <w:spacing w:after="0"/>
        <w:rPr>
          <w:sz w:val="20"/>
          <w:szCs w:val="20"/>
          <w:color w:val="auto"/>
        </w:rPr>
      </w:pPr>
      <w:r>
        <w:rPr>
          <w:rFonts w:ascii="Arial" w:cs="Arial" w:eastAsia="Arial" w:hAnsi="Arial"/>
          <w:sz w:val="14"/>
          <w:szCs w:val="14"/>
          <w:color w:val="auto"/>
        </w:rPr>
        <w:t>Time Schedule in the applicable Work Order and ends upon the date that FCDI provides CENTURY with the applicable Process Development Report.</w:t>
      </w:r>
    </w:p>
    <w:p>
      <w:pPr>
        <w:spacing w:after="0" w:line="206" w:lineRule="exact"/>
        <w:rPr>
          <w:sz w:val="20"/>
          <w:szCs w:val="20"/>
          <w:color w:val="auto"/>
        </w:rPr>
      </w:pPr>
    </w:p>
    <w:p>
      <w:pPr>
        <w:jc w:val="both"/>
        <w:ind w:left="520" w:hanging="517"/>
        <w:spacing w:after="0" w:line="329" w:lineRule="auto"/>
        <w:tabs>
          <w:tab w:leader="none" w:pos="50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3"/>
          <w:szCs w:val="13"/>
          <w:color w:val="auto"/>
        </w:rPr>
        <w:t>“Process Development Report” means: the written report(s) describing in reasonable and sufficient detail the outcome of the Process Development Activities and Analytical Testing Development Activities as well as all conclusions made and to what extent the Process Development Objectives and Analytical Testing Development Objectives have been met.</w:t>
      </w:r>
    </w:p>
    <w:p>
      <w:pPr>
        <w:spacing w:after="0" w:line="10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1.43.</w:t>
      </w:r>
      <w:r>
        <w:rPr>
          <w:sz w:val="20"/>
          <w:szCs w:val="20"/>
          <w:color w:val="auto"/>
        </w:rPr>
        <w:tab/>
      </w:r>
      <w:r>
        <w:rPr>
          <w:rFonts w:ascii="Arial" w:cs="Arial" w:eastAsia="Arial" w:hAnsi="Arial"/>
          <w:sz w:val="13"/>
          <w:szCs w:val="13"/>
          <w:color w:val="auto"/>
        </w:rPr>
        <w:t>“Product” means: CENTURY’s product as identified in the applicable Work Order.</w:t>
      </w:r>
    </w:p>
    <w:p>
      <w:pPr>
        <w:spacing w:after="0" w:line="184"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1.44.</w:t>
        <w:tab/>
        <w:t>“Project Team” means: the joint technical team comprising members from each Party which will regularly discuss operations, manufacturing, technical and other details appropriate to the Parties’ performance of their respective obligations under this Agreement.</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1.45.</w:t>
        <w:tab/>
        <w:t>“QA Review Activities” means: the quality assurance review activities, if any, to be conducted and/or provided by FCDI in accordance with this Agreement, as described in the applicable Work Order(s) and consistent with the Quality Agreement.</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1.46.</w:t>
        <w:tab/>
        <w:t>“Quality Agreement” means: the agreement referenced above between the Parties with respect to the Product(s) to allow CENTURY and FCDI to comply with their respective regulatory obligations and to further define quality-related responsibilities of both Parties.</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1.47.</w:t>
        <w:tab/>
        <w:t>“Raw Materials” means: all the raw materials to be purchased by FCDI pursuant to Work Order(s) and appropriate for use in the Activities to be conducted by FCDI pursuant to such Work Order(s) and described in such Work Order(s) or as otherwise determined by CENTURY.</w:t>
      </w:r>
    </w:p>
    <w:p>
      <w:pPr>
        <w:spacing w:after="0" w:line="132" w:lineRule="exact"/>
        <w:rPr>
          <w:sz w:val="20"/>
          <w:szCs w:val="20"/>
          <w:color w:val="auto"/>
        </w:rPr>
      </w:pPr>
    </w:p>
    <w:p>
      <w:pPr>
        <w:jc w:val="both"/>
        <w:ind w:left="520" w:hanging="517"/>
        <w:spacing w:after="0" w:line="282" w:lineRule="auto"/>
        <w:tabs>
          <w:tab w:leader="none" w:pos="50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3"/>
          <w:szCs w:val="13"/>
          <w:color w:val="auto"/>
        </w:rPr>
        <w:t>“Records” means: all written (in any form of media) materials, data and documentation generated by or on behalf of FCDI, or obtained from Century, in the course of FCDI’s providing of Activities hereunder. For clarity, “Records” excludes any and all materials, data and documentation: (a) that are generated by FCDI prior to the commencement date of the Activities and without the aid, application or use of CENTURY’s Confidential Information, (b) that constitute or incorporate the Licensed Patent Rights, Licensed Know-How or Licensed Technology (as defined in the Reprogramming License Agreement or Differentiation License Agreement, as applicable), as to which CENTURY shall have solely the rights (if any) granted in the Reprogramming License Agreement, the Differentiation License Agreement, and/or the MCA, and (c) that constitute or incorporate a DMF (or any portion thereof) that also relate to cells or similar activities provided by FCDI to one or more third parties and as to which CENTURY has a Right of Reference under the Reprogramming License Agreement, the Differentiation License Agreement, and/or the MCA or correspondence or other filings to or from a regulatory authority associated therewith (with capitalized terms used in this clause (c) but not defined herein having the meanings ascribed to them in the Reprogramming License Agreement); provided, however, that the exclusions listed in the foregoing clause (a) shall not include or apply to any material, data, documentation or other information that is not also described in clause (b) or (c) and (i) that is generated in preparation for the Activities to be conducted pursuant to this Agreement (e.g., aseptic qualifications), or (ii) that</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649" w:name="page650"/>
    <w:bookmarkEnd w:id="649"/>
    <w:p>
      <w:pPr>
        <w:ind w:left="640"/>
        <w:spacing w:after="0"/>
        <w:rPr>
          <w:sz w:val="20"/>
          <w:szCs w:val="20"/>
          <w:color w:val="auto"/>
        </w:rPr>
      </w:pPr>
      <w:r>
        <w:rPr>
          <w:rFonts w:ascii="Arial" w:cs="Arial" w:eastAsia="Arial" w:hAnsi="Arial"/>
          <w:sz w:val="14"/>
          <w:szCs w:val="14"/>
          <w:color w:val="auto"/>
        </w:rPr>
        <w:t>directly relate to the quality or disposition of the Products hereunder.</w:t>
      </w:r>
    </w:p>
    <w:p>
      <w:pPr>
        <w:spacing w:after="0" w:line="206"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1.49.</w:t>
        <w:tab/>
        <w:t>“Release Specifications” means the specifications agreed by FCDI and CENTURY in writing after completion of the Engineering Batch to which the Product manufactured in the Manufacturing Phase will have to conform, which written agreement of the Parties shall constitute an amendment to the applicable Work Order.</w:t>
      </w:r>
    </w:p>
    <w:p>
      <w:pPr>
        <w:spacing w:after="0" w:line="132"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1.50.</w:t>
        <w:tab/>
        <w:t xml:space="preserve">“Request for Change” or “RFC” means: the formal request by either Party for a change to be made to the Activities, which request shall be submitted in the form as prescribed in </w:t>
      </w:r>
      <w:r>
        <w:rPr>
          <w:rFonts w:ascii="Arial" w:cs="Arial" w:eastAsia="Arial" w:hAnsi="Arial"/>
          <w:sz w:val="14"/>
          <w:szCs w:val="14"/>
          <w:b w:val="1"/>
          <w:bCs w:val="1"/>
          <w:color w:val="auto"/>
        </w:rPr>
        <w:t>Appendix A</w:t>
      </w:r>
      <w:r>
        <w:rPr>
          <w:rFonts w:ascii="Arial" w:cs="Arial" w:eastAsia="Arial" w:hAnsi="Arial"/>
          <w:sz w:val="14"/>
          <w:szCs w:val="14"/>
          <w:color w:val="auto"/>
        </w:rPr>
        <w:t>.</w:t>
      </w:r>
    </w:p>
    <w:p>
      <w:pPr>
        <w:spacing w:after="0" w:line="132"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1.51.</w:t>
        <w:tab/>
        <w:t>“Reprogramming License Agreement” means that certain License Agreement dated as of September 18, 2018 and pertaining to certain patent rights related to the reprogramming of human somatic cells by and between FCDI and Century Therapeutics, Inc., as assigned to Century and as may be amended from time to time.</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1.52.</w:t>
      </w:r>
      <w:r>
        <w:rPr>
          <w:sz w:val="20"/>
          <w:szCs w:val="20"/>
          <w:color w:val="auto"/>
        </w:rPr>
        <w:tab/>
      </w:r>
      <w:r>
        <w:rPr>
          <w:rFonts w:ascii="Arial" w:cs="Arial" w:eastAsia="Arial" w:hAnsi="Arial"/>
          <w:sz w:val="13"/>
          <w:szCs w:val="13"/>
          <w:color w:val="auto"/>
        </w:rPr>
        <w:t>“Run” means: the manufacture of a Batch in (a part of) the Facility.</w:t>
      </w:r>
    </w:p>
    <w:p>
      <w:pPr>
        <w:spacing w:after="0" w:line="184"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1.53.</w:t>
        <w:tab/>
        <w:t>“Slot” means: the reservation and availability of sufficient machinery and equipment, time and personnel required for a Run to be performed by FCDI hereunder during the performance of the Activities.</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1.54.</w:t>
      </w:r>
      <w:r>
        <w:rPr>
          <w:sz w:val="20"/>
          <w:szCs w:val="20"/>
          <w:color w:val="auto"/>
        </w:rPr>
        <w:tab/>
      </w:r>
      <w:r>
        <w:rPr>
          <w:rFonts w:ascii="Arial" w:cs="Arial" w:eastAsia="Arial" w:hAnsi="Arial"/>
          <w:sz w:val="13"/>
          <w:szCs w:val="13"/>
          <w:color w:val="auto"/>
        </w:rPr>
        <w:t>“T Cells” means: human iPSC (including TiPSC) derived T cells.</w:t>
      </w:r>
    </w:p>
    <w:p>
      <w:pPr>
        <w:spacing w:after="0" w:line="184"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1.55.</w:t>
        <w:tab/>
        <w:t>“T Cell Product” means: a Product that is being researched and developed by CENTURY or its sublicensees (including any Affiliates) that is or is a modification of T Cells derived from human iPSC (including TiPSC).</w:t>
      </w:r>
    </w:p>
    <w:p>
      <w:pPr>
        <w:spacing w:after="0" w:line="132"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1.56.</w:t>
        <w:tab/>
        <w:t>“Technology Transfer Activities” means: the activities, if any, to be conducted and/or provided by FCDI in the Technology Transfer Phase in accordance with this Agreement, as described in the applicable Work Order(s).</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1.57.</w:t>
      </w:r>
      <w:r>
        <w:rPr>
          <w:sz w:val="20"/>
          <w:szCs w:val="20"/>
          <w:color w:val="auto"/>
        </w:rPr>
        <w:tab/>
      </w:r>
      <w:r>
        <w:rPr>
          <w:rFonts w:ascii="Arial" w:cs="Arial" w:eastAsia="Arial" w:hAnsi="Arial"/>
          <w:sz w:val="13"/>
          <w:szCs w:val="13"/>
          <w:color w:val="auto"/>
        </w:rPr>
        <w:t>“Technology Transfer Objectives” means: the objectives to be met by the provision of the Technology Transfer Activities, as described in the applicable Work Order.</w:t>
      </w:r>
    </w:p>
    <w:p>
      <w:pPr>
        <w:spacing w:after="0" w:line="184"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1.58.</w:t>
        <w:tab/>
        <w:t>“Technology Transfer Phase” means: the period during which the Technology Transfer Activities, if any, will be carried out, and which period ends upon the date that FCDI provides CENTURY with the Technology Transfer Report.</w:t>
      </w:r>
    </w:p>
    <w:p>
      <w:pPr>
        <w:spacing w:after="0" w:line="132"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1.59.</w:t>
        <w:tab/>
        <w:t>“Technology Transfer Report” means: the written report describing in reasonable detail the outcome of the Technology Transfer Activities as well as to what extent the Technology Transfer Objectives have been met.</w:t>
      </w:r>
    </w:p>
    <w:p>
      <w:pPr>
        <w:spacing w:after="0" w:line="132"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1.60.</w:t>
        <w:tab/>
        <w:t>“Time Schedule” means: the time schedule set forth in the applicable Work Order according to which 1) the Technology Transfer Activities and/or 2) Process Development Activities and/or 3) Analytical Testing Development Activities and/or 4) Manufacturing Activities are to be carried out.</w:t>
      </w:r>
    </w:p>
    <w:p>
      <w:pPr>
        <w:spacing w:after="0" w:line="128" w:lineRule="exact"/>
        <w:rPr>
          <w:sz w:val="20"/>
          <w:szCs w:val="20"/>
          <w:color w:val="auto"/>
        </w:rPr>
      </w:pPr>
    </w:p>
    <w:p>
      <w:pPr>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1.61.</w:t>
        <w:tab/>
        <w:t xml:space="preserve">“Work Order” means: any written addendum referring to this Agreement and containing what is described in </w:t>
      </w:r>
      <w:r>
        <w:rPr>
          <w:rFonts w:ascii="Arial" w:cs="Arial" w:eastAsia="Arial" w:hAnsi="Arial"/>
          <w:sz w:val="14"/>
          <w:szCs w:val="14"/>
          <w:b w:val="1"/>
          <w:bCs w:val="1"/>
          <w:color w:val="auto"/>
        </w:rPr>
        <w:t>Articles 2.2(a)</w:t>
      </w:r>
      <w:r>
        <w:rPr>
          <w:rFonts w:ascii="Arial" w:cs="Arial" w:eastAsia="Arial" w:hAnsi="Arial"/>
          <w:sz w:val="14"/>
          <w:szCs w:val="14"/>
          <w:color w:val="auto"/>
        </w:rPr>
        <w:t xml:space="preserve"> through </w:t>
      </w:r>
      <w:r>
        <w:rPr>
          <w:rFonts w:ascii="Arial" w:cs="Arial" w:eastAsia="Arial" w:hAnsi="Arial"/>
          <w:sz w:val="14"/>
          <w:szCs w:val="14"/>
          <w:b w:val="1"/>
          <w:bCs w:val="1"/>
          <w:color w:val="auto"/>
        </w:rPr>
        <w:t>2.2(i)</w:t>
      </w:r>
      <w:r>
        <w:rPr>
          <w:rFonts w:ascii="Arial" w:cs="Arial" w:eastAsia="Arial" w:hAnsi="Arial"/>
          <w:sz w:val="14"/>
          <w:szCs w:val="14"/>
          <w:color w:val="auto"/>
        </w:rPr>
        <w:t xml:space="preserve"> and such other provisions (including what is contemplated in </w:t>
      </w:r>
      <w:r>
        <w:rPr>
          <w:rFonts w:ascii="Arial" w:cs="Arial" w:eastAsia="Arial" w:hAnsi="Arial"/>
          <w:sz w:val="14"/>
          <w:szCs w:val="14"/>
          <w:b w:val="1"/>
          <w:bCs w:val="1"/>
          <w:color w:val="auto"/>
        </w:rPr>
        <w:t>Article 2.2(j)</w:t>
      </w:r>
      <w:r>
        <w:rPr>
          <w:rFonts w:ascii="Arial" w:cs="Arial" w:eastAsia="Arial" w:hAnsi="Arial"/>
          <w:sz w:val="14"/>
          <w:szCs w:val="14"/>
          <w:color w:val="auto"/>
        </w:rPr>
        <w:t xml:space="preserve"> as applicable), if</w:t>
      </w:r>
    </w:p>
    <w:p>
      <w:pPr>
        <w:spacing w:after="0" w:line="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50" w:name="page651"/>
    <w:bookmarkEnd w:id="650"/>
    <w:p>
      <w:pPr>
        <w:ind w:left="560" w:right="180"/>
        <w:spacing w:after="0" w:line="329" w:lineRule="auto"/>
        <w:rPr>
          <w:sz w:val="20"/>
          <w:szCs w:val="20"/>
          <w:color w:val="auto"/>
        </w:rPr>
      </w:pPr>
      <w:r>
        <w:rPr>
          <w:rFonts w:ascii="Arial" w:cs="Arial" w:eastAsia="Arial" w:hAnsi="Arial"/>
          <w:sz w:val="13"/>
          <w:szCs w:val="13"/>
          <w:color w:val="auto"/>
        </w:rPr>
        <w:t>any, as may be set forth therein, and/or any amendment to any of the foregoing, signed by the Parties and governed by this Agreement, setting forth the specific Activities requested by CENTURY to be conducted and/or performed by FCDI, as such addendum may be amended in writing from time to time in accordance with the provisions of this Agreement.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2 - Work Order(s)</w:t>
      </w:r>
    </w:p>
    <w:p>
      <w:pPr>
        <w:spacing w:after="0" w:line="188"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From time to time, pursuant to one (1) or more written Work Order(s) signed by duly authorized representatives of the Parties, FCDI will perform Activities for CENTURY as specified in such Work Order(s) and in accordance with the terms and conditions of this Agreement. Unless otherwise set forth in the applicable Work Order, all manufacturing-related Activities will be performed by FCDI at the Facility.</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color w:val="auto"/>
        </w:rPr>
        <w:t>Each Work Order shall refer to this Agreement and contain, as applicable:</w:t>
      </w:r>
    </w:p>
    <w:p>
      <w:pPr>
        <w:spacing w:after="0" w:line="184" w:lineRule="exact"/>
        <w:rPr>
          <w:sz w:val="20"/>
          <w:szCs w:val="20"/>
          <w:color w:val="auto"/>
        </w:rPr>
      </w:pPr>
    </w:p>
    <w:p>
      <w:pPr>
        <w:ind w:left="1040" w:hanging="516"/>
        <w:spacing w:after="0"/>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 description of all the Activities to be performed under such Work Order;</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5"/>
        </w:numPr>
        <w:rPr>
          <w:rFonts w:ascii="Arial" w:cs="Arial" w:eastAsia="Arial" w:hAnsi="Arial"/>
          <w:sz w:val="13"/>
          <w:szCs w:val="13"/>
          <w:color w:val="auto"/>
        </w:rPr>
      </w:pPr>
      <w:r>
        <w:rPr>
          <w:rFonts w:ascii="Arial" w:cs="Arial" w:eastAsia="Arial" w:hAnsi="Arial"/>
          <w:sz w:val="13"/>
          <w:szCs w:val="13"/>
          <w:color w:val="auto"/>
        </w:rPr>
        <w:t>the Product for which FCDI will perform such Activities for CENTURY and, If applicable, the quantities of the Product desired as a result of the performance of such Activities;</w:t>
      </w:r>
    </w:p>
    <w:p>
      <w:pPr>
        <w:spacing w:after="0" w:line="195" w:lineRule="exact"/>
        <w:rPr>
          <w:rFonts w:ascii="Arial" w:cs="Arial" w:eastAsia="Arial" w:hAnsi="Arial"/>
          <w:sz w:val="13"/>
          <w:szCs w:val="13"/>
          <w:color w:val="auto"/>
        </w:rPr>
      </w:pPr>
    </w:p>
    <w:p>
      <w:pPr>
        <w:ind w:left="1040" w:hanging="516"/>
        <w:spacing w:after="0" w:line="288" w:lineRule="auto"/>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 description of the Material(s) to be transferred from CENTURY to FCDI, if any, and the Century Process Development Activities to be conducted or provided by CENTURY, if any;</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the applicable Analytical Testing Development Objectives, Technology Transfer Objectives, Process Development Objectives, and/or Release Specifications;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the Financial Terms;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if the Activities pertain to the manufacture of a Product, the quantity of Product to be manufactured by FCDI under such Work Order;</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any other deliverables (including the quantities thereof desired as a result of the performance of Activities) under such Work Order;</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the Time Schedule; and</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475"/>
        </w:numPr>
        <w:rPr>
          <w:rFonts w:ascii="Arial" w:cs="Arial" w:eastAsia="Arial" w:hAnsi="Arial"/>
          <w:sz w:val="14"/>
          <w:szCs w:val="14"/>
          <w:color w:val="auto"/>
        </w:rPr>
      </w:pPr>
      <w:r>
        <w:rPr>
          <w:rFonts w:ascii="Arial" w:cs="Arial" w:eastAsia="Arial" w:hAnsi="Arial"/>
          <w:sz w:val="14"/>
          <w:szCs w:val="14"/>
          <w:color w:val="auto"/>
        </w:rPr>
        <w:t>if the Activities pertain to the manufacture of a Batch, a description of the run cancellation fee (including the amount thereof and when, and if, it will become payable), if any, with respect thereto (the “</w:t>
      </w:r>
      <w:r>
        <w:rPr>
          <w:rFonts w:ascii="Arial" w:cs="Arial" w:eastAsia="Arial" w:hAnsi="Arial"/>
          <w:sz w:val="14"/>
          <w:szCs w:val="14"/>
          <w:b w:val="1"/>
          <w:bCs w:val="1"/>
          <w:color w:val="auto"/>
        </w:rPr>
        <w:t>Run Cancellation Fee</w:t>
      </w:r>
      <w:r>
        <w:rPr>
          <w:rFonts w:ascii="Arial" w:cs="Arial" w:eastAsia="Arial" w:hAnsi="Arial"/>
          <w:sz w:val="14"/>
          <w:szCs w:val="14"/>
          <w:color w:val="auto"/>
        </w:rPr>
        <w:t>”).</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Each Work Order shall, upon the execution and delivery thereof by the Parties, become and form an integral part of this Agreement. Activities and Work Order(s) shall be governed by the terms and conditions of this Agreement and the Quality Agreement entered into by the Parties. In the event of a conflict or inconsistency between this Agreement and the Work Order(s), the terms of this Agreement will control, unless the conflict or inconsistency is specifically identified in the Work Order(s) and the alternative provisions included in the Work Order(s) are expressly stated to supersede conflicting or</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651" w:name="page652"/>
    <w:bookmarkEnd w:id="651"/>
    <w:p>
      <w:pPr>
        <w:jc w:val="both"/>
        <w:spacing w:after="0" w:line="329" w:lineRule="auto"/>
        <w:rPr>
          <w:sz w:val="20"/>
          <w:szCs w:val="20"/>
          <w:color w:val="auto"/>
        </w:rPr>
      </w:pPr>
      <w:r>
        <w:rPr>
          <w:rFonts w:ascii="Arial" w:cs="Arial" w:eastAsia="Arial" w:hAnsi="Arial"/>
          <w:sz w:val="13"/>
          <w:szCs w:val="13"/>
          <w:color w:val="auto"/>
        </w:rPr>
        <w:t>inconsistent terms in this Agreement. In the event of a conflict or inconsistency between any of the provisions of the Quality Agreement and this Agreement, the provisions of the Quality Agreement will prevail on all matters related to compliance with GMP and other quality control and quality assurance matters, and this Agreement shall prevail with respect to all other matters.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3 - Technology Transfer, Process Development and Analytical Testing Activities</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2"/>
          <w:szCs w:val="12"/>
          <w:color w:val="auto"/>
        </w:rPr>
        <w:t>Technology Transfer Phase</w:t>
      </w:r>
    </w:p>
    <w:p>
      <w:pPr>
        <w:spacing w:after="0" w:line="184" w:lineRule="exact"/>
        <w:rPr>
          <w:sz w:val="20"/>
          <w:szCs w:val="20"/>
          <w:color w:val="auto"/>
        </w:rPr>
      </w:pPr>
    </w:p>
    <w:p>
      <w:pPr>
        <w:jc w:val="both"/>
        <w:ind w:left="520" w:hanging="517"/>
        <w:spacing w:after="0" w:line="265" w:lineRule="auto"/>
        <w:tabs>
          <w:tab w:leader="none" w:pos="500" w:val="left"/>
        </w:tabs>
        <w:rPr>
          <w:sz w:val="20"/>
          <w:szCs w:val="20"/>
          <w:color w:val="auto"/>
        </w:rPr>
      </w:pPr>
      <w:r>
        <w:rPr>
          <w:rFonts w:ascii="Arial" w:cs="Arial" w:eastAsia="Arial" w:hAnsi="Arial"/>
          <w:sz w:val="14"/>
          <w:szCs w:val="14"/>
          <w:color w:val="auto"/>
        </w:rPr>
        <w:t>3.1.1.</w:t>
        <w:tab/>
        <w:t>The Parties will agree in writing on the Technology Transfer Objectives, in each case, at least [***] prior to the start of the Technology Transfer Activities. The Parties agree that they will use their good faith and commercially reasonable efforts to reach agreement on such Technology Transfer Objectives and the other items to be contained in the applicable Work Order containing such Technology Transfer Objectives. Century acknowledges and agrees that the provision by FCDI of Technology Transfer Activities hereunder constitutes partial performance of FCDI’s obligations pursuant to Section 2.4(a) of the Reprogramming License Agreement and Section 2.7(a) of the Differentiation License Agreement to provide certain technical support and/or transfer Licensed Know-How to Century.</w:t>
      </w:r>
    </w:p>
    <w:p>
      <w:pPr>
        <w:spacing w:after="0" w:line="147"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3.1.2.</w:t>
        <w:tab/>
        <w:t>FCDI agrees to use its commercially reasonable efforts to perform the Technology Transfer Activities, in accordance with the Time Schedule, in each case as described in the applicable Work Order.</w:t>
      </w:r>
    </w:p>
    <w:p>
      <w:pPr>
        <w:spacing w:after="0" w:line="132"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3.1.3.</w:t>
        <w:tab/>
        <w:t>When performing the Technology Transfer Activities, FCDI will use its commercially reasonable efforts to meet the Technology Transfer Objectives, Draft Procedures, and Current Best Practice. In case the Technology Transfer Objectives or Draft Procedures are not met, then FCDI will not perform any further Activities described in the applicable Work Order unless and until such Activities are authorized by CENTURY in writing (which may be via email).</w:t>
      </w:r>
    </w:p>
    <w:p>
      <w:pPr>
        <w:spacing w:after="0" w:line="141"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3.1.4.</w:t>
      </w:r>
      <w:r>
        <w:rPr>
          <w:sz w:val="20"/>
          <w:szCs w:val="20"/>
          <w:color w:val="auto"/>
        </w:rPr>
        <w:tab/>
      </w:r>
      <w:r>
        <w:rPr>
          <w:rFonts w:ascii="Arial" w:cs="Arial" w:eastAsia="Arial" w:hAnsi="Arial"/>
          <w:sz w:val="13"/>
          <w:szCs w:val="13"/>
          <w:color w:val="auto"/>
        </w:rPr>
        <w:t>For the avoidance of doubt, nothing in this Article 3.1 is intended to or shall be construed to obligate FCDI to perform any activities other than Technology Transfer Activities described in the applicable Work Order in order to attempt to meet the Technology Transfer Objectives described in the applicable Work Order, Draft Procedures and/or Current Best Practices or to undertake more than one effort, i.e., attempt (or such greater number of attempts as is expressly set forth in the applicable Work Order) to perform the Technology Transfer Activities described in the applicable Work Order and to meet the Technology Transfer Objectives described in the applicable Work Order, Draft Procedures and Current Best Practices.</w:t>
      </w:r>
    </w:p>
    <w:p>
      <w:pPr>
        <w:spacing w:after="0" w:line="131" w:lineRule="exact"/>
        <w:rPr>
          <w:sz w:val="20"/>
          <w:szCs w:val="20"/>
          <w:color w:val="auto"/>
        </w:rPr>
      </w:pPr>
    </w:p>
    <w:p>
      <w:pPr>
        <w:jc w:val="both"/>
        <w:ind w:left="520" w:hanging="517"/>
        <w:spacing w:after="0" w:line="329" w:lineRule="auto"/>
        <w:tabs>
          <w:tab w:leader="none" w:pos="500" w:val="left"/>
        </w:tabs>
        <w:rPr>
          <w:sz w:val="20"/>
          <w:szCs w:val="20"/>
          <w:color w:val="auto"/>
        </w:rPr>
      </w:pPr>
      <w:r>
        <w:rPr>
          <w:rFonts w:ascii="Arial" w:cs="Arial" w:eastAsia="Arial" w:hAnsi="Arial"/>
          <w:sz w:val="14"/>
          <w:szCs w:val="14"/>
          <w:color w:val="auto"/>
        </w:rPr>
        <w:t>3.1.5.</w:t>
      </w:r>
      <w:r>
        <w:rPr>
          <w:sz w:val="20"/>
          <w:szCs w:val="20"/>
          <w:color w:val="auto"/>
        </w:rPr>
        <w:tab/>
      </w:r>
      <w:r>
        <w:rPr>
          <w:rFonts w:ascii="Arial" w:cs="Arial" w:eastAsia="Arial" w:hAnsi="Arial"/>
          <w:sz w:val="13"/>
          <w:szCs w:val="13"/>
          <w:color w:val="auto"/>
        </w:rPr>
        <w:t>In the event FCDI performs the Technology Transfer Activities more expeditiously than indicated in the applicable Time Schedule, no changes will be made to the Financial Terms as described in the applicable Work Order, provided FCDI will remain entitled to the full amount payable under such Work Order concerning such Technology Transfer Activities.</w:t>
      </w:r>
    </w:p>
    <w:p>
      <w:pPr>
        <w:spacing w:after="0" w:line="108"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3.1.6.</w:t>
        <w:tab/>
        <w:t>Within thirty (30) days after completion of the Technology Transfer Activities, FCDI shall provide CENTURY with a draft Technology Transfer Report for CENTURY’s review and comment.</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652" w:name="page653"/>
    <w:bookmarkEnd w:id="652"/>
    <w:p>
      <w:pPr>
        <w:spacing w:after="0"/>
        <w:tabs>
          <w:tab w:leader="none" w:pos="50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2"/>
          <w:szCs w:val="12"/>
          <w:color w:val="auto"/>
        </w:rPr>
        <w:t>Process Development Phase</w:t>
      </w:r>
    </w:p>
    <w:p>
      <w:pPr>
        <w:spacing w:after="0" w:line="184" w:lineRule="exact"/>
        <w:rPr>
          <w:sz w:val="20"/>
          <w:szCs w:val="20"/>
          <w:color w:val="auto"/>
        </w:rPr>
      </w:pPr>
    </w:p>
    <w:p>
      <w:pPr>
        <w:jc w:val="both"/>
        <w:ind w:left="520" w:hanging="517"/>
        <w:spacing w:after="0" w:line="267" w:lineRule="auto"/>
        <w:tabs>
          <w:tab w:leader="none" w:pos="500" w:val="left"/>
        </w:tabs>
        <w:rPr>
          <w:sz w:val="20"/>
          <w:szCs w:val="20"/>
          <w:color w:val="auto"/>
        </w:rPr>
      </w:pPr>
      <w:r>
        <w:rPr>
          <w:rFonts w:ascii="Arial" w:cs="Arial" w:eastAsia="Arial" w:hAnsi="Arial"/>
          <w:sz w:val="14"/>
          <w:szCs w:val="14"/>
          <w:color w:val="auto"/>
        </w:rPr>
        <w:t>3.2.1.</w:t>
        <w:tab/>
        <w:t>The Parties will agree in writing on the Process Development Objectives and/or Analytical Testing Development Objectives, in each case at least six (6) weeks prior to the start of the Process Development Activities and Analytical Testing Development Activities, respectively. The Parties agree that they will use their good faith and commercially reasonable efforts to reach agreement on such Process Development Objectives and Analytical Testing Development Objectives and the other items to be contained in the applicable Work Order containing such Process Development Objectives and/or Analytical Testing Development Objectives.</w:t>
      </w:r>
    </w:p>
    <w:p>
      <w:pPr>
        <w:spacing w:after="0" w:line="147"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3.2.2.</w:t>
        <w:tab/>
        <w:t>FCDI agrees to use its commercially reasonable efforts to perform the Process Development Activities and Analytical Testing Development Activities, if any, in accordance with the Time Schedule, in each case as described in the applicable Work Order.</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3.2.3.</w:t>
        <w:tab/>
        <w:t>When performing the Process Development Activities and/or Analytical Testing Development Activities, FCDI will use its commercially reasonable efforts to satisfy the Process Development Objectives and/or Analytical Testing Development Objectives, if any.</w:t>
      </w:r>
    </w:p>
    <w:p>
      <w:pPr>
        <w:spacing w:after="0" w:line="128" w:lineRule="exact"/>
        <w:rPr>
          <w:sz w:val="20"/>
          <w:szCs w:val="20"/>
          <w:color w:val="auto"/>
        </w:rPr>
      </w:pPr>
    </w:p>
    <w:p>
      <w:pPr>
        <w:jc w:val="both"/>
        <w:ind w:left="520" w:hanging="517"/>
        <w:spacing w:after="0" w:line="264" w:lineRule="auto"/>
        <w:tabs>
          <w:tab w:leader="none" w:pos="500" w:val="left"/>
        </w:tabs>
        <w:rPr>
          <w:sz w:val="20"/>
          <w:szCs w:val="20"/>
          <w:color w:val="auto"/>
        </w:rPr>
      </w:pPr>
      <w:r>
        <w:rPr>
          <w:rFonts w:ascii="Arial" w:cs="Arial" w:eastAsia="Arial" w:hAnsi="Arial"/>
          <w:sz w:val="14"/>
          <w:szCs w:val="14"/>
          <w:color w:val="auto"/>
        </w:rPr>
        <w:t>3.2.4.</w:t>
        <w:tab/>
        <w:t xml:space="preserve">For the avoidance of doubt, nothing in this </w:t>
      </w:r>
      <w:r>
        <w:rPr>
          <w:rFonts w:ascii="Arial" w:cs="Arial" w:eastAsia="Arial" w:hAnsi="Arial"/>
          <w:sz w:val="14"/>
          <w:szCs w:val="14"/>
          <w:b w:val="1"/>
          <w:bCs w:val="1"/>
          <w:color w:val="auto"/>
        </w:rPr>
        <w:t>Article 3.2</w:t>
      </w:r>
      <w:r>
        <w:rPr>
          <w:rFonts w:ascii="Arial" w:cs="Arial" w:eastAsia="Arial" w:hAnsi="Arial"/>
          <w:sz w:val="14"/>
          <w:szCs w:val="14"/>
          <w:color w:val="auto"/>
        </w:rPr>
        <w:t xml:space="preserve"> is intended to or shall be construed to obligate FCDI to perform any activities other than the Process Development Activities and/or Analytical Testing Development Activities described in the applicable Work Order in order to attempt to meet the Process Development Objectives and/or Analytical Testing Development Objectives described in the applicable Work Order, Draft Procedures and Current Best Practices or to undertake more than one effort, i.e., attempt (or such greater number of attempts as is expressly set forth in the applicable Work Order) to perform the Process Development Activities and/or Analytical Testing Development Activities described in the applicable Work Order and to meet the Process Development Objectives and/or Analytical Testing Development Objectives described in the applicable Work Order, Draft Procedures and Current Best Practices.</w:t>
      </w:r>
    </w:p>
    <w:p>
      <w:pPr>
        <w:spacing w:after="0" w:line="150"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3.2.5.</w:t>
        <w:tab/>
        <w:t>In the event FCDI performs the Process Development Activities and/or Analytical Testing Development Activities more expeditiously than indicated in the applicable Time Schedule, no changes will be made to the Financial Terms as described in the applicable Work Order(s), provided FCDI will remain entitled to the full amounts payable under such Work Order(s) concerning such Process Development Activities and/or Analytical Testing Development Activities.</w:t>
      </w:r>
    </w:p>
    <w:p>
      <w:pPr>
        <w:spacing w:after="0" w:line="163" w:lineRule="exact"/>
        <w:rPr>
          <w:sz w:val="20"/>
          <w:szCs w:val="20"/>
          <w:color w:val="auto"/>
        </w:rPr>
      </w:pPr>
    </w:p>
    <w:p>
      <w:pPr>
        <w:jc w:val="both"/>
        <w:ind w:left="560" w:hanging="517"/>
        <w:spacing w:after="0" w:line="265" w:lineRule="auto"/>
        <w:tabs>
          <w:tab w:leader="none" w:pos="540" w:val="left"/>
        </w:tabs>
        <w:rPr>
          <w:sz w:val="20"/>
          <w:szCs w:val="20"/>
          <w:color w:val="auto"/>
        </w:rPr>
      </w:pPr>
      <w:r>
        <w:rPr>
          <w:rFonts w:ascii="Arial" w:cs="Arial" w:eastAsia="Arial" w:hAnsi="Arial"/>
          <w:sz w:val="14"/>
          <w:szCs w:val="14"/>
          <w:color w:val="auto"/>
        </w:rPr>
        <w:t>3.2.6.</w:t>
        <w:tab/>
        <w:t>If at any time during the Process Development Phase, FCDI reasonably concludes on the basis of the results of the Process Development Activities and/or Analytical Testing Development Activities performed to date and consideration(s) of scientific or technical infeasibility, that, despite FCDI’s using its commercially reasonable efforts, the Process Development Activities and/or Analytical Testing Development Activities cannot be completed or the completion of the Process Development Activities and/or Analytical Testing Development Activities will not result in the achievement of the Process Development Objectives and/or Analytical Testing Development Objectives as necessary for a process to manufacture clinical supplies of Product then FCDI will notify CENTURY thereof in writing, including a</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53" w:name="page654"/>
    <w:bookmarkEnd w:id="653"/>
    <w:p>
      <w:pPr>
        <w:jc w:val="both"/>
        <w:ind w:left="520"/>
        <w:spacing w:after="0" w:line="281" w:lineRule="auto"/>
        <w:rPr>
          <w:sz w:val="20"/>
          <w:szCs w:val="20"/>
          <w:color w:val="auto"/>
        </w:rPr>
      </w:pPr>
      <w:r>
        <w:rPr>
          <w:rFonts w:ascii="Arial" w:cs="Arial" w:eastAsia="Arial" w:hAnsi="Arial"/>
          <w:sz w:val="13"/>
          <w:szCs w:val="13"/>
          <w:color w:val="auto"/>
        </w:rPr>
        <w:t xml:space="preserve">detailed description of FCDI’s efforts undertaken prior to the notice date that form the basis for FCDI’s conclusion. A sixty (60) day period shall then be allowed for good faith discussion and attempts to achieve resolution of the relevant issues including discussion of proposed modification(s) of such Process Development Objectives, such Analytical Testing Development Objectives, such Process Development Activities and/or such Analytical Testing Development Activities in accordance with </w:t>
      </w:r>
      <w:r>
        <w:rPr>
          <w:rFonts w:ascii="Arial" w:cs="Arial" w:eastAsia="Arial" w:hAnsi="Arial"/>
          <w:sz w:val="13"/>
          <w:szCs w:val="13"/>
          <w:b w:val="1"/>
          <w:bCs w:val="1"/>
          <w:color w:val="auto"/>
        </w:rPr>
        <w:t>Article 4 (Articles 4.5 through 4.11)</w:t>
      </w:r>
      <w:r>
        <w:rPr>
          <w:rFonts w:ascii="Arial" w:cs="Arial" w:eastAsia="Arial" w:hAnsi="Arial"/>
          <w:sz w:val="13"/>
          <w:szCs w:val="13"/>
          <w:color w:val="auto"/>
        </w:rPr>
        <w:t xml:space="preserve"> of this Agreement and any issues related to scientific or technical feasibility identified by either Party. If the Parties fail to agree that FCDI using its commercially reasonable efforts may meet such Process Development Objectives and/or such Analytical Testing Development Objectives, by using its commercially reasonable efforts to perform such Process Development Activities and/or such Analytical Testing Development Activities, in each case as may be modified in writing by Parties based on such discussion, each Party shall have the right to terminate the applicable Work Order(s) for such Process Development Objectives, such Analytical Testing Development Objectives, such Process Development Activities and/or such Analytical Testing Development Activities with immediate effect by notice in writing, in which event the Parties shall use their good faith and commercially reasonable efforts to reach agreement on a Work Order for any Activities to be provided or conducted by FCDI to support CENTURY’s establishment of alternative development and manufacturing arrangements and the Financial Terms related to these activities. </w:t>
      </w:r>
      <w:r>
        <w:rPr>
          <w:rFonts w:ascii="Arial" w:cs="Arial" w:eastAsia="Arial" w:hAnsi="Arial"/>
          <w:sz w:val="13"/>
          <w:szCs w:val="13"/>
          <w:b w:val="1"/>
          <w:bCs w:val="1"/>
          <w:color w:val="auto"/>
        </w:rPr>
        <w:t>Article 11.8</w:t>
      </w:r>
      <w:r>
        <w:rPr>
          <w:rFonts w:ascii="Arial" w:cs="Arial" w:eastAsia="Arial" w:hAnsi="Arial"/>
          <w:sz w:val="13"/>
          <w:szCs w:val="13"/>
          <w:color w:val="auto"/>
        </w:rPr>
        <w:t xml:space="preserve"> shall remain applicable. CENTURY shall in such event be released from its future payment obligations in respect of the Manufacturing Activities and/or Activities for any work not yet performed by FCDI as a consequence of such termination. Notwithstanding the previous full sentence, </w:t>
      </w:r>
      <w:r>
        <w:rPr>
          <w:rFonts w:ascii="Arial" w:cs="Arial" w:eastAsia="Arial" w:hAnsi="Arial"/>
          <w:sz w:val="13"/>
          <w:szCs w:val="13"/>
          <w:b w:val="1"/>
          <w:bCs w:val="1"/>
          <w:color w:val="auto"/>
        </w:rPr>
        <w:t>Articles 11.6 and 11.7</w:t>
      </w:r>
      <w:r>
        <w:rPr>
          <w:rFonts w:ascii="Arial" w:cs="Arial" w:eastAsia="Arial" w:hAnsi="Arial"/>
          <w:sz w:val="13"/>
          <w:szCs w:val="13"/>
          <w:color w:val="auto"/>
        </w:rPr>
        <w:t xml:space="preserve"> shall remain applicable. If FCDI, in such event, elects to not make use of its right to terminate this Agreement and Century requests FCDI to continue with the Process Development Activities and/or Analytical Testing Development Activities, FCDI shall use its commercially reasonable efforts to so continue again in accordance with the terms of this Agreement and the applicable Work Order.</w:t>
      </w:r>
    </w:p>
    <w:p>
      <w:pPr>
        <w:spacing w:after="0" w:line="314"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3.2.7.</w:t>
        <w:tab/>
        <w:t>Upon completion of the Process Development Activities and/or Analytical Testing Development Activities, FCDI shall provide CENTURY with the corresponding Process Development Report within forty-five (45) days after the completion of such Process Development Activities.</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3"/>
          <w:szCs w:val="13"/>
          <w:color w:val="auto"/>
        </w:rPr>
        <w:t>Further stipulations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3.3.1.</w:t>
      </w:r>
      <w:r>
        <w:rPr>
          <w:sz w:val="20"/>
          <w:szCs w:val="20"/>
          <w:color w:val="auto"/>
        </w:rPr>
        <w:tab/>
      </w:r>
      <w:r>
        <w:rPr>
          <w:rFonts w:ascii="Arial" w:cs="Arial" w:eastAsia="Arial" w:hAnsi="Arial"/>
          <w:sz w:val="12"/>
          <w:szCs w:val="12"/>
          <w:color w:val="auto"/>
        </w:rPr>
        <w:t>The obligations of FCDI during the Technology Transfer Phase and the Process Development Phase are subject to:</w:t>
      </w:r>
    </w:p>
    <w:p>
      <w:pPr>
        <w:spacing w:after="0" w:line="184" w:lineRule="exact"/>
        <w:rPr>
          <w:sz w:val="20"/>
          <w:szCs w:val="20"/>
          <w:color w:val="auto"/>
        </w:rPr>
      </w:pPr>
    </w:p>
    <w:p>
      <w:pPr>
        <w:ind w:left="1040" w:hanging="516"/>
        <w:spacing w:after="0" w:line="288" w:lineRule="auto"/>
        <w:tabs>
          <w:tab w:leader="none" w:pos="10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CENTURY providing FCDI timely with the transfer information as agreed between the Parties at the start of the Technology Transfer Activities as indicated in the Time Schedule and with the required process information and any and all other Material(s) as described in the applicable Work Order; and</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476"/>
        </w:numPr>
        <w:rPr>
          <w:rFonts w:ascii="Arial" w:cs="Arial" w:eastAsia="Arial" w:hAnsi="Arial"/>
          <w:sz w:val="14"/>
          <w:szCs w:val="14"/>
          <w:color w:val="auto"/>
        </w:rPr>
      </w:pPr>
      <w:r>
        <w:rPr>
          <w:rFonts w:ascii="Arial" w:cs="Arial" w:eastAsia="Arial" w:hAnsi="Arial"/>
          <w:sz w:val="14"/>
          <w:szCs w:val="14"/>
          <w:color w:val="auto"/>
        </w:rPr>
        <w:t>CENTURY providing FCDI timely with any relevant additional information FCDI reasonably may request from CENTURY from time to time that are necessary for FCDI to perform its obligations hereunder.</w:t>
      </w:r>
    </w:p>
    <w:p>
      <w:pPr>
        <w:spacing w:after="0" w:line="153"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4"/>
          <w:szCs w:val="14"/>
          <w:color w:val="auto"/>
        </w:rPr>
        <w:t>3.3.2.</w:t>
      </w:r>
      <w:r>
        <w:rPr>
          <w:sz w:val="20"/>
          <w:szCs w:val="20"/>
          <w:color w:val="auto"/>
        </w:rPr>
        <w:tab/>
      </w:r>
      <w:r>
        <w:rPr>
          <w:rFonts w:ascii="Arial" w:cs="Arial" w:eastAsia="Arial" w:hAnsi="Arial"/>
          <w:sz w:val="12"/>
          <w:szCs w:val="12"/>
          <w:color w:val="auto"/>
        </w:rPr>
        <w:t>Although any material produced in the Technology Transfer Phase and Process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654" w:name="page655"/>
    <w:bookmarkEnd w:id="654"/>
    <w:p>
      <w:pPr>
        <w:jc w:val="both"/>
        <w:ind w:left="520"/>
        <w:spacing w:after="0" w:line="261" w:lineRule="auto"/>
        <w:rPr>
          <w:sz w:val="20"/>
          <w:szCs w:val="20"/>
          <w:color w:val="auto"/>
        </w:rPr>
      </w:pPr>
      <w:r>
        <w:rPr>
          <w:rFonts w:ascii="Arial" w:cs="Arial" w:eastAsia="Arial" w:hAnsi="Arial"/>
          <w:sz w:val="14"/>
          <w:szCs w:val="14"/>
          <w:color w:val="auto"/>
        </w:rPr>
        <w:t>Development Phase will be properly documented, such material will not be produced under GMP nor will such material be released by a Quality Unit. FCDI shall use its commercially reasonable efforts in order to achieve that any material produced after agreement is reached between the Parties on the Technology Transfer Objectives, the Process Development Objectives and/or the Analytical Testing Development Objectives (but prior to agreement being reached on the Release Specifications) will meet the applicable Technology Transfer Objectives, the Process Development Objectives and/or Analytical Testing Development Objectives, respectively. Any such material shall primarily be used to verify the manufacturing process for the Product developed by FCDI hereunder and shall not be used by CENTURY or any other party for Clinical Trials. For clarity, CENTURY shall pay the amount(s) specified in the Financial Terms in the applicable Work Order (without regard to whether the Technology Transfer Objectives, Process Development Objectives, or Analytical Testing Development Objectives, as applicable, are met so long as FCDI used its commercially reasonable efforts to perform the Activities, which shall be FCDI’s sole obligation or liability with respect thereto).</w:t>
      </w:r>
    </w:p>
    <w:p>
      <w:pPr>
        <w:spacing w:after="0" w:line="153" w:lineRule="exact"/>
        <w:rPr>
          <w:sz w:val="20"/>
          <w:szCs w:val="20"/>
          <w:color w:val="auto"/>
        </w:rPr>
      </w:pPr>
    </w:p>
    <w:p>
      <w:pPr>
        <w:jc w:val="both"/>
        <w:ind w:left="520" w:hanging="517"/>
        <w:spacing w:after="0" w:line="284" w:lineRule="auto"/>
        <w:tabs>
          <w:tab w:leader="none" w:pos="500" w:val="left"/>
        </w:tabs>
        <w:rPr>
          <w:sz w:val="20"/>
          <w:szCs w:val="20"/>
          <w:color w:val="auto"/>
        </w:rPr>
      </w:pPr>
      <w:r>
        <w:rPr>
          <w:rFonts w:ascii="Arial" w:cs="Arial" w:eastAsia="Arial" w:hAnsi="Arial"/>
          <w:sz w:val="14"/>
          <w:szCs w:val="14"/>
          <w:color w:val="auto"/>
        </w:rPr>
        <w:t>3.3.3.</w:t>
      </w:r>
      <w:r>
        <w:rPr>
          <w:sz w:val="20"/>
          <w:szCs w:val="20"/>
          <w:color w:val="auto"/>
        </w:rPr>
        <w:tab/>
      </w:r>
      <w:r>
        <w:rPr>
          <w:rFonts w:ascii="Arial" w:cs="Arial" w:eastAsia="Arial" w:hAnsi="Arial"/>
          <w:sz w:val="13"/>
          <w:szCs w:val="13"/>
          <w:color w:val="auto"/>
        </w:rPr>
        <w:t xml:space="preserve">CENTURY shall use commercially reasonable efforts to timely provide FCDI with all information, Materials, etc. and Century Process Development Activities, as applicable, for each Work Order as are necessary for FCDI to perform its obligations under this Agreement and such Work Order. In the event of a dispute with respect to whether Century’s failure to perform or delay in performance has delayed FCDI’s performance of its affected obligations hereunder, such dispute shall be escalated to the JSC. If the JSC is unable to unanimously resolve such dispute within thirty (30) days, then such dispute shall be escalated to the Parties’ Chief Executive Officers for resolution in accordance with Section 10.11(a) of the Differentiation License Agreement. To the extent that it is determined by the JSC, or if applicable, the Chief Executive Officers, that FCDI’s performance has been delayed by Century’s failure or delay, then, in such event, FCDI’s period for performance of such obligations will be tolled, and it shall be permitted to delay its performance of such affected obligations, as applicable, but only to the extent and for the period of time such delay is actually caused by CENTURY. In such event, the Parties shall make appropriate, mutually agreed adjustments to the applicable Work Order (e.g., the affected Activities and Time Schedule) in accordance with </w:t>
      </w:r>
      <w:r>
        <w:rPr>
          <w:rFonts w:ascii="Arial" w:cs="Arial" w:eastAsia="Arial" w:hAnsi="Arial"/>
          <w:sz w:val="13"/>
          <w:szCs w:val="13"/>
          <w:b w:val="1"/>
          <w:bCs w:val="1"/>
          <w:color w:val="auto"/>
        </w:rPr>
        <w:t>Article 4 (Articles 4.5</w:t>
      </w:r>
      <w:r>
        <w:rPr>
          <w:rFonts w:ascii="Arial" w:cs="Arial" w:eastAsia="Arial" w:hAnsi="Arial"/>
          <w:sz w:val="13"/>
          <w:szCs w:val="13"/>
          <w:color w:val="auto"/>
        </w:rPr>
        <w:t xml:space="preserve"> through </w:t>
      </w:r>
      <w:r>
        <w:rPr>
          <w:rFonts w:ascii="Arial" w:cs="Arial" w:eastAsia="Arial" w:hAnsi="Arial"/>
          <w:sz w:val="13"/>
          <w:szCs w:val="13"/>
          <w:b w:val="1"/>
          <w:bCs w:val="1"/>
          <w:color w:val="auto"/>
        </w:rPr>
        <w:t>4.11)</w:t>
      </w:r>
      <w:r>
        <w:rPr>
          <w:rFonts w:ascii="Arial" w:cs="Arial" w:eastAsia="Arial" w:hAnsi="Arial"/>
          <w:sz w:val="13"/>
          <w:szCs w:val="13"/>
          <w:color w:val="auto"/>
        </w:rPr>
        <w:t xml:space="preserve"> of this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4 - Changes to the Activities and Time Schedule</w:t>
      </w:r>
    </w:p>
    <w:p>
      <w:pPr>
        <w:spacing w:after="0" w:line="188"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The Activities to be performed by FCDI as set forth in the applicable Work Order, including the Time Schedule, will be discussed on a regular (as frequently as weekly) basis as agreed by the Project Team by teleconference. Minutes of each Project Team meeting will be circulated promptly (within 72 hours) after each meeting. FCDI will prepare and circulate the minutes of the Project Team meetings between the Parties. The Project Team will act by unanimous consensus (with the members of the Project Team from each Party collectively being able to give or withhold a single consent). The Project Team will not have the authority to act on behalf of or bind either Party, and each Party retains the sole authority to act on its own behalf.</w:t>
      </w:r>
    </w:p>
    <w:p>
      <w:pPr>
        <w:spacing w:after="0" w:line="152" w:lineRule="exact"/>
        <w:rPr>
          <w:sz w:val="20"/>
          <w:szCs w:val="20"/>
          <w:color w:val="auto"/>
        </w:rPr>
      </w:pPr>
    </w:p>
    <w:p>
      <w:pPr>
        <w:ind w:left="560" w:hanging="517"/>
        <w:spacing w:after="0" w:line="288" w:lineRule="auto"/>
        <w:tabs>
          <w:tab w:leader="none" w:pos="5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With respect to this Agreement, the JSC (as defined in the Differentiation License Agreement) shall oversee and provide support to the Project Team and coordinate the Parties’ joint activities with respect to the development and/or production of</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655" w:name="page656"/>
    <w:bookmarkEnd w:id="655"/>
    <w:p>
      <w:pPr>
        <w:ind w:left="520"/>
        <w:spacing w:after="0" w:line="288" w:lineRule="auto"/>
        <w:rPr>
          <w:sz w:val="20"/>
          <w:szCs w:val="20"/>
          <w:color w:val="auto"/>
        </w:rPr>
      </w:pPr>
      <w:r>
        <w:rPr>
          <w:rFonts w:ascii="Arial" w:cs="Arial" w:eastAsia="Arial" w:hAnsi="Arial"/>
          <w:sz w:val="14"/>
          <w:szCs w:val="14"/>
          <w:color w:val="auto"/>
        </w:rPr>
        <w:t>the Product. In addition to the other responsibilities of the JSC otherwise set forth in the Differentiation License Agreement, with respect to this Agreement, the JSC shall be responsible for:</w:t>
      </w:r>
    </w:p>
    <w:p>
      <w:pPr>
        <w:spacing w:after="0" w:line="153" w:lineRule="exact"/>
        <w:rPr>
          <w:sz w:val="20"/>
          <w:szCs w:val="20"/>
          <w:color w:val="auto"/>
        </w:rPr>
      </w:pPr>
    </w:p>
    <w:p>
      <w:pPr>
        <w:ind w:left="1040" w:hanging="516"/>
        <w:spacing w:after="0"/>
        <w:tabs>
          <w:tab w:leader="none" w:pos="104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reviewing CENTURY’s forecasts and FCDI’s capacity to manufacture and supply the Product consistent therewith,</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considering any RFCs (Requests For Changes) in accordance with this Agreement,</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performing such other coordination functions, as appropriate, to further the purposes of this Agreement, and</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77"/>
        </w:numPr>
        <w:rPr>
          <w:rFonts w:ascii="Arial" w:cs="Arial" w:eastAsia="Arial" w:hAnsi="Arial"/>
          <w:sz w:val="14"/>
          <w:szCs w:val="14"/>
          <w:color w:val="auto"/>
        </w:rPr>
      </w:pPr>
      <w:r>
        <w:rPr>
          <w:rFonts w:ascii="Arial" w:cs="Arial" w:eastAsia="Arial" w:hAnsi="Arial"/>
          <w:sz w:val="14"/>
          <w:szCs w:val="14"/>
          <w:color w:val="auto"/>
        </w:rPr>
        <w:t>supporting and coordinating any further changes to the Activities as set forth in an amendment to the applicable Work Order that has been signed by the Parties.</w:t>
      </w:r>
    </w:p>
    <w:p>
      <w:pPr>
        <w:spacing w:after="0" w:line="184" w:lineRule="exact"/>
        <w:rPr>
          <w:sz w:val="20"/>
          <w:szCs w:val="20"/>
          <w:color w:val="auto"/>
        </w:rPr>
      </w:pPr>
    </w:p>
    <w:p>
      <w:pPr>
        <w:jc w:val="both"/>
        <w:ind w:left="520" w:hanging="517"/>
        <w:spacing w:after="0" w:line="263" w:lineRule="auto"/>
        <w:tabs>
          <w:tab w:leader="none" w:pos="50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The Project Team or JSC can independently call on ad-hoc expertise from either Party or from a third party to participate in the Project Team or JSC meetings when appropriate. In the event the ad hoc expertise is a third party, such third party will, as a condition to its participation, be subject to appropriate confidentiality obligations at least as stringent as those contained in Article 7 of the MCA and subject to CENTURY’s or FCDI’s, as the case may be, express prior written approval. For clarity, neither the Project Team nor the JSC will have the power to (a) amend, modify or waive a Party’s compliance with this Agreement or a Work Order, (b) alter, increase or expand the Parties’ respective rights or obligations under this Agreement, including any Work Order, (c) determine that a Party has fulfilled any obligations, or that a Party has breached any obligations, under this Agreement, including any Work Order, or (d) make a decision that is expressly stated to require the mutual agreement of the Parties.</w:t>
      </w:r>
    </w:p>
    <w:p>
      <w:pPr>
        <w:spacing w:after="0" w:line="150" w:lineRule="exact"/>
        <w:rPr>
          <w:sz w:val="20"/>
          <w:szCs w:val="20"/>
          <w:color w:val="auto"/>
        </w:rPr>
      </w:pPr>
    </w:p>
    <w:p>
      <w:pPr>
        <w:jc w:val="both"/>
        <w:ind w:left="520" w:hanging="517"/>
        <w:spacing w:after="0" w:line="265" w:lineRule="auto"/>
        <w:tabs>
          <w:tab w:leader="none" w:pos="50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The Project Team will provide CENTURY and FCDI with regular technical progress updates (as frequently as weekly) on the project status, progress of the Technology Transfer Activities, Process Development Activities, Analytical Testing Development Activities, Analytical Test, Engineering Batch and Manufacturing Activities, and any deviations or corrective actions of the Manufacturing Activities, performed or to be performed hereunder (or pursuant to any Work Order). FCDI will provide access to all Product-related data generated in the course of FCDI’s providing of any such Activities hereunder (excluding, however, any such data expressly excluded from Records) to CENTURY as from time to time requested by Century at all times during the term of this Agreement and any Work Order.</w:t>
      </w:r>
    </w:p>
    <w:p>
      <w:pPr>
        <w:spacing w:after="0" w:line="147"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Each of the Parties may submit to the other Party, with a copy to the members of the Project Team, an RFC if it is of the opinion that a change to the agreed Activities is appropriate. Such RFC also shall include any change(s) to the Time Schedule and/or Financial Terms that the submitting Party then believes are appropriate should the requested change to the Activities be made. The RFC may be sent to the other Party and the Project Team by e-mail for review.</w:t>
      </w:r>
    </w:p>
    <w:p>
      <w:pPr>
        <w:spacing w:after="0" w:line="137"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 xml:space="preserve">If a RFC is submitted by a Party, the Project Team will advise the JSC, in the manner provided in the following paragraphs of this </w:t>
      </w:r>
      <w:r>
        <w:rPr>
          <w:rFonts w:ascii="Arial" w:cs="Arial" w:eastAsia="Arial" w:hAnsi="Arial"/>
          <w:sz w:val="14"/>
          <w:szCs w:val="14"/>
          <w:b w:val="1"/>
          <w:bCs w:val="1"/>
          <w:color w:val="auto"/>
        </w:rPr>
        <w:t>Article 4</w:t>
      </w:r>
      <w:r>
        <w:rPr>
          <w:rFonts w:ascii="Arial" w:cs="Arial" w:eastAsia="Arial" w:hAnsi="Arial"/>
          <w:sz w:val="14"/>
          <w:szCs w:val="14"/>
          <w:color w:val="auto"/>
        </w:rPr>
        <w:t>, regarding what the consequences are of the requested change (including any associated change(s) to the Time Schedule and/or Financial Terms) and whether that</w:t>
      </w:r>
    </w:p>
    <w:p>
      <w:pPr>
        <w:spacing w:after="0" w:line="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656" w:name="page657"/>
    <w:bookmarkEnd w:id="656"/>
    <w:p>
      <w:pPr>
        <w:ind w:left="620"/>
        <w:spacing w:after="0"/>
        <w:rPr>
          <w:sz w:val="20"/>
          <w:szCs w:val="20"/>
          <w:color w:val="auto"/>
        </w:rPr>
      </w:pPr>
      <w:r>
        <w:rPr>
          <w:rFonts w:ascii="Arial" w:cs="Arial" w:eastAsia="Arial" w:hAnsi="Arial"/>
          <w:sz w:val="14"/>
          <w:szCs w:val="14"/>
          <w:color w:val="auto"/>
        </w:rPr>
        <w:t>request for change is necessary from a regulatory, technical or contractual point of view.</w:t>
      </w:r>
    </w:p>
    <w:p>
      <w:pPr>
        <w:spacing w:after="0" w:line="202" w:lineRule="exact"/>
        <w:rPr>
          <w:sz w:val="20"/>
          <w:szCs w:val="20"/>
          <w:color w:val="auto"/>
        </w:rPr>
      </w:pPr>
    </w:p>
    <w:p>
      <w:pPr>
        <w:jc w:val="both"/>
        <w:ind w:left="520" w:hanging="517"/>
        <w:spacing w:after="0" w:line="336" w:lineRule="auto"/>
        <w:tabs>
          <w:tab w:leader="none" w:pos="50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3"/>
          <w:szCs w:val="13"/>
          <w:color w:val="auto"/>
        </w:rPr>
        <w:t xml:space="preserve">In its first meeting after the RFC is submitted in accordance with </w:t>
      </w:r>
      <w:r>
        <w:rPr>
          <w:rFonts w:ascii="Arial" w:cs="Arial" w:eastAsia="Arial" w:hAnsi="Arial"/>
          <w:sz w:val="13"/>
          <w:szCs w:val="13"/>
          <w:b w:val="1"/>
          <w:bCs w:val="1"/>
          <w:color w:val="auto"/>
        </w:rPr>
        <w:t>Article 4.5</w:t>
      </w:r>
      <w:r>
        <w:rPr>
          <w:rFonts w:ascii="Arial" w:cs="Arial" w:eastAsia="Arial" w:hAnsi="Arial"/>
          <w:sz w:val="13"/>
          <w:szCs w:val="13"/>
          <w:color w:val="auto"/>
        </w:rPr>
        <w:t xml:space="preserve"> of this Agreement, the Project Team shall discuss whether it is necessary that the requested change to the Activities is made and, if such requested change would be made, whether any associated change(s) to the Time Schedule and/or Financial Terms would be necessary.</w:t>
      </w:r>
    </w:p>
    <w:p>
      <w:pPr>
        <w:spacing w:after="0" w:line="99" w:lineRule="exact"/>
        <w:rPr>
          <w:sz w:val="20"/>
          <w:szCs w:val="20"/>
          <w:color w:val="auto"/>
        </w:rPr>
      </w:pPr>
    </w:p>
    <w:p>
      <w:pPr>
        <w:jc w:val="both"/>
        <w:ind w:left="520" w:hanging="517"/>
        <w:spacing w:after="0" w:line="296" w:lineRule="auto"/>
        <w:tabs>
          <w:tab w:leader="none" w:pos="50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3"/>
          <w:szCs w:val="13"/>
          <w:color w:val="auto"/>
        </w:rPr>
        <w:t xml:space="preserve">The Project Team will fill out the relevant section of the RFC in conformity with the unanimous consensus required consistent with </w:t>
      </w:r>
      <w:r>
        <w:rPr>
          <w:rFonts w:ascii="Arial" w:cs="Arial" w:eastAsia="Arial" w:hAnsi="Arial"/>
          <w:sz w:val="13"/>
          <w:szCs w:val="13"/>
          <w:b w:val="1"/>
          <w:bCs w:val="1"/>
          <w:color w:val="auto"/>
        </w:rPr>
        <w:t>Article 4.1</w:t>
      </w:r>
      <w:r>
        <w:rPr>
          <w:rFonts w:ascii="Arial" w:cs="Arial" w:eastAsia="Arial" w:hAnsi="Arial"/>
          <w:sz w:val="13"/>
          <w:szCs w:val="13"/>
          <w:color w:val="auto"/>
        </w:rPr>
        <w:t xml:space="preserve"> as to an outcome of their discussions on the requested change. If there was no unanimous consensus as to an outcome of the discussions, it will so be indicated on the RFC. The Project Team shall thereupon submit the RFC to the JSC, which shall advise the respective Parties whether the requested change can and should, in the opinion of the JSC, be accepted and implemented and, if such requested change would be made, whether any associated change(s) to the Time Schedule and/or Financial Terms can and should, in the opinion of the JSC, also be accepted and implemented.</w:t>
      </w:r>
    </w:p>
    <w:p>
      <w:pPr>
        <w:spacing w:after="0" w:line="130"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 xml:space="preserve">To become effective, the RFC containing the requested change needs to be signed by authorized representatives of both Parties, which execution and delivery by a Party of an RFC shall evidence such Party’s acceptance of such RFC (and the requested change set forth therein) is accepted. Each Party may accept or reject an RFC (and the requested change set forth therein) in its discretion subject, however, to what is provided in </w:t>
      </w:r>
      <w:r>
        <w:rPr>
          <w:rFonts w:ascii="Arial" w:cs="Arial" w:eastAsia="Arial" w:hAnsi="Arial"/>
          <w:sz w:val="14"/>
          <w:szCs w:val="14"/>
          <w:b w:val="1"/>
          <w:bCs w:val="1"/>
          <w:color w:val="auto"/>
        </w:rPr>
        <w:t>Article 4.11</w:t>
      </w:r>
      <w:r>
        <w:rPr>
          <w:rFonts w:ascii="Arial" w:cs="Arial" w:eastAsia="Arial" w:hAnsi="Arial"/>
          <w:sz w:val="14"/>
          <w:szCs w:val="14"/>
          <w:color w:val="auto"/>
        </w:rPr>
        <w:t>.</w:t>
      </w:r>
    </w:p>
    <w:p>
      <w:pPr>
        <w:spacing w:after="0" w:line="137"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4.10.</w:t>
        <w:tab/>
        <w:t xml:space="preserve">As from the signing of the RFC by both Parties in accordance with </w:t>
      </w:r>
      <w:r>
        <w:rPr>
          <w:rFonts w:ascii="Arial" w:cs="Arial" w:eastAsia="Arial" w:hAnsi="Arial"/>
          <w:sz w:val="14"/>
          <w:szCs w:val="14"/>
          <w:b w:val="1"/>
          <w:bCs w:val="1"/>
          <w:color w:val="auto"/>
        </w:rPr>
        <w:t>Article 4.9</w:t>
      </w:r>
      <w:r>
        <w:rPr>
          <w:rFonts w:ascii="Arial" w:cs="Arial" w:eastAsia="Arial" w:hAnsi="Arial"/>
          <w:sz w:val="14"/>
          <w:szCs w:val="14"/>
          <w:color w:val="auto"/>
        </w:rPr>
        <w:t xml:space="preserve"> or such other effective date of the requested change as is expressly set forth in such RFC, the requested change shall form part of this Agreement and the applicable Work Order.</w:t>
      </w:r>
    </w:p>
    <w:p>
      <w:pPr>
        <w:spacing w:after="0" w:line="123" w:lineRule="exact"/>
        <w:rPr>
          <w:sz w:val="20"/>
          <w:szCs w:val="20"/>
          <w:color w:val="auto"/>
        </w:rPr>
      </w:pPr>
    </w:p>
    <w:p>
      <w:pPr>
        <w:jc w:val="both"/>
        <w:ind w:left="520" w:hanging="517"/>
        <w:spacing w:after="0" w:line="306" w:lineRule="auto"/>
        <w:tabs>
          <w:tab w:leader="none" w:pos="500" w:val="left"/>
        </w:tabs>
        <w:rPr>
          <w:sz w:val="20"/>
          <w:szCs w:val="20"/>
          <w:color w:val="auto"/>
        </w:rPr>
      </w:pPr>
      <w:r>
        <w:rPr>
          <w:rFonts w:ascii="Arial" w:cs="Arial" w:eastAsia="Arial" w:hAnsi="Arial"/>
          <w:sz w:val="14"/>
          <w:szCs w:val="14"/>
          <w:color w:val="auto"/>
        </w:rPr>
        <w:t>4.11.</w:t>
      </w:r>
      <w:r>
        <w:rPr>
          <w:sz w:val="20"/>
          <w:szCs w:val="20"/>
          <w:color w:val="auto"/>
        </w:rPr>
        <w:tab/>
      </w:r>
      <w:r>
        <w:rPr>
          <w:rFonts w:ascii="Arial" w:cs="Arial" w:eastAsia="Arial" w:hAnsi="Arial"/>
          <w:sz w:val="13"/>
          <w:szCs w:val="13"/>
          <w:color w:val="auto"/>
        </w:rPr>
        <w:t xml:space="preserve">Nothing contained in this </w:t>
      </w:r>
      <w:r>
        <w:rPr>
          <w:rFonts w:ascii="Arial" w:cs="Arial" w:eastAsia="Arial" w:hAnsi="Arial"/>
          <w:sz w:val="13"/>
          <w:szCs w:val="13"/>
          <w:b w:val="1"/>
          <w:bCs w:val="1"/>
          <w:color w:val="auto"/>
        </w:rPr>
        <w:t>Article 4</w:t>
      </w:r>
      <w:r>
        <w:rPr>
          <w:rFonts w:ascii="Arial" w:cs="Arial" w:eastAsia="Arial" w:hAnsi="Arial"/>
          <w:sz w:val="13"/>
          <w:szCs w:val="13"/>
          <w:color w:val="auto"/>
        </w:rPr>
        <w:t xml:space="preserve"> or in any other provision of this Agreement can or will be interpreted as either Party having an obligation to accept any RFC submitted by the other Party. However, each Party shall act in good faith and use commercially reasonable efforts to reach agreement on any RFC submitted to a Party by the other Party in good faith. Neither Party shall be obligated to consider or accept any RFC that is not in accordance with or would obligate such Party to violate GMP and/or Applicable Law.</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5 - Draft Release Specifications, Release Specifications, Delivery and Slot</w:t>
      </w:r>
    </w:p>
    <w:p>
      <w:pPr>
        <w:spacing w:after="0" w:line="188"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The Parties will agree in writing on the Draft Release Specifications prior to the start of an Engineering Batch. The Parties agree that they will use their good faith commercially reasonable efforts to reach an agreement on the Draft Release Specifications.</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The Parties will agree in writing on the Release Specifications at the latest two (2) weeks prior to the start of a GMP Batch. The Parties agree that they will use their good faith commercially reasonable efforts to reach an agreement on the Release Specifications.</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57" w:name="page658"/>
    <w:bookmarkEnd w:id="657"/>
    <w:p>
      <w:pPr>
        <w:jc w:val="both"/>
        <w:ind w:left="520" w:hanging="517"/>
        <w:spacing w:after="0" w:line="261" w:lineRule="auto"/>
        <w:tabs>
          <w:tab w:leader="none" w:pos="50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 xml:space="preserve">The Parties agree that, in the event CENTURY wishes to postpone or cancel any of the Runs (for clarification a Run can be an Engineering Batch or GMP Batch), CENTURY shall notify FCDI thereof in writing as soon as reasonably practicable. If the Slot is already scheduled at the time CENTURY notifies FCDI of its desire to postpone (any of) the Runs, FCDI shall advise CENTURY in writing within two (2) weeks after having received the notification for postponement whether one or more alternative dates are available. CENTURY and FCDI jointly shall agree in writing on an alternative Slot. The Run Cancellation Fee, if any is applicable (for clarity, in no event will a Run Cancellation Fee be applicable solely if Century and FCDI fail to agree upon the Draft Release Specification or Release Specification, as applicable), will be payable, as described in the applicable Work Order, with respect to a postponement or cancellation pursuant to notice from Century as contemplated above in this </w:t>
      </w:r>
      <w:r>
        <w:rPr>
          <w:rFonts w:ascii="Arial" w:cs="Arial" w:eastAsia="Arial" w:hAnsi="Arial"/>
          <w:sz w:val="14"/>
          <w:szCs w:val="14"/>
          <w:b w:val="1"/>
          <w:bCs w:val="1"/>
          <w:color w:val="auto"/>
        </w:rPr>
        <w:t>Article 5.3</w:t>
      </w:r>
      <w:r>
        <w:rPr>
          <w:rFonts w:ascii="Arial" w:cs="Arial" w:eastAsia="Arial" w:hAnsi="Arial"/>
          <w:sz w:val="14"/>
          <w:szCs w:val="14"/>
          <w:color w:val="auto"/>
        </w:rPr>
        <w:t xml:space="preserve"> or otherwise solely caused by Century. Further, in the event no agreement is reached pursuant to </w:t>
      </w:r>
      <w:r>
        <w:rPr>
          <w:rFonts w:ascii="Arial" w:cs="Arial" w:eastAsia="Arial" w:hAnsi="Arial"/>
          <w:sz w:val="14"/>
          <w:szCs w:val="14"/>
          <w:b w:val="1"/>
          <w:bCs w:val="1"/>
          <w:color w:val="auto"/>
        </w:rPr>
        <w:t>Article 5.1 or 5.2</w:t>
      </w:r>
      <w:r>
        <w:rPr>
          <w:rFonts w:ascii="Arial" w:cs="Arial" w:eastAsia="Arial" w:hAnsi="Arial"/>
          <w:sz w:val="14"/>
          <w:szCs w:val="14"/>
          <w:color w:val="auto"/>
        </w:rPr>
        <w:t xml:space="preserve"> regarding the Draft Release Specification or Release Specification required for any of the Runs, any Slot reserved or scheduled for Century may be released by FCDI for other manufacturing activities.</w:t>
      </w:r>
    </w:p>
    <w:p>
      <w:pPr>
        <w:spacing w:after="0" w:line="153" w:lineRule="exact"/>
        <w:rPr>
          <w:sz w:val="20"/>
          <w:szCs w:val="20"/>
          <w:color w:val="auto"/>
        </w:rPr>
      </w:pPr>
    </w:p>
    <w:p>
      <w:pPr>
        <w:jc w:val="both"/>
        <w:ind w:left="520" w:hanging="517"/>
        <w:spacing w:after="0" w:line="263" w:lineRule="auto"/>
        <w:tabs>
          <w:tab w:leader="none" w:pos="5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 xml:space="preserve">All Products shall be shipped by FCDI and delivery thereof will be made Ex-Works the Facility as defined in Incoterms 2020 upon which delivery risk in the Products shall pass to CENTURY. FCDI shall notify CENTURY in writing that such Products are available for shipping, i.e., that FCDI has tendered delivery thereof. Such notification is to be given upon release of the Product by FCDI’s Quality Assurance Department in the form of a signed CoA. Notwithstanding the foregoing, FCDI may not tender delivery of a Batch dispositioned by FCDI until CENTURY has authorized the release of the applicable Batch in accordance with </w:t>
      </w:r>
      <w:r>
        <w:rPr>
          <w:rFonts w:ascii="Arial" w:cs="Arial" w:eastAsia="Arial" w:hAnsi="Arial"/>
          <w:sz w:val="14"/>
          <w:szCs w:val="14"/>
          <w:b w:val="1"/>
          <w:bCs w:val="1"/>
          <w:color w:val="auto"/>
        </w:rPr>
        <w:t>Article 9.1(f)</w:t>
      </w:r>
      <w:r>
        <w:rPr>
          <w:rFonts w:ascii="Arial" w:cs="Arial" w:eastAsia="Arial" w:hAnsi="Arial"/>
          <w:sz w:val="14"/>
          <w:szCs w:val="14"/>
          <w:color w:val="auto"/>
        </w:rPr>
        <w:t xml:space="preserve"> and </w:t>
      </w:r>
      <w:r>
        <w:rPr>
          <w:rFonts w:ascii="Arial" w:cs="Arial" w:eastAsia="Arial" w:hAnsi="Arial"/>
          <w:sz w:val="14"/>
          <w:szCs w:val="14"/>
          <w:b w:val="1"/>
          <w:bCs w:val="1"/>
          <w:color w:val="auto"/>
        </w:rPr>
        <w:t>Article 10.9</w:t>
      </w:r>
      <w:r>
        <w:rPr>
          <w:rFonts w:ascii="Arial" w:cs="Arial" w:eastAsia="Arial" w:hAnsi="Arial"/>
          <w:sz w:val="14"/>
          <w:szCs w:val="14"/>
          <w:color w:val="auto"/>
        </w:rPr>
        <w:t xml:space="preserve">, i.e., has accepted or is deemed to have accepted such Batch in accordance with Article 7. For clarity, final release of Product is CENTURY’s sole and exclusive responsibility (per </w:t>
      </w:r>
      <w:r>
        <w:rPr>
          <w:rFonts w:ascii="Arial" w:cs="Arial" w:eastAsia="Arial" w:hAnsi="Arial"/>
          <w:sz w:val="14"/>
          <w:szCs w:val="14"/>
          <w:b w:val="1"/>
          <w:bCs w:val="1"/>
          <w:color w:val="auto"/>
        </w:rPr>
        <w:t>Article 9.1(f)</w:t>
      </w:r>
      <w:r>
        <w:rPr>
          <w:rFonts w:ascii="Arial" w:cs="Arial" w:eastAsia="Arial" w:hAnsi="Arial"/>
          <w:sz w:val="14"/>
          <w:szCs w:val="14"/>
          <w:color w:val="auto"/>
        </w:rPr>
        <w:t xml:space="preserve"> and </w:t>
      </w:r>
      <w:r>
        <w:rPr>
          <w:rFonts w:ascii="Arial" w:cs="Arial" w:eastAsia="Arial" w:hAnsi="Arial"/>
          <w:sz w:val="14"/>
          <w:szCs w:val="14"/>
          <w:b w:val="1"/>
          <w:bCs w:val="1"/>
          <w:color w:val="auto"/>
        </w:rPr>
        <w:t>Article 10.9</w:t>
      </w:r>
      <w:r>
        <w:rPr>
          <w:rFonts w:ascii="Arial" w:cs="Arial" w:eastAsia="Arial" w:hAnsi="Arial"/>
          <w:sz w:val="14"/>
          <w:szCs w:val="14"/>
          <w:color w:val="auto"/>
        </w:rPr>
        <w:t xml:space="preserve"> of this Agreement) unless otherwise agreed by the Parties or unless otherwise provided in an applicable Work Order.</w:t>
      </w:r>
    </w:p>
    <w:p>
      <w:pPr>
        <w:spacing w:after="0" w:line="150"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Packaging, shipping, and storage conditions for the Products will be specified by Century in the applicable Work Order(s). Except as may be expressly otherwise set forth in the applicable Work Order, FCDI will arrange, prepaid by FCDI for CENTURY’s account, for shipment of Product(s) to CENTURY’s site or to clinical sites designated by CENTURY in accordance with such instructions.</w:t>
      </w:r>
    </w:p>
    <w:p>
      <w:pPr>
        <w:spacing w:after="0" w:line="137" w:lineRule="exact"/>
        <w:rPr>
          <w:sz w:val="20"/>
          <w:szCs w:val="20"/>
          <w:color w:val="auto"/>
        </w:rPr>
      </w:pPr>
    </w:p>
    <w:p>
      <w:pPr>
        <w:jc w:val="both"/>
        <w:ind w:left="520" w:hanging="517"/>
        <w:spacing w:after="0" w:line="263" w:lineRule="auto"/>
        <w:tabs>
          <w:tab w:leader="none" w:pos="5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 xml:space="preserve">Title with respect to the Products passes to CENTURY upon CENTURY’s acceptance or deemed acceptance thereof in accordance with </w:t>
      </w:r>
      <w:r>
        <w:rPr>
          <w:rFonts w:ascii="Arial" w:cs="Arial" w:eastAsia="Arial" w:hAnsi="Arial"/>
          <w:sz w:val="14"/>
          <w:szCs w:val="14"/>
          <w:b w:val="1"/>
          <w:bCs w:val="1"/>
          <w:color w:val="auto"/>
        </w:rPr>
        <w:t>Article 7</w:t>
      </w:r>
      <w:r>
        <w:rPr>
          <w:rFonts w:ascii="Arial" w:cs="Arial" w:eastAsia="Arial" w:hAnsi="Arial"/>
          <w:sz w:val="14"/>
          <w:szCs w:val="14"/>
          <w:color w:val="auto"/>
        </w:rPr>
        <w:t xml:space="preserve"> for use, further transfer, and other exploitation thereof, subject to the terms and conditions of the Reprogramming License Agreement and WARF License Agreement and under the Licensed Patent Rights to Exploit the Licensed Products within the Field in the Territory. Notwithstanding any term or implication herein to the contrary and for the sake of clarity, the foregoing excludes any license or right under the Licensed Patent Rights (I) to manufacture, have manufactured, sell, have sold, offer for sale or have offered for sale any product or service to any Third Party in furtherance of any research or development of a Licensed Product other than a Licensed Product that is being researched, developed or Commercialized by or on behalf of Century or its Affiliates or Sublicensees, or (ii) to grant any sublicense to any Third Party to manufacture, have manufactured, sell, have sold, offer for sale or have offered for sale any product or service to any other Third Party in furtherance of any research or development</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7" w:right="319" w:bottom="1440" w:gutter="0" w:footer="0" w:header="0"/>
        </w:sectPr>
      </w:pPr>
    </w:p>
    <w:bookmarkStart w:id="658" w:name="page659"/>
    <w:bookmarkEnd w:id="658"/>
    <w:p>
      <w:pPr>
        <w:ind w:left="560" w:right="80"/>
        <w:spacing w:after="0" w:line="294" w:lineRule="auto"/>
        <w:rPr>
          <w:sz w:val="20"/>
          <w:szCs w:val="20"/>
          <w:color w:val="auto"/>
        </w:rPr>
      </w:pPr>
      <w:r>
        <w:rPr>
          <w:rFonts w:ascii="Arial" w:cs="Arial" w:eastAsia="Arial" w:hAnsi="Arial"/>
          <w:sz w:val="13"/>
          <w:szCs w:val="13"/>
          <w:color w:val="auto"/>
        </w:rPr>
        <w:t xml:space="preserve">of a Licensed Product other than a Licensed Product that is being researched, developed or commercialized by or on behalf of Century or its Affiliates or Sublicensees. For clarity, the foregoing shall not be deemed to transfer title of Reprogrammed iPS Cells or pluripotent Reprogrammed iPS Cell Derivative Materials that are Controlled by FCDI (in each case, as defined in the Reprogramming License Agreement) that have not been genetically modified or otherwise modified by Century or on Century’s request or direction pursuant to any Work Order. Capitalized terms used but not defined in this </w:t>
      </w:r>
      <w:r>
        <w:rPr>
          <w:rFonts w:ascii="Arial" w:cs="Arial" w:eastAsia="Arial" w:hAnsi="Arial"/>
          <w:sz w:val="13"/>
          <w:szCs w:val="13"/>
          <w:b w:val="1"/>
          <w:bCs w:val="1"/>
          <w:color w:val="auto"/>
        </w:rPr>
        <w:t>Article 5.6</w:t>
      </w:r>
      <w:r>
        <w:rPr>
          <w:rFonts w:ascii="Arial" w:cs="Arial" w:eastAsia="Arial" w:hAnsi="Arial"/>
          <w:sz w:val="13"/>
          <w:szCs w:val="13"/>
          <w:color w:val="auto"/>
        </w:rPr>
        <w:t xml:space="preserve"> have the meanings assigned to them in the Reprogramming License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6 - Engineering Batch Activities</w:t>
      </w:r>
    </w:p>
    <w:p>
      <w:pPr>
        <w:spacing w:after="0" w:line="184"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 xml:space="preserve">CENTURY and FCDI shall agree on the Draft Release Specifications, according to </w:t>
      </w:r>
      <w:r>
        <w:rPr>
          <w:rFonts w:ascii="Arial" w:cs="Arial" w:eastAsia="Arial" w:hAnsi="Arial"/>
          <w:sz w:val="14"/>
          <w:szCs w:val="14"/>
          <w:b w:val="1"/>
          <w:bCs w:val="1"/>
          <w:color w:val="auto"/>
        </w:rPr>
        <w:t>Article 5.1</w:t>
      </w:r>
      <w:r>
        <w:rPr>
          <w:rFonts w:ascii="Arial" w:cs="Arial" w:eastAsia="Arial" w:hAnsi="Arial"/>
          <w:sz w:val="14"/>
          <w:szCs w:val="14"/>
          <w:color w:val="auto"/>
        </w:rPr>
        <w:t xml:space="preserve"> and the Draft Procedures prior to undertaking Engineering Batch Activities. The Parties agree that they will use their good faith commercially reasonable efforts to reach an agreement on the Draft Procedures.</w:t>
      </w:r>
    </w:p>
    <w:p>
      <w:pPr>
        <w:spacing w:after="0" w:line="127" w:lineRule="exact"/>
        <w:rPr>
          <w:sz w:val="20"/>
          <w:szCs w:val="20"/>
          <w:color w:val="auto"/>
        </w:rPr>
      </w:pPr>
    </w:p>
    <w:p>
      <w:pPr>
        <w:jc w:val="both"/>
        <w:ind w:left="520" w:hanging="517"/>
        <w:spacing w:after="0" w:line="262" w:lineRule="auto"/>
        <w:tabs>
          <w:tab w:leader="none" w:pos="50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 xml:space="preserve">FCDI agrees to perform the number of Engineering Batches indicated in the applicable Work Order, or as many additional Engineering Batches as may be necessary to proceed to manufacturing of the Product under GMP (per </w:t>
      </w:r>
      <w:r>
        <w:rPr>
          <w:rFonts w:ascii="Arial" w:cs="Arial" w:eastAsia="Arial" w:hAnsi="Arial"/>
          <w:sz w:val="14"/>
          <w:szCs w:val="14"/>
          <w:b w:val="1"/>
          <w:bCs w:val="1"/>
          <w:color w:val="auto"/>
        </w:rPr>
        <w:t>Article 6.3</w:t>
      </w:r>
      <w:r>
        <w:rPr>
          <w:rFonts w:ascii="Arial" w:cs="Arial" w:eastAsia="Arial" w:hAnsi="Arial"/>
          <w:sz w:val="14"/>
          <w:szCs w:val="14"/>
          <w:color w:val="auto"/>
        </w:rPr>
        <w:t>), as described in the applicable Work Order (including by amendment to such Work Order). The Engineering Batches are used for confirmation purposes only (regarding the capability to perform such successful manufacturing), but not, by way of example and not in limitation of the immediately preceding clause, for Clinical Studies (or any other use in humans) and/or commercial use. For clarity, an Engineering Batch can never be a GMP Batch or a Batch that was manufactured to be such, but that failed to be, a GMP Batch, and for each Engineering Batch, CENTURY shall pay the amount(s) specified in the Financial Terms in the applicable Work Order (without regard to whether the Draft Release Specifications are met so long as FCDI used its commercially reasonable efforts to perform the Engineering Batch Activities, which shall be FCDI’s sole obligation or liability with respect thereto).</w:t>
      </w:r>
    </w:p>
    <w:p>
      <w:pPr>
        <w:spacing w:after="0" w:line="147" w:lineRule="exact"/>
        <w:rPr>
          <w:sz w:val="20"/>
          <w:szCs w:val="20"/>
          <w:color w:val="auto"/>
        </w:rPr>
      </w:pPr>
    </w:p>
    <w:p>
      <w:pPr>
        <w:jc w:val="both"/>
        <w:ind w:left="520" w:hanging="517"/>
        <w:spacing w:after="0" w:line="266" w:lineRule="auto"/>
        <w:tabs>
          <w:tab w:leader="none" w:pos="50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 xml:space="preserve">Upon completion of the Engineering Batch Activities, the Parties will agree in writing upon the Release Specifications as described in </w:t>
      </w:r>
      <w:r>
        <w:rPr>
          <w:rFonts w:ascii="Arial" w:cs="Arial" w:eastAsia="Arial" w:hAnsi="Arial"/>
          <w:sz w:val="14"/>
          <w:szCs w:val="14"/>
          <w:b w:val="1"/>
          <w:bCs w:val="1"/>
          <w:color w:val="auto"/>
        </w:rPr>
        <w:t>Article 5.2</w:t>
      </w:r>
      <w:r>
        <w:rPr>
          <w:rFonts w:ascii="Arial" w:cs="Arial" w:eastAsia="Arial" w:hAnsi="Arial"/>
          <w:sz w:val="14"/>
          <w:szCs w:val="14"/>
          <w:color w:val="auto"/>
        </w:rPr>
        <w:t xml:space="preserve"> and the GMP Procedures. The Parties agree that they will use their good faith commercially reasonable efforts to reach such agreement on the Release Specifications and GMP Procedures. FCDI will promptly prepare a written “Manufacturing Assessment and Readiness” report to document the technical and logistical readiness to move to GMP manufacturing following completion of the applicable Engineering Batch Activities, and CENTURY will communicate in writing to FCDI its authorization or non-authorization to proceed or to not proceed to GMP manufacturing after reviewing the data from the Engineering Run(s). This decision will be referred as the “Go/No Go” decision point.</w:t>
      </w:r>
    </w:p>
    <w:p>
      <w:pPr>
        <w:spacing w:after="0" w:line="148" w:lineRule="exact"/>
        <w:rPr>
          <w:sz w:val="20"/>
          <w:szCs w:val="20"/>
          <w:color w:val="auto"/>
        </w:rPr>
      </w:pPr>
    </w:p>
    <w:p>
      <w:pPr>
        <w:jc w:val="both"/>
        <w:ind w:left="520" w:hanging="517"/>
        <w:spacing w:after="0" w:line="329" w:lineRule="auto"/>
        <w:tabs>
          <w:tab w:leader="none" w:pos="50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3"/>
          <w:szCs w:val="13"/>
          <w:color w:val="auto"/>
        </w:rPr>
        <w:t xml:space="preserve">In the event that either Party believes that an additional Engineering Batch is required, such Party may submit an RFC for such a requested change to the applicable Work Order and such requested change will be discussed and may be agreed between the Parties, including at the JSC, in accordance with </w:t>
      </w:r>
      <w:r>
        <w:rPr>
          <w:rFonts w:ascii="Arial" w:cs="Arial" w:eastAsia="Arial" w:hAnsi="Arial"/>
          <w:sz w:val="13"/>
          <w:szCs w:val="13"/>
          <w:b w:val="1"/>
          <w:bCs w:val="1"/>
          <w:color w:val="auto"/>
        </w:rPr>
        <w:t>Article 4 (Articles 4.5 through 4.11)</w:t>
      </w:r>
      <w:r>
        <w:rPr>
          <w:rFonts w:ascii="Arial" w:cs="Arial" w:eastAsia="Arial" w:hAnsi="Arial"/>
          <w:sz w:val="13"/>
          <w:szCs w:val="13"/>
          <w:color w:val="auto"/>
        </w:rPr>
        <w:t xml:space="preserve"> of this Agreement.</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59" w:name="page660"/>
    <w:bookmarkEnd w:id="659"/>
    <w:p>
      <w:pPr>
        <w:spacing w:after="0"/>
        <w:rPr>
          <w:sz w:val="20"/>
          <w:szCs w:val="20"/>
          <w:color w:val="auto"/>
        </w:rPr>
      </w:pPr>
      <w:r>
        <w:rPr>
          <w:rFonts w:ascii="Arial" w:cs="Arial" w:eastAsia="Arial" w:hAnsi="Arial"/>
          <w:sz w:val="14"/>
          <w:szCs w:val="14"/>
          <w:b w:val="1"/>
          <w:bCs w:val="1"/>
          <w:color w:val="auto"/>
        </w:rPr>
        <w:t>Article 7 - Manufacturing Activities</w:t>
      </w:r>
    </w:p>
    <w:p>
      <w:pPr>
        <w:spacing w:after="0" w:line="188"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 xml:space="preserve">CENTURY and FCDI shall agree on the Release Specifications for the Products and the GMP Procedures prior to undertaking Manufacturing Activities for the Products, according to </w:t>
      </w:r>
      <w:r>
        <w:rPr>
          <w:rFonts w:ascii="Arial" w:cs="Arial" w:eastAsia="Arial" w:hAnsi="Arial"/>
          <w:sz w:val="14"/>
          <w:szCs w:val="14"/>
          <w:b w:val="1"/>
          <w:bCs w:val="1"/>
          <w:color w:val="auto"/>
        </w:rPr>
        <w:t>Article 6.3</w:t>
      </w:r>
      <w:r>
        <w:rPr>
          <w:rFonts w:ascii="Arial" w:cs="Arial" w:eastAsia="Arial" w:hAnsi="Arial"/>
          <w:sz w:val="14"/>
          <w:szCs w:val="14"/>
          <w:color w:val="auto"/>
        </w:rPr>
        <w:t>.</w:t>
      </w:r>
    </w:p>
    <w:p>
      <w:pPr>
        <w:spacing w:after="0" w:line="132" w:lineRule="exact"/>
        <w:rPr>
          <w:sz w:val="20"/>
          <w:szCs w:val="20"/>
          <w:color w:val="auto"/>
        </w:rPr>
      </w:pPr>
    </w:p>
    <w:p>
      <w:pPr>
        <w:jc w:val="both"/>
        <w:ind w:left="520" w:hanging="517"/>
        <w:spacing w:after="0" w:line="284" w:lineRule="auto"/>
        <w:tabs>
          <w:tab w:leader="none" w:pos="50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3"/>
          <w:szCs w:val="13"/>
          <w:color w:val="auto"/>
        </w:rPr>
        <w:t xml:space="preserve">FCDI agrees as part of its performance of Manufacturing Activities hereunder to perform the number of Runs indicated in the applicable Work Order, which Runs shall be undertaken in order to produce Product manufactured under GMP, in all material respects, which may be used in Clinical Studies, but not for commercial use. In accordance with the Quality Agreement and </w:t>
      </w:r>
      <w:r>
        <w:rPr>
          <w:rFonts w:ascii="Arial" w:cs="Arial" w:eastAsia="Arial" w:hAnsi="Arial"/>
          <w:sz w:val="13"/>
          <w:szCs w:val="13"/>
          <w:b w:val="1"/>
          <w:bCs w:val="1"/>
          <w:color w:val="auto"/>
        </w:rPr>
        <w:t>Article 10.6</w:t>
      </w:r>
      <w:r>
        <w:rPr>
          <w:rFonts w:ascii="Arial" w:cs="Arial" w:eastAsia="Arial" w:hAnsi="Arial"/>
          <w:sz w:val="13"/>
          <w:szCs w:val="13"/>
          <w:color w:val="auto"/>
        </w:rPr>
        <w:t xml:space="preserve"> of this Agreement, CENTURY personnel may be allowed by FCDI to observe, and also to participate in, the execution of Engineering Batches and/or GMP Batches; provided, that all such CENTURY personnel have been appropriately trained in accordance with the requirements applicable to FCDI employees who would enter FCDI’s facility where such Manufacturing Activities are to be performed and perform such Manufacturing Activities, as reasonably determined by FCDI, and all potential risks are evaluated in advance by FCDI and Century (e.g., for any impact of any such observation or participation by Century on the quality of the Batch, the ability of FCDI to manufacture according to the GMP Procedures and under GMP and/or the safety of manufacture) and FCDI and Century agree that such risks are acceptable and provided, further, that all such CENTURY personnel shall, at all times when observing or participating in such Activities, comply with all safety, emergency and third party visitor procedures (e.g., confidentiality) adopted by FCDI in such facility.</w:t>
      </w:r>
    </w:p>
    <w:p>
      <w:pPr>
        <w:spacing w:after="0" w:line="135" w:lineRule="exact"/>
        <w:rPr>
          <w:sz w:val="20"/>
          <w:szCs w:val="20"/>
          <w:color w:val="auto"/>
        </w:rPr>
      </w:pPr>
    </w:p>
    <w:p>
      <w:pPr>
        <w:jc w:val="both"/>
        <w:ind w:left="520" w:hanging="517"/>
        <w:spacing w:after="0" w:line="276" w:lineRule="auto"/>
        <w:tabs>
          <w:tab w:leader="none" w:pos="50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 xml:space="preserve">Any GMP Batches manufactured during the Manufacturing Phase shall on the date of delivery (as described in </w:t>
      </w:r>
      <w:r>
        <w:rPr>
          <w:rFonts w:ascii="Arial" w:cs="Arial" w:eastAsia="Arial" w:hAnsi="Arial"/>
          <w:sz w:val="14"/>
          <w:szCs w:val="14"/>
          <w:b w:val="1"/>
          <w:bCs w:val="1"/>
          <w:color w:val="auto"/>
        </w:rPr>
        <w:t>Article 5.4</w:t>
      </w:r>
      <w:r>
        <w:rPr>
          <w:rFonts w:ascii="Arial" w:cs="Arial" w:eastAsia="Arial" w:hAnsi="Arial"/>
          <w:sz w:val="14"/>
          <w:szCs w:val="14"/>
          <w:color w:val="auto"/>
        </w:rPr>
        <w:t>) to CENTURY or to a clinical site designated by Century conform to the Release Specifications, as described in the applicable Work Order in all material respects, and FCDI’s manufacture thereof shall have conformed to the GMP procedures, as described in the applicable Work Order in all material respects.</w:t>
      </w:r>
    </w:p>
    <w:p>
      <w:pPr>
        <w:spacing w:after="0" w:line="139" w:lineRule="exact"/>
        <w:rPr>
          <w:sz w:val="20"/>
          <w:szCs w:val="20"/>
          <w:color w:val="auto"/>
        </w:rPr>
      </w:pPr>
    </w:p>
    <w:p>
      <w:pPr>
        <w:jc w:val="both"/>
        <w:ind w:left="520" w:hanging="517"/>
        <w:spacing w:after="0" w:line="303" w:lineRule="auto"/>
        <w:tabs>
          <w:tab w:leader="none" w:pos="50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3"/>
          <w:szCs w:val="13"/>
          <w:u w:val="single" w:color="auto"/>
          <w:color w:val="auto"/>
        </w:rPr>
        <w:t>Provision for quality control re-testing</w:t>
      </w:r>
      <w:r>
        <w:rPr>
          <w:rFonts w:ascii="Arial" w:cs="Arial" w:eastAsia="Arial" w:hAnsi="Arial"/>
          <w:sz w:val="13"/>
          <w:szCs w:val="13"/>
          <w:color w:val="auto"/>
        </w:rPr>
        <w:t>: FCDI shall take and retain, for such period as may be required by Applicable Law, samples of the Product sufficient to perform at least full quality</w:t>
      </w:r>
      <w:r>
        <w:rPr>
          <w:rFonts w:ascii="Arial" w:cs="Arial" w:eastAsia="Arial" w:hAnsi="Arial"/>
          <w:sz w:val="13"/>
          <w:szCs w:val="13"/>
          <w:u w:val="single" w:color="auto"/>
          <w:color w:val="auto"/>
        </w:rPr>
        <w:t xml:space="preserve"> </w:t>
      </w:r>
      <w:r>
        <w:rPr>
          <w:rFonts w:ascii="Arial" w:cs="Arial" w:eastAsia="Arial" w:hAnsi="Arial"/>
          <w:sz w:val="13"/>
          <w:szCs w:val="13"/>
          <w:color w:val="auto"/>
        </w:rPr>
        <w:t>control re-testing and shall specify the dates of manufacture and packaging thereof. Further, FCDI shall submit to Century, upon Century’s written request, such samples and manufacturing and quality control records as Century may reasonably request in order to implement analytical or other controls required by FDA or other Applicable Law.</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3"/>
          <w:szCs w:val="13"/>
          <w:color w:val="auto"/>
        </w:rPr>
        <w:t>Disposition of GMP Batches of Products:</w:t>
      </w:r>
    </w:p>
    <w:p>
      <w:pPr>
        <w:spacing w:after="0" w:line="184" w:lineRule="exact"/>
        <w:rPr>
          <w:sz w:val="20"/>
          <w:szCs w:val="20"/>
          <w:color w:val="auto"/>
        </w:rPr>
      </w:pPr>
    </w:p>
    <w:p>
      <w:pPr>
        <w:jc w:val="both"/>
        <w:ind w:left="1040" w:hanging="516"/>
        <w:spacing w:after="0" w:line="294" w:lineRule="auto"/>
        <w:tabs>
          <w:tab w:leader="none" w:pos="1040" w:val="left"/>
        </w:tabs>
        <w:numPr>
          <w:ilvl w:val="0"/>
          <w:numId w:val="478"/>
        </w:numPr>
        <w:rPr>
          <w:rFonts w:ascii="Arial" w:cs="Arial" w:eastAsia="Arial" w:hAnsi="Arial"/>
          <w:sz w:val="13"/>
          <w:szCs w:val="13"/>
          <w:color w:val="auto"/>
        </w:rPr>
      </w:pPr>
      <w:r>
        <w:rPr>
          <w:rFonts w:ascii="Arial" w:cs="Arial" w:eastAsia="Arial" w:hAnsi="Arial"/>
          <w:sz w:val="13"/>
          <w:szCs w:val="13"/>
          <w:u w:val="single" w:color="auto"/>
          <w:color w:val="auto"/>
        </w:rPr>
        <w:t>Acceptance or Rejection</w:t>
      </w:r>
      <w:r>
        <w:rPr>
          <w:rFonts w:ascii="Arial" w:cs="Arial" w:eastAsia="Arial" w:hAnsi="Arial"/>
          <w:sz w:val="13"/>
          <w:szCs w:val="13"/>
          <w:color w:val="auto"/>
        </w:rPr>
        <w:t xml:space="preserve">: CENTURY will review Batch disposition documentation for accuracy and completeness, and will notify FCDI in writing of its acceptance or rejection of such Batch(es) within [***] (as defined in the Quality Agreement) after receipt of the complete package from FCDI as further described in this </w:t>
      </w:r>
      <w:r>
        <w:rPr>
          <w:rFonts w:ascii="Arial" w:cs="Arial" w:eastAsia="Arial" w:hAnsi="Arial"/>
          <w:sz w:val="13"/>
          <w:szCs w:val="13"/>
          <w:b w:val="1"/>
          <w:bCs w:val="1"/>
          <w:color w:val="auto"/>
        </w:rPr>
        <w:t>Article 7.5(a)</w:t>
      </w:r>
      <w:r>
        <w:rPr>
          <w:rFonts w:ascii="Arial" w:cs="Arial" w:eastAsia="Arial" w:hAnsi="Arial"/>
          <w:sz w:val="13"/>
          <w:szCs w:val="13"/>
          <w:color w:val="auto"/>
        </w:rPr>
        <w:t>. CENTURY will give, prior to the expiration of such [***] period, FCDI written notice either of (i) batch approval as CENTURY will generate the final product Certificate of Release (CoR), which will evidence CENTURY’s approval of such Batch, and Certificate of Analysis (CoA) or (ii) the reason(s) why the Batch(es)/Product(s) are non-conforming, i.e.,</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660" w:name="page661"/>
    <w:bookmarkEnd w:id="660"/>
    <w:p>
      <w:pPr>
        <w:jc w:val="both"/>
        <w:ind w:left="1040"/>
        <w:spacing w:after="0" w:line="284" w:lineRule="auto"/>
        <w:rPr>
          <w:sz w:val="20"/>
          <w:szCs w:val="20"/>
          <w:color w:val="auto"/>
        </w:rPr>
      </w:pPr>
      <w:r>
        <w:rPr>
          <w:rFonts w:ascii="Arial" w:cs="Arial" w:eastAsia="Arial" w:hAnsi="Arial"/>
          <w:sz w:val="13"/>
          <w:szCs w:val="13"/>
          <w:color w:val="auto"/>
        </w:rPr>
        <w:t xml:space="preserve">they do not meet the Release Specifications, in all material respects, if applicable, and/or they were not manufactured under GMP, in all material respects. Century has no obligation to accept such Batch(es)/Product(s) if they do not meet the Release Specifications in all material respects, if applicable, and/or were not manufactured in all material respects under GMP, if applicable. If CENTURY fails to timely give FCDI any such written notice of non-conformance as described above in this </w:t>
      </w:r>
      <w:r>
        <w:rPr>
          <w:rFonts w:ascii="Arial" w:cs="Arial" w:eastAsia="Arial" w:hAnsi="Arial"/>
          <w:sz w:val="13"/>
          <w:szCs w:val="13"/>
          <w:b w:val="1"/>
          <w:bCs w:val="1"/>
          <w:color w:val="auto"/>
        </w:rPr>
        <w:t>Article 7.5(a)</w:t>
      </w:r>
      <w:r>
        <w:rPr>
          <w:rFonts w:ascii="Arial" w:cs="Arial" w:eastAsia="Arial" w:hAnsi="Arial"/>
          <w:sz w:val="13"/>
          <w:szCs w:val="13"/>
          <w:color w:val="auto"/>
        </w:rPr>
        <w:t xml:space="preserve"> with respect to any Batch/Product, then such Batch/Product shall be deemed to conform and be accepted by CENTURY. Notwithstanding the foregoing, until delivery (as contemplated </w:t>
      </w:r>
      <w:r>
        <w:rPr>
          <w:rFonts w:ascii="Arial" w:cs="Arial" w:eastAsia="Arial" w:hAnsi="Arial"/>
          <w:sz w:val="13"/>
          <w:szCs w:val="13"/>
          <w:b w:val="1"/>
          <w:bCs w:val="1"/>
          <w:color w:val="auto"/>
        </w:rPr>
        <w:t>Article</w:t>
      </w:r>
      <w:r>
        <w:rPr>
          <w:rFonts w:ascii="Arial" w:cs="Arial" w:eastAsia="Arial" w:hAnsi="Arial"/>
          <w:sz w:val="13"/>
          <w:szCs w:val="13"/>
          <w:color w:val="auto"/>
        </w:rPr>
        <w:t xml:space="preserve"> </w:t>
      </w:r>
      <w:r>
        <w:rPr>
          <w:rFonts w:ascii="Arial" w:cs="Arial" w:eastAsia="Arial" w:hAnsi="Arial"/>
          <w:sz w:val="13"/>
          <w:szCs w:val="13"/>
          <w:b w:val="1"/>
          <w:bCs w:val="1"/>
          <w:color w:val="auto"/>
        </w:rPr>
        <w:t>5.4</w:t>
      </w:r>
      <w:r>
        <w:rPr>
          <w:rFonts w:ascii="Arial" w:cs="Arial" w:eastAsia="Arial" w:hAnsi="Arial"/>
          <w:sz w:val="13"/>
          <w:szCs w:val="13"/>
          <w:color w:val="auto"/>
        </w:rPr>
        <w:t>) of such Batch/Product to CENTURY’s site or to clinical sites designated by CENTURY, FCDI shall retain full control and title to the relevant Batch/Product and shall store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such Batch/Product under appropriate and controlled conditions compliant with GMP requirements and according to the agreed storage instructions as communicated to FCDI. Notwithstanding anything to the contrary contained herein, CENTURY maintains the ability, in its discretion, to determine whether to timely (as provided above in this </w:t>
      </w:r>
      <w:r>
        <w:rPr>
          <w:rFonts w:ascii="Arial" w:cs="Arial" w:eastAsia="Arial" w:hAnsi="Arial"/>
          <w:sz w:val="13"/>
          <w:szCs w:val="13"/>
          <w:b w:val="1"/>
          <w:bCs w:val="1"/>
          <w:color w:val="auto"/>
        </w:rPr>
        <w:t>Article</w:t>
      </w:r>
      <w:r>
        <w:rPr>
          <w:rFonts w:ascii="Arial" w:cs="Arial" w:eastAsia="Arial" w:hAnsi="Arial"/>
          <w:sz w:val="13"/>
          <w:szCs w:val="13"/>
          <w:color w:val="auto"/>
        </w:rPr>
        <w:t xml:space="preserve"> </w:t>
      </w:r>
      <w:r>
        <w:rPr>
          <w:rFonts w:ascii="Arial" w:cs="Arial" w:eastAsia="Arial" w:hAnsi="Arial"/>
          <w:sz w:val="13"/>
          <w:szCs w:val="13"/>
          <w:b w:val="1"/>
          <w:bCs w:val="1"/>
          <w:color w:val="auto"/>
        </w:rPr>
        <w:t>7.5(a)</w:t>
      </w:r>
      <w:r>
        <w:rPr>
          <w:rFonts w:ascii="Arial" w:cs="Arial" w:eastAsia="Arial" w:hAnsi="Arial"/>
          <w:sz w:val="13"/>
          <w:szCs w:val="13"/>
          <w:color w:val="auto"/>
        </w:rPr>
        <w:t>) accept or reject any Batch/Product, and any disputes with regard to such rejection shall be subject to</w:t>
      </w:r>
      <w:r>
        <w:rPr>
          <w:rFonts w:ascii="Arial" w:cs="Arial" w:eastAsia="Arial" w:hAnsi="Arial"/>
          <w:sz w:val="13"/>
          <w:szCs w:val="13"/>
          <w:b w:val="1"/>
          <w:bCs w:val="1"/>
          <w:color w:val="auto"/>
        </w:rPr>
        <w:t xml:space="preserve"> Article 7.6</w:t>
      </w:r>
      <w:r>
        <w:rPr>
          <w:rFonts w:ascii="Arial" w:cs="Arial" w:eastAsia="Arial" w:hAnsi="Arial"/>
          <w:sz w:val="13"/>
          <w:szCs w:val="13"/>
          <w:color w:val="auto"/>
        </w:rPr>
        <w:t>.</w:t>
      </w:r>
    </w:p>
    <w:p>
      <w:pPr>
        <w:spacing w:after="0" w:line="160" w:lineRule="exact"/>
        <w:rPr>
          <w:sz w:val="20"/>
          <w:szCs w:val="20"/>
          <w:color w:val="auto"/>
        </w:rPr>
      </w:pPr>
    </w:p>
    <w:p>
      <w:pPr>
        <w:jc w:val="both"/>
        <w:ind w:left="1040" w:hanging="516"/>
        <w:spacing w:after="0" w:line="263" w:lineRule="auto"/>
        <w:tabs>
          <w:tab w:leader="none" w:pos="1040" w:val="left"/>
        </w:tabs>
        <w:numPr>
          <w:ilvl w:val="0"/>
          <w:numId w:val="479"/>
        </w:numPr>
        <w:rPr>
          <w:rFonts w:ascii="Arial" w:cs="Arial" w:eastAsia="Arial" w:hAnsi="Arial"/>
          <w:sz w:val="14"/>
          <w:szCs w:val="14"/>
          <w:color w:val="auto"/>
        </w:rPr>
      </w:pPr>
      <w:r>
        <w:rPr>
          <w:rFonts w:ascii="Arial" w:cs="Arial" w:eastAsia="Arial" w:hAnsi="Arial"/>
          <w:sz w:val="14"/>
          <w:szCs w:val="14"/>
          <w:u w:val="single" w:color="auto"/>
          <w:color w:val="auto"/>
        </w:rPr>
        <w:t>Failed Batches</w:t>
      </w:r>
      <w:r>
        <w:rPr>
          <w:rFonts w:ascii="Arial" w:cs="Arial" w:eastAsia="Arial" w:hAnsi="Arial"/>
          <w:sz w:val="14"/>
          <w:szCs w:val="14"/>
          <w:color w:val="auto"/>
        </w:rPr>
        <w:t xml:space="preserve">: If FCDI, during the Manufacturing Phase, fails to manufacture a Batch that meets the Release Specifications, and/or a Batch is not manufactured under GMP, FCDI shall notify Century in writing of such non-conformity as soon as reasonably practicable and thereafter FCDI shall use its commercially reasonable efforts to manufacture a replacement Batch according to GMP Procedures, which conforms to the Release Specifications. In the event that FCDI performs a Run according to the GMP Procedures but nevertheless fails to manufacture a replacement Batch which conforms to the Release Specifications, FCDI shall have no further responsibility or liability, and CENTURY shall have no further rights and remedies, with respect to such non-conforming Product except as may be expressly otherwise provided in </w:t>
      </w:r>
      <w:r>
        <w:rPr>
          <w:rFonts w:ascii="Arial" w:cs="Arial" w:eastAsia="Arial" w:hAnsi="Arial"/>
          <w:sz w:val="14"/>
          <w:szCs w:val="14"/>
          <w:b w:val="1"/>
          <w:bCs w:val="1"/>
          <w:color w:val="auto"/>
        </w:rPr>
        <w:t>Article 7.7</w:t>
      </w:r>
      <w:r>
        <w:rPr>
          <w:rFonts w:ascii="Arial" w:cs="Arial" w:eastAsia="Arial" w:hAnsi="Arial"/>
          <w:sz w:val="14"/>
          <w:szCs w:val="14"/>
          <w:color w:val="auto"/>
        </w:rPr>
        <w:t xml:space="preserve">. The responsibility for the cost and expense of the replacement Batch will be as set forth in </w:t>
      </w:r>
      <w:r>
        <w:rPr>
          <w:rFonts w:ascii="Arial" w:cs="Arial" w:eastAsia="Arial" w:hAnsi="Arial"/>
          <w:sz w:val="14"/>
          <w:szCs w:val="14"/>
          <w:b w:val="1"/>
          <w:bCs w:val="1"/>
          <w:color w:val="auto"/>
        </w:rPr>
        <w:t>Article 7.7</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jc w:val="both"/>
        <w:ind w:left="1040" w:hanging="516"/>
        <w:spacing w:after="0" w:line="263" w:lineRule="auto"/>
        <w:tabs>
          <w:tab w:leader="none" w:pos="1040" w:val="left"/>
        </w:tabs>
        <w:numPr>
          <w:ilvl w:val="0"/>
          <w:numId w:val="479"/>
        </w:numPr>
        <w:rPr>
          <w:rFonts w:ascii="Arial" w:cs="Arial" w:eastAsia="Arial" w:hAnsi="Arial"/>
          <w:sz w:val="14"/>
          <w:szCs w:val="14"/>
          <w:color w:val="auto"/>
        </w:rPr>
      </w:pPr>
      <w:r>
        <w:rPr>
          <w:rFonts w:ascii="Arial" w:cs="Arial" w:eastAsia="Arial" w:hAnsi="Arial"/>
          <w:sz w:val="14"/>
          <w:szCs w:val="14"/>
          <w:u w:val="single" w:color="auto"/>
          <w:color w:val="auto"/>
        </w:rPr>
        <w:t>Non-conforming Products</w:t>
      </w:r>
      <w:r>
        <w:rPr>
          <w:rFonts w:ascii="Arial" w:cs="Arial" w:eastAsia="Arial" w:hAnsi="Arial"/>
          <w:sz w:val="14"/>
          <w:szCs w:val="14"/>
          <w:color w:val="auto"/>
        </w:rPr>
        <w:t xml:space="preserve">: In the event that FCDI determines that Products do not meet the Release Specifications (i) FCDI shall notify CENTURY thereof within [***] after such FCDI determination, (ii) FCDI shall not deliver (as contemplated </w:t>
      </w:r>
      <w:r>
        <w:rPr>
          <w:rFonts w:ascii="Arial" w:cs="Arial" w:eastAsia="Arial" w:hAnsi="Arial"/>
          <w:sz w:val="14"/>
          <w:szCs w:val="14"/>
          <w:b w:val="1"/>
          <w:bCs w:val="1"/>
          <w:color w:val="auto"/>
        </w:rPr>
        <w:t>Article 5.4</w:t>
      </w:r>
      <w:r>
        <w:rPr>
          <w:rFonts w:ascii="Arial" w:cs="Arial" w:eastAsia="Arial" w:hAnsi="Arial"/>
          <w:sz w:val="14"/>
          <w:szCs w:val="14"/>
          <w:color w:val="auto"/>
        </w:rPr>
        <w:t xml:space="preserve">) such Product, (iii) within [***] after FCDI has given CENTURY such notification, FCDI shall provide CENTURY with a written progress report summarizing results of FCDI’s investigation of the cause of such failure, and (iv) the Parties shall thereafter discuss in good faith which optimization or correction, if any, shall be implemented by FCDI in order to perform another batch of the Product (per </w:t>
      </w:r>
      <w:r>
        <w:rPr>
          <w:rFonts w:ascii="Arial" w:cs="Arial" w:eastAsia="Arial" w:hAnsi="Arial"/>
          <w:sz w:val="14"/>
          <w:szCs w:val="14"/>
          <w:b w:val="1"/>
          <w:bCs w:val="1"/>
          <w:color w:val="auto"/>
        </w:rPr>
        <w:t>Article 7.7</w:t>
      </w:r>
      <w:r>
        <w:rPr>
          <w:rFonts w:ascii="Arial" w:cs="Arial" w:eastAsia="Arial" w:hAnsi="Arial"/>
          <w:sz w:val="14"/>
          <w:szCs w:val="14"/>
          <w:color w:val="auto"/>
        </w:rPr>
        <w:t>). Notwithstanding the foregoing, CENTURY shall have the unfettered right to decide in its discretion not to perform an additional production Service and to proceed at its own risk with the Activities as agreed herein.</w:t>
      </w:r>
    </w:p>
    <w:p>
      <w:pPr>
        <w:spacing w:after="0" w:line="15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3"/>
          <w:szCs w:val="13"/>
          <w:color w:val="auto"/>
        </w:rPr>
        <w:t>Disputed GMP Batches of Products:</w:t>
      </w:r>
    </w:p>
    <w:p>
      <w:pPr>
        <w:spacing w:after="0" w:line="184" w:lineRule="exact"/>
        <w:rPr>
          <w:sz w:val="20"/>
          <w:szCs w:val="20"/>
          <w:color w:val="auto"/>
        </w:rPr>
      </w:pPr>
    </w:p>
    <w:p>
      <w:pPr>
        <w:ind w:left="5560" w:right="1880" w:hanging="5036"/>
        <w:spacing w:after="0" w:line="417" w:lineRule="auto"/>
        <w:tabs>
          <w:tab w:leader="none" w:pos="1048" w:val="left"/>
        </w:tabs>
        <w:numPr>
          <w:ilvl w:val="0"/>
          <w:numId w:val="480"/>
        </w:numPr>
        <w:rPr>
          <w:rFonts w:ascii="Arial" w:cs="Arial" w:eastAsia="Arial" w:hAnsi="Arial"/>
          <w:sz w:val="14"/>
          <w:szCs w:val="14"/>
          <w:color w:val="auto"/>
        </w:rPr>
      </w:pPr>
      <w:r>
        <w:rPr>
          <w:rFonts w:ascii="Arial" w:cs="Arial" w:eastAsia="Arial" w:hAnsi="Arial"/>
          <w:sz w:val="14"/>
          <w:szCs w:val="14"/>
          <w:u w:val="single" w:color="auto"/>
          <w:color w:val="auto"/>
        </w:rPr>
        <w:t>Failure to meet Specifications</w:t>
      </w:r>
      <w:r>
        <w:rPr>
          <w:rFonts w:ascii="Arial" w:cs="Arial" w:eastAsia="Arial" w:hAnsi="Arial"/>
          <w:sz w:val="14"/>
          <w:szCs w:val="14"/>
          <w:color w:val="auto"/>
        </w:rPr>
        <w:t>: If the interpretation of quality control data required to release a Batch is in dispute, the dispute will be escalated to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159625"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61" w:name="page662"/>
    <w:bookmarkEnd w:id="661"/>
    <w:p>
      <w:pPr>
        <w:jc w:val="both"/>
        <w:ind w:left="520"/>
        <w:spacing w:after="0" w:line="263" w:lineRule="auto"/>
        <w:rPr>
          <w:sz w:val="20"/>
          <w:szCs w:val="20"/>
          <w:color w:val="auto"/>
        </w:rPr>
      </w:pPr>
      <w:r>
        <w:rPr>
          <w:rFonts w:ascii="Arial" w:cs="Arial" w:eastAsia="Arial" w:hAnsi="Arial"/>
          <w:sz w:val="14"/>
          <w:szCs w:val="14"/>
          <w:color w:val="auto"/>
        </w:rPr>
        <w:t>the Project Team, who will attempt in good faith to resolve any such dispute. If the Project Team is unable to resolve such dispute within ten (10) Business Days, the dispute shall be submitted to a manufacturing review board (the “</w:t>
      </w:r>
      <w:r>
        <w:rPr>
          <w:rFonts w:ascii="Arial" w:cs="Arial" w:eastAsia="Arial" w:hAnsi="Arial"/>
          <w:sz w:val="14"/>
          <w:szCs w:val="14"/>
          <w:b w:val="1"/>
          <w:bCs w:val="1"/>
          <w:color w:val="auto"/>
        </w:rPr>
        <w:t>Manufacturing Review Board</w:t>
      </w:r>
      <w:r>
        <w:rPr>
          <w:rFonts w:ascii="Arial" w:cs="Arial" w:eastAsia="Arial" w:hAnsi="Arial"/>
          <w:sz w:val="14"/>
          <w:szCs w:val="14"/>
          <w:color w:val="auto"/>
        </w:rPr>
        <w:t>”) which shall be comprised of an equal number of representatives from each Party with the relevant expertise, experience and seniority within their respective Party to make decisions on behalf of such Party with respect to whether the Batch conforms to the Release Specifications. The Manufacturing Review Board, at its option, may jointly devise and supervise such additional testing as might be required to resolve the dispute, using as necessary, the product specific assay qualified procedures, instruments and reagents, which procedures, instruments and reagents will be made available by the Parties, as necessary.</w:t>
      </w:r>
    </w:p>
    <w:p>
      <w:pPr>
        <w:spacing w:after="0" w:line="172" w:lineRule="exact"/>
        <w:rPr>
          <w:sz w:val="20"/>
          <w:szCs w:val="20"/>
          <w:color w:val="auto"/>
        </w:rPr>
      </w:pPr>
    </w:p>
    <w:p>
      <w:pPr>
        <w:jc w:val="both"/>
        <w:ind w:left="520" w:hanging="516"/>
        <w:spacing w:after="0" w:line="267" w:lineRule="auto"/>
        <w:tabs>
          <w:tab w:leader="none" w:pos="520" w:val="left"/>
        </w:tabs>
        <w:numPr>
          <w:ilvl w:val="0"/>
          <w:numId w:val="481"/>
        </w:numPr>
        <w:rPr>
          <w:rFonts w:ascii="Arial" w:cs="Arial" w:eastAsia="Arial" w:hAnsi="Arial"/>
          <w:sz w:val="14"/>
          <w:szCs w:val="14"/>
          <w:color w:val="auto"/>
        </w:rPr>
      </w:pPr>
      <w:r>
        <w:rPr>
          <w:rFonts w:ascii="Arial" w:cs="Arial" w:eastAsia="Arial" w:hAnsi="Arial"/>
          <w:sz w:val="14"/>
          <w:szCs w:val="14"/>
          <w:u w:val="single" w:color="auto"/>
          <w:color w:val="auto"/>
        </w:rPr>
        <w:t>Failure to meet GMP compliance</w:t>
      </w:r>
      <w:r>
        <w:rPr>
          <w:rFonts w:ascii="Arial" w:cs="Arial" w:eastAsia="Arial" w:hAnsi="Arial"/>
          <w:sz w:val="14"/>
          <w:szCs w:val="14"/>
          <w:color w:val="auto"/>
        </w:rPr>
        <w:t xml:space="preserve">: If there is any dispute concerning whether a Product was manufactured under GMP, if applicable, including in relation to or in connection with the Quality Agreement and/or the documents produced and delivered in accordance with the Quality Agreement or </w:t>
      </w:r>
      <w:r>
        <w:rPr>
          <w:rFonts w:ascii="Arial" w:cs="Arial" w:eastAsia="Arial" w:hAnsi="Arial"/>
          <w:sz w:val="14"/>
          <w:szCs w:val="14"/>
          <w:b w:val="1"/>
          <w:bCs w:val="1"/>
          <w:color w:val="auto"/>
        </w:rPr>
        <w:t>Article 10</w:t>
      </w:r>
      <w:r>
        <w:rPr>
          <w:rFonts w:ascii="Arial" w:cs="Arial" w:eastAsia="Arial" w:hAnsi="Arial"/>
          <w:sz w:val="14"/>
          <w:szCs w:val="14"/>
          <w:color w:val="auto"/>
        </w:rPr>
        <w:t>, FCDI and CENTURY shall discuss in good faith to attempt to resolve such dispute. If FCDI and CENTURY fail to reach agreement in due time, such dispute shall be resolved according to Section 3 of the Quality Agreement between the Parties.</w:t>
      </w:r>
    </w:p>
    <w:p>
      <w:pPr>
        <w:spacing w:after="0" w:line="142" w:lineRule="exact"/>
        <w:rPr>
          <w:rFonts w:ascii="Arial" w:cs="Arial" w:eastAsia="Arial" w:hAnsi="Arial"/>
          <w:sz w:val="14"/>
          <w:szCs w:val="14"/>
          <w:color w:val="auto"/>
        </w:rPr>
      </w:pPr>
    </w:p>
    <w:p>
      <w:pPr>
        <w:jc w:val="both"/>
        <w:ind w:left="520" w:hanging="516"/>
        <w:spacing w:after="0" w:line="269" w:lineRule="auto"/>
        <w:tabs>
          <w:tab w:leader="none" w:pos="520" w:val="left"/>
        </w:tabs>
        <w:numPr>
          <w:ilvl w:val="0"/>
          <w:numId w:val="481"/>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xml:space="preserve">: The Parties shall cooperate in good faith to determine whether a rejection of Product by CENTURY pursuant to </w:t>
      </w:r>
      <w:r>
        <w:rPr>
          <w:rFonts w:ascii="Arial" w:cs="Arial" w:eastAsia="Arial" w:hAnsi="Arial"/>
          <w:sz w:val="14"/>
          <w:szCs w:val="14"/>
          <w:b w:val="1"/>
          <w:bCs w:val="1"/>
          <w:color w:val="auto"/>
        </w:rPr>
        <w:t>Article 7.5(a)</w:t>
      </w:r>
      <w:r>
        <w:rPr>
          <w:rFonts w:ascii="Arial" w:cs="Arial" w:eastAsia="Arial" w:hAnsi="Arial"/>
          <w:sz w:val="14"/>
          <w:szCs w:val="14"/>
          <w:color w:val="auto"/>
        </w:rPr>
        <w:t xml:space="preserve"> is appropriate. If the Parties disagree, a sample of the rejected Product and a sample retained by FCDI as set forth in </w:t>
      </w:r>
      <w:r>
        <w:rPr>
          <w:rFonts w:ascii="Arial" w:cs="Arial" w:eastAsia="Arial" w:hAnsi="Arial"/>
          <w:sz w:val="14"/>
          <w:szCs w:val="14"/>
          <w:b w:val="1"/>
          <w:bCs w:val="1"/>
          <w:color w:val="auto"/>
        </w:rPr>
        <w:t>Article 7.4</w:t>
      </w:r>
      <w:r>
        <w:rPr>
          <w:rFonts w:ascii="Arial" w:cs="Arial" w:eastAsia="Arial" w:hAnsi="Arial"/>
          <w:sz w:val="14"/>
          <w:szCs w:val="14"/>
          <w:color w:val="auto"/>
        </w:rPr>
        <w:t xml:space="preserve"> shall be exchanged between CENTURY and FCDI for a counter-check. If such counter-check does not resolve the dispute, such dispute shall be submitted to the Manufacturing Review Board, who shall determine if the Batch met the Release Specifications at the time of delivery by FCDI.</w:t>
      </w:r>
    </w:p>
    <w:p>
      <w:pPr>
        <w:spacing w:after="0" w:line="145" w:lineRule="exact"/>
        <w:rPr>
          <w:rFonts w:ascii="Arial" w:cs="Arial" w:eastAsia="Arial" w:hAnsi="Arial"/>
          <w:sz w:val="14"/>
          <w:szCs w:val="14"/>
          <w:color w:val="auto"/>
        </w:rPr>
      </w:pPr>
    </w:p>
    <w:p>
      <w:pPr>
        <w:ind w:left="520"/>
        <w:spacing w:after="0" w:line="288" w:lineRule="auto"/>
        <w:rPr>
          <w:rFonts w:ascii="Arial" w:cs="Arial" w:eastAsia="Arial" w:hAnsi="Arial"/>
          <w:sz w:val="14"/>
          <w:szCs w:val="14"/>
          <w:color w:val="auto"/>
        </w:rPr>
      </w:pPr>
      <w:r>
        <w:rPr>
          <w:rFonts w:ascii="Arial" w:cs="Arial" w:eastAsia="Arial" w:hAnsi="Arial"/>
          <w:sz w:val="14"/>
          <w:szCs w:val="14"/>
          <w:color w:val="auto"/>
        </w:rPr>
        <w:t xml:space="preserve">If the Parties have agreed, or if the Manufacturing Review Board determines, that the Product conforms in all respects with the Release Specifications, then such Product shall be deemed to have been accepted by CENTURY and CENTURY shall pay the price therefor in accordance with the terms under </w:t>
      </w:r>
      <w:r>
        <w:rPr>
          <w:rFonts w:ascii="Arial" w:cs="Arial" w:eastAsia="Arial" w:hAnsi="Arial"/>
          <w:sz w:val="14"/>
          <w:szCs w:val="14"/>
          <w:b w:val="1"/>
          <w:bCs w:val="1"/>
          <w:color w:val="auto"/>
        </w:rPr>
        <w:t>Article 11</w:t>
      </w:r>
      <w:r>
        <w:rPr>
          <w:rFonts w:ascii="Arial" w:cs="Arial" w:eastAsia="Arial" w:hAnsi="Arial"/>
          <w:sz w:val="14"/>
          <w:szCs w:val="14"/>
          <w:color w:val="auto"/>
        </w:rPr>
        <w:t>.</w:t>
      </w:r>
    </w:p>
    <w:p>
      <w:pPr>
        <w:spacing w:after="0" w:line="131" w:lineRule="exact"/>
        <w:rPr>
          <w:rFonts w:ascii="Arial" w:cs="Arial" w:eastAsia="Arial" w:hAnsi="Arial"/>
          <w:sz w:val="14"/>
          <w:szCs w:val="14"/>
          <w:color w:val="auto"/>
        </w:rPr>
      </w:pPr>
    </w:p>
    <w:p>
      <w:pPr>
        <w:ind w:left="520"/>
        <w:spacing w:after="0" w:line="288" w:lineRule="auto"/>
        <w:rPr>
          <w:rFonts w:ascii="Arial" w:cs="Arial" w:eastAsia="Arial" w:hAnsi="Arial"/>
          <w:sz w:val="14"/>
          <w:szCs w:val="14"/>
          <w:color w:val="auto"/>
        </w:rPr>
      </w:pPr>
      <w:r>
        <w:rPr>
          <w:rFonts w:ascii="Arial" w:cs="Arial" w:eastAsia="Arial" w:hAnsi="Arial"/>
          <w:sz w:val="14"/>
          <w:szCs w:val="14"/>
          <w:color w:val="auto"/>
        </w:rPr>
        <w:t>If the Parties have agreed, or if the Manufacturing Review Board determines, that the Product is not conforming to the Release Specifications, then such Product shall be deemed to have been rejected by CENTURY.</w:t>
      </w:r>
    </w:p>
    <w:p>
      <w:pPr>
        <w:spacing w:after="0" w:line="127" w:lineRule="exact"/>
        <w:rPr>
          <w:rFonts w:ascii="Arial" w:cs="Arial" w:eastAsia="Arial" w:hAnsi="Arial"/>
          <w:sz w:val="14"/>
          <w:szCs w:val="14"/>
          <w:color w:val="auto"/>
        </w:rPr>
      </w:pPr>
    </w:p>
    <w:p>
      <w:pPr>
        <w:jc w:val="both"/>
        <w:ind w:left="520"/>
        <w:spacing w:after="0" w:line="296" w:lineRule="auto"/>
        <w:rPr>
          <w:rFonts w:ascii="Arial" w:cs="Arial" w:eastAsia="Arial" w:hAnsi="Arial"/>
          <w:sz w:val="14"/>
          <w:szCs w:val="14"/>
          <w:color w:val="auto"/>
        </w:rPr>
      </w:pPr>
      <w:r>
        <w:rPr>
          <w:rFonts w:ascii="Arial" w:cs="Arial" w:eastAsia="Arial" w:hAnsi="Arial"/>
          <w:sz w:val="13"/>
          <w:szCs w:val="13"/>
          <w:color w:val="auto"/>
        </w:rPr>
        <w:t xml:space="preserve">In the event that (i) notwithstanding the good faith efforts to resolve any dispute submitted to it as provided in </w:t>
      </w:r>
      <w:r>
        <w:rPr>
          <w:rFonts w:ascii="Arial" w:cs="Arial" w:eastAsia="Arial" w:hAnsi="Arial"/>
          <w:sz w:val="13"/>
          <w:szCs w:val="13"/>
          <w:b w:val="1"/>
          <w:bCs w:val="1"/>
          <w:color w:val="auto"/>
        </w:rPr>
        <w:t>Article 7.6(a)</w:t>
      </w:r>
      <w:r>
        <w:rPr>
          <w:rFonts w:ascii="Arial" w:cs="Arial" w:eastAsia="Arial" w:hAnsi="Arial"/>
          <w:sz w:val="13"/>
          <w:szCs w:val="13"/>
          <w:color w:val="auto"/>
        </w:rPr>
        <w:t xml:space="preserve"> or </w:t>
      </w:r>
      <w:r>
        <w:rPr>
          <w:rFonts w:ascii="Arial" w:cs="Arial" w:eastAsia="Arial" w:hAnsi="Arial"/>
          <w:sz w:val="13"/>
          <w:szCs w:val="13"/>
          <w:b w:val="1"/>
          <w:bCs w:val="1"/>
          <w:color w:val="auto"/>
        </w:rPr>
        <w:t>Article 7.6(c)</w:t>
      </w:r>
      <w:r>
        <w:rPr>
          <w:rFonts w:ascii="Arial" w:cs="Arial" w:eastAsia="Arial" w:hAnsi="Arial"/>
          <w:sz w:val="13"/>
          <w:szCs w:val="13"/>
          <w:color w:val="auto"/>
        </w:rPr>
        <w:t>, the Manufacturing Review Board is unable to reach a consensus with respect to whether a Batch/Product conforms to the Release Specifications, or, (ii) despite a determination by the Manufacturing Review Board that the Batch/Product conforms to the Release Specifications, CENTURY determines not to release or accept such Batch/Product, then, in either case, provided that such Batch/Product was manufactured in accordance with GMP and FCDI was not negligent in the performance of the Manufacturing Activities, CENTURY shall pay the price</w:t>
      </w:r>
    </w:p>
    <w:p>
      <w:pPr>
        <w:spacing w:after="0" w:line="43"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13970</wp:posOffset>
            </wp:positionV>
            <wp:extent cx="7159625" cy="69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497" w:right="319" w:bottom="1440" w:gutter="0" w:footer="0" w:header="0"/>
        </w:sectPr>
      </w:pPr>
    </w:p>
    <w:bookmarkStart w:id="662" w:name="page663"/>
    <w:bookmarkEnd w:id="662"/>
    <w:p>
      <w:pPr>
        <w:jc w:val="both"/>
        <w:ind w:left="1040"/>
        <w:spacing w:after="0" w:line="276" w:lineRule="auto"/>
        <w:rPr>
          <w:sz w:val="20"/>
          <w:szCs w:val="20"/>
          <w:color w:val="auto"/>
        </w:rPr>
      </w:pPr>
      <w:r>
        <w:rPr>
          <w:rFonts w:ascii="Arial" w:cs="Arial" w:eastAsia="Arial" w:hAnsi="Arial"/>
          <w:sz w:val="14"/>
          <w:szCs w:val="14"/>
          <w:color w:val="auto"/>
        </w:rPr>
        <w:t xml:space="preserve">therefor in accordance with the terms under </w:t>
      </w:r>
      <w:r>
        <w:rPr>
          <w:rFonts w:ascii="Arial" w:cs="Arial" w:eastAsia="Arial" w:hAnsi="Arial"/>
          <w:sz w:val="14"/>
          <w:szCs w:val="14"/>
          <w:b w:val="1"/>
          <w:bCs w:val="1"/>
          <w:color w:val="auto"/>
        </w:rPr>
        <w:t>Article 11</w:t>
      </w:r>
      <w:r>
        <w:rPr>
          <w:rFonts w:ascii="Arial" w:cs="Arial" w:eastAsia="Arial" w:hAnsi="Arial"/>
          <w:sz w:val="14"/>
          <w:szCs w:val="14"/>
          <w:color w:val="auto"/>
        </w:rPr>
        <w:t>, and may request that FCDI use its commercially reasonable efforts to manufacture a replacement Batch according to GMP Procedures, which conforms to the Release Specifications); provided, however, that any such efforts by FCDI will be used only if the Parties sign a new Work Order for such manufacture of a replacement Batch.</w:t>
      </w:r>
    </w:p>
    <w:p>
      <w:pPr>
        <w:spacing w:after="0" w:line="157" w:lineRule="exact"/>
        <w:rPr>
          <w:sz w:val="20"/>
          <w:szCs w:val="20"/>
          <w:color w:val="auto"/>
        </w:rPr>
      </w:pPr>
    </w:p>
    <w:p>
      <w:pPr>
        <w:jc w:val="both"/>
        <w:ind w:left="520" w:hanging="517"/>
        <w:spacing w:after="0" w:line="266" w:lineRule="auto"/>
        <w:tabs>
          <w:tab w:leader="none" w:pos="50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b w:val="1"/>
          <w:bCs w:val="1"/>
          <w:color w:val="auto"/>
        </w:rPr>
        <w:t>Remediation</w:t>
      </w:r>
      <w:r>
        <w:rPr>
          <w:rFonts w:ascii="Arial" w:cs="Arial" w:eastAsia="Arial" w:hAnsi="Arial"/>
          <w:sz w:val="14"/>
          <w:szCs w:val="14"/>
          <w:color w:val="auto"/>
        </w:rPr>
        <w:t>: If a Product has not been accepted or deemed hereunder to have been accepted by Century and does not conform to the Release Specifications, or was not manufactured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under GMP, if applicable, FCDI and CENTURY shall meet promptly to discuss, evaluate and analyze the reasons for and implications of such failure (to the extent that such discussion, evaluation and analysis has not been carried out pursuant to </w:t>
      </w:r>
      <w:r>
        <w:rPr>
          <w:rFonts w:ascii="Arial" w:cs="Arial" w:eastAsia="Arial" w:hAnsi="Arial"/>
          <w:sz w:val="14"/>
          <w:szCs w:val="14"/>
          <w:b w:val="1"/>
          <w:bCs w:val="1"/>
          <w:color w:val="auto"/>
        </w:rPr>
        <w:t>Article 7.6</w:t>
      </w:r>
      <w:r>
        <w:rPr>
          <w:rFonts w:ascii="Arial" w:cs="Arial" w:eastAsia="Arial" w:hAnsi="Arial"/>
          <w:sz w:val="14"/>
          <w:szCs w:val="14"/>
          <w:color w:val="auto"/>
        </w:rPr>
        <w:t>). In the event such failure demonstrably results from FCDI’s negligence or willful misconduct (or failure to manufacture under GMP), FCDI shall, upon CENTURY’s request, and provided that CENTURY delivers to FCDI all Materials necessary for FCDI to perform (i) or (ii) in this provision below, either:</w:t>
      </w:r>
    </w:p>
    <w:p>
      <w:pPr>
        <w:spacing w:after="0" w:line="148" w:lineRule="exact"/>
        <w:rPr>
          <w:sz w:val="20"/>
          <w:szCs w:val="20"/>
          <w:color w:val="auto"/>
        </w:rPr>
      </w:pPr>
    </w:p>
    <w:p>
      <w:pPr>
        <w:ind w:left="1040" w:hanging="516"/>
        <w:spacing w:after="0" w:line="288" w:lineRule="auto"/>
        <w:tabs>
          <w:tab w:leader="none" w:pos="104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obtain the Materials from Century and obtain any other Raw Materials from a third party, in either case at FCDI’s sole cost and expense, as required in order to produce a new batch of the Product as soon as reasonably possible;</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rework, at FCDI’s cost and expense, the Product in such a way that the Product can be deemed to have been manufactured under GMP, if applicable; and/or</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82"/>
        </w:numPr>
        <w:rPr>
          <w:rFonts w:ascii="Arial" w:cs="Arial" w:eastAsia="Arial" w:hAnsi="Arial"/>
          <w:sz w:val="14"/>
          <w:szCs w:val="14"/>
          <w:color w:val="auto"/>
        </w:rPr>
      </w:pPr>
      <w:r>
        <w:rPr>
          <w:rFonts w:ascii="Arial" w:cs="Arial" w:eastAsia="Arial" w:hAnsi="Arial"/>
          <w:sz w:val="14"/>
          <w:szCs w:val="14"/>
          <w:color w:val="auto"/>
        </w:rPr>
        <w:t>proceed with discussions with Century regarding a possible amendment of this Agreement to overcome the failure.</w:t>
      </w:r>
    </w:p>
    <w:p>
      <w:pPr>
        <w:spacing w:after="0" w:line="180" w:lineRule="exact"/>
        <w:rPr>
          <w:sz w:val="20"/>
          <w:szCs w:val="20"/>
          <w:color w:val="auto"/>
        </w:rPr>
      </w:pPr>
    </w:p>
    <w:p>
      <w:pPr>
        <w:jc w:val="both"/>
        <w:ind w:left="520"/>
        <w:spacing w:after="0" w:line="288" w:lineRule="auto"/>
        <w:rPr>
          <w:sz w:val="20"/>
          <w:szCs w:val="20"/>
          <w:color w:val="auto"/>
        </w:rPr>
      </w:pPr>
      <w:r>
        <w:rPr>
          <w:rFonts w:ascii="Arial" w:cs="Arial" w:eastAsia="Arial" w:hAnsi="Arial"/>
          <w:sz w:val="13"/>
          <w:szCs w:val="13"/>
          <w:color w:val="auto"/>
        </w:rPr>
        <w:t xml:space="preserve">Replacement of non-conforming Product by FCDI pursuant to this </w:t>
      </w:r>
      <w:r>
        <w:rPr>
          <w:rFonts w:ascii="Arial" w:cs="Arial" w:eastAsia="Arial" w:hAnsi="Arial"/>
          <w:sz w:val="13"/>
          <w:szCs w:val="13"/>
          <w:b w:val="1"/>
          <w:bCs w:val="1"/>
          <w:color w:val="auto"/>
        </w:rPr>
        <w:t>Article 7.7</w:t>
      </w:r>
      <w:r>
        <w:rPr>
          <w:rFonts w:ascii="Arial" w:cs="Arial" w:eastAsia="Arial" w:hAnsi="Arial"/>
          <w:sz w:val="13"/>
          <w:szCs w:val="13"/>
          <w:color w:val="auto"/>
        </w:rPr>
        <w:t xml:space="preserve"> as applicable shall be the sole responsibility of FCDI with respect to non-conforming Product and the sole remedy of CENTURY in lieu of all other rights and remedies that might otherwise be available to CENTURY; and, for clarity, FCDI’s performance of a Run according to the GMP Procedures and under GMP, if applicable, and without any negligence or willful misconduct on its part, shall constitute full performance by FCDI and fully discharge all responsibility and liability of FCDI with respect to non-conforming Product resulting therefrom. With respect to any new batch of Product to be made pursuant to (i) in the immediately preceding provision or Product to be reworked pursuant to (ii) in the immediately preceding provision, CENTURY and FCDI shall agree on the Release Specifications for the Products and the GMP Procedures prior to undertaking Manufacturing Activities for the Products, in accordance with </w:t>
      </w:r>
      <w:r>
        <w:rPr>
          <w:rFonts w:ascii="Arial" w:cs="Arial" w:eastAsia="Arial" w:hAnsi="Arial"/>
          <w:sz w:val="13"/>
          <w:szCs w:val="13"/>
          <w:b w:val="1"/>
          <w:bCs w:val="1"/>
          <w:color w:val="auto"/>
        </w:rPr>
        <w:t>Article 6.3</w:t>
      </w:r>
      <w:r>
        <w:rPr>
          <w:rFonts w:ascii="Arial" w:cs="Arial" w:eastAsia="Arial" w:hAnsi="Arial"/>
          <w:sz w:val="13"/>
          <w:szCs w:val="13"/>
          <w:color w:val="auto"/>
        </w:rPr>
        <w:t xml:space="preserve"> of this Agreement.</w:t>
      </w:r>
    </w:p>
    <w:p>
      <w:pPr>
        <w:spacing w:after="0" w:line="136" w:lineRule="exact"/>
        <w:rPr>
          <w:sz w:val="20"/>
          <w:szCs w:val="20"/>
          <w:color w:val="auto"/>
        </w:rPr>
      </w:pPr>
    </w:p>
    <w:p>
      <w:pPr>
        <w:jc w:val="both"/>
        <w:ind w:left="520"/>
        <w:spacing w:after="0" w:line="288" w:lineRule="auto"/>
        <w:rPr>
          <w:sz w:val="20"/>
          <w:szCs w:val="20"/>
          <w:color w:val="auto"/>
        </w:rPr>
      </w:pPr>
      <w:r>
        <w:rPr>
          <w:rFonts w:ascii="Arial" w:cs="Arial" w:eastAsia="Arial" w:hAnsi="Arial"/>
          <w:sz w:val="14"/>
          <w:szCs w:val="14"/>
          <w:color w:val="auto"/>
        </w:rPr>
        <w:t xml:space="preserve">In the event that the non-conformity is not the result of FCDI’s negligence or willful misconduct or failure to manufacture under GMP, and the Parties sign a new Work Order for the manufacture of a replacement Batch, then such replacement Batch produced pursuant to </w:t>
      </w:r>
      <w:r>
        <w:rPr>
          <w:rFonts w:ascii="Arial" w:cs="Arial" w:eastAsia="Arial" w:hAnsi="Arial"/>
          <w:sz w:val="14"/>
          <w:szCs w:val="14"/>
          <w:b w:val="1"/>
          <w:bCs w:val="1"/>
          <w:color w:val="auto"/>
        </w:rPr>
        <w:t>Article 7.5(b</w:t>
      </w:r>
      <w:r>
        <w:rPr>
          <w:rFonts w:ascii="Arial" w:cs="Arial" w:eastAsia="Arial" w:hAnsi="Arial"/>
          <w:sz w:val="14"/>
          <w:szCs w:val="14"/>
          <w:color w:val="auto"/>
        </w:rPr>
        <w:t>) shall be produced at Century’s cost and expense.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8 - Exclusivity for Manufacturing of Certain Clinical Supplies</w:t>
      </w:r>
    </w:p>
    <w:p>
      <w:pPr>
        <w:spacing w:after="0" w:line="188" w:lineRule="exact"/>
        <w:rPr>
          <w:sz w:val="20"/>
          <w:szCs w:val="20"/>
          <w:color w:val="auto"/>
        </w:rPr>
      </w:pPr>
    </w:p>
    <w:p>
      <w:pPr>
        <w:ind w:left="100"/>
        <w:spacing w:after="0"/>
        <w:tabs>
          <w:tab w:leader="none" w:pos="60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2"/>
          <w:szCs w:val="12"/>
          <w:color w:val="auto"/>
        </w:rPr>
        <w:t>The Parties acknowledge and agree that, subject to and on the terms of this</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87" w:right="319" w:bottom="1440" w:gutter="0" w:footer="0" w:header="0"/>
        </w:sectPr>
      </w:pPr>
    </w:p>
    <w:bookmarkStart w:id="663" w:name="page664"/>
    <w:bookmarkEnd w:id="663"/>
    <w:p>
      <w:pPr>
        <w:jc w:val="both"/>
        <w:spacing w:after="0" w:line="276" w:lineRule="auto"/>
        <w:rPr>
          <w:sz w:val="20"/>
          <w:szCs w:val="20"/>
          <w:color w:val="auto"/>
        </w:rPr>
      </w:pPr>
      <w:r>
        <w:rPr>
          <w:rFonts w:ascii="Arial" w:cs="Arial" w:eastAsia="Arial" w:hAnsi="Arial"/>
          <w:sz w:val="14"/>
          <w:szCs w:val="14"/>
          <w:b w:val="1"/>
          <w:bCs w:val="1"/>
          <w:color w:val="auto"/>
        </w:rPr>
        <w:t>Article 8</w:t>
      </w:r>
      <w:r>
        <w:rPr>
          <w:rFonts w:ascii="Arial" w:cs="Arial" w:eastAsia="Arial" w:hAnsi="Arial"/>
          <w:sz w:val="14"/>
          <w:szCs w:val="14"/>
          <w:color w:val="auto"/>
        </w:rPr>
        <w:t>, FCDI will be the preferred clinical supplier to CENTURY for certain NK Cell Products and CENTURY (or a third party selected by CENTURY) will be the preferred supplier</w:t>
      </w:r>
      <w:r>
        <w:rPr>
          <w:rFonts w:ascii="Arial" w:cs="Arial" w:eastAsia="Arial" w:hAnsi="Arial"/>
          <w:sz w:val="14"/>
          <w:szCs w:val="14"/>
          <w:b w:val="1"/>
          <w:bCs w:val="1"/>
          <w:color w:val="auto"/>
        </w:rPr>
        <w:t xml:space="preserve"> </w:t>
      </w:r>
      <w:r>
        <w:rPr>
          <w:rFonts w:ascii="Arial" w:cs="Arial" w:eastAsia="Arial" w:hAnsi="Arial"/>
          <w:sz w:val="14"/>
          <w:szCs w:val="14"/>
          <w:color w:val="auto"/>
        </w:rPr>
        <w:t>to CENTURY of T Cell Products developed by CENTURY during the Exclusivity Term; provided that, except as set forth below, the exclusive supplier as to each Product will be selected by CENTURY.</w:t>
      </w:r>
    </w:p>
    <w:p>
      <w:pPr>
        <w:spacing w:after="0" w:line="135" w:lineRule="exact"/>
        <w:rPr>
          <w:sz w:val="20"/>
          <w:szCs w:val="20"/>
          <w:color w:val="auto"/>
        </w:rPr>
      </w:pPr>
    </w:p>
    <w:p>
      <w:pPr>
        <w:jc w:val="both"/>
        <w:ind w:left="520" w:hanging="516"/>
        <w:spacing w:after="0" w:line="276" w:lineRule="auto"/>
        <w:tabs>
          <w:tab w:leader="none" w:pos="52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 xml:space="preserve">During the Exclusivity Term, subject to the terms of </w:t>
      </w:r>
      <w:r>
        <w:rPr>
          <w:rFonts w:ascii="Arial" w:cs="Arial" w:eastAsia="Arial" w:hAnsi="Arial"/>
          <w:sz w:val="14"/>
          <w:szCs w:val="14"/>
          <w:b w:val="1"/>
          <w:bCs w:val="1"/>
          <w:color w:val="auto"/>
        </w:rPr>
        <w:t>Articles 8.2</w:t>
      </w:r>
      <w:r>
        <w:rPr>
          <w:rFonts w:ascii="Arial" w:cs="Arial" w:eastAsia="Arial" w:hAnsi="Arial"/>
          <w:sz w:val="14"/>
          <w:szCs w:val="14"/>
          <w:color w:val="auto"/>
        </w:rPr>
        <w:t xml:space="preserve"> and </w:t>
      </w:r>
      <w:r>
        <w:rPr>
          <w:rFonts w:ascii="Arial" w:cs="Arial" w:eastAsia="Arial" w:hAnsi="Arial"/>
          <w:sz w:val="14"/>
          <w:szCs w:val="14"/>
          <w:b w:val="1"/>
          <w:bCs w:val="1"/>
          <w:color w:val="auto"/>
        </w:rPr>
        <w:t>8.3</w:t>
      </w:r>
      <w:r>
        <w:rPr>
          <w:rFonts w:ascii="Arial" w:cs="Arial" w:eastAsia="Arial" w:hAnsi="Arial"/>
          <w:sz w:val="14"/>
          <w:szCs w:val="14"/>
          <w:color w:val="auto"/>
        </w:rPr>
        <w:t>, FCDI shall be the exclusive clinical supplier to CENTURY for the first NK Cell Product for which CENTURY submits an IND. CENTURY shall purchase from FCDI, and FCDI shall supply to CENTURY, all of CENTURY’s (and its Affiliates’ and sublicensees’) requirements for clinical supply of such NK Cell Product.</w:t>
      </w:r>
    </w:p>
    <w:p>
      <w:pPr>
        <w:spacing w:after="0" w:line="139" w:lineRule="exact"/>
        <w:rPr>
          <w:rFonts w:ascii="Arial" w:cs="Arial" w:eastAsia="Arial" w:hAnsi="Arial"/>
          <w:sz w:val="14"/>
          <w:szCs w:val="14"/>
          <w:color w:val="auto"/>
        </w:rPr>
      </w:pPr>
    </w:p>
    <w:p>
      <w:pPr>
        <w:ind w:left="520" w:hanging="516"/>
        <w:spacing w:after="0"/>
        <w:tabs>
          <w:tab w:leader="none" w:pos="52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520" w:hanging="516"/>
        <w:spacing w:after="0"/>
        <w:tabs>
          <w:tab w:leader="none" w:pos="52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520" w:hanging="516"/>
        <w:spacing w:after="0"/>
        <w:tabs>
          <w:tab w:leader="none" w:pos="52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520" w:hanging="516"/>
        <w:spacing w:after="0"/>
        <w:tabs>
          <w:tab w:leader="none" w:pos="520" w:val="left"/>
        </w:tabs>
        <w:numPr>
          <w:ilvl w:val="0"/>
          <w:numId w:val="483"/>
        </w:numPr>
        <w:rPr>
          <w:rFonts w:ascii="Arial" w:cs="Arial" w:eastAsia="Arial" w:hAnsi="Arial"/>
          <w:sz w:val="14"/>
          <w:szCs w:val="14"/>
          <w:color w:val="auto"/>
        </w:rPr>
      </w:pPr>
      <w:r>
        <w:rPr>
          <w:rFonts w:ascii="Arial" w:cs="Arial" w:eastAsia="Arial" w:hAnsi="Arial"/>
          <w:sz w:val="14"/>
          <w:szCs w:val="14"/>
          <w:color w:val="auto"/>
        </w:rPr>
        <w:t>[***].</w:t>
      </w:r>
    </w:p>
    <w:p>
      <w:pPr>
        <w:spacing w:after="0" w:line="98"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13970</wp:posOffset>
            </wp:positionV>
            <wp:extent cx="7159625"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665" w:right="319" w:bottom="1440" w:gutter="0" w:footer="0" w:header="0"/>
        </w:sectPr>
      </w:pPr>
    </w:p>
    <w:bookmarkStart w:id="664" w:name="page665"/>
    <w:bookmarkEnd w:id="664"/>
    <w:p>
      <w:pPr>
        <w:ind w:left="1040" w:hanging="516"/>
        <w:spacing w:after="0"/>
        <w:tabs>
          <w:tab w:leader="none" w:pos="104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84"/>
        </w:numPr>
        <w:rPr>
          <w:rFonts w:ascii="Arial" w:cs="Arial" w:eastAsia="Arial" w:hAnsi="Arial"/>
          <w:sz w:val="14"/>
          <w:szCs w:val="14"/>
          <w:color w:val="auto"/>
        </w:rPr>
      </w:pPr>
      <w:r>
        <w:rPr>
          <w:rFonts w:ascii="Arial" w:cs="Arial" w:eastAsia="Arial" w:hAnsi="Arial"/>
          <w:sz w:val="14"/>
          <w:szCs w:val="14"/>
          <w:color w:val="auto"/>
        </w:rPr>
        <w:t>[***].</w:t>
      </w:r>
    </w:p>
    <w:p>
      <w:pPr>
        <w:spacing w:after="0" w:line="180" w:lineRule="exact"/>
        <w:rPr>
          <w:sz w:val="20"/>
          <w:szCs w:val="20"/>
          <w:color w:val="auto"/>
        </w:rPr>
      </w:pPr>
    </w:p>
    <w:p>
      <w:pPr>
        <w:jc w:val="both"/>
        <w:ind w:left="520" w:hanging="517"/>
        <w:spacing w:after="0" w:line="266" w:lineRule="auto"/>
        <w:tabs>
          <w:tab w:leader="none" w:pos="50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b w:val="1"/>
          <w:bCs w:val="1"/>
          <w:color w:val="auto"/>
        </w:rPr>
        <w:t>Exclusions</w:t>
      </w:r>
      <w:r>
        <w:rPr>
          <w:rFonts w:ascii="Arial" w:cs="Arial" w:eastAsia="Arial" w:hAnsi="Arial"/>
          <w:sz w:val="14"/>
          <w:szCs w:val="14"/>
          <w:color w:val="auto"/>
        </w:rPr>
        <w:t>. For the avoidance of doubt, FCDI is given no right under this</w:t>
      </w:r>
      <w:r>
        <w:rPr>
          <w:rFonts w:ascii="Arial" w:cs="Arial" w:eastAsia="Arial" w:hAnsi="Arial"/>
          <w:sz w:val="14"/>
          <w:szCs w:val="14"/>
          <w:b w:val="1"/>
          <w:bCs w:val="1"/>
          <w:color w:val="auto"/>
        </w:rPr>
        <w:t xml:space="preserve"> Article 8 </w:t>
      </w:r>
      <w:r>
        <w:rPr>
          <w:rFonts w:ascii="Arial" w:cs="Arial" w:eastAsia="Arial" w:hAnsi="Arial"/>
          <w:sz w:val="14"/>
          <w:szCs w:val="14"/>
          <w:color w:val="auto"/>
        </w:rPr>
        <w:t>to be CENTURY’s (a) clinical suppler, exclusive or otherwise, of NK Cell Products or T Cell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Products outside of the scenarios described in this </w:t>
      </w:r>
      <w:r>
        <w:rPr>
          <w:rFonts w:ascii="Arial" w:cs="Arial" w:eastAsia="Arial" w:hAnsi="Arial"/>
          <w:sz w:val="14"/>
          <w:szCs w:val="14"/>
          <w:b w:val="1"/>
          <w:bCs w:val="1"/>
          <w:color w:val="auto"/>
        </w:rPr>
        <w:t>Article 8</w:t>
      </w:r>
      <w:r>
        <w:rPr>
          <w:rFonts w:ascii="Arial" w:cs="Arial" w:eastAsia="Arial" w:hAnsi="Arial"/>
          <w:sz w:val="14"/>
          <w:szCs w:val="14"/>
          <w:color w:val="auto"/>
        </w:rPr>
        <w:t>, or (b) commercial supplier, preferred or otherwise, of NK Cell Products or T Cell Products, and CENTURY shall retain full rights to manufacture and supply NK Cell Products and T Cell Products in commercial form itself or through a third party contracting manufacturing organization. However, it is understood by the Parties that CENTURY will in good faith consider FCDI as either a preferred supplier or secondary source for any such other supply arrangements if FCDI has such clinical or commercial manufacturing capabilities as would meet CENTURY’s needs.</w:t>
      </w:r>
    </w:p>
    <w:p>
      <w:pPr>
        <w:spacing w:after="0" w:line="144" w:lineRule="exact"/>
        <w:rPr>
          <w:sz w:val="20"/>
          <w:szCs w:val="20"/>
          <w:color w:val="auto"/>
        </w:rPr>
      </w:pPr>
    </w:p>
    <w:p>
      <w:pPr>
        <w:jc w:val="both"/>
        <w:ind w:left="520" w:hanging="517"/>
        <w:spacing w:after="0" w:line="264" w:lineRule="auto"/>
        <w:tabs>
          <w:tab w:leader="none" w:pos="50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b w:val="1"/>
          <w:bCs w:val="1"/>
          <w:color w:val="auto"/>
        </w:rPr>
        <w:t>Reservation of CENTURY’s Right to Secondary Source</w:t>
      </w:r>
      <w:r>
        <w:rPr>
          <w:rFonts w:ascii="Arial" w:cs="Arial" w:eastAsia="Arial" w:hAnsi="Arial"/>
          <w:sz w:val="14"/>
          <w:szCs w:val="14"/>
          <w:color w:val="auto"/>
        </w:rPr>
        <w:t>. Nothing in this Article shall limit (i) CENTURY’s ability to manufacture and supply, by itself or through its Affiliate, or to</w:t>
      </w:r>
      <w:r>
        <w:rPr>
          <w:rFonts w:ascii="Arial" w:cs="Arial" w:eastAsia="Arial" w:hAnsi="Arial"/>
          <w:sz w:val="14"/>
          <w:szCs w:val="14"/>
          <w:b w:val="1"/>
          <w:bCs w:val="1"/>
          <w:color w:val="auto"/>
        </w:rPr>
        <w:t xml:space="preserve"> </w:t>
      </w:r>
      <w:r>
        <w:rPr>
          <w:rFonts w:ascii="Arial" w:cs="Arial" w:eastAsia="Arial" w:hAnsi="Arial"/>
          <w:sz w:val="14"/>
          <w:szCs w:val="14"/>
          <w:color w:val="auto"/>
        </w:rPr>
        <w:t>grant to any third party manufacturer, unless such third party manufacturer is explicitly identified in Schedule 3.7 of the Differentiation License Agreement, the right to manufacture, on CENTURY’s behalf, any NK Cell Products and/or T Cell Products for which FCDI is the exclusive clinical supplier hereunder in such minimal quantities as are necessary to prevent a supply interruption if there is a Non-Supply Event, or (ii) FCDI’s obligation to transfer the Licensed Technology (as defined in the Differentiation License Agreement) to CENTURY or its Affiliate or such third party manufacturer pursuant to the Differentiation License Agreement upon CENTURY’s request to the extent not already effected pursuant to the MCA, this Agreement or the Differentiation License Agreement (including pursuant to the exercise by Century of its rights</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65" w:name="page666"/>
    <w:bookmarkEnd w:id="665"/>
    <w:p>
      <w:pPr>
        <w:jc w:val="both"/>
        <w:ind w:left="560"/>
        <w:spacing w:after="0" w:line="273" w:lineRule="auto"/>
        <w:rPr>
          <w:sz w:val="20"/>
          <w:szCs w:val="20"/>
          <w:color w:val="auto"/>
        </w:rPr>
      </w:pPr>
      <w:r>
        <w:rPr>
          <w:rFonts w:ascii="Arial" w:cs="Arial" w:eastAsia="Arial" w:hAnsi="Arial"/>
          <w:sz w:val="14"/>
          <w:szCs w:val="14"/>
          <w:color w:val="auto"/>
        </w:rPr>
        <w:t>pursuant to the Differentiation License Agreement), provided that (a) such transfer is made pursuant to a technology transfer agreement that provides protection of the Licensed Technology and confidentiality protection for the benefit of FCDI and that becomes effective during the Exclusivity Term, and is reasonably acceptable to FCDI and (b) Century shall pay for all such technology transfer activities.</w:t>
      </w:r>
    </w:p>
    <w:p>
      <w:pPr>
        <w:spacing w:after="0" w:line="163"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Century will retain full rights to manufacture and supply all commercial product itself or through a third party contract manufacturing organization but will in good faith consider FCDI as a contract manufacturing organization if FCDI has such commercial manufacturing capabilities that would meet Century’s needs.</w:t>
      </w:r>
    </w:p>
    <w:p>
      <w:pPr>
        <w:spacing w:after="0" w:line="128" w:lineRule="exact"/>
        <w:rPr>
          <w:sz w:val="20"/>
          <w:szCs w:val="20"/>
          <w:color w:val="auto"/>
        </w:rPr>
      </w:pPr>
    </w:p>
    <w:p>
      <w:pPr>
        <w:ind w:left="520" w:hanging="517"/>
        <w:spacing w:after="0" w:line="294" w:lineRule="auto"/>
        <w:tabs>
          <w:tab w:leader="none" w:pos="50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 xml:space="preserve">The provisions of this </w:t>
      </w:r>
      <w:r>
        <w:rPr>
          <w:rFonts w:ascii="Arial" w:cs="Arial" w:eastAsia="Arial" w:hAnsi="Arial"/>
          <w:sz w:val="14"/>
          <w:szCs w:val="14"/>
          <w:b w:val="1"/>
          <w:bCs w:val="1"/>
          <w:color w:val="auto"/>
        </w:rPr>
        <w:t>Article 8</w:t>
      </w:r>
      <w:r>
        <w:rPr>
          <w:rFonts w:ascii="Arial" w:cs="Arial" w:eastAsia="Arial" w:hAnsi="Arial"/>
          <w:sz w:val="14"/>
          <w:szCs w:val="14"/>
          <w:color w:val="auto"/>
        </w:rPr>
        <w:t xml:space="preserve">, except the proviso in the first sentence of </w:t>
      </w:r>
      <w:r>
        <w:rPr>
          <w:rFonts w:ascii="Arial" w:cs="Arial" w:eastAsia="Arial" w:hAnsi="Arial"/>
          <w:sz w:val="14"/>
          <w:szCs w:val="14"/>
          <w:b w:val="1"/>
          <w:bCs w:val="1"/>
          <w:color w:val="auto"/>
        </w:rPr>
        <w:t>Article 8.1(f)</w:t>
      </w:r>
      <w:r>
        <w:rPr>
          <w:rFonts w:ascii="Arial" w:cs="Arial" w:eastAsia="Arial" w:hAnsi="Arial"/>
          <w:sz w:val="14"/>
          <w:szCs w:val="14"/>
          <w:color w:val="auto"/>
        </w:rPr>
        <w:t xml:space="preserve"> and the last sentence of </w:t>
      </w:r>
      <w:r>
        <w:rPr>
          <w:rFonts w:ascii="Arial" w:cs="Arial" w:eastAsia="Arial" w:hAnsi="Arial"/>
          <w:sz w:val="14"/>
          <w:szCs w:val="14"/>
          <w:b w:val="1"/>
          <w:bCs w:val="1"/>
          <w:color w:val="auto"/>
        </w:rPr>
        <w:t>Article 8.1(f)</w:t>
      </w:r>
      <w:r>
        <w:rPr>
          <w:rFonts w:ascii="Arial" w:cs="Arial" w:eastAsia="Arial" w:hAnsi="Arial"/>
          <w:sz w:val="14"/>
          <w:szCs w:val="14"/>
          <w:color w:val="auto"/>
        </w:rPr>
        <w:t xml:space="preserve"> (each of which shall survive such expiration), will expire at the expiration of the Exclusivity Term.</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9 - Further obligations of the Parties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b w:val="1"/>
          <w:bCs w:val="1"/>
          <w:color w:val="auto"/>
        </w:rPr>
        <w:t>Further obligations of CENTURY</w:t>
      </w:r>
      <w:r>
        <w:rPr>
          <w:rFonts w:ascii="Arial" w:cs="Arial" w:eastAsia="Arial" w:hAnsi="Arial"/>
          <w:sz w:val="13"/>
          <w:szCs w:val="13"/>
          <w:color w:val="auto"/>
        </w:rPr>
        <w:t>. CENTURY shall, at CENTURY’s cost and expense:</w:t>
      </w:r>
    </w:p>
    <w:p>
      <w:pPr>
        <w:spacing w:after="0" w:line="188" w:lineRule="exact"/>
        <w:rPr>
          <w:sz w:val="20"/>
          <w:szCs w:val="20"/>
          <w:color w:val="auto"/>
        </w:rPr>
      </w:pPr>
    </w:p>
    <w:p>
      <w:pPr>
        <w:jc w:val="both"/>
        <w:ind w:left="1040" w:hanging="516"/>
        <w:spacing w:after="0" w:line="267" w:lineRule="auto"/>
        <w:tabs>
          <w:tab w:leader="none" w:pos="104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timely provide FCDI, free of charge, with the Material(s) in sufficient quantities as described in the applicable Work Order or as otherwise necessary for FCDI to perform its obligations under this Agreement. FCDI will not transfer the Material(s) to any third party or use such Materials for any purpose outside of this Agreement, unless otherwise agreed in writing in advance with/by CENTURY. The Materials will be released by the quality assurance officer of CENTURY and shall be accompanied by a certificate of analysis;</w:t>
      </w:r>
    </w:p>
    <w:p>
      <w:pPr>
        <w:spacing w:after="0" w:line="146"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reimburse FCDI for the cost of the Raw Materials upon receipt of invoice and pay such other amounts (e.g., pass-through markup) as may be set forth in the applicable Work Order;</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timely supply FCDI with all additional information necessary for FCDI to fulfill its obligations hereunder and that are then available to CENTURY;</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perform evaluation in a timely manner as defined in the Quality Agreement for release by FCDI to CENTURY of each GMP Batch;</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review and when acceptable to CENTURY notify FCDI of CENTURY’s approval of all documents and changes thereto written by FCDI specifically for the manufacturing process of/for the Product in accordance with the Quality Agreement; and</w:t>
      </w:r>
    </w:p>
    <w:p>
      <w:pPr>
        <w:spacing w:after="0" w:line="127" w:lineRule="exact"/>
        <w:rPr>
          <w:rFonts w:ascii="Arial" w:cs="Arial" w:eastAsia="Arial" w:hAnsi="Arial"/>
          <w:sz w:val="14"/>
          <w:szCs w:val="14"/>
          <w:color w:val="auto"/>
        </w:rPr>
      </w:pPr>
    </w:p>
    <w:p>
      <w:pPr>
        <w:ind w:left="1040" w:hanging="516"/>
        <w:spacing w:after="0"/>
        <w:tabs>
          <w:tab w:leader="none" w:pos="1040" w:val="left"/>
        </w:tabs>
        <w:numPr>
          <w:ilvl w:val="0"/>
          <w:numId w:val="485"/>
        </w:numPr>
        <w:rPr>
          <w:rFonts w:ascii="Arial" w:cs="Arial" w:eastAsia="Arial" w:hAnsi="Arial"/>
          <w:sz w:val="14"/>
          <w:szCs w:val="14"/>
          <w:color w:val="auto"/>
        </w:rPr>
      </w:pPr>
      <w:r>
        <w:rPr>
          <w:rFonts w:ascii="Arial" w:cs="Arial" w:eastAsia="Arial" w:hAnsi="Arial"/>
          <w:sz w:val="14"/>
          <w:szCs w:val="14"/>
          <w:color w:val="auto"/>
        </w:rPr>
        <w:t xml:space="preserve">per </w:t>
      </w:r>
      <w:r>
        <w:rPr>
          <w:rFonts w:ascii="Arial" w:cs="Arial" w:eastAsia="Arial" w:hAnsi="Arial"/>
          <w:sz w:val="14"/>
          <w:szCs w:val="14"/>
          <w:b w:val="1"/>
          <w:bCs w:val="1"/>
          <w:color w:val="auto"/>
        </w:rPr>
        <w:t>Article 10.10</w:t>
      </w:r>
      <w:r>
        <w:rPr>
          <w:rFonts w:ascii="Arial" w:cs="Arial" w:eastAsia="Arial" w:hAnsi="Arial"/>
          <w:sz w:val="14"/>
          <w:szCs w:val="14"/>
          <w:color w:val="auto"/>
        </w:rPr>
        <w:t xml:space="preserve"> of this Agreement, be responsible for the final release of all Product.</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b w:val="1"/>
          <w:bCs w:val="1"/>
          <w:color w:val="auto"/>
        </w:rPr>
        <w:t>Further obligations of FCDI</w:t>
      </w:r>
      <w:r>
        <w:rPr>
          <w:rFonts w:ascii="Arial" w:cs="Arial" w:eastAsia="Arial" w:hAnsi="Arial"/>
          <w:sz w:val="13"/>
          <w:szCs w:val="13"/>
          <w:color w:val="auto"/>
        </w:rPr>
        <w:t>. FCDI shall, at FCDI’s cost and expense:</w:t>
      </w:r>
    </w:p>
    <w:p>
      <w:pPr>
        <w:spacing w:after="0" w:line="188" w:lineRule="exact"/>
        <w:rPr>
          <w:sz w:val="20"/>
          <w:szCs w:val="20"/>
          <w:color w:val="auto"/>
        </w:rPr>
      </w:pPr>
    </w:p>
    <w:p>
      <w:pPr>
        <w:ind w:left="1040" w:hanging="516"/>
        <w:spacing w:after="0" w:line="288" w:lineRule="auto"/>
        <w:tabs>
          <w:tab w:leader="none" w:pos="1040" w:val="left"/>
        </w:tabs>
        <w:numPr>
          <w:ilvl w:val="0"/>
          <w:numId w:val="486"/>
        </w:numPr>
        <w:rPr>
          <w:rFonts w:ascii="Arial" w:cs="Arial" w:eastAsia="Arial" w:hAnsi="Arial"/>
          <w:sz w:val="14"/>
          <w:szCs w:val="14"/>
          <w:color w:val="auto"/>
        </w:rPr>
      </w:pPr>
      <w:r>
        <w:rPr>
          <w:rFonts w:ascii="Arial" w:cs="Arial" w:eastAsia="Arial" w:hAnsi="Arial"/>
          <w:sz w:val="14"/>
          <w:szCs w:val="14"/>
          <w:color w:val="auto"/>
        </w:rPr>
        <w:t>at the request of CENTURY, return to CENTURY or destroy any unused quantities of the Materials provided by CENTURY and/or Raw Materials paid for by CENTURY upon the expiration or termination of this Agreement</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66" w:name="page667"/>
    <w:bookmarkEnd w:id="666"/>
    <w:p>
      <w:pPr>
        <w:ind w:left="1040"/>
        <w:spacing w:after="0"/>
        <w:rPr>
          <w:sz w:val="20"/>
          <w:szCs w:val="20"/>
          <w:color w:val="auto"/>
        </w:rPr>
      </w:pPr>
      <w:r>
        <w:rPr>
          <w:rFonts w:ascii="Arial" w:cs="Arial" w:eastAsia="Arial" w:hAnsi="Arial"/>
          <w:sz w:val="14"/>
          <w:szCs w:val="14"/>
          <w:color w:val="auto"/>
        </w:rPr>
        <w:t>or upon CENTURY’s earlier request (with written confirmation of destruction provided to CENTURY);</w:t>
      </w:r>
    </w:p>
    <w:p>
      <w:pPr>
        <w:spacing w:after="0" w:line="206" w:lineRule="exact"/>
        <w:rPr>
          <w:sz w:val="20"/>
          <w:szCs w:val="20"/>
          <w:color w:val="auto"/>
        </w:rPr>
      </w:pPr>
    </w:p>
    <w:p>
      <w:pPr>
        <w:ind w:left="1040" w:hanging="516"/>
        <w:spacing w:after="0"/>
        <w:tabs>
          <w:tab w:leader="none" w:pos="104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maintain records of usage of the Material(s) and the Raw Materials, and inform CENTURY of needs for additional quantities of same in a timely manner;</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 xml:space="preserve">purchase the Raw Materials required for the manufacture of the Product other than the Material(s) -the purchase price of which shall be reimbursed by CENTURY as set forth in </w:t>
      </w:r>
      <w:r>
        <w:rPr>
          <w:rFonts w:ascii="Arial" w:cs="Arial" w:eastAsia="Arial" w:hAnsi="Arial"/>
          <w:sz w:val="14"/>
          <w:szCs w:val="14"/>
          <w:b w:val="1"/>
          <w:bCs w:val="1"/>
          <w:color w:val="auto"/>
        </w:rPr>
        <w:t xml:space="preserve">Article 9.1(b) </w:t>
      </w:r>
      <w:r>
        <w:rPr>
          <w:rFonts w:ascii="Arial" w:cs="Arial" w:eastAsia="Arial" w:hAnsi="Arial"/>
          <w:sz w:val="14"/>
          <w:szCs w:val="14"/>
          <w:color w:val="auto"/>
        </w:rPr>
        <w:t>and</w:t>
      </w:r>
      <w:r>
        <w:rPr>
          <w:rFonts w:ascii="Arial" w:cs="Arial" w:eastAsia="Arial" w:hAnsi="Arial"/>
          <w:sz w:val="14"/>
          <w:szCs w:val="14"/>
          <w:b w:val="1"/>
          <w:bCs w:val="1"/>
          <w:color w:val="auto"/>
        </w:rPr>
        <w:t xml:space="preserve"> Article 11.2</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ind w:left="1040" w:hanging="516"/>
        <w:spacing w:after="0"/>
        <w:tabs>
          <w:tab w:leader="none" w:pos="1040" w:val="left"/>
        </w:tabs>
        <w:numPr>
          <w:ilvl w:val="0"/>
          <w:numId w:val="487"/>
        </w:numPr>
        <w:rPr>
          <w:rFonts w:ascii="Arial" w:cs="Arial" w:eastAsia="Arial" w:hAnsi="Arial"/>
          <w:sz w:val="13"/>
          <w:szCs w:val="13"/>
          <w:color w:val="auto"/>
        </w:rPr>
      </w:pPr>
      <w:r>
        <w:rPr>
          <w:rFonts w:ascii="Arial" w:cs="Arial" w:eastAsia="Arial" w:hAnsi="Arial"/>
          <w:sz w:val="13"/>
          <w:szCs w:val="13"/>
          <w:color w:val="auto"/>
        </w:rPr>
        <w:t xml:space="preserve">perform quality control and assurance release procedures, both in-process and for the release of the Product to CENTURY in accordance with </w:t>
      </w:r>
      <w:r>
        <w:rPr>
          <w:rFonts w:ascii="Arial" w:cs="Arial" w:eastAsia="Arial" w:hAnsi="Arial"/>
          <w:sz w:val="13"/>
          <w:szCs w:val="13"/>
          <w:b w:val="1"/>
          <w:bCs w:val="1"/>
          <w:color w:val="auto"/>
        </w:rPr>
        <w:t>Article 10</w:t>
      </w:r>
      <w:r>
        <w:rPr>
          <w:rFonts w:ascii="Arial" w:cs="Arial" w:eastAsia="Arial" w:hAnsi="Arial"/>
          <w:sz w:val="13"/>
          <w:szCs w:val="13"/>
          <w:color w:val="auto"/>
        </w:rPr>
        <w:t xml:space="preserve"> of this Agreement;</w:t>
      </w:r>
    </w:p>
    <w:p>
      <w:pPr>
        <w:spacing w:after="0" w:line="199" w:lineRule="exact"/>
        <w:rPr>
          <w:rFonts w:ascii="Arial" w:cs="Arial" w:eastAsia="Arial" w:hAnsi="Arial"/>
          <w:sz w:val="13"/>
          <w:szCs w:val="13"/>
          <w:color w:val="auto"/>
        </w:rPr>
      </w:pPr>
    </w:p>
    <w:p>
      <w:pPr>
        <w:ind w:left="1040" w:hanging="516"/>
        <w:spacing w:after="0"/>
        <w:tabs>
          <w:tab w:leader="none" w:pos="104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perform and complete the manufacturing of the Batches in accordance with the provisions of this Agreement and Applicable Law in all material respects;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prepare, maintain, and provide scanned copies to CENTURY of the Batch Production Records related to the Batches manufactured by FCDI hereunder;</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write all Product related documentation in the English language;</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not carry on activities in the Facility which will, in the reasonable judgment of the quality assurance department of FCDI, likely prevent the Product from being manufactured in accordance with this Agreement; and</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487"/>
        </w:numPr>
        <w:rPr>
          <w:rFonts w:ascii="Arial" w:cs="Arial" w:eastAsia="Arial" w:hAnsi="Arial"/>
          <w:sz w:val="14"/>
          <w:szCs w:val="14"/>
          <w:color w:val="auto"/>
        </w:rPr>
      </w:pPr>
      <w:r>
        <w:rPr>
          <w:rFonts w:ascii="Arial" w:cs="Arial" w:eastAsia="Arial" w:hAnsi="Arial"/>
          <w:sz w:val="14"/>
          <w:szCs w:val="14"/>
          <w:color w:val="auto"/>
        </w:rPr>
        <w:t>Permit CENTURY and CENTURY’s third-party representatives and consultants to conduct comprehensive quality audits of the Facility (or such other FCDI facility where Activities are performed) on dates and times as agreed to by the Parties, in accordance with the Quality Agreement.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10 - Regulatory Affairs and Quality Assurance</w:t>
      </w:r>
    </w:p>
    <w:p>
      <w:pPr>
        <w:spacing w:after="0" w:line="188" w:lineRule="exact"/>
        <w:rPr>
          <w:sz w:val="20"/>
          <w:szCs w:val="20"/>
          <w:color w:val="auto"/>
        </w:rPr>
      </w:pPr>
    </w:p>
    <w:p>
      <w:pPr>
        <w:jc w:val="both"/>
        <w:ind w:left="520" w:hanging="517"/>
        <w:spacing w:after="0" w:line="294" w:lineRule="auto"/>
        <w:tabs>
          <w:tab w:leader="none" w:pos="50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3"/>
          <w:szCs w:val="13"/>
          <w:color w:val="auto"/>
        </w:rPr>
        <w:t>FCDI will exercise all reasonable skill, care, and diligence in the performance of its duties under this Agreement and carry out all responsibilities within and in accordance with all recognized professional and industry standards and Applicable Law. FCDI shall take all necessary actions to obtain and maintain in full force and effect all permits, licensures, approvals and authorizations that allow FCDI to carry out its obligations under this Agreement, including any licenses for the Facility or other FCDI facilities where Activities are to be performed. FCDI shall operate and maintain the Facility and all equipment used in the manufacture of Products in compliance with GMP, Applicable Law, and the then-current Quality Agreement.</w:t>
      </w:r>
    </w:p>
    <w:p>
      <w:pPr>
        <w:spacing w:after="0" w:line="13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color w:val="auto"/>
        </w:rPr>
        <w:t>FCDI will not subcontract any part of its obligations under this Agreement to any third party without prior written approval by CENTURY.</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b w:val="1"/>
          <w:bCs w:val="1"/>
          <w:color w:val="auto"/>
        </w:rPr>
        <w:t>Quality Control Program</w:t>
      </w:r>
      <w:r>
        <w:rPr>
          <w:rFonts w:ascii="Arial" w:cs="Arial" w:eastAsia="Arial" w:hAnsi="Arial"/>
          <w:sz w:val="13"/>
          <w:szCs w:val="13"/>
          <w:color w:val="auto"/>
        </w:rPr>
        <w:t>: FCDI shall maintain a quality control program as described in the Quality Agreement.</w:t>
      </w:r>
    </w:p>
    <w:p>
      <w:pPr>
        <w:spacing w:after="0" w:line="10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67" w:name="page668"/>
    <w:bookmarkEnd w:id="667"/>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10.4.</w:t>
        <w:tab/>
        <w:t>In carrying out any obligations under this Agreement, FCDI shall comply with all applicable environmental and health and safety laws. Except as expressly set forth in this Agreement, FCDI shall be solely responsible for determining how to carry out these obligations.</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3"/>
          <w:szCs w:val="13"/>
          <w:color w:val="auto"/>
        </w:rPr>
        <w:t>CENTURY shall provide to FCDI in writing the release tests to be performed on the Product and FCDI will perform such release tests.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3"/>
          <w:szCs w:val="13"/>
          <w:color w:val="auto"/>
        </w:rPr>
        <w:t>FCDI will write and maintain all Records relating to the manufacture of the Product supplied hereunder.</w:t>
      </w:r>
    </w:p>
    <w:p>
      <w:pPr>
        <w:spacing w:after="0" w:line="184"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10.7.</w:t>
        <w:tab/>
        <w:t>In accordance with the Quality Agreement, CENTURY’s designated representatives may inspect those portions of the Facility that are used in the manufacturing of the Product at reasonable times during the manufacturing campaign of/for the Product, observing confidentiality obligations with respect to third parties, for the purpose of determining compliance with the terms of this Agreement. FCDI will provide full cooperation for and during these inspections.</w:t>
      </w:r>
    </w:p>
    <w:p>
      <w:pPr>
        <w:spacing w:after="0" w:line="141" w:lineRule="exact"/>
        <w:rPr>
          <w:sz w:val="20"/>
          <w:szCs w:val="20"/>
          <w:color w:val="auto"/>
        </w:rPr>
      </w:pPr>
    </w:p>
    <w:p>
      <w:pPr>
        <w:jc w:val="both"/>
        <w:ind w:left="520" w:hanging="517"/>
        <w:spacing w:after="0" w:line="265" w:lineRule="auto"/>
        <w:tabs>
          <w:tab w:leader="none" w:pos="500" w:val="left"/>
        </w:tabs>
        <w:rPr>
          <w:sz w:val="20"/>
          <w:szCs w:val="20"/>
          <w:color w:val="auto"/>
        </w:rPr>
      </w:pPr>
      <w:r>
        <w:rPr>
          <w:rFonts w:ascii="Arial" w:cs="Arial" w:eastAsia="Arial" w:hAnsi="Arial"/>
          <w:sz w:val="14"/>
          <w:szCs w:val="14"/>
          <w:color w:val="auto"/>
        </w:rPr>
        <w:t>10.8.</w:t>
        <w:tab/>
        <w:t>FCDI’s quality assurance department will review and approve all BPRs and will investigate all deviations on such BPRs. Within ten (10) FCDI working days after completion of manufacture of each Batch, FCDI will supply CENTURY with a Certificate of Compliance for such Batch stating that the BPRs and related documentation have been reviewed and, if applicable, found to be in compliance with GMP in all material respects. In the event additional activities (like method qualifications or other activities) are agreed between the Parties to be performed in parallel with the release of a Batch, the batch disposition timeframe of within ten (10) FCDI working days might not be feasible. In this case, the Parties shall agree upon a revised batch disposition timeline in the applicable Work Order.</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3"/>
          <w:szCs w:val="13"/>
          <w:color w:val="auto"/>
        </w:rPr>
        <w:t>CENTURY will inspect Product released by FCDI and review all BPRs within ten (10) days after its receipt.</w:t>
      </w:r>
    </w:p>
    <w:p>
      <w:pPr>
        <w:spacing w:after="0" w:line="184" w:lineRule="exact"/>
        <w:rPr>
          <w:sz w:val="20"/>
          <w:szCs w:val="20"/>
          <w:color w:val="auto"/>
        </w:rPr>
      </w:pPr>
    </w:p>
    <w:p>
      <w:pPr>
        <w:jc w:val="both"/>
        <w:ind w:left="520" w:hanging="517"/>
        <w:spacing w:after="0" w:line="267" w:lineRule="auto"/>
        <w:tabs>
          <w:tab w:leader="none" w:pos="500" w:val="left"/>
        </w:tabs>
        <w:rPr>
          <w:sz w:val="20"/>
          <w:szCs w:val="20"/>
          <w:color w:val="auto"/>
        </w:rPr>
      </w:pPr>
      <w:r>
        <w:rPr>
          <w:rFonts w:ascii="Arial" w:cs="Arial" w:eastAsia="Arial" w:hAnsi="Arial"/>
          <w:sz w:val="14"/>
          <w:szCs w:val="14"/>
          <w:color w:val="auto"/>
        </w:rPr>
        <w:t>10.10.</w:t>
        <w:tab/>
        <w:t>Notwithstanding the other provisions of this Agreement, CENTURY shall have final responsibility and decision-making authority as it relates to (a) any aspect of the conduct of the technology transfer described herein, the performance of process and analytical development activities hereunder, GMP manufacturing activities where the applicable Work Order or the Quality Agreement expressly provides that such aspect is to be decided by or as solely the responsibility of Century and (b) the release of Product manufactured by FCDI or any product comprising the Product manufactured by FCDI.</w:t>
      </w:r>
    </w:p>
    <w:p>
      <w:pPr>
        <w:spacing w:after="0" w:line="147"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10.11.</w:t>
        <w:tab/>
        <w:t>FCDI will notify CENTURY by no more than thirty (30) days in advance of any proposed modifications to the Facility (including but not limited to the equipment) insofar as such modifications are in the reasonable judgment of the Quality Assurance department of FCDI relevant to the manufacturing processes for the Product or any other obligations of FCDI hereunder.</w:t>
      </w:r>
    </w:p>
    <w:p>
      <w:pPr>
        <w:spacing w:after="0" w:line="141"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10.12.</w:t>
        <w:tab/>
        <w:t>FCDI will retain and CENTURY shall allow FCDI to retain manufacturing data, test records generated by FCDI’s performance of Activities hereunder and Raw Material samples as required to satisfy GMP, if and to the extent Product is to be manufactured under GMP. FCDI will provide CENTURY, free of charge, with copies of all manufacturing data and test records, as well as copies of other documents resulting from work under this Agreement required by CENTURY for regulatory</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68" w:name="page669"/>
    <w:bookmarkEnd w:id="668"/>
    <w:p>
      <w:pPr>
        <w:jc w:val="both"/>
        <w:ind w:left="560"/>
        <w:spacing w:after="0" w:line="273" w:lineRule="auto"/>
        <w:rPr>
          <w:sz w:val="20"/>
          <w:szCs w:val="20"/>
          <w:color w:val="auto"/>
        </w:rPr>
      </w:pPr>
      <w:r>
        <w:rPr>
          <w:rFonts w:ascii="Arial" w:cs="Arial" w:eastAsia="Arial" w:hAnsi="Arial"/>
          <w:sz w:val="14"/>
          <w:szCs w:val="14"/>
          <w:color w:val="auto"/>
        </w:rPr>
        <w:t xml:space="preserve">purposes in accordance with Article 4 of the MCA (the provisions of which shall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and the Quality Agreement. Such documents to be provided to CENTURY are not copyright protected, and CENTURY may use these documents for regulatory and due diligence purposes and such other purposes as are set forth in this Agreement or the MCA.</w:t>
      </w:r>
    </w:p>
    <w:p>
      <w:pPr>
        <w:spacing w:after="0" w:line="163"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10.13.</w:t>
        <w:tab/>
        <w:t>In accordance with the Quality Agreement, FCDI shall promptly (but in any event within [***] notify Century about any regulatory inspection and shall share the observations made (if any) by the regulatory agency related to the Products during the inspection.</w:t>
      </w:r>
    </w:p>
    <w:p>
      <w:pPr>
        <w:spacing w:after="0" w:line="13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10.14.</w:t>
      </w:r>
      <w:r>
        <w:rPr>
          <w:sz w:val="20"/>
          <w:szCs w:val="20"/>
          <w:color w:val="auto"/>
        </w:rPr>
        <w:tab/>
      </w:r>
      <w:r>
        <w:rPr>
          <w:rFonts w:ascii="Arial" w:cs="Arial" w:eastAsia="Arial" w:hAnsi="Arial"/>
          <w:sz w:val="13"/>
          <w:szCs w:val="13"/>
          <w:color w:val="auto"/>
        </w:rPr>
        <w:t>The Quality Agreement sets forth the responsibilities of both Parties relating to quality affairs and contains specific provisions agreed to by the Parties in mitigation of any audit findings.</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Quality Agreement shall not be construed or interpreted in such manner as to augment or increase the responsibilities, liabilities or warranties of either Party under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11 - Financial Terms</w:t>
      </w:r>
    </w:p>
    <w:p>
      <w:pPr>
        <w:spacing w:after="0" w:line="188" w:lineRule="exact"/>
        <w:rPr>
          <w:sz w:val="20"/>
          <w:szCs w:val="20"/>
          <w:color w:val="auto"/>
        </w:rPr>
      </w:pPr>
    </w:p>
    <w:p>
      <w:pPr>
        <w:jc w:val="both"/>
        <w:ind w:left="520" w:hanging="517"/>
        <w:spacing w:after="0" w:line="303" w:lineRule="auto"/>
        <w:tabs>
          <w:tab w:leader="none" w:pos="50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3"/>
          <w:szCs w:val="13"/>
          <w:color w:val="auto"/>
        </w:rPr>
        <w:t xml:space="preserve">As payment in full for the performance by FCDI of the Activities as described in the applicable Work Order, CENTURY shall pay to FCDI all amounts set forth in the Financial Terms (such Financial Terms may be amended by written agreement between the Parties as an amendment to the applicable Work Order in connection with any other change to such Work Order made effective pursuant to </w:t>
      </w:r>
      <w:r>
        <w:rPr>
          <w:rFonts w:ascii="Arial" w:cs="Arial" w:eastAsia="Arial" w:hAnsi="Arial"/>
          <w:sz w:val="13"/>
          <w:szCs w:val="13"/>
          <w:b w:val="1"/>
          <w:bCs w:val="1"/>
          <w:color w:val="auto"/>
        </w:rPr>
        <w:t>Article 4.10</w:t>
      </w:r>
      <w:r>
        <w:rPr>
          <w:rFonts w:ascii="Arial" w:cs="Arial" w:eastAsia="Arial" w:hAnsi="Arial"/>
          <w:sz w:val="13"/>
          <w:szCs w:val="13"/>
          <w:color w:val="auto"/>
        </w:rPr>
        <w:t xml:space="preserve"> of this Agreement or other written agreement signed by the Parties) and that are undisputed by Century in accordance herewith.</w:t>
      </w:r>
    </w:p>
    <w:p>
      <w:pPr>
        <w:spacing w:after="0" w:line="12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3"/>
          <w:szCs w:val="13"/>
          <w:color w:val="auto"/>
        </w:rPr>
        <w:t>Raw Materials will be invoiced as follows;</w:t>
      </w:r>
    </w:p>
    <w:p>
      <w:pPr>
        <w:spacing w:after="0" w:line="184" w:lineRule="exact"/>
        <w:rPr>
          <w:sz w:val="20"/>
          <w:szCs w:val="20"/>
          <w:color w:val="auto"/>
        </w:rPr>
      </w:pPr>
    </w:p>
    <w:p>
      <w:pPr>
        <w:ind w:left="1040" w:hanging="516"/>
        <w:spacing w:after="0" w:line="288" w:lineRule="auto"/>
        <w:tabs>
          <w:tab w:leader="none" w:pos="10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 xml:space="preserve">As used during the Technology Transfer Phase, Process Development Phase, Engineering Phase and/or Analytical Test Phase, or for any other activity not described in this </w:t>
      </w:r>
      <w:r>
        <w:rPr>
          <w:rFonts w:ascii="Arial" w:cs="Arial" w:eastAsia="Arial" w:hAnsi="Arial"/>
          <w:sz w:val="14"/>
          <w:szCs w:val="14"/>
          <w:b w:val="1"/>
          <w:bCs w:val="1"/>
          <w:color w:val="auto"/>
        </w:rPr>
        <w:t>Article 11.2</w:t>
      </w:r>
      <w:r>
        <w:rPr>
          <w:rFonts w:ascii="Arial" w:cs="Arial" w:eastAsia="Arial" w:hAnsi="Arial"/>
          <w:sz w:val="14"/>
          <w:szCs w:val="14"/>
          <w:color w:val="auto"/>
        </w:rPr>
        <w:t>, as agreed in writing between the Parties at such time;</w:t>
      </w:r>
    </w:p>
    <w:p>
      <w:pPr>
        <w:spacing w:after="0" w:line="13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As a per Batch up-front Raw Material fee. Upon completion of the manufacture of each Batch, any potential excess use will be calculated and invoiced to CENTURY. The upfront Raw Material fee amount and due date for payment is as indicated in the applicable Work Order. The Parties will also agree if back-up Raw Materials are to be ordered; and</w:t>
      </w:r>
    </w:p>
    <w:p>
      <w:pPr>
        <w:spacing w:after="0" w:line="14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488"/>
        </w:numPr>
        <w:rPr>
          <w:rFonts w:ascii="Arial" w:cs="Arial" w:eastAsia="Arial" w:hAnsi="Arial"/>
          <w:sz w:val="14"/>
          <w:szCs w:val="14"/>
          <w:color w:val="auto"/>
        </w:rPr>
      </w:pPr>
      <w:r>
        <w:rPr>
          <w:rFonts w:ascii="Arial" w:cs="Arial" w:eastAsia="Arial" w:hAnsi="Arial"/>
          <w:sz w:val="14"/>
          <w:szCs w:val="14"/>
          <w:color w:val="auto"/>
        </w:rPr>
        <w:t>Where multiple Batches are manufactured, unconsumed Raw Materials paid for upfront for a previous Batch will be maintained in appropriate GMP storage by FCDI. FCDI will make good faith efforts to apply these Raw Materials to subsequent Batches and to plan Raw Material acquisition efficiently across all Batches to which CENTURY has committed to execution pursuant to Work Order(s) or as otherwise provided herein.</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All invoiced amounts are to be denominated in US dollars.</w:t>
      </w:r>
    </w:p>
    <w:p>
      <w:pPr>
        <w:spacing w:after="0" w:line="184" w:lineRule="exact"/>
        <w:rPr>
          <w:sz w:val="20"/>
          <w:szCs w:val="20"/>
          <w:color w:val="auto"/>
        </w:rPr>
      </w:pPr>
    </w:p>
    <w:p>
      <w:pPr>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FCDI will issue an invoice to CENTURY for each amount due under the Financial Terms as specified in the applicable Work Order and for any other amounts to be reimbursed or otherwise paid by CENTURY hereunder. Payment shall be made by CENTURY into the bank account indicated on such invoice on or before (i) [***]</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69" w:name="page670"/>
    <w:bookmarkEnd w:id="669"/>
    <w:p>
      <w:pPr>
        <w:ind w:left="580"/>
        <w:spacing w:after="0"/>
        <w:rPr>
          <w:sz w:val="20"/>
          <w:szCs w:val="20"/>
          <w:color w:val="auto"/>
        </w:rPr>
      </w:pPr>
      <w:r>
        <w:rPr>
          <w:rFonts w:ascii="Arial" w:cs="Arial" w:eastAsia="Arial" w:hAnsi="Arial"/>
          <w:sz w:val="14"/>
          <w:szCs w:val="14"/>
          <w:color w:val="auto"/>
        </w:rPr>
        <w:t>after the date the applicable invoice is received by CENTURY, or (ii) the date specified in the Financial Terms, whichever is earlier.</w:t>
      </w:r>
    </w:p>
    <w:p>
      <w:pPr>
        <w:spacing w:after="0" w:line="206"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11.5.</w:t>
      </w:r>
      <w:r>
        <w:rPr>
          <w:sz w:val="20"/>
          <w:szCs w:val="20"/>
          <w:color w:val="auto"/>
        </w:rPr>
        <w:tab/>
      </w:r>
      <w:r>
        <w:rPr>
          <w:rFonts w:ascii="Arial" w:cs="Arial" w:eastAsia="Arial" w:hAnsi="Arial"/>
          <w:sz w:val="14"/>
          <w:szCs w:val="14"/>
          <w:color w:val="auto"/>
        </w:rPr>
        <w:t>FCDI will submit invoices, in the form of a portable document format (‘pdf’), referencing the applicable Work Order by email to CENTURY at the following email address: [***]. FCDI will also provide CENTURY with its finance factsheet covering the finance account details of FCDI upon signature of this Agreement.</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4"/>
          <w:szCs w:val="14"/>
          <w:color w:val="auto"/>
        </w:rPr>
        <w:t>Termination of this Agreement shall, unless explicitly provided otherwise in this Agreement, not release CENTURY from any liability for payment accrued or accruing to FCDI prior to the termination date.</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11.7.</w:t>
      </w:r>
      <w:r>
        <w:rPr>
          <w:sz w:val="20"/>
          <w:szCs w:val="20"/>
          <w:color w:val="auto"/>
        </w:rPr>
        <w:tab/>
      </w:r>
      <w:r>
        <w:rPr>
          <w:rFonts w:ascii="Arial" w:cs="Arial" w:eastAsia="Arial" w:hAnsi="Arial"/>
          <w:sz w:val="12"/>
          <w:szCs w:val="12"/>
          <w:color w:val="auto"/>
        </w:rPr>
        <w:t xml:space="preserve">Subject to </w:t>
      </w:r>
      <w:r>
        <w:rPr>
          <w:rFonts w:ascii="Arial" w:cs="Arial" w:eastAsia="Arial" w:hAnsi="Arial"/>
          <w:sz w:val="12"/>
          <w:szCs w:val="12"/>
          <w:b w:val="1"/>
          <w:bCs w:val="1"/>
          <w:color w:val="auto"/>
        </w:rPr>
        <w:t>Article 11.1</w:t>
      </w:r>
      <w:r>
        <w:rPr>
          <w:rFonts w:ascii="Arial" w:cs="Arial" w:eastAsia="Arial" w:hAnsi="Arial"/>
          <w:sz w:val="12"/>
          <w:szCs w:val="12"/>
          <w:color w:val="auto"/>
        </w:rPr>
        <w:t xml:space="preserve"> and the Financial Terms, each Party shall bear its own travel costs and other expenses related to this Agreement, unless otherwise agreed in writing in advance.</w:t>
      </w:r>
    </w:p>
    <w:p>
      <w:pPr>
        <w:spacing w:after="0" w:line="188" w:lineRule="exact"/>
        <w:rPr>
          <w:sz w:val="20"/>
          <w:szCs w:val="20"/>
          <w:color w:val="auto"/>
        </w:rPr>
      </w:pPr>
    </w:p>
    <w:p>
      <w:pPr>
        <w:jc w:val="both"/>
        <w:ind w:left="520" w:hanging="517"/>
        <w:spacing w:after="0" w:line="290" w:lineRule="auto"/>
        <w:tabs>
          <w:tab w:leader="none" w:pos="50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3"/>
          <w:szCs w:val="13"/>
          <w:color w:val="auto"/>
        </w:rPr>
        <w:t xml:space="preserve">The Parties agree that the amount(s) mentioned in the Financial Terms in this Agreement in respect of the Manufacturing Activities as specified in each applicable Work Order are based on the current assumptions (as of the applicable Work Order) of the manufacturing process for the Product to be developed/transferred under this Agreement. Since such manufacturing process may be modified during the performance of the requested Activities and the assumptions may not be correct, the Parties agree that the amounts may need to be adjusted in order to reflect changes to the then current assumptions of/for the manufacturing process resulting in the actual manufacturing process. Any such changes to the Financial Terms will follow the mechanism outlined above concerning Requests for Change, and will become effective, in accordance with </w:t>
      </w:r>
      <w:r>
        <w:rPr>
          <w:rFonts w:ascii="Arial" w:cs="Arial" w:eastAsia="Arial" w:hAnsi="Arial"/>
          <w:sz w:val="13"/>
          <w:szCs w:val="13"/>
          <w:b w:val="1"/>
          <w:bCs w:val="1"/>
          <w:color w:val="auto"/>
        </w:rPr>
        <w:t>Article 4 (Articles 4.5</w:t>
      </w:r>
      <w:r>
        <w:rPr>
          <w:rFonts w:ascii="Arial" w:cs="Arial" w:eastAsia="Arial" w:hAnsi="Arial"/>
          <w:sz w:val="13"/>
          <w:szCs w:val="13"/>
          <w:color w:val="auto"/>
        </w:rPr>
        <w:t xml:space="preserve"> through </w:t>
      </w:r>
      <w:r>
        <w:rPr>
          <w:rFonts w:ascii="Arial" w:cs="Arial" w:eastAsia="Arial" w:hAnsi="Arial"/>
          <w:sz w:val="13"/>
          <w:szCs w:val="13"/>
          <w:b w:val="1"/>
          <w:bCs w:val="1"/>
          <w:color w:val="auto"/>
        </w:rPr>
        <w:t>4.11)</w:t>
      </w:r>
      <w:r>
        <w:rPr>
          <w:rFonts w:ascii="Arial" w:cs="Arial" w:eastAsia="Arial" w:hAnsi="Arial"/>
          <w:sz w:val="13"/>
          <w:szCs w:val="13"/>
          <w:color w:val="auto"/>
        </w:rPr>
        <w:t xml:space="preserve"> of this Agreement.</w:t>
      </w:r>
    </w:p>
    <w:p>
      <w:pPr>
        <w:spacing w:after="0" w:line="13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11.9.</w:t>
      </w:r>
      <w:r>
        <w:rPr>
          <w:sz w:val="20"/>
          <w:szCs w:val="20"/>
          <w:color w:val="auto"/>
        </w:rPr>
        <w:tab/>
      </w:r>
      <w:r>
        <w:rPr>
          <w:rFonts w:ascii="Arial" w:cs="Arial" w:eastAsia="Arial" w:hAnsi="Arial"/>
          <w:sz w:val="13"/>
          <w:szCs w:val="13"/>
          <w:color w:val="auto"/>
        </w:rPr>
        <w:t xml:space="preserve">Provisions of Section 5.1 (the last three sentences only) and Section 5.4 of the MCA shall apply to this Agreement, </w:t>
      </w:r>
      <w:r>
        <w:rPr>
          <w:rFonts w:ascii="Arial" w:cs="Arial" w:eastAsia="Arial" w:hAnsi="Arial"/>
          <w:sz w:val="13"/>
          <w:szCs w:val="13"/>
          <w:i w:val="1"/>
          <w:iCs w:val="1"/>
          <w:color w:val="auto"/>
        </w:rPr>
        <w:t>mutatis mutandis.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12 - Intellectual property and Proprietary Rights</w:t>
      </w:r>
    </w:p>
    <w:p>
      <w:pPr>
        <w:spacing w:after="0" w:line="18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12.1.</w:t>
      </w:r>
      <w:r>
        <w:rPr>
          <w:sz w:val="20"/>
          <w:szCs w:val="20"/>
          <w:color w:val="auto"/>
        </w:rPr>
        <w:tab/>
      </w:r>
      <w:r>
        <w:rPr>
          <w:rFonts w:ascii="Arial" w:cs="Arial" w:eastAsia="Arial" w:hAnsi="Arial"/>
          <w:sz w:val="13"/>
          <w:szCs w:val="13"/>
          <w:color w:val="auto"/>
        </w:rPr>
        <w:t xml:space="preserve">The provisions of Article 6 of the MCA shall apply to this Agreement, </w:t>
      </w:r>
      <w:r>
        <w:rPr>
          <w:rFonts w:ascii="Arial" w:cs="Arial" w:eastAsia="Arial" w:hAnsi="Arial"/>
          <w:sz w:val="13"/>
          <w:szCs w:val="13"/>
          <w:i w:val="1"/>
          <w:iCs w:val="1"/>
          <w:color w:val="auto"/>
        </w:rPr>
        <w:t>mutatis mutandis.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13 - Representations, Warranties, Liability, Indemnities and Insurance</w:t>
      </w:r>
    </w:p>
    <w:p>
      <w:pPr>
        <w:spacing w:after="0" w:line="188"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13.1.</w:t>
        <w:tab/>
        <w:t>FCDI shall secure and maintain in full force and effect throughout the term of the Agreement policies of insurance for (a) workers’ compensation in accordance with applicable statutory requirements; employer’s liability in an amount not less than [***]; and automobile liability in an amount not less than [***], (b) commercial general liability in an amount not less than [***] per occurrence and [***] in the aggregate, and (c) products liability in an amount not less than [***] per occurrence and [***] in the aggregate.</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The provisions of Sections 3.1, 3.2 and 3.5 and Article 8 (excluding the last sentence of Section 8.4 thereof) of the MCA shall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provided, however, that notwithstanding anything to the contrary in Article 8 of the MCA: (a) FCDI shall be obligated to indemnify Century Indemnitees (as defined in Section 8.1</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496" w:right="319" w:bottom="1440" w:gutter="0" w:footer="0" w:header="0"/>
        </w:sectPr>
      </w:pPr>
    </w:p>
    <w:bookmarkStart w:id="670" w:name="page671"/>
    <w:bookmarkEnd w:id="670"/>
    <w:p>
      <w:pPr>
        <w:jc w:val="both"/>
        <w:spacing w:after="0" w:line="285" w:lineRule="auto"/>
        <w:rPr>
          <w:sz w:val="20"/>
          <w:szCs w:val="20"/>
          <w:color w:val="auto"/>
        </w:rPr>
      </w:pPr>
      <w:r>
        <w:rPr>
          <w:rFonts w:ascii="Arial" w:cs="Arial" w:eastAsia="Arial" w:hAnsi="Arial"/>
          <w:sz w:val="13"/>
          <w:szCs w:val="13"/>
          <w:color w:val="auto"/>
        </w:rPr>
        <w:t>of the MCA) pursuant to clause (a) of Section 8.1 of the MCA with respect to only material breaches of this Agreement by FCDI (subject to what is provided in clause (c) of this proviso); (b) Century shall be obligated to indemnify FCDI Indemnitees (as defined in Section 8.2 of the MCA) pursuant to clause (c) of Section 8.2 of the MCA with respect to only material breaches of this Agreement by Century; (c) FCDI shall have no obligation pursuant to Article 8 of the MCA as applicable hereto with respect to a Batch the release of which CENTURY has authorized in accordance with Article 9.1(f) and Article 10.9, i.e., has accepted or is deemed to have accepted such Batch in accordance with Article 7, whether the basis upon which a Century Indemnitee otherwise would be entitled to be indemnified pursuant to Article 8 of the MCA as applicable hereto would arise in contract or otherwise; and (d) FCDI’s aggregate liability under this Agreement pursuant to pursuant to clause (a) of Section 8.1 of the MCA as applicable hereto shall be limited by the Cap (as defined in the MCA) except for FCDI’s liability for a material breach of this Agreement that constitutes a failure to manufacture Product according to the GMP Procedures and under GMP (to which the Cap shall not apply).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14 - Confidentiality</w:t>
      </w:r>
    </w:p>
    <w:p>
      <w:pPr>
        <w:spacing w:after="0" w:line="188"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14.1.</w:t>
        <w:tab/>
        <w:t xml:space="preserve">The provisions of Article 7 of the MCA shall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The Parties agree that, for all purposes, Article 7 of the MCA obligates each Party to not use the Confidential Information of the other Party for any purpose except those purposes expressly permitted by the MCA or, as such Article 7 is applicable with respect hereto, those purposes expressly permitted by this Agreement.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15 - Term and Termination</w:t>
      </w:r>
    </w:p>
    <w:p>
      <w:pPr>
        <w:spacing w:after="0" w:line="188" w:lineRule="exact"/>
        <w:rPr>
          <w:sz w:val="20"/>
          <w:szCs w:val="20"/>
          <w:color w:val="auto"/>
        </w:rPr>
      </w:pPr>
    </w:p>
    <w:p>
      <w:pPr>
        <w:jc w:val="both"/>
        <w:ind w:left="520" w:hanging="517"/>
        <w:spacing w:after="0" w:line="265" w:lineRule="auto"/>
        <w:tabs>
          <w:tab w:leader="none" w:pos="500" w:val="left"/>
        </w:tabs>
        <w:rPr>
          <w:sz w:val="20"/>
          <w:szCs w:val="20"/>
          <w:color w:val="auto"/>
        </w:rPr>
      </w:pPr>
      <w:r>
        <w:rPr>
          <w:rFonts w:ascii="Arial" w:cs="Arial" w:eastAsia="Arial" w:hAnsi="Arial"/>
          <w:sz w:val="14"/>
          <w:szCs w:val="14"/>
          <w:color w:val="auto"/>
        </w:rPr>
        <w:t>15.1.</w:t>
        <w:tab/>
        <w:t>If it becomes apparent to either FCDI or CENTURY at any stage in the provision of Process Development Activities, Analytical Testing Development Activities, or Engineering Batch Activities, as applicable, that it will not be possible to complete such Activities for scientific or technical reasons, such Party shall give the other Party written notice of such fact and during the sixty (60) day period commencing on the date of the other Party’s receipt of such notice, the Parties shall discuss in good faith the commercially reasonable efforts or other measures that might be undertaken to resolve such problems. If such problems are not resolved within such 60-day period, each Party shall have the right to terminate such Activities and this Agreement, including the applicable Work Order(s), with respect to such Activities forthwith by notice to the other Party in writing.</w:t>
      </w:r>
    </w:p>
    <w:p>
      <w:pPr>
        <w:spacing w:after="0" w:line="143" w:lineRule="exact"/>
        <w:rPr>
          <w:sz w:val="20"/>
          <w:szCs w:val="20"/>
          <w:color w:val="auto"/>
        </w:rPr>
      </w:pPr>
    </w:p>
    <w:p>
      <w:pPr>
        <w:jc w:val="both"/>
        <w:ind w:left="520"/>
        <w:spacing w:after="0" w:line="288" w:lineRule="auto"/>
        <w:rPr>
          <w:sz w:val="20"/>
          <w:szCs w:val="20"/>
          <w:color w:val="auto"/>
        </w:rPr>
      </w:pPr>
      <w:r>
        <w:rPr>
          <w:rFonts w:ascii="Arial" w:cs="Arial" w:eastAsia="Arial" w:hAnsi="Arial"/>
          <w:sz w:val="13"/>
          <w:szCs w:val="13"/>
          <w:u w:val="single" w:color="auto"/>
          <w:color w:val="auto"/>
        </w:rPr>
        <w:t>Delivery of Records</w:t>
      </w:r>
      <w:r>
        <w:rPr>
          <w:rFonts w:ascii="Arial" w:cs="Arial" w:eastAsia="Arial" w:hAnsi="Arial"/>
          <w:sz w:val="13"/>
          <w:szCs w:val="13"/>
          <w:color w:val="auto"/>
        </w:rPr>
        <w:t xml:space="preserve">: Upon termination of this Agreement in accordance with the provisions of this Agreement, including the first paragraph of this </w:t>
      </w:r>
      <w:r>
        <w:rPr>
          <w:rFonts w:ascii="Arial" w:cs="Arial" w:eastAsia="Arial" w:hAnsi="Arial"/>
          <w:sz w:val="13"/>
          <w:szCs w:val="13"/>
          <w:b w:val="1"/>
          <w:bCs w:val="1"/>
          <w:color w:val="auto"/>
        </w:rPr>
        <w:t>Article 15.1</w:t>
      </w:r>
      <w:r>
        <w:rPr>
          <w:rFonts w:ascii="Arial" w:cs="Arial" w:eastAsia="Arial" w:hAnsi="Arial"/>
          <w:sz w:val="13"/>
          <w:szCs w:val="13"/>
          <w:color w:val="auto"/>
        </w:rPr>
        <w:t xml:space="preserve"> or upon written request by Century, FCDI will deliver or return, as applicable, to CENTURY, at CENTURY’s cost, all Product related information generated by or on behalf of FCDI, or obtained from Century, in the course of FCDI’s providing of Activities hereunder, Records, and unused Materials related to the Process Development Activities, the Manufacturing Activities, the Analytical Testing Development Activities and the Engineering Batch Activities. For clarity, such Product related information or Records include, e.g., analytical methods, batch records, certificates of analysis, process or analytical validation reports, etc., and Materials include, e.g., reference standards, products, in-process samples, stability samples, product retain samples, work-in-progress, etc.; provided, however, that FCDI shall be permitted to retain one (1) copy of all Product related information and Records for archival and regulatory purposes, which copy will</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671" w:name="page672"/>
    <w:bookmarkEnd w:id="671"/>
    <w:p>
      <w:pPr>
        <w:ind w:left="520"/>
        <w:spacing w:after="0" w:line="294" w:lineRule="auto"/>
        <w:rPr>
          <w:sz w:val="20"/>
          <w:szCs w:val="20"/>
          <w:color w:val="auto"/>
        </w:rPr>
      </w:pPr>
      <w:r>
        <w:rPr>
          <w:rFonts w:ascii="Arial" w:cs="Arial" w:eastAsia="Arial" w:hAnsi="Arial"/>
          <w:sz w:val="14"/>
          <w:szCs w:val="14"/>
          <w:color w:val="auto"/>
        </w:rPr>
        <w:t xml:space="preserve">remain subject to the provisions of </w:t>
      </w:r>
      <w:r>
        <w:rPr>
          <w:rFonts w:ascii="Arial" w:cs="Arial" w:eastAsia="Arial" w:hAnsi="Arial"/>
          <w:sz w:val="14"/>
          <w:szCs w:val="14"/>
          <w:b w:val="1"/>
          <w:bCs w:val="1"/>
          <w:color w:val="auto"/>
        </w:rPr>
        <w:t>Article 12</w:t>
      </w:r>
      <w:r>
        <w:rPr>
          <w:rFonts w:ascii="Arial" w:cs="Arial" w:eastAsia="Arial" w:hAnsi="Arial"/>
          <w:sz w:val="14"/>
          <w:szCs w:val="14"/>
          <w:color w:val="auto"/>
        </w:rPr>
        <w:t xml:space="preserve"> and </w:t>
      </w:r>
      <w:r>
        <w:rPr>
          <w:rFonts w:ascii="Arial" w:cs="Arial" w:eastAsia="Arial" w:hAnsi="Arial"/>
          <w:sz w:val="14"/>
          <w:szCs w:val="14"/>
          <w:b w:val="1"/>
          <w:bCs w:val="1"/>
          <w:color w:val="auto"/>
        </w:rPr>
        <w:t>Article 14</w:t>
      </w:r>
      <w:r>
        <w:rPr>
          <w:rFonts w:ascii="Arial" w:cs="Arial" w:eastAsia="Arial" w:hAnsi="Arial"/>
          <w:sz w:val="14"/>
          <w:szCs w:val="14"/>
          <w:color w:val="auto"/>
        </w:rPr>
        <w:t xml:space="preserve"> hereof. FCDI agrees to cooperate with the transfer of such Product related information, Records and Materials to Century in an expeditious and collaborative fashion for as long as they remain in FCDI’s possession or control.</w:t>
      </w:r>
    </w:p>
    <w:p>
      <w:pPr>
        <w:spacing w:after="0" w:line="149" w:lineRule="exact"/>
        <w:rPr>
          <w:sz w:val="20"/>
          <w:szCs w:val="20"/>
          <w:color w:val="auto"/>
        </w:rPr>
      </w:pPr>
    </w:p>
    <w:p>
      <w:pPr>
        <w:jc w:val="both"/>
        <w:ind w:left="520" w:hanging="517"/>
        <w:spacing w:after="0" w:line="267" w:lineRule="auto"/>
        <w:tabs>
          <w:tab w:leader="none" w:pos="500" w:val="left"/>
        </w:tabs>
        <w:rPr>
          <w:sz w:val="20"/>
          <w:szCs w:val="20"/>
          <w:color w:val="auto"/>
        </w:rPr>
      </w:pPr>
      <w:r>
        <w:rPr>
          <w:rFonts w:ascii="Arial" w:cs="Arial" w:eastAsia="Arial" w:hAnsi="Arial"/>
          <w:sz w:val="14"/>
          <w:szCs w:val="14"/>
          <w:color w:val="auto"/>
        </w:rPr>
        <w:t>15.2.</w:t>
        <w:tab/>
        <w:t xml:space="preserve">This Agreement shall be valid and in full force and effect until terminated by either Party pursuant to the terms hereof. Although the provisions for Termination of the MCA included in Sections 9.2, 9.3 and 9.4 of the MCA shall also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and provided, that (i) this Agreement may be terminated by mutual agreement between the Parties independently of the MCA and (ii) Century shall not terminate this Agreement for convenience (pursuant to Section 9.2(b) of the MCA) until after the expiration of the Exclusivity Term.</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Article 16 - Additional</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The provisions of Articles 4 and 10 of the MCA shall apply to this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provided, however, that in the event of a conflict or inconsistency between any provision of the MCA as made applicable to this Agreement pursuant to the foregoing provision and another provision of this Agreement, the provision of this Agreement will control, unless the conflict or inconsistency is specifically identified in the applicable Work Order(s) and the provision of the MCA as made applicable hereto is expressly stated in the applicable Work Order(s) to supersede such conflicting or inconsistent provision in this Agreement.</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86" w:right="319" w:bottom="1440" w:gutter="0" w:footer="0" w:header="0"/>
        </w:sectPr>
      </w:pPr>
    </w:p>
    <w:bookmarkStart w:id="672" w:name="page673"/>
    <w:bookmarkEnd w:id="672"/>
    <w:p>
      <w:pPr>
        <w:spacing w:after="0"/>
        <w:rPr>
          <w:sz w:val="20"/>
          <w:szCs w:val="20"/>
          <w:color w:val="auto"/>
        </w:rPr>
      </w:pPr>
      <w:r>
        <w:rPr>
          <w:rFonts w:ascii="Arial" w:cs="Arial" w:eastAsia="Arial" w:hAnsi="Arial"/>
          <w:sz w:val="14"/>
          <w:szCs w:val="14"/>
          <w:color w:val="auto"/>
        </w:rPr>
        <w:t>IN WITNESS WHEREOF, the Parties have caused this Agreement to be executed and delivered as of the Effective Date by their duly authorized representatives: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Inc.</w:t>
            </w:r>
          </w:p>
        </w:tc>
        <w:tc>
          <w:tcPr>
            <w:tcW w:w="5840" w:type="dxa"/>
            <w:vAlign w:val="bottom"/>
            <w:gridSpan w:val="2"/>
          </w:tcPr>
          <w:p>
            <w:pPr>
              <w:ind w:left="440"/>
              <w:spacing w:after="0"/>
              <w:rPr>
                <w:sz w:val="20"/>
                <w:szCs w:val="20"/>
                <w:color w:val="auto"/>
              </w:rPr>
            </w:pPr>
            <w:r>
              <w:rPr>
                <w:rFonts w:ascii="Arial" w:cs="Arial" w:eastAsia="Arial" w:hAnsi="Arial"/>
                <w:sz w:val="14"/>
                <w:szCs w:val="14"/>
                <w:b w:val="1"/>
                <w:bCs w:val="1"/>
                <w:color w:val="auto"/>
              </w:rPr>
              <w:t>FUJIFILM Cellular Dynamics, Inc.</w:t>
            </w:r>
          </w:p>
        </w:tc>
      </w:tr>
      <w:tr>
        <w:trPr>
          <w:trHeight w:val="345"/>
        </w:trPr>
        <w:tc>
          <w:tcPr>
            <w:tcW w:w="5440" w:type="dxa"/>
            <w:vAlign w:val="bottom"/>
            <w:gridSpan w:val="2"/>
          </w:tcPr>
          <w:p>
            <w:pPr>
              <w:spacing w:after="0"/>
              <w:rPr>
                <w:sz w:val="20"/>
                <w:szCs w:val="20"/>
                <w:color w:val="auto"/>
              </w:rPr>
            </w:pPr>
            <w:r>
              <w:rPr>
                <w:rFonts w:ascii="Arial" w:cs="Arial" w:eastAsia="Arial" w:hAnsi="Arial"/>
                <w:sz w:val="14"/>
                <w:szCs w:val="14"/>
                <w:color w:val="auto"/>
              </w:rPr>
              <w:t>By:  /s/ Gregory Russotti</w:t>
            </w:r>
          </w:p>
        </w:tc>
        <w:tc>
          <w:tcPr>
            <w:tcW w:w="5840" w:type="dxa"/>
            <w:vAlign w:val="bottom"/>
            <w:gridSpan w:val="2"/>
          </w:tcPr>
          <w:p>
            <w:pPr>
              <w:ind w:left="440"/>
              <w:spacing w:after="0"/>
              <w:rPr>
                <w:sz w:val="20"/>
                <w:szCs w:val="20"/>
                <w:color w:val="auto"/>
              </w:rPr>
            </w:pPr>
            <w:r>
              <w:rPr>
                <w:rFonts w:ascii="Arial" w:cs="Arial" w:eastAsia="Arial" w:hAnsi="Arial"/>
                <w:sz w:val="14"/>
                <w:szCs w:val="14"/>
                <w:color w:val="auto"/>
              </w:rPr>
              <w:t>By:  /s/ Takeshi Yamamoto</w:t>
            </w:r>
          </w:p>
        </w:tc>
      </w:tr>
      <w:tr>
        <w:trPr>
          <w:trHeight w:val="143"/>
        </w:trPr>
        <w:tc>
          <w:tcPr>
            <w:tcW w:w="360" w:type="dxa"/>
            <w:vAlign w:val="bottom"/>
          </w:tcPr>
          <w:p>
            <w:pPr>
              <w:spacing w:after="0" w:line="143" w:lineRule="exact"/>
              <w:rPr>
                <w:sz w:val="20"/>
                <w:szCs w:val="20"/>
                <w:color w:val="auto"/>
              </w:rPr>
            </w:pPr>
            <w:r>
              <w:rPr>
                <w:rFonts w:ascii="Arial" w:cs="Arial" w:eastAsia="Arial" w:hAnsi="Arial"/>
                <w:sz w:val="14"/>
                <w:szCs w:val="14"/>
                <w:color w:val="auto"/>
                <w:w w:val="82"/>
              </w:rPr>
              <w:t>Name:</w:t>
            </w:r>
          </w:p>
        </w:tc>
        <w:tc>
          <w:tcPr>
            <w:tcW w:w="50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color w:val="auto"/>
              </w:rPr>
              <w:t>Gregory Russotti, Ph.D.</w:t>
            </w:r>
          </w:p>
        </w:tc>
        <w:tc>
          <w:tcPr>
            <w:tcW w:w="780" w:type="dxa"/>
            <w:vAlign w:val="bottom"/>
          </w:tcPr>
          <w:p>
            <w:pPr>
              <w:ind w:left="440"/>
              <w:spacing w:after="0" w:line="143" w:lineRule="exact"/>
              <w:rPr>
                <w:sz w:val="20"/>
                <w:szCs w:val="20"/>
                <w:color w:val="auto"/>
              </w:rPr>
            </w:pPr>
            <w:r>
              <w:rPr>
                <w:rFonts w:ascii="Arial" w:cs="Arial" w:eastAsia="Arial" w:hAnsi="Arial"/>
                <w:sz w:val="14"/>
                <w:szCs w:val="14"/>
                <w:color w:val="auto"/>
                <w:w w:val="77"/>
              </w:rPr>
              <w:t>Name:</w:t>
            </w:r>
          </w:p>
        </w:tc>
        <w:tc>
          <w:tcPr>
            <w:tcW w:w="506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color w:val="auto"/>
              </w:rPr>
              <w:t>Takeshi Yamamoto</w:t>
            </w:r>
          </w:p>
        </w:tc>
      </w:tr>
      <w:tr>
        <w:trPr>
          <w:trHeight w:val="182"/>
        </w:trPr>
        <w:tc>
          <w:tcPr>
            <w:tcW w:w="5440" w:type="dxa"/>
            <w:vAlign w:val="bottom"/>
            <w:gridSpan w:val="2"/>
          </w:tcPr>
          <w:p>
            <w:pPr>
              <w:spacing w:after="0"/>
              <w:rPr>
                <w:sz w:val="20"/>
                <w:szCs w:val="20"/>
                <w:color w:val="auto"/>
              </w:rPr>
            </w:pPr>
            <w:r>
              <w:rPr>
                <w:rFonts w:ascii="Arial" w:cs="Arial" w:eastAsia="Arial" w:hAnsi="Arial"/>
                <w:sz w:val="14"/>
                <w:szCs w:val="14"/>
                <w:color w:val="auto"/>
              </w:rPr>
              <w:t>Title: Chief Technology Officer</w:t>
            </w:r>
          </w:p>
        </w:tc>
        <w:tc>
          <w:tcPr>
            <w:tcW w:w="5840" w:type="dxa"/>
            <w:vAlign w:val="bottom"/>
            <w:gridSpan w:val="2"/>
          </w:tcPr>
          <w:p>
            <w:pPr>
              <w:ind w:left="440"/>
              <w:spacing w:after="0"/>
              <w:rPr>
                <w:sz w:val="20"/>
                <w:szCs w:val="20"/>
                <w:color w:val="auto"/>
              </w:rPr>
            </w:pPr>
            <w:r>
              <w:rPr>
                <w:rFonts w:ascii="Arial" w:cs="Arial" w:eastAsia="Arial" w:hAnsi="Arial"/>
                <w:sz w:val="14"/>
                <w:szCs w:val="14"/>
                <w:color w:val="auto"/>
              </w:rPr>
              <w:t>Title: President and Chief Executive Officer</w:t>
            </w:r>
          </w:p>
        </w:tc>
      </w:tr>
      <w:tr>
        <w:trPr>
          <w:trHeight w:val="260"/>
        </w:trPr>
        <w:tc>
          <w:tcPr>
            <w:tcW w:w="360" w:type="dxa"/>
            <w:vAlign w:val="bottom"/>
            <w:tcBorders>
              <w:bottom w:val="single" w:sz="8" w:color="auto"/>
            </w:tcBorders>
          </w:tcPr>
          <w:p>
            <w:pPr>
              <w:spacing w:after="0"/>
              <w:rPr>
                <w:sz w:val="22"/>
                <w:szCs w:val="22"/>
                <w:color w:val="auto"/>
              </w:rPr>
            </w:pPr>
          </w:p>
        </w:tc>
        <w:tc>
          <w:tcPr>
            <w:tcW w:w="50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30</w:t>
            </w:r>
          </w:p>
        </w:tc>
        <w:tc>
          <w:tcPr>
            <w:tcW w:w="5060" w:type="dxa"/>
            <w:vAlign w:val="bottom"/>
            <w:tcBorders>
              <w:bottom w:val="single" w:sz="8" w:color="auto"/>
            </w:tcBorders>
          </w:tcPr>
          <w:p>
            <w:pPr>
              <w:spacing w:after="0"/>
              <w:rPr>
                <w:sz w:val="22"/>
                <w:szCs w:val="22"/>
                <w:color w:val="auto"/>
              </w:rPr>
            </w:pPr>
          </w:p>
        </w:tc>
      </w:tr>
    </w:tbl>
    <w:p>
      <w:pPr>
        <w:sectPr>
          <w:pgSz w:w="11900" w:h="16838" w:orient="portrait"/>
          <w:cols w:equalWidth="0" w:num="1">
            <w:col w:w="11280"/>
          </w:cols>
          <w:pgMar w:left="300" w:top="496" w:right="319" w:bottom="1440" w:gutter="0" w:footer="0" w:header="0"/>
        </w:sectPr>
      </w:pPr>
    </w:p>
    <w:bookmarkStart w:id="673" w:name="page674"/>
    <w:bookmarkEnd w:id="673"/>
    <w:p>
      <w:pPr>
        <w:jc w:val="center"/>
        <w:ind w:right="-1120"/>
        <w:spacing w:after="0"/>
        <w:rPr>
          <w:sz w:val="20"/>
          <w:szCs w:val="20"/>
          <w:color w:val="auto"/>
        </w:rPr>
      </w:pPr>
      <w:r>
        <w:rPr>
          <w:rFonts w:ascii="Arial" w:cs="Arial" w:eastAsia="Arial" w:hAnsi="Arial"/>
          <w:sz w:val="14"/>
          <w:szCs w:val="14"/>
          <w:b w:val="1"/>
          <w:bCs w:val="1"/>
          <w:color w:val="auto"/>
        </w:rPr>
        <w:t>Appendix A</w:t>
      </w:r>
    </w:p>
    <w:p>
      <w:pPr>
        <w:spacing w:after="0" w:line="184" w:lineRule="exact"/>
        <w:rPr>
          <w:sz w:val="20"/>
          <w:szCs w:val="20"/>
          <w:color w:val="auto"/>
        </w:rPr>
      </w:pPr>
    </w:p>
    <w:p>
      <w:pPr>
        <w:jc w:val="right"/>
        <w:ind w:right="3439"/>
        <w:spacing w:after="0"/>
        <w:rPr>
          <w:sz w:val="20"/>
          <w:szCs w:val="20"/>
          <w:color w:val="auto"/>
        </w:rPr>
      </w:pPr>
      <w:r>
        <w:rPr>
          <w:rFonts w:ascii="Arial" w:cs="Arial" w:eastAsia="Arial" w:hAnsi="Arial"/>
          <w:sz w:val="14"/>
          <w:szCs w:val="14"/>
          <w:b w:val="1"/>
          <w:bCs w:val="1"/>
          <w:color w:val="auto"/>
        </w:rPr>
        <w:t>REQUEST FOR CHANGE FORM</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7159625"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492" w:right="1440" w:bottom="1440" w:gutter="0" w:footer="0" w:header="0"/>
        </w:sectPr>
      </w:pPr>
    </w:p>
    <w:bookmarkStart w:id="674" w:name="page675"/>
    <w:bookmarkEnd w:id="674"/>
    <w:p>
      <w:pPr>
        <w:jc w:val="right"/>
        <w:spacing w:after="0"/>
        <w:rPr>
          <w:sz w:val="20"/>
          <w:szCs w:val="20"/>
          <w:color w:val="auto"/>
        </w:rPr>
      </w:pPr>
      <w:r>
        <w:rPr>
          <w:rFonts w:ascii="Arial" w:cs="Arial" w:eastAsia="Arial" w:hAnsi="Arial"/>
          <w:sz w:val="14"/>
          <w:szCs w:val="14"/>
          <w:b w:val="1"/>
          <w:bCs w:val="1"/>
          <w:color w:val="auto"/>
        </w:rPr>
        <w:t>Exhibit 10.26</w:t>
      </w:r>
    </w:p>
    <w:p>
      <w:pPr>
        <w:spacing w:after="0" w:line="188" w:lineRule="exact"/>
        <w:rPr>
          <w:sz w:val="20"/>
          <w:szCs w:val="20"/>
          <w:color w:val="auto"/>
        </w:rPr>
      </w:pPr>
    </w:p>
    <w:p>
      <w:pPr>
        <w:jc w:val="center"/>
        <w:ind w:left="4640" w:right="60" w:hanging="4631"/>
        <w:spacing w:after="0" w:line="288" w:lineRule="auto"/>
        <w:tabs>
          <w:tab w:leader="none" w:pos="365" w:val="left"/>
        </w:tabs>
        <w:numPr>
          <w:ilvl w:val="0"/>
          <w:numId w:val="489"/>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LOAN AND SECURITY AGREEMENT</w:t>
      </w:r>
    </w:p>
    <w:p>
      <w:pPr>
        <w:spacing w:after="0" w:line="98" w:lineRule="exact"/>
        <w:rPr>
          <w:sz w:val="20"/>
          <w:szCs w:val="20"/>
          <w:color w:val="auto"/>
        </w:rPr>
      </w:pPr>
    </w:p>
    <w:p>
      <w:pPr>
        <w:ind w:left="40" w:right="240" w:firstLine="518"/>
        <w:spacing w:after="0" w:line="267" w:lineRule="auto"/>
        <w:rPr>
          <w:sz w:val="20"/>
          <w:szCs w:val="20"/>
          <w:color w:val="auto"/>
        </w:rPr>
      </w:pPr>
      <w:r>
        <w:rPr>
          <w:rFonts w:ascii="Arial" w:cs="Arial" w:eastAsia="Arial" w:hAnsi="Arial"/>
          <w:sz w:val="14"/>
          <w:szCs w:val="14"/>
          <w:color w:val="auto"/>
        </w:rPr>
        <w:t>THIS LOAN AND SECURITY AGREEMENT is made and dated as of September 14, 2020 and is entered into by and among CENTURY THERAPEUTICS, LLC, a Delaware limited liability company, and each of its Subsidiaries (hereinafter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RECITALS</w:t>
      </w:r>
    </w:p>
    <w:p>
      <w:pPr>
        <w:spacing w:after="0" w:line="199" w:lineRule="exact"/>
        <w:rPr>
          <w:sz w:val="20"/>
          <w:szCs w:val="20"/>
          <w:color w:val="auto"/>
        </w:rPr>
      </w:pPr>
    </w:p>
    <w:p>
      <w:pPr>
        <w:ind w:left="1300" w:hanging="750"/>
        <w:spacing w:after="0"/>
        <w:tabs>
          <w:tab w:leader="none" w:pos="130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Borrower has requested the Lenders make available to Borrower a loan in an aggregate principal amount of up to Thirty Million Dollars ($30,000,000) (the “Term</w:t>
      </w:r>
    </w:p>
    <w:p>
      <w:pPr>
        <w:spacing w:after="0" w:line="21"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color w:val="auto"/>
        </w:rPr>
        <w:t>Loan”); and</w:t>
      </w:r>
    </w:p>
    <w:p>
      <w:pPr>
        <w:spacing w:after="0" w:line="174" w:lineRule="exact"/>
        <w:rPr>
          <w:rFonts w:ascii="Arial" w:cs="Arial" w:eastAsia="Arial" w:hAnsi="Arial"/>
          <w:sz w:val="14"/>
          <w:szCs w:val="14"/>
          <w:color w:val="auto"/>
        </w:rPr>
      </w:pPr>
    </w:p>
    <w:p>
      <w:pPr>
        <w:ind w:left="1300" w:hanging="750"/>
        <w:spacing w:after="0"/>
        <w:tabs>
          <w:tab w:leader="none" w:pos="1300" w:val="left"/>
        </w:tabs>
        <w:numPr>
          <w:ilvl w:val="0"/>
          <w:numId w:val="490"/>
        </w:numPr>
        <w:rPr>
          <w:rFonts w:ascii="Arial" w:cs="Arial" w:eastAsia="Arial" w:hAnsi="Arial"/>
          <w:sz w:val="14"/>
          <w:szCs w:val="14"/>
          <w:color w:val="auto"/>
        </w:rPr>
      </w:pPr>
      <w:r>
        <w:rPr>
          <w:rFonts w:ascii="Arial" w:cs="Arial" w:eastAsia="Arial" w:hAnsi="Arial"/>
          <w:sz w:val="14"/>
          <w:szCs w:val="14"/>
          <w:color w:val="auto"/>
        </w:rPr>
        <w:t>The Lenders are willing to make the Term Loan on the terms and conditions set forth in this Agreement.</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AGREEMENT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Borrower, Agent and the Lenders agree as follows:</w:t>
      </w:r>
    </w:p>
    <w:p>
      <w:pPr>
        <w:spacing w:after="0" w:line="180"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 xml:space="preserve">SECTION 1. </w:t>
      </w:r>
      <w:r>
        <w:rPr>
          <w:rFonts w:ascii="Arial" w:cs="Arial" w:eastAsia="Arial" w:hAnsi="Arial"/>
          <w:sz w:val="14"/>
          <w:szCs w:val="14"/>
          <w:b w:val="1"/>
          <w:bCs w:val="1"/>
          <w:u w:val="single" w:color="auto"/>
          <w:color w:val="auto"/>
        </w:rPr>
        <w:t>DEFINITIONS AND RULES OF CONSTRUCTION</w:t>
      </w:r>
    </w:p>
    <w:p>
      <w:pPr>
        <w:spacing w:after="0" w:line="188" w:lineRule="exact"/>
        <w:rPr>
          <w:sz w:val="20"/>
          <w:szCs w:val="20"/>
          <w:color w:val="auto"/>
        </w:rPr>
      </w:pPr>
    </w:p>
    <w:p>
      <w:pPr>
        <w:ind w:left="1000"/>
        <w:spacing w:after="0"/>
        <w:tabs>
          <w:tab w:leader="none" w:pos="166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color w:val="auto"/>
        </w:rPr>
        <w:t>Unless otherwise defined herein, the following capitalized terms shall have the following meanings:</w:t>
      </w:r>
    </w:p>
    <w:p>
      <w:pPr>
        <w:spacing w:after="0" w:line="195" w:lineRule="exact"/>
        <w:rPr>
          <w:sz w:val="20"/>
          <w:szCs w:val="20"/>
          <w:color w:val="auto"/>
        </w:rPr>
      </w:pPr>
    </w:p>
    <w:p>
      <w:pPr>
        <w:ind w:left="40" w:right="340" w:firstLine="1036"/>
        <w:spacing w:after="0" w:line="273" w:lineRule="auto"/>
        <w:rPr>
          <w:sz w:val="20"/>
          <w:szCs w:val="20"/>
          <w:color w:val="auto"/>
        </w:rPr>
      </w:pPr>
      <w:r>
        <w:rPr>
          <w:rFonts w:ascii="Arial" w:cs="Arial" w:eastAsia="Arial" w:hAnsi="Arial"/>
          <w:sz w:val="14"/>
          <w:szCs w:val="14"/>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52" w:lineRule="exact"/>
        <w:rPr>
          <w:sz w:val="20"/>
          <w:szCs w:val="20"/>
          <w:color w:val="auto"/>
        </w:rPr>
      </w:pPr>
    </w:p>
    <w:p>
      <w:pPr>
        <w:ind w:left="40" w:right="280" w:firstLine="1036"/>
        <w:spacing w:after="0" w:line="288" w:lineRule="auto"/>
        <w:rPr>
          <w:sz w:val="20"/>
          <w:szCs w:val="20"/>
          <w:color w:val="auto"/>
        </w:rPr>
      </w:pPr>
      <w:r>
        <w:rPr>
          <w:rFonts w:ascii="Arial" w:cs="Arial" w:eastAsia="Arial" w:hAnsi="Arial"/>
          <w:sz w:val="14"/>
          <w:szCs w:val="14"/>
          <w:color w:val="auto"/>
        </w:rPr>
        <w:t>“ACH Authorization” means the ACH Debit Authorization Agreement in substantially the form of Exhibit H, which account numbers shall be redacted for security purposes if and when filed publicly by the Borrower.</w:t>
      </w:r>
    </w:p>
    <w:p>
      <w:pPr>
        <w:spacing w:after="0" w:line="132" w:lineRule="exact"/>
        <w:rPr>
          <w:sz w:val="20"/>
          <w:szCs w:val="20"/>
          <w:color w:val="auto"/>
        </w:rPr>
      </w:pPr>
    </w:p>
    <w:p>
      <w:pPr>
        <w:ind w:left="40" w:right="100" w:firstLine="1036"/>
        <w:spacing w:after="0" w:line="294" w:lineRule="auto"/>
        <w:rPr>
          <w:sz w:val="20"/>
          <w:szCs w:val="20"/>
          <w:color w:val="auto"/>
        </w:rPr>
      </w:pPr>
      <w:r>
        <w:rPr>
          <w:rFonts w:ascii="Arial" w:cs="Arial" w:eastAsia="Arial" w:hAnsi="Arial"/>
          <w:sz w:val="13"/>
          <w:szCs w:val="13"/>
          <w:color w:val="auto"/>
        </w:rPr>
        <w:t>“Acquisition”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(other than “off-the-shelf” licenses)), any product, product line or intellectual property of or from any other Person.</w:t>
      </w:r>
    </w:p>
    <w:p>
      <w:pPr>
        <w:spacing w:after="0" w:line="141"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“Advance(s)” means a Term Loan Advance.</w:t>
      </w:r>
    </w:p>
    <w:p>
      <w:pPr>
        <w:spacing w:after="0" w:line="19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“Advance Date” means the funding date of any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137795</wp:posOffset>
            </wp:positionV>
            <wp:extent cx="7159625" cy="69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20"/>
          </w:cols>
          <w:pgMar w:left="360" w:top="299" w:right="319" w:bottom="1440" w:gutter="0" w:footer="0" w:header="0"/>
        </w:sectPr>
      </w:pPr>
    </w:p>
    <w:bookmarkStart w:id="675" w:name="page676"/>
    <w:bookmarkEnd w:id="675"/>
    <w:p>
      <w:pPr>
        <w:ind w:right="240" w:firstLine="1036"/>
        <w:spacing w:after="0" w:line="288" w:lineRule="auto"/>
        <w:rPr>
          <w:sz w:val="20"/>
          <w:szCs w:val="20"/>
          <w:color w:val="auto"/>
        </w:rPr>
      </w:pPr>
      <w:r>
        <w:rPr>
          <w:rFonts w:ascii="Arial" w:cs="Arial" w:eastAsia="Arial" w:hAnsi="Arial"/>
          <w:sz w:val="14"/>
          <w:szCs w:val="14"/>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42" w:lineRule="exact"/>
        <w:rPr>
          <w:sz w:val="20"/>
          <w:szCs w:val="20"/>
          <w:color w:val="auto"/>
        </w:rPr>
      </w:pPr>
    </w:p>
    <w:p>
      <w:pPr>
        <w:ind w:firstLine="1036"/>
        <w:spacing w:after="0" w:line="279" w:lineRule="auto"/>
        <w:rPr>
          <w:sz w:val="20"/>
          <w:szCs w:val="20"/>
          <w:color w:val="auto"/>
        </w:rPr>
      </w:pPr>
      <w:r>
        <w:rPr>
          <w:rFonts w:ascii="Arial" w:cs="Arial" w:eastAsia="Arial" w:hAnsi="Arial"/>
          <w:sz w:val="13"/>
          <w:szCs w:val="13"/>
          <w:color w:val="auto"/>
        </w:rPr>
        <w:t>“Affiliate” 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(c) any Person twenty percent (20%) or more of whose outstanding voting securities are directly or indirectly owned, controlled or held by another Person with power to vote such securities, or (d) any Person related by blood or marriage to any Person described in subsection (a), (b) or (c) of this paragraph. As used in the definition of “Affiliate,” (i) the term “control” means the possession, directly or indirectly, of the power to direct or cause the direction of the management and policies of a Person, whether through ownership of voting securities, by contract or otherwise; and (ii) neither Bayer, Versant Ventures Capital VI, L.P., nor Fujifilm Cellular Dynamics, Inc., nor their respective affiliates, shall be considered “Affiliates” of Borrower or its Subsidiaries.</w:t>
      </w:r>
    </w:p>
    <w:p>
      <w:pPr>
        <w:spacing w:after="0" w:line="3" w:lineRule="exact"/>
        <w:rPr>
          <w:sz w:val="20"/>
          <w:szCs w:val="20"/>
          <w:color w:val="auto"/>
        </w:rPr>
      </w:pPr>
    </w:p>
    <w:p>
      <w:pPr>
        <w:ind w:right="380" w:firstLine="1036"/>
        <w:spacing w:after="0" w:line="261" w:lineRule="auto"/>
        <w:rPr>
          <w:sz w:val="20"/>
          <w:szCs w:val="20"/>
          <w:color w:val="auto"/>
        </w:rPr>
      </w:pPr>
      <w:r>
        <w:rPr>
          <w:rFonts w:ascii="Arial" w:cs="Arial" w:eastAsia="Arial" w:hAnsi="Arial"/>
          <w:sz w:val="14"/>
          <w:szCs w:val="14"/>
          <w:color w:val="auto"/>
        </w:rPr>
        <w:t>“Agreement” means this Loan and Security Agreement, as amended from time to time. “All Source Proceeds” means unrestricted (including, not subject to any redemption, clawback, escrow or similar encumbrance or restriction) net cash proceeds from one or more bona fide equity financings and/or upfront proceeds from strategic partnerships and/or new business development transactions permitted under this Agreement, in each case after the Closing Date and subject to verification by Agent (including supporting documentation reasonably requested by Agent); provided that any remaining portion of the Bayer First Tranche received by Borrower after the Closing Date will count as All Source Proceeds.</w:t>
      </w:r>
    </w:p>
    <w:p>
      <w:pPr>
        <w:spacing w:after="0" w:line="15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“Amortization Date” means November 1, 2022; provided however, if the Interest Only Extension Conditions are satisfied, then May 1, 2023.</w:t>
      </w:r>
    </w:p>
    <w:p>
      <w:pPr>
        <w:spacing w:after="0" w:line="195" w:lineRule="exact"/>
        <w:rPr>
          <w:sz w:val="20"/>
          <w:szCs w:val="20"/>
          <w:color w:val="auto"/>
        </w:rPr>
      </w:pPr>
    </w:p>
    <w:p>
      <w:pPr>
        <w:ind w:right="300" w:firstLine="1036"/>
        <w:spacing w:after="0" w:line="273" w:lineRule="auto"/>
        <w:rPr>
          <w:sz w:val="20"/>
          <w:szCs w:val="20"/>
          <w:color w:val="auto"/>
        </w:rPr>
      </w:pPr>
      <w:r>
        <w:rPr>
          <w:rFonts w:ascii="Arial" w:cs="Arial" w:eastAsia="Arial" w:hAnsi="Arial"/>
          <w:sz w:val="14"/>
          <w:szCs w:val="14"/>
          <w:color w:val="auto"/>
        </w:rPr>
        <w:t>“Anti-Corruption Laws” means all laws, rules, and regulations of any jurisdiction applicable to Borrower or any of its controlled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52" w:lineRule="exact"/>
        <w:rPr>
          <w:sz w:val="20"/>
          <w:szCs w:val="20"/>
          <w:color w:val="auto"/>
        </w:rPr>
      </w:pPr>
    </w:p>
    <w:p>
      <w:pPr>
        <w:ind w:right="360" w:firstLine="1036"/>
        <w:spacing w:after="0" w:line="288" w:lineRule="auto"/>
        <w:rPr>
          <w:sz w:val="20"/>
          <w:szCs w:val="20"/>
          <w:color w:val="auto"/>
        </w:rPr>
      </w:pPr>
      <w:r>
        <w:rPr>
          <w:rFonts w:ascii="Arial" w:cs="Arial" w:eastAsia="Arial" w:hAnsi="Arial"/>
          <w:sz w:val="14"/>
          <w:szCs w:val="14"/>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3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“Bayer” means Bayer HealthCare LLC, a Delaware limited liability company.</w:t>
      </w:r>
    </w:p>
    <w:p>
      <w:pPr>
        <w:spacing w:after="0" w:line="195" w:lineRule="exact"/>
        <w:rPr>
          <w:sz w:val="20"/>
          <w:szCs w:val="20"/>
          <w:color w:val="auto"/>
        </w:rPr>
      </w:pPr>
    </w:p>
    <w:p>
      <w:pPr>
        <w:ind w:right="140" w:firstLine="1035"/>
        <w:spacing w:after="0" w:line="288" w:lineRule="auto"/>
        <w:rPr>
          <w:sz w:val="20"/>
          <w:szCs w:val="20"/>
          <w:color w:val="auto"/>
        </w:rPr>
      </w:pPr>
      <w:r>
        <w:rPr>
          <w:rFonts w:ascii="Arial" w:cs="Arial" w:eastAsia="Arial" w:hAnsi="Arial"/>
          <w:sz w:val="14"/>
          <w:szCs w:val="14"/>
          <w:color w:val="auto"/>
        </w:rPr>
        <w:t>“Bayer First Tranche” means the “First Tranche Commitment Amount” as defined in the Commitment Agreement; and means an amount equal to One Hundred Forty-Five Million Dollars ($145,000,000) (of which $75,000,000 has funded prior to the Closing Date and, for the avoidance of doubt, does not count as All Source Proceeds).</w:t>
      </w:r>
    </w:p>
    <w:p>
      <w:pPr>
        <w:spacing w:after="0" w:line="142" w:lineRule="exact"/>
        <w:rPr>
          <w:sz w:val="20"/>
          <w:szCs w:val="20"/>
          <w:color w:val="auto"/>
        </w:rPr>
      </w:pPr>
    </w:p>
    <w:p>
      <w:pPr>
        <w:jc w:val="both"/>
        <w:ind w:right="40" w:firstLine="1036"/>
        <w:spacing w:after="0" w:line="273" w:lineRule="auto"/>
        <w:rPr>
          <w:sz w:val="20"/>
          <w:szCs w:val="20"/>
          <w:color w:val="auto"/>
        </w:rPr>
      </w:pPr>
      <w:r>
        <w:rPr>
          <w:rFonts w:ascii="Arial" w:cs="Arial" w:eastAsia="Arial" w:hAnsi="Arial"/>
          <w:sz w:val="14"/>
          <w:szCs w:val="14"/>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20955</wp:posOffset>
            </wp:positionV>
            <wp:extent cx="7159625" cy="69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20"/>
          </w:cols>
          <w:pgMar w:left="400" w:top="647" w:right="479" w:bottom="1440" w:gutter="0" w:footer="0" w:header="0"/>
        </w:sectPr>
      </w:pPr>
    </w:p>
    <w:bookmarkStart w:id="676" w:name="page677"/>
    <w:bookmarkEnd w:id="676"/>
    <w:p>
      <w:pPr>
        <w:ind w:right="60"/>
        <w:spacing w:after="0" w:line="288" w:lineRule="auto"/>
        <w:rPr>
          <w:sz w:val="20"/>
          <w:szCs w:val="20"/>
          <w:color w:val="auto"/>
        </w:rPr>
      </w:pPr>
      <w:r>
        <w:rPr>
          <w:rFonts w:ascii="Arial" w:cs="Arial" w:eastAsia="Arial" w:hAnsi="Arial"/>
          <w:sz w:val="14"/>
          <w:szCs w:val="14"/>
          <w:color w:val="auto"/>
        </w:rPr>
        <w:t>supports “terrorism” as defined in Executive Order No. 13224, or (e) a Person that is named a “specially designated national” or “blocked person” on the most current list published by OFAC or other similar list.</w:t>
      </w:r>
    </w:p>
    <w:p>
      <w:pPr>
        <w:spacing w:after="0" w:line="132" w:lineRule="exact"/>
        <w:rPr>
          <w:sz w:val="20"/>
          <w:szCs w:val="20"/>
          <w:color w:val="auto"/>
        </w:rPr>
      </w:pPr>
    </w:p>
    <w:p>
      <w:pPr>
        <w:ind w:left="100" w:right="160" w:firstLine="1036"/>
        <w:spacing w:after="0" w:line="273" w:lineRule="auto"/>
        <w:rPr>
          <w:sz w:val="20"/>
          <w:szCs w:val="20"/>
          <w:color w:val="auto"/>
        </w:rPr>
      </w:pPr>
      <w:r>
        <w:rPr>
          <w:rFonts w:ascii="Arial" w:cs="Arial" w:eastAsia="Arial" w:hAnsi="Arial"/>
          <w:sz w:val="14"/>
          <w:szCs w:val="14"/>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formation.</w:t>
      </w:r>
    </w:p>
    <w:p>
      <w:pPr>
        <w:spacing w:after="0" w:line="152" w:lineRule="exact"/>
        <w:rPr>
          <w:sz w:val="20"/>
          <w:szCs w:val="20"/>
          <w:color w:val="auto"/>
        </w:rPr>
      </w:pPr>
    </w:p>
    <w:p>
      <w:pPr>
        <w:ind w:left="100" w:right="560" w:firstLine="1036"/>
        <w:spacing w:after="0" w:line="273" w:lineRule="auto"/>
        <w:rPr>
          <w:sz w:val="20"/>
          <w:szCs w:val="20"/>
          <w:color w:val="auto"/>
        </w:rPr>
      </w:pPr>
      <w:r>
        <w:rPr>
          <w:rFonts w:ascii="Arial" w:cs="Arial" w:eastAsia="Arial" w:hAnsi="Arial"/>
          <w:sz w:val="14"/>
          <w:szCs w:val="14"/>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“Business Day” means any day other than Saturday, Sunday and any other day on which banking institutions in the State of California are closed for business.</w:t>
      </w:r>
    </w:p>
    <w:p>
      <w:pPr>
        <w:spacing w:after="0" w:line="195"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“Cash” means all cash, cash equivalents and liquid funds.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“Century” means Century Therapeutics, Inc., a Delaware corporation.</w:t>
      </w:r>
    </w:p>
    <w:p>
      <w:pPr>
        <w:spacing w:after="0" w:line="184" w:lineRule="exact"/>
        <w:rPr>
          <w:sz w:val="20"/>
          <w:szCs w:val="20"/>
          <w:color w:val="auto"/>
        </w:rPr>
      </w:pPr>
    </w:p>
    <w:p>
      <w:pPr>
        <w:ind w:left="100" w:right="400" w:firstLine="1036"/>
        <w:spacing w:after="0" w:line="288" w:lineRule="auto"/>
        <w:rPr>
          <w:sz w:val="20"/>
          <w:szCs w:val="20"/>
          <w:color w:val="auto"/>
        </w:rPr>
      </w:pPr>
      <w:r>
        <w:rPr>
          <w:rFonts w:ascii="Arial" w:cs="Arial" w:eastAsia="Arial" w:hAnsi="Arial"/>
          <w:sz w:val="14"/>
          <w:szCs w:val="14"/>
          <w:color w:val="auto"/>
        </w:rPr>
        <w:t>“Century Canada” means Century Therapeutics Canada ULC, an unlimited liability company organized under the laws of British Columbia, Canada, and a wholly-owned Subsidiary of Borrower.</w:t>
      </w:r>
    </w:p>
    <w:p>
      <w:pPr>
        <w:spacing w:after="0" w:line="142" w:lineRule="exact"/>
        <w:rPr>
          <w:sz w:val="20"/>
          <w:szCs w:val="20"/>
          <w:color w:val="auto"/>
        </w:rPr>
      </w:pPr>
    </w:p>
    <w:p>
      <w:pPr>
        <w:ind w:left="100" w:firstLine="1036"/>
        <w:spacing w:after="0" w:line="285" w:lineRule="auto"/>
        <w:rPr>
          <w:sz w:val="20"/>
          <w:szCs w:val="20"/>
          <w:color w:val="auto"/>
        </w:rPr>
      </w:pPr>
      <w:r>
        <w:rPr>
          <w:rFonts w:ascii="Arial" w:cs="Arial" w:eastAsia="Arial" w:hAnsi="Arial"/>
          <w:sz w:val="13"/>
          <w:szCs w:val="13"/>
          <w:color w:val="auto"/>
        </w:rPr>
        <w:t>“Change in Control” means any reorganization, recapitalization, consolidation or merger (or similar transaction or series of related transactions) of Borrower, sale or exchange of outstanding Equity Interests (or similar transaction or series of related transactions; other than a sale of Borrower’s Equity Interests in a bona fide venture financing (or series of financings) in the ordinary course of business) of Borrower in which the holders of Borrower’s outstanding Equity Interests immediately before consummation of such transaction or series of related transactions do not, immediately after consummation of such transaction or series of related transactions, retain Equity Interests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or any other transaction pursuant to which Bayer (together with its Affiliates) owns at least eighty percent (80%) of Borrower’s Equity Interests on a Fully Diluted Basis (as defined in the Operating Agreement) after giving effect to such transaction or series of related transactions.</w:t>
      </w:r>
    </w:p>
    <w:p>
      <w:pPr>
        <w:spacing w:after="0" w:line="14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“Closing Date” means the date of this Agreement.</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“Code” means the Internal Revenue Code of 1986, as amended.</w:t>
      </w:r>
    </w:p>
    <w:p>
      <w:pPr>
        <w:spacing w:after="0" w:line="195" w:lineRule="exact"/>
        <w:rPr>
          <w:sz w:val="20"/>
          <w:szCs w:val="20"/>
          <w:color w:val="auto"/>
        </w:rPr>
      </w:pPr>
    </w:p>
    <w:p>
      <w:pPr>
        <w:ind w:left="100" w:right="460" w:firstLine="1036"/>
        <w:spacing w:after="0" w:line="273" w:lineRule="auto"/>
        <w:rPr>
          <w:sz w:val="20"/>
          <w:szCs w:val="20"/>
          <w:color w:val="auto"/>
        </w:rPr>
      </w:pPr>
      <w:r>
        <w:rPr>
          <w:rFonts w:ascii="Arial" w:cs="Arial" w:eastAsia="Arial" w:hAnsi="Arial"/>
          <w:sz w:val="14"/>
          <w:szCs w:val="14"/>
          <w:color w:val="auto"/>
        </w:rPr>
        <w:t>“Commitment Agreement” means that certain Commitment Agreement dated as of June 21, 2019, by and among Borrower, Century Therapeutics, Inc. and Bayer; as amended by the First Amendment, and in the form delivered to Agent prior to the Closing Date, as amended from time to time; provided that such amendments are provided to Agent in accordance with Section 7.1(g).</w:t>
      </w:r>
    </w:p>
    <w:p>
      <w:pPr>
        <w:spacing w:after="0" w:line="152" w:lineRule="exact"/>
        <w:rPr>
          <w:sz w:val="20"/>
          <w:szCs w:val="20"/>
          <w:color w:val="auto"/>
        </w:rPr>
      </w:pPr>
    </w:p>
    <w:p>
      <w:pPr>
        <w:ind w:left="100" w:right="240" w:firstLine="1036"/>
        <w:spacing w:after="0" w:line="288" w:lineRule="auto"/>
        <w:rPr>
          <w:sz w:val="20"/>
          <w:szCs w:val="20"/>
          <w:color w:val="auto"/>
        </w:rPr>
      </w:pPr>
      <w:r>
        <w:rPr>
          <w:rFonts w:ascii="Arial" w:cs="Arial" w:eastAsia="Arial" w:hAnsi="Arial"/>
          <w:sz w:val="14"/>
          <w:szCs w:val="14"/>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80"/>
          </w:cols>
          <w:pgMar w:left="300" w:top="582" w:right="419" w:bottom="1440" w:gutter="0" w:footer="0" w:header="0"/>
        </w:sectPr>
      </w:pPr>
    </w:p>
    <w:bookmarkStart w:id="677" w:name="page678"/>
    <w:bookmarkEnd w:id="677"/>
    <w:p>
      <w:pPr>
        <w:spacing w:after="0" w:line="262" w:lineRule="auto"/>
        <w:rPr>
          <w:sz w:val="20"/>
          <w:szCs w:val="20"/>
          <w:color w:val="auto"/>
        </w:rPr>
      </w:pPr>
      <w:r>
        <w:rPr>
          <w:rFonts w:ascii="Arial" w:cs="Arial" w:eastAsia="Arial" w:hAnsi="Arial"/>
          <w:sz w:val="14"/>
          <w:szCs w:val="14"/>
          <w:color w:val="auto"/>
        </w:rPr>
        <w:t>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51" w:lineRule="exact"/>
        <w:rPr>
          <w:sz w:val="20"/>
          <w:szCs w:val="20"/>
          <w:color w:val="auto"/>
        </w:rPr>
      </w:pPr>
    </w:p>
    <w:p>
      <w:pPr>
        <w:ind w:left="100" w:right="400" w:firstLine="1036"/>
        <w:spacing w:after="0" w:line="288" w:lineRule="auto"/>
        <w:rPr>
          <w:sz w:val="20"/>
          <w:szCs w:val="20"/>
          <w:color w:val="auto"/>
        </w:rPr>
      </w:pPr>
      <w:r>
        <w:rPr>
          <w:rFonts w:ascii="Arial" w:cs="Arial" w:eastAsia="Arial" w:hAnsi="Arial"/>
          <w:sz w:val="14"/>
          <w:szCs w:val="14"/>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42" w:lineRule="exact"/>
        <w:rPr>
          <w:sz w:val="20"/>
          <w:szCs w:val="20"/>
          <w:color w:val="auto"/>
        </w:rPr>
      </w:pPr>
    </w:p>
    <w:p>
      <w:pPr>
        <w:ind w:left="100" w:right="620" w:firstLine="1036"/>
        <w:spacing w:after="0" w:line="288" w:lineRule="auto"/>
        <w:rPr>
          <w:sz w:val="20"/>
          <w:szCs w:val="20"/>
          <w:color w:val="auto"/>
        </w:rPr>
      </w:pPr>
      <w:r>
        <w:rPr>
          <w:rFonts w:ascii="Arial" w:cs="Arial" w:eastAsia="Arial" w:hAnsi="Arial"/>
          <w:sz w:val="14"/>
          <w:szCs w:val="14"/>
          <w:color w:val="auto"/>
        </w:rPr>
        <w:t>“Copyrights” means all copyrights, whether registered or unregistered, and any applications in connection therewith, held pursuant to the laws of the United States of America, any State thereof, or of any other country.</w:t>
      </w:r>
    </w:p>
    <w:p>
      <w:pPr>
        <w:spacing w:after="0" w:line="132" w:lineRule="exact"/>
        <w:rPr>
          <w:sz w:val="20"/>
          <w:szCs w:val="20"/>
          <w:color w:val="auto"/>
        </w:rPr>
      </w:pPr>
    </w:p>
    <w:p>
      <w:pPr>
        <w:ind w:left="100" w:right="100" w:firstLine="1036"/>
        <w:spacing w:after="0" w:line="288" w:lineRule="auto"/>
        <w:rPr>
          <w:sz w:val="20"/>
          <w:szCs w:val="20"/>
          <w:color w:val="auto"/>
        </w:rPr>
      </w:pPr>
      <w:r>
        <w:rPr>
          <w:rFonts w:ascii="Arial" w:cs="Arial" w:eastAsia="Arial" w:hAnsi="Arial"/>
          <w:sz w:val="14"/>
          <w:szCs w:val="14"/>
          <w:color w:val="auto"/>
        </w:rPr>
        <w:t>“Default” means any event, circumstance or condition that has occurred or exists, that would, with the passage of time or the requirement that notice be given or both, become an Event of Default.</w:t>
      </w:r>
    </w:p>
    <w:p>
      <w:pPr>
        <w:spacing w:after="0" w:line="13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“Deposit Accounts” means any “deposit accounts,” as such term is defined in the UCC, and includes any checking account, savings account, or certificate of deposit.</w:t>
      </w:r>
    </w:p>
    <w:p>
      <w:pPr>
        <w:spacing w:after="0" w:line="207" w:lineRule="exact"/>
        <w:rPr>
          <w:sz w:val="20"/>
          <w:szCs w:val="20"/>
          <w:color w:val="auto"/>
        </w:rPr>
      </w:pPr>
    </w:p>
    <w:p>
      <w:pPr>
        <w:ind w:left="100" w:right="200" w:firstLine="1036"/>
        <w:spacing w:after="0" w:line="288" w:lineRule="auto"/>
        <w:rPr>
          <w:sz w:val="20"/>
          <w:szCs w:val="20"/>
          <w:color w:val="auto"/>
        </w:rPr>
      </w:pPr>
      <w:r>
        <w:rPr>
          <w:rFonts w:ascii="Arial" w:cs="Arial" w:eastAsia="Arial" w:hAnsi="Arial"/>
          <w:sz w:val="14"/>
          <w:szCs w:val="14"/>
          <w:color w:val="auto"/>
        </w:rPr>
        <w:t>“Domestic Subsidiary” means any Subsidiary organized under the laws of the United States of America, any State thereof, the District of Columbia, or any other jurisdiction within the United States of America.</w:t>
      </w:r>
    </w:p>
    <w:p>
      <w:pPr>
        <w:spacing w:after="0" w:line="132" w:lineRule="exact"/>
        <w:rPr>
          <w:sz w:val="20"/>
          <w:szCs w:val="20"/>
          <w:color w:val="auto"/>
        </w:rPr>
      </w:pPr>
    </w:p>
    <w:p>
      <w:pPr>
        <w:ind w:left="100" w:right="240" w:firstLine="1036"/>
        <w:spacing w:after="0" w:line="288" w:lineRule="auto"/>
        <w:rPr>
          <w:sz w:val="20"/>
          <w:szCs w:val="20"/>
          <w:color w:val="auto"/>
        </w:rPr>
      </w:pPr>
      <w:r>
        <w:rPr>
          <w:rFonts w:ascii="Arial" w:cs="Arial" w:eastAsia="Arial" w:hAnsi="Arial"/>
          <w:sz w:val="14"/>
          <w:szCs w:val="14"/>
          <w:color w:val="auto"/>
        </w:rPr>
        <w:t>“Due Diligence Fee” means Thirty Thousand Dollars ($30,000), which fee has been paid to the Lenders prior to the Closing Date, and shall be deemed fully earned on such date regardless of the early termination of this Agreement.</w:t>
      </w:r>
    </w:p>
    <w:p>
      <w:pPr>
        <w:spacing w:after="0" w:line="132" w:lineRule="exact"/>
        <w:rPr>
          <w:sz w:val="20"/>
          <w:szCs w:val="20"/>
          <w:color w:val="auto"/>
        </w:rPr>
      </w:pPr>
    </w:p>
    <w:p>
      <w:pPr>
        <w:ind w:left="100" w:right="100" w:firstLine="1035"/>
        <w:spacing w:after="0" w:line="288" w:lineRule="auto"/>
        <w:rPr>
          <w:sz w:val="20"/>
          <w:szCs w:val="20"/>
          <w:color w:val="auto"/>
        </w:rPr>
      </w:pPr>
      <w:r>
        <w:rPr>
          <w:rFonts w:ascii="Arial" w:cs="Arial" w:eastAsia="Arial" w:hAnsi="Arial"/>
          <w:sz w:val="14"/>
          <w:szCs w:val="14"/>
          <w:color w:val="auto"/>
        </w:rPr>
        <w:t>“Empirica Promissory Note” means the unsecured Promissory Note dated June 9, 2020, by and among Century Canada and Empirica Therapeutics, Inc.; in the form delivered to Agent prior to the Closing Date; and with a principal amount equal to Two Million Canadian Dollars (CAN $2,000,000).</w:t>
      </w:r>
    </w:p>
    <w:p>
      <w:pPr>
        <w:spacing w:after="0" w:line="142"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“Equity Interests” means, with respect to any Person, the capital stock, partnership or limited liability company interest, or other equity securities or equity ownership interests</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of such Person.</w:t>
      </w:r>
    </w:p>
    <w:p>
      <w:pPr>
        <w:spacing w:after="0" w:line="186"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“ERISA” means the Employee Retirement Income Security Act of 1974, as amended, and the regulations promulgated thereunder.</w:t>
      </w:r>
    </w:p>
    <w:p>
      <w:pPr>
        <w:spacing w:after="0" w:line="184" w:lineRule="exact"/>
        <w:rPr>
          <w:sz w:val="20"/>
          <w:szCs w:val="20"/>
          <w:color w:val="auto"/>
        </w:rPr>
      </w:pPr>
    </w:p>
    <w:p>
      <w:pPr>
        <w:ind w:left="100" w:right="260" w:firstLine="1035"/>
        <w:spacing w:after="0" w:line="273" w:lineRule="auto"/>
        <w:rPr>
          <w:sz w:val="20"/>
          <w:szCs w:val="20"/>
          <w:color w:val="auto"/>
        </w:rPr>
      </w:pPr>
      <w:r>
        <w:rPr>
          <w:rFonts w:ascii="Arial" w:cs="Arial" w:eastAsia="Arial" w:hAnsi="Arial"/>
          <w:sz w:val="14"/>
          <w:szCs w:val="14"/>
          <w:color w:val="auto"/>
        </w:rPr>
        <w:t>“Excluded Accounts” means (a) Deposit Accounts exclusively used for payroll, payroll taxes, and other employee wage and benefit payments to or for the benefit of Borrower’s employees holding an aggregate amount across all such accounts of not more than amounts needed for the then-next two (2) payroll cycles and (b) deposit, securities, commodity or similar accounts with financial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7159625" cy="69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60"/>
          </w:cols>
          <w:pgMar w:left="300" w:top="583" w:right="339" w:bottom="1440" w:gutter="0" w:footer="0" w:header="0"/>
        </w:sectPr>
      </w:pPr>
    </w:p>
    <w:bookmarkStart w:id="678" w:name="page679"/>
    <w:bookmarkEnd w:id="678"/>
    <w:p>
      <w:pPr>
        <w:spacing w:after="0"/>
        <w:rPr>
          <w:sz w:val="20"/>
          <w:szCs w:val="20"/>
          <w:color w:val="auto"/>
        </w:rPr>
      </w:pPr>
      <w:r>
        <w:rPr>
          <w:rFonts w:ascii="Arial" w:cs="Arial" w:eastAsia="Arial" w:hAnsi="Arial"/>
          <w:sz w:val="14"/>
          <w:szCs w:val="14"/>
          <w:color w:val="auto"/>
        </w:rPr>
        <w:t>institutions within the United States, so long as no more than $50,000 in the aggregate is maintained in such accounts at any time.</w:t>
      </w:r>
    </w:p>
    <w:p>
      <w:pPr>
        <w:spacing w:after="0" w:line="184" w:lineRule="exact"/>
        <w:rPr>
          <w:sz w:val="20"/>
          <w:szCs w:val="20"/>
          <w:color w:val="auto"/>
        </w:rPr>
      </w:pPr>
    </w:p>
    <w:p>
      <w:pPr>
        <w:ind w:left="100" w:right="220" w:firstLine="1036"/>
        <w:spacing w:after="0" w:line="288" w:lineRule="auto"/>
        <w:rPr>
          <w:sz w:val="20"/>
          <w:szCs w:val="20"/>
          <w:color w:val="auto"/>
        </w:rPr>
      </w:pPr>
      <w:r>
        <w:rPr>
          <w:rFonts w:ascii="Arial" w:cs="Arial" w:eastAsia="Arial" w:hAnsi="Arial"/>
          <w:sz w:val="14"/>
          <w:szCs w:val="14"/>
          <w:color w:val="auto"/>
        </w:rPr>
        <w:t>“FDA” means the U.S. Food and Drug Administration or any successor thereto. “Foreign Subsidiary” means any Subsidiary other than a Domestic Subsidiary. “GAAP” means generally accepted accounting principles in the United States of America, as in effect from time to time.</w:t>
      </w:r>
    </w:p>
    <w:p>
      <w:pPr>
        <w:spacing w:after="0" w:line="142" w:lineRule="exact"/>
        <w:rPr>
          <w:sz w:val="20"/>
          <w:szCs w:val="20"/>
          <w:color w:val="auto"/>
        </w:rPr>
      </w:pPr>
    </w:p>
    <w:p>
      <w:pPr>
        <w:ind w:left="100" w:right="320" w:firstLine="1036"/>
        <w:spacing w:after="0" w:line="273" w:lineRule="auto"/>
        <w:rPr>
          <w:sz w:val="20"/>
          <w:szCs w:val="20"/>
          <w:color w:val="auto"/>
        </w:rPr>
      </w:pPr>
      <w:r>
        <w:rPr>
          <w:rFonts w:ascii="Arial" w:cs="Arial" w:eastAsia="Arial" w:hAnsi="Arial"/>
          <w:sz w:val="14"/>
          <w:szCs w:val="14"/>
          <w:color w:val="auto"/>
        </w:rPr>
        <w:t>“Governmental Authority”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41" w:lineRule="exact"/>
        <w:rPr>
          <w:sz w:val="20"/>
          <w:szCs w:val="20"/>
          <w:color w:val="auto"/>
        </w:rPr>
      </w:pPr>
    </w:p>
    <w:p>
      <w:pPr>
        <w:ind w:left="100" w:right="160" w:firstLine="1036"/>
        <w:spacing w:after="0" w:line="288" w:lineRule="auto"/>
        <w:rPr>
          <w:sz w:val="20"/>
          <w:szCs w:val="20"/>
          <w:color w:val="auto"/>
        </w:rPr>
      </w:pPr>
      <w:r>
        <w:rPr>
          <w:rFonts w:ascii="Arial" w:cs="Arial" w:eastAsia="Arial" w:hAnsi="Arial"/>
          <w:sz w:val="14"/>
          <w:szCs w:val="14"/>
          <w:color w:val="auto"/>
        </w:rPr>
        <w:t>“IND” means an Investigational New Drug Application submitted to the FDA pursuant to 21 C.F.R. § 312 (or its successor regulation) requesting authorization to initiate clinical trials in human subjects.</w:t>
      </w:r>
    </w:p>
    <w:p>
      <w:pPr>
        <w:spacing w:after="0" w:line="142" w:lineRule="exact"/>
        <w:rPr>
          <w:sz w:val="20"/>
          <w:szCs w:val="20"/>
          <w:color w:val="auto"/>
        </w:rPr>
      </w:pPr>
    </w:p>
    <w:p>
      <w:pPr>
        <w:ind w:left="100" w:firstLine="1036"/>
        <w:spacing w:after="0" w:line="285" w:lineRule="auto"/>
        <w:rPr>
          <w:sz w:val="20"/>
          <w:szCs w:val="20"/>
          <w:color w:val="auto"/>
        </w:rPr>
      </w:pPr>
      <w:r>
        <w:rPr>
          <w:rFonts w:ascii="Arial" w:cs="Arial" w:eastAsia="Arial" w:hAnsi="Arial"/>
          <w:sz w:val="13"/>
          <w:szCs w:val="13"/>
          <w:color w:val="auto"/>
        </w:rPr>
        <w:t>“Indebtedness” means indebtedness of any kind, including (a) all indebtedness for borrowed money or the deferred purchase price of property or services (excluding trade credit entered into in the ordinary course of business due within ninety (90) days),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(f) obligations arising under bonus, deferred compensation, incentive compensation or similar arrangements (other than those arising in the ordinary course of business or otherwise reflected in Board-approved plans disclosed to Agent from time to time), (g) non-contingent obligations to reimburse any bank or Person in respect of amounts paid under a letter of credit, banker’s acceptance or similar instrument, and (h) all Contingent Obligations.</w:t>
      </w:r>
    </w:p>
    <w:p>
      <w:pPr>
        <w:spacing w:after="0" w:line="14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“Initial Facility Charge” means Two Hundred Thousand Dollars ($200,000), which is payable to the Lenders in accordance with Section 4.1(f).</w:t>
      </w:r>
    </w:p>
    <w:p>
      <w:pPr>
        <w:spacing w:after="0" w:line="184" w:lineRule="exact"/>
        <w:rPr>
          <w:sz w:val="20"/>
          <w:szCs w:val="20"/>
          <w:color w:val="auto"/>
        </w:rPr>
      </w:pPr>
    </w:p>
    <w:p>
      <w:pPr>
        <w:ind w:left="100" w:right="160" w:firstLine="1036"/>
        <w:spacing w:after="0" w:line="329" w:lineRule="auto"/>
        <w:rPr>
          <w:sz w:val="20"/>
          <w:szCs w:val="20"/>
          <w:color w:val="auto"/>
        </w:rPr>
      </w:pPr>
      <w:r>
        <w:rPr>
          <w:rFonts w:ascii="Arial" w:cs="Arial" w:eastAsia="Arial" w:hAnsi="Arial"/>
          <w:sz w:val="13"/>
          <w:szCs w:val="13"/>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19" w:lineRule="exact"/>
        <w:rPr>
          <w:sz w:val="20"/>
          <w:szCs w:val="20"/>
          <w:color w:val="auto"/>
        </w:rPr>
      </w:pPr>
    </w:p>
    <w:p>
      <w:pPr>
        <w:ind w:left="100" w:right="40" w:firstLine="1036"/>
        <w:spacing w:after="0" w:line="273" w:lineRule="auto"/>
        <w:rPr>
          <w:sz w:val="20"/>
          <w:szCs w:val="20"/>
          <w:color w:val="auto"/>
        </w:rPr>
      </w:pPr>
      <w:r>
        <w:rPr>
          <w:rFonts w:ascii="Arial" w:cs="Arial" w:eastAsia="Arial" w:hAnsi="Arial"/>
          <w:sz w:val="14"/>
          <w:szCs w:val="14"/>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52" w:lineRule="exact"/>
        <w:rPr>
          <w:sz w:val="20"/>
          <w:szCs w:val="20"/>
          <w:color w:val="auto"/>
        </w:rPr>
      </w:pPr>
    </w:p>
    <w:p>
      <w:pPr>
        <w:ind w:left="100" w:right="40" w:firstLine="1036"/>
        <w:spacing w:after="0" w:line="288" w:lineRule="auto"/>
        <w:rPr>
          <w:sz w:val="20"/>
          <w:szCs w:val="20"/>
          <w:color w:val="auto"/>
        </w:rPr>
      </w:pPr>
      <w:r>
        <w:rPr>
          <w:rFonts w:ascii="Arial" w:cs="Arial" w:eastAsia="Arial" w:hAnsi="Arial"/>
          <w:sz w:val="14"/>
          <w:szCs w:val="14"/>
          <w:color w:val="auto"/>
        </w:rPr>
        <w:t>“Interest Only Extension Conditions” shall mean satisfaction of each of the following events: (a) no Default or Event of Default shall have occurred and be continuing; and (b) Borrower’s achievement of Performance Milestone III on or prior to August 31, 2022.</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40"/>
          </w:cols>
          <w:pgMar w:left="300" w:top="582" w:right="559" w:bottom="1440" w:gutter="0" w:footer="0" w:header="0"/>
        </w:sectPr>
      </w:pPr>
    </w:p>
    <w:bookmarkStart w:id="679" w:name="page680"/>
    <w:bookmarkEnd w:id="679"/>
    <w:p>
      <w:pPr>
        <w:ind w:left="8" w:right="440" w:firstLine="1075"/>
        <w:spacing w:after="0" w:line="288" w:lineRule="auto"/>
        <w:rPr>
          <w:sz w:val="20"/>
          <w:szCs w:val="20"/>
          <w:color w:val="auto"/>
        </w:rPr>
      </w:pPr>
      <w:r>
        <w:rPr>
          <w:rFonts w:ascii="Arial" w:cs="Arial" w:eastAsia="Arial" w:hAnsi="Arial"/>
          <w:sz w:val="14"/>
          <w:szCs w:val="14"/>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42" w:lineRule="exact"/>
        <w:rPr>
          <w:sz w:val="20"/>
          <w:szCs w:val="20"/>
          <w:color w:val="auto"/>
        </w:rPr>
      </w:pPr>
    </w:p>
    <w:p>
      <w:pPr>
        <w:ind w:left="1068"/>
        <w:spacing w:after="0"/>
        <w:rPr>
          <w:sz w:val="20"/>
          <w:szCs w:val="20"/>
          <w:color w:val="auto"/>
        </w:rPr>
      </w:pPr>
      <w:r>
        <w:rPr>
          <w:rFonts w:ascii="Arial" w:cs="Arial" w:eastAsia="Arial" w:hAnsi="Arial"/>
          <w:sz w:val="14"/>
          <w:szCs w:val="14"/>
          <w:color w:val="auto"/>
        </w:rPr>
        <w:t>“IRS” means the United States Internal Revenue Service.</w:t>
      </w:r>
    </w:p>
    <w:p>
      <w:pPr>
        <w:spacing w:after="0" w:line="184" w:lineRule="exact"/>
        <w:rPr>
          <w:sz w:val="20"/>
          <w:szCs w:val="20"/>
          <w:color w:val="auto"/>
        </w:rPr>
      </w:pPr>
    </w:p>
    <w:p>
      <w:pPr>
        <w:ind w:left="1028"/>
        <w:spacing w:after="0"/>
        <w:rPr>
          <w:sz w:val="20"/>
          <w:szCs w:val="20"/>
          <w:color w:val="auto"/>
        </w:rPr>
      </w:pPr>
      <w:r>
        <w:rPr>
          <w:rFonts w:ascii="Arial" w:cs="Arial" w:eastAsia="Arial" w:hAnsi="Arial"/>
          <w:sz w:val="14"/>
          <w:szCs w:val="14"/>
          <w:color w:val="auto"/>
        </w:rPr>
        <w:t>“Joinder Agreements” means for each Subsidiary, a completed and executed Joinder Agreement in substantially the form attached hereto as Exhibit F.</w:t>
      </w:r>
    </w:p>
    <w:p>
      <w:pPr>
        <w:spacing w:after="0" w:line="184" w:lineRule="exact"/>
        <w:rPr>
          <w:sz w:val="20"/>
          <w:szCs w:val="20"/>
          <w:color w:val="auto"/>
        </w:rPr>
      </w:pPr>
    </w:p>
    <w:p>
      <w:pPr>
        <w:ind w:left="1028"/>
        <w:spacing w:after="0"/>
        <w:rPr>
          <w:sz w:val="20"/>
          <w:szCs w:val="20"/>
          <w:color w:val="auto"/>
        </w:rPr>
      </w:pPr>
      <w:r>
        <w:rPr>
          <w:rFonts w:ascii="Arial" w:cs="Arial" w:eastAsia="Arial" w:hAnsi="Arial"/>
          <w:sz w:val="14"/>
          <w:szCs w:val="14"/>
          <w:color w:val="auto"/>
        </w:rPr>
        <w:t>“License” means any Copyright License, Patent License, Trademark License or other license of rights or interests.</w:t>
      </w:r>
    </w:p>
    <w:p>
      <w:pPr>
        <w:spacing w:after="0" w:line="195" w:lineRule="exact"/>
        <w:rPr>
          <w:sz w:val="20"/>
          <w:szCs w:val="20"/>
          <w:color w:val="auto"/>
        </w:rPr>
      </w:pPr>
    </w:p>
    <w:p>
      <w:pPr>
        <w:ind w:left="8" w:right="100" w:firstLine="1036"/>
        <w:spacing w:after="0" w:line="329" w:lineRule="auto"/>
        <w:rPr>
          <w:sz w:val="20"/>
          <w:szCs w:val="20"/>
          <w:color w:val="auto"/>
        </w:rPr>
      </w:pPr>
      <w:r>
        <w:rPr>
          <w:rFonts w:ascii="Arial" w:cs="Arial" w:eastAsia="Arial" w:hAnsi="Arial"/>
          <w:sz w:val="13"/>
          <w:szCs w:val="13"/>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19" w:lineRule="exact"/>
        <w:rPr>
          <w:sz w:val="20"/>
          <w:szCs w:val="20"/>
          <w:color w:val="auto"/>
        </w:rPr>
      </w:pPr>
    </w:p>
    <w:p>
      <w:pPr>
        <w:ind w:left="1028"/>
        <w:spacing w:after="0"/>
        <w:rPr>
          <w:sz w:val="20"/>
          <w:szCs w:val="20"/>
          <w:color w:val="auto"/>
        </w:rPr>
      </w:pPr>
      <w:r>
        <w:rPr>
          <w:rFonts w:ascii="Arial" w:cs="Arial" w:eastAsia="Arial" w:hAnsi="Arial"/>
          <w:sz w:val="14"/>
          <w:szCs w:val="14"/>
          <w:color w:val="auto"/>
        </w:rPr>
        <w:t>“Loan” means the Advances made under this Agreement.</w:t>
      </w:r>
    </w:p>
    <w:p>
      <w:pPr>
        <w:spacing w:after="0" w:line="184" w:lineRule="exact"/>
        <w:rPr>
          <w:sz w:val="20"/>
          <w:szCs w:val="20"/>
          <w:color w:val="auto"/>
        </w:rPr>
      </w:pPr>
    </w:p>
    <w:p>
      <w:pPr>
        <w:ind w:left="8" w:right="200" w:firstLine="1036"/>
        <w:spacing w:after="0" w:line="273" w:lineRule="auto"/>
        <w:rPr>
          <w:sz w:val="20"/>
          <w:szCs w:val="20"/>
          <w:color w:val="auto"/>
        </w:rPr>
      </w:pPr>
      <w:r>
        <w:rPr>
          <w:rFonts w:ascii="Arial" w:cs="Arial" w:eastAsia="Arial" w:hAnsi="Arial"/>
          <w:sz w:val="14"/>
          <w:szCs w:val="14"/>
          <w:color w:val="auto"/>
        </w:rPr>
        <w:t>“Loan Documents” means this Agreement, the promissory notes (if any), the ACH Authorization, the Account Control Agreements, the Joinder Agreements, all UCC Financing Statements, the Warrant, the Pledge Agreement, and any other documents executed in connection with the Secured Obligations or the transactions contemplated hereby, as the same may from time to time be amended, modified, supplemented or restated.</w:t>
      </w:r>
    </w:p>
    <w:p>
      <w:pPr>
        <w:spacing w:after="0" w:line="152" w:lineRule="exact"/>
        <w:rPr>
          <w:sz w:val="20"/>
          <w:szCs w:val="20"/>
          <w:color w:val="auto"/>
        </w:rPr>
      </w:pPr>
    </w:p>
    <w:p>
      <w:pPr>
        <w:ind w:left="1028"/>
        <w:spacing w:after="0"/>
        <w:rPr>
          <w:sz w:val="20"/>
          <w:szCs w:val="20"/>
          <w:color w:val="auto"/>
        </w:rPr>
      </w:pPr>
      <w:r>
        <w:rPr>
          <w:rFonts w:ascii="Arial" w:cs="Arial" w:eastAsia="Arial" w:hAnsi="Arial"/>
          <w:sz w:val="13"/>
          <w:szCs w:val="13"/>
          <w:color w:val="auto"/>
        </w:rPr>
        <w:t>“Material Adverse Effect” means a material adverse effect upon: (i) the business, operations, properties, assets or financial condition of Borrower and its Subsidiaries taken as a</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4"/>
          <w:szCs w:val="14"/>
          <w:color w:val="auto"/>
        </w:rPr>
        <w:t>whole; or</w:t>
      </w:r>
    </w:p>
    <w:p>
      <w:pPr>
        <w:spacing w:after="0" w:line="12" w:lineRule="exact"/>
        <w:rPr>
          <w:sz w:val="20"/>
          <w:szCs w:val="20"/>
          <w:color w:val="auto"/>
        </w:rPr>
      </w:pPr>
    </w:p>
    <w:p>
      <w:pPr>
        <w:ind w:left="8" w:right="280" w:hanging="8"/>
        <w:spacing w:after="0" w:line="274" w:lineRule="auto"/>
        <w:tabs>
          <w:tab w:leader="none" w:pos="256" w:val="left"/>
        </w:tabs>
        <w:numPr>
          <w:ilvl w:val="0"/>
          <w:numId w:val="491"/>
        </w:numPr>
        <w:rPr>
          <w:rFonts w:ascii="Arial" w:cs="Arial" w:eastAsia="Arial" w:hAnsi="Arial"/>
          <w:sz w:val="14"/>
          <w:szCs w:val="14"/>
          <w:color w:val="auto"/>
        </w:rPr>
      </w:pPr>
      <w:r>
        <w:rPr>
          <w:rFonts w:ascii="Arial" w:cs="Arial" w:eastAsia="Arial" w:hAnsi="Arial"/>
          <w:sz w:val="14"/>
          <w:szCs w:val="14"/>
          <w:color w:val="auto"/>
        </w:rPr>
        <w:t>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216" w:lineRule="exact"/>
        <w:rPr>
          <w:sz w:val="20"/>
          <w:szCs w:val="20"/>
          <w:color w:val="auto"/>
        </w:rPr>
      </w:pPr>
    </w:p>
    <w:p>
      <w:pPr>
        <w:ind w:left="1068"/>
        <w:spacing w:after="0"/>
        <w:rPr>
          <w:sz w:val="20"/>
          <w:szCs w:val="20"/>
          <w:color w:val="auto"/>
        </w:rPr>
      </w:pPr>
      <w:r>
        <w:rPr>
          <w:rFonts w:ascii="Arial" w:cs="Arial" w:eastAsia="Arial" w:hAnsi="Arial"/>
          <w:sz w:val="14"/>
          <w:szCs w:val="14"/>
          <w:color w:val="auto"/>
        </w:rPr>
        <w:t>“Maximum Term Loan Amount” means Thirty Million and No/100 Dollars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($30,000,000).</w:t>
      </w:r>
    </w:p>
    <w:p>
      <w:pPr>
        <w:spacing w:after="0" w:line="240" w:lineRule="exact"/>
        <w:rPr>
          <w:sz w:val="20"/>
          <w:szCs w:val="20"/>
          <w:color w:val="auto"/>
        </w:rPr>
      </w:pPr>
    </w:p>
    <w:p>
      <w:pPr>
        <w:ind w:left="1028"/>
        <w:spacing w:after="0"/>
        <w:rPr>
          <w:sz w:val="20"/>
          <w:szCs w:val="20"/>
          <w:color w:val="auto"/>
        </w:rPr>
      </w:pPr>
      <w:r>
        <w:rPr>
          <w:rFonts w:ascii="Arial" w:cs="Arial" w:eastAsia="Arial" w:hAnsi="Arial"/>
          <w:sz w:val="14"/>
          <w:szCs w:val="14"/>
          <w:color w:val="auto"/>
        </w:rPr>
        <w:t>“Non-Disclosure Agreement” means that certain Non-Disclosure Agreement by and between Hercules Capital, Inc. and Borrower dated as of May 3, 2020.</w:t>
      </w:r>
    </w:p>
    <w:p>
      <w:pPr>
        <w:spacing w:after="0" w:line="184" w:lineRule="exact"/>
        <w:rPr>
          <w:sz w:val="20"/>
          <w:szCs w:val="20"/>
          <w:color w:val="auto"/>
        </w:rPr>
      </w:pPr>
    </w:p>
    <w:p>
      <w:pPr>
        <w:ind w:left="1028"/>
        <w:spacing w:after="0"/>
        <w:rPr>
          <w:sz w:val="20"/>
          <w:szCs w:val="20"/>
          <w:color w:val="auto"/>
        </w:rPr>
      </w:pPr>
      <w:r>
        <w:rPr>
          <w:rFonts w:ascii="Arial" w:cs="Arial" w:eastAsia="Arial" w:hAnsi="Arial"/>
          <w:sz w:val="14"/>
          <w:szCs w:val="14"/>
          <w:color w:val="auto"/>
        </w:rPr>
        <w:t>“OFAC” is the U.S. Department of Treasury Office of Foreign Assets Control.</w:t>
      </w:r>
    </w:p>
    <w:p>
      <w:pPr>
        <w:spacing w:after="0" w:line="184" w:lineRule="exact"/>
        <w:rPr>
          <w:sz w:val="20"/>
          <w:szCs w:val="20"/>
          <w:color w:val="auto"/>
        </w:rPr>
      </w:pPr>
    </w:p>
    <w:p>
      <w:pPr>
        <w:ind w:left="8" w:right="400" w:firstLine="1035"/>
        <w:spacing w:after="0" w:line="273" w:lineRule="auto"/>
        <w:rPr>
          <w:sz w:val="20"/>
          <w:szCs w:val="20"/>
          <w:color w:val="auto"/>
        </w:rPr>
      </w:pPr>
      <w:r>
        <w:rPr>
          <w:rFonts w:ascii="Arial" w:cs="Arial" w:eastAsia="Arial" w:hAnsi="Arial"/>
          <w:sz w:val="14"/>
          <w:szCs w:val="14"/>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52" w:lineRule="exact"/>
        <w:rPr>
          <w:sz w:val="20"/>
          <w:szCs w:val="20"/>
          <w:color w:val="auto"/>
        </w:rPr>
      </w:pPr>
    </w:p>
    <w:p>
      <w:pPr>
        <w:ind w:left="8" w:right="40" w:firstLine="1035"/>
        <w:spacing w:after="0" w:line="273" w:lineRule="auto"/>
        <w:rPr>
          <w:sz w:val="20"/>
          <w:szCs w:val="20"/>
          <w:color w:val="auto"/>
        </w:rPr>
      </w:pPr>
      <w:r>
        <w:rPr>
          <w:rFonts w:ascii="Arial" w:cs="Arial" w:eastAsia="Arial" w:hAnsi="Arial"/>
          <w:sz w:val="14"/>
          <w:szCs w:val="14"/>
          <w:color w:val="auto"/>
        </w:rPr>
        <w:t>“Operating Agreement” means the Amended and Restated Limited Liability Company Agreement of Borrower dated as of June 21, 2019 as amended by that certain First Amendment dated as of the Effective Date in the form provided to Agent as of the Closing Date, as the same may be amended from time to time; provided that such amendments are provided to Agent in accordance with Section 7.1(g).</w:t>
      </w:r>
    </w:p>
    <w:p>
      <w:pPr>
        <w:spacing w:after="0" w:line="141" w:lineRule="exact"/>
        <w:rPr>
          <w:sz w:val="20"/>
          <w:szCs w:val="20"/>
          <w:color w:val="auto"/>
        </w:rPr>
      </w:pPr>
    </w:p>
    <w:p>
      <w:pPr>
        <w:jc w:val="center"/>
        <w:ind w:right="52"/>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13970</wp:posOffset>
            </wp:positionV>
            <wp:extent cx="7159625" cy="69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68"/>
          </w:cols>
          <w:pgMar w:left="392" w:top="647" w:right="339" w:bottom="1440" w:gutter="0" w:footer="0" w:header="0"/>
        </w:sectPr>
      </w:pPr>
    </w:p>
    <w:bookmarkStart w:id="680" w:name="page681"/>
    <w:bookmarkEnd w:id="680"/>
    <w:p>
      <w:pPr>
        <w:ind w:left="8" w:right="100" w:firstLine="1035"/>
        <w:spacing w:after="0" w:line="329" w:lineRule="auto"/>
        <w:rPr>
          <w:sz w:val="20"/>
          <w:szCs w:val="20"/>
          <w:color w:val="auto"/>
        </w:rPr>
      </w:pPr>
      <w:r>
        <w:rPr>
          <w:rFonts w:ascii="Arial" w:cs="Arial" w:eastAsia="Arial" w:hAnsi="Arial"/>
          <w:sz w:val="13"/>
          <w:szCs w:val="13"/>
          <w:color w:val="auto"/>
        </w:rPr>
        <w:t>“Option Agreement” means that certain Option Agreement dated as of June 21, 2019, by and among Borrower, Century Therapeutics, Inc., and Bayer; in the form delivered to Agent prior to the Closing Date, as the same may be amended from time to time; provided that such amendments are provided to Agent in accordance with Section 7.1(g).</w:t>
      </w:r>
    </w:p>
    <w:p>
      <w:pPr>
        <w:spacing w:after="0" w:line="119" w:lineRule="exact"/>
        <w:rPr>
          <w:sz w:val="20"/>
          <w:szCs w:val="20"/>
          <w:color w:val="auto"/>
        </w:rPr>
      </w:pPr>
    </w:p>
    <w:p>
      <w:pPr>
        <w:ind w:left="8" w:right="100" w:firstLine="1036"/>
        <w:spacing w:after="0" w:line="288" w:lineRule="auto"/>
        <w:rPr>
          <w:sz w:val="20"/>
          <w:szCs w:val="20"/>
          <w:color w:val="auto"/>
        </w:rPr>
      </w:pPr>
      <w:r>
        <w:rPr>
          <w:rFonts w:ascii="Arial" w:cs="Arial" w:eastAsia="Arial" w:hAnsi="Arial"/>
          <w:sz w:val="14"/>
          <w:szCs w:val="14"/>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32" w:lineRule="exact"/>
        <w:rPr>
          <w:sz w:val="20"/>
          <w:szCs w:val="20"/>
          <w:color w:val="auto"/>
        </w:rPr>
      </w:pPr>
    </w:p>
    <w:p>
      <w:pPr>
        <w:ind w:left="8" w:right="60" w:firstLine="1036"/>
        <w:spacing w:after="0" w:line="288" w:lineRule="auto"/>
        <w:rPr>
          <w:sz w:val="20"/>
          <w:szCs w:val="20"/>
          <w:color w:val="auto"/>
        </w:rPr>
      </w:pPr>
      <w:r>
        <w:rPr>
          <w:rFonts w:ascii="Arial" w:cs="Arial" w:eastAsia="Arial" w:hAnsi="Arial"/>
          <w:sz w:val="14"/>
          <w:szCs w:val="14"/>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42" w:lineRule="exact"/>
        <w:rPr>
          <w:sz w:val="20"/>
          <w:szCs w:val="20"/>
          <w:color w:val="auto"/>
        </w:rPr>
      </w:pPr>
    </w:p>
    <w:p>
      <w:pPr>
        <w:ind w:left="8" w:right="120" w:firstLine="1036"/>
        <w:spacing w:after="0" w:line="265" w:lineRule="auto"/>
        <w:rPr>
          <w:sz w:val="20"/>
          <w:szCs w:val="20"/>
          <w:color w:val="auto"/>
        </w:rPr>
      </w:pPr>
      <w:r>
        <w:rPr>
          <w:rFonts w:ascii="Arial" w:cs="Arial" w:eastAsia="Arial" w:hAnsi="Arial"/>
          <w:sz w:val="14"/>
          <w:szCs w:val="14"/>
          <w:color w:val="auto"/>
        </w:rPr>
        <w:t>“Performance Milestone I” means (a) no Default or Event of Default shall have occurred and be continuing and (b) Borrower has (i) demonstrated pre-clinical proof-of-concept for all allogeneic iNK cell therapy; (ii) received at least Sixty-Five Million Dollars ($65,000,000) in All Source Proceeds; provided that Agent may, in its sole discretion, reduce such amount of minimum All Source Proceeds consistent with adjustments to Borrower’s projections and the anticipated timing of various events/initiatives, as reviewed and approved by Agent; and (iii) demonstrated pre-clinical proof-of- concept for an allogeneic iT cell therapy product, in each case of the foregoing clauses (i) through (iii), subject to verification by Agent in its reasonable discretion (including supporting documentation reasonably requested by Agent).</w:t>
      </w:r>
    </w:p>
    <w:p>
      <w:pPr>
        <w:spacing w:after="0" w:line="158" w:lineRule="exact"/>
        <w:rPr>
          <w:sz w:val="20"/>
          <w:szCs w:val="20"/>
          <w:color w:val="auto"/>
        </w:rPr>
      </w:pPr>
    </w:p>
    <w:p>
      <w:pPr>
        <w:ind w:left="1068"/>
        <w:spacing w:after="0"/>
        <w:rPr>
          <w:sz w:val="20"/>
          <w:szCs w:val="20"/>
          <w:color w:val="auto"/>
        </w:rPr>
      </w:pPr>
      <w:r>
        <w:rPr>
          <w:rFonts w:ascii="Arial" w:cs="Arial" w:eastAsia="Arial" w:hAnsi="Arial"/>
          <w:sz w:val="13"/>
          <w:szCs w:val="13"/>
          <w:color w:val="auto"/>
        </w:rPr>
        <w:t>“Performance Milestone II” means (a) no Default or Event of Default shall have occurred and be continuing and (b) Borrower has (i) achieved Performance Milestone I and</w:t>
      </w:r>
    </w:p>
    <w:p>
      <w:pPr>
        <w:spacing w:after="0" w:line="33" w:lineRule="exact"/>
        <w:rPr>
          <w:sz w:val="20"/>
          <w:szCs w:val="20"/>
          <w:color w:val="auto"/>
        </w:rPr>
      </w:pPr>
    </w:p>
    <w:p>
      <w:pPr>
        <w:ind w:left="8" w:hanging="8"/>
        <w:spacing w:after="0" w:line="261" w:lineRule="auto"/>
        <w:tabs>
          <w:tab w:leader="none" w:pos="220" w:val="left"/>
        </w:tabs>
        <w:numPr>
          <w:ilvl w:val="0"/>
          <w:numId w:val="492"/>
        </w:numPr>
        <w:rPr>
          <w:rFonts w:ascii="Arial" w:cs="Arial" w:eastAsia="Arial" w:hAnsi="Arial"/>
          <w:sz w:val="14"/>
          <w:szCs w:val="14"/>
          <w:color w:val="auto"/>
        </w:rPr>
      </w:pPr>
      <w:r>
        <w:rPr>
          <w:rFonts w:ascii="Arial" w:cs="Arial" w:eastAsia="Arial" w:hAnsi="Arial"/>
          <w:sz w:val="14"/>
          <w:szCs w:val="14"/>
          <w:color w:val="auto"/>
        </w:rPr>
        <w:t>received at least One Hundred Twenty Million Dollars ($120,000,000) in cumulative All Source Proceeds (including amounts raised or received in connection with satisfaction of Performance Milestone I), which must include the completion of a bona fide equity financing, which financing shall include an institutional investor reasonably acceptable to Agent which was not an investor in Borrower as of the Closing Date, subject to verification by Agent (including supporting documentation reasonably requested by Agent); provided that Agent may, in its sole discretion, reduce such amount of minimum All Source Proceeds consistent with adjustments to Borrower’s projections and the anticipated timing of various events/initiatives, as reviewed and approved by Agent.</w:t>
      </w:r>
    </w:p>
    <w:p>
      <w:pPr>
        <w:spacing w:after="0" w:line="151" w:lineRule="exact"/>
        <w:rPr>
          <w:sz w:val="20"/>
          <w:szCs w:val="20"/>
          <w:color w:val="auto"/>
        </w:rPr>
      </w:pPr>
    </w:p>
    <w:p>
      <w:pPr>
        <w:ind w:left="8" w:right="380" w:firstLine="1036"/>
        <w:spacing w:after="0" w:line="288" w:lineRule="auto"/>
        <w:rPr>
          <w:sz w:val="20"/>
          <w:szCs w:val="20"/>
          <w:color w:val="auto"/>
        </w:rPr>
      </w:pPr>
      <w:r>
        <w:rPr>
          <w:rFonts w:ascii="Arial" w:cs="Arial" w:eastAsia="Arial" w:hAnsi="Arial"/>
          <w:sz w:val="14"/>
          <w:szCs w:val="14"/>
          <w:color w:val="auto"/>
        </w:rPr>
        <w:t>“Performance Milestone III” means (a) no Default or Event of Default shall have occurred and be continuing and (b) Borrower has (i) achieved Performance Milestone II and (ii) in Agent’s reasonable discretion, demonstrated satisfactory progress towards the filing of an IND of an allogeneic cell therapy product.</w:t>
      </w:r>
    </w:p>
    <w:p>
      <w:pPr>
        <w:spacing w:after="0" w:line="142" w:lineRule="exact"/>
        <w:rPr>
          <w:sz w:val="20"/>
          <w:szCs w:val="20"/>
          <w:color w:val="auto"/>
        </w:rPr>
      </w:pPr>
    </w:p>
    <w:p>
      <w:pPr>
        <w:ind w:left="1028"/>
        <w:spacing w:after="0"/>
        <w:rPr>
          <w:sz w:val="20"/>
          <w:szCs w:val="20"/>
          <w:color w:val="auto"/>
        </w:rPr>
      </w:pPr>
      <w:r>
        <w:rPr>
          <w:rFonts w:ascii="Arial" w:cs="Arial" w:eastAsia="Arial" w:hAnsi="Arial"/>
          <w:sz w:val="13"/>
          <w:szCs w:val="13"/>
          <w:color w:val="auto"/>
        </w:rPr>
        <w:t>“Permitted Acquisition” means any Acquisition, in each case located entirely within the United States of America, which is conducted in accordance with the following</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4"/>
          <w:szCs w:val="14"/>
          <w:color w:val="auto"/>
        </w:rPr>
        <w:t>requirements:</w:t>
      </w:r>
    </w:p>
    <w:p>
      <w:pPr>
        <w:spacing w:after="0" w:line="186" w:lineRule="exact"/>
        <w:rPr>
          <w:sz w:val="20"/>
          <w:szCs w:val="20"/>
          <w:color w:val="auto"/>
        </w:rPr>
      </w:pPr>
    </w:p>
    <w:p>
      <w:pPr>
        <w:ind w:left="1768" w:hanging="732"/>
        <w:spacing w:after="0"/>
        <w:tabs>
          <w:tab w:leader="none" w:pos="1768" w:val="left"/>
        </w:tabs>
        <w:numPr>
          <w:ilvl w:val="0"/>
          <w:numId w:val="493"/>
        </w:numPr>
        <w:rPr>
          <w:rFonts w:ascii="Arial" w:cs="Arial" w:eastAsia="Arial" w:hAnsi="Arial"/>
          <w:sz w:val="14"/>
          <w:szCs w:val="14"/>
          <w:color w:val="auto"/>
        </w:rPr>
      </w:pPr>
      <w:r>
        <w:rPr>
          <w:rFonts w:ascii="Arial" w:cs="Arial" w:eastAsia="Arial" w:hAnsi="Arial"/>
          <w:sz w:val="14"/>
          <w:szCs w:val="14"/>
          <w:color w:val="auto"/>
        </w:rPr>
        <w:t>of a business or Person or product engaged in a line of business related to that of the Borrower or its Subsidiaries;</w:t>
      </w:r>
    </w:p>
    <w:p>
      <w:pPr>
        <w:spacing w:after="0" w:line="184" w:lineRule="exact"/>
        <w:rPr>
          <w:rFonts w:ascii="Arial" w:cs="Arial" w:eastAsia="Arial" w:hAnsi="Arial"/>
          <w:sz w:val="14"/>
          <w:szCs w:val="14"/>
          <w:color w:val="auto"/>
        </w:rPr>
      </w:pPr>
    </w:p>
    <w:p>
      <w:pPr>
        <w:ind w:left="8" w:right="120" w:firstLine="1028"/>
        <w:spacing w:after="0" w:line="273" w:lineRule="auto"/>
        <w:tabs>
          <w:tab w:leader="none" w:pos="1751" w:val="left"/>
        </w:tabs>
        <w:numPr>
          <w:ilvl w:val="0"/>
          <w:numId w:val="493"/>
        </w:numPr>
        <w:rPr>
          <w:rFonts w:ascii="Arial" w:cs="Arial" w:eastAsia="Arial" w:hAnsi="Arial"/>
          <w:sz w:val="14"/>
          <w:szCs w:val="14"/>
          <w:color w:val="auto"/>
        </w:rPr>
      </w:pPr>
      <w:r>
        <w:rPr>
          <w:rFonts w:ascii="Arial" w:cs="Arial" w:eastAsia="Arial" w:hAnsi="Arial"/>
          <w:sz w:val="14"/>
          <w:szCs w:val="14"/>
          <w:color w:val="auto"/>
        </w:rPr>
        <w:t>if such Acquisition is structured as a stock acquisition, then the Person so acquired shall either (i) become a wholly-owned Subsidiary of Borrower or of a Subsidiary and the Borrower shall comply, or cause such Subsidiary to comply, with Section 7.13 hereof or (ii) such Person shall be merged with and into Borrower (with the Borrower being the surviving entity);</w:t>
      </w:r>
    </w:p>
    <w:p>
      <w:pPr>
        <w:spacing w:after="0" w:line="141" w:lineRule="exact"/>
        <w:rPr>
          <w:sz w:val="20"/>
          <w:szCs w:val="20"/>
          <w:color w:val="auto"/>
        </w:rPr>
      </w:pPr>
    </w:p>
    <w:p>
      <w:pPr>
        <w:jc w:val="center"/>
        <w:ind w:right="-67"/>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20955</wp:posOffset>
            </wp:positionV>
            <wp:extent cx="7159625" cy="69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48"/>
          </w:cols>
          <w:pgMar w:left="392" w:top="648" w:right="459" w:bottom="1440" w:gutter="0" w:footer="0" w:header="0"/>
        </w:sectPr>
      </w:pPr>
    </w:p>
    <w:bookmarkStart w:id="681" w:name="page682"/>
    <w:bookmarkEnd w:id="681"/>
    <w:p>
      <w:pPr>
        <w:jc w:val="both"/>
        <w:ind w:left="-40" w:right="380" w:firstLine="1028"/>
        <w:spacing w:after="0" w:line="273" w:lineRule="auto"/>
        <w:tabs>
          <w:tab w:leader="none" w:pos="1731" w:val="left"/>
        </w:tabs>
        <w:numPr>
          <w:ilvl w:val="0"/>
          <w:numId w:val="494"/>
        </w:numPr>
        <w:rPr>
          <w:rFonts w:ascii="Arial" w:cs="Arial" w:eastAsia="Arial" w:hAnsi="Arial"/>
          <w:sz w:val="14"/>
          <w:szCs w:val="14"/>
          <w:color w:val="auto"/>
        </w:rPr>
      </w:pPr>
      <w:r>
        <w:rPr>
          <w:rFonts w:ascii="Arial" w:cs="Arial" w:eastAsia="Arial" w:hAnsi="Arial"/>
          <w:sz w:val="14"/>
          <w:szCs w:val="14"/>
          <w:color w:val="auto"/>
        </w:rPr>
        <w:t>if such Acquisition is structured as the acquisition or in-licensing of assets, such assets shall be acquired by Borrower or a Subsidiary of Borrower that has executed a Joinder Agreement, shall be related to or complementary to Borrower’s core technology or required for specific product candidate constructs (i.e. cell therapy design, delivery technology, target-specific IP, etc.), and shall be free and clear of Liens other than Permitted Liens;</w:t>
      </w:r>
    </w:p>
    <w:p>
      <w:pPr>
        <w:spacing w:after="0" w:line="151" w:lineRule="exact"/>
        <w:rPr>
          <w:rFonts w:ascii="Arial" w:cs="Arial" w:eastAsia="Arial" w:hAnsi="Arial"/>
          <w:sz w:val="14"/>
          <w:szCs w:val="14"/>
          <w:color w:val="auto"/>
        </w:rPr>
      </w:pPr>
    </w:p>
    <w:p>
      <w:pPr>
        <w:ind w:left="-40" w:right="260" w:firstLine="1028"/>
        <w:spacing w:after="0" w:line="267" w:lineRule="auto"/>
        <w:tabs>
          <w:tab w:leader="none" w:pos="1703" w:val="left"/>
        </w:tabs>
        <w:numPr>
          <w:ilvl w:val="0"/>
          <w:numId w:val="494"/>
        </w:numPr>
        <w:rPr>
          <w:rFonts w:ascii="Arial" w:cs="Arial" w:eastAsia="Arial" w:hAnsi="Arial"/>
          <w:sz w:val="14"/>
          <w:szCs w:val="14"/>
          <w:color w:val="auto"/>
        </w:rPr>
      </w:pPr>
      <w:r>
        <w:rPr>
          <w:rFonts w:ascii="Arial" w:cs="Arial" w:eastAsia="Arial" w:hAnsi="Arial"/>
          <w:sz w:val="14"/>
          <w:szCs w:val="14"/>
          <w:color w:val="auto"/>
        </w:rPr>
        <w:t>the Borrower shall have delivered to the Lenders not less than fifteen (15) nor more than forty five (45) days prior to the date of such Acquisition, notice of such Acquisition together with pro forma projected financial information, copies of all material documents relating to such acquisition, and historical financial statements for such acquired entity, division or line of business, in each case in form and substance satisfactory to the Lenders and demonstrating compliance with the covenants set forth in Section 7.20 hereof on a pro forma basis as if the Acquisition occurred on the first day of the most recent measurement period;</w:t>
      </w:r>
    </w:p>
    <w:p>
      <w:pPr>
        <w:spacing w:after="0" w:line="146" w:lineRule="exact"/>
        <w:rPr>
          <w:rFonts w:ascii="Arial" w:cs="Arial" w:eastAsia="Arial" w:hAnsi="Arial"/>
          <w:sz w:val="14"/>
          <w:szCs w:val="14"/>
          <w:color w:val="auto"/>
        </w:rPr>
      </w:pPr>
    </w:p>
    <w:p>
      <w:pPr>
        <w:ind w:left="1680" w:hanging="693"/>
        <w:spacing w:after="0"/>
        <w:tabs>
          <w:tab w:leader="none" w:pos="1680" w:val="left"/>
        </w:tabs>
        <w:numPr>
          <w:ilvl w:val="0"/>
          <w:numId w:val="494"/>
        </w:numPr>
        <w:rPr>
          <w:rFonts w:ascii="Arial" w:cs="Arial" w:eastAsia="Arial" w:hAnsi="Arial"/>
          <w:sz w:val="14"/>
          <w:szCs w:val="14"/>
          <w:color w:val="auto"/>
        </w:rPr>
      </w:pPr>
      <w:r>
        <w:rPr>
          <w:rFonts w:ascii="Arial" w:cs="Arial" w:eastAsia="Arial" w:hAnsi="Arial"/>
          <w:sz w:val="14"/>
          <w:szCs w:val="14"/>
          <w:color w:val="auto"/>
        </w:rPr>
        <w:t>both immediately before and after such Acquisition no Default or Event of Default shall have occurred and be continuing; and</w:t>
      </w:r>
    </w:p>
    <w:p>
      <w:pPr>
        <w:spacing w:after="0" w:line="195" w:lineRule="exact"/>
        <w:rPr>
          <w:rFonts w:ascii="Arial" w:cs="Arial" w:eastAsia="Arial" w:hAnsi="Arial"/>
          <w:sz w:val="14"/>
          <w:szCs w:val="14"/>
          <w:color w:val="auto"/>
        </w:rPr>
      </w:pPr>
    </w:p>
    <w:p>
      <w:pPr>
        <w:jc w:val="both"/>
        <w:ind w:left="-40" w:right="20" w:firstLine="1028"/>
        <w:spacing w:after="0" w:line="294" w:lineRule="auto"/>
        <w:tabs>
          <w:tab w:leader="none" w:pos="1643" w:val="left"/>
        </w:tabs>
        <w:numPr>
          <w:ilvl w:val="0"/>
          <w:numId w:val="494"/>
        </w:numPr>
        <w:rPr>
          <w:rFonts w:ascii="Arial" w:cs="Arial" w:eastAsia="Arial" w:hAnsi="Arial"/>
          <w:sz w:val="13"/>
          <w:szCs w:val="13"/>
          <w:color w:val="auto"/>
        </w:rPr>
      </w:pPr>
      <w:r>
        <w:rPr>
          <w:rFonts w:ascii="Arial" w:cs="Arial" w:eastAsia="Arial" w:hAnsi="Arial"/>
          <w:sz w:val="13"/>
          <w:szCs w:val="13"/>
          <w:color w:val="auto"/>
        </w:rPr>
        <w:t>the sum of the purchase price of all such proposed new Acquisitions, in the aggregate, computed on the basis of total acquisition consideration paid or incurred, or to be paid or incurred, by Borrower with respect thereto, including any contingent or deferred acquisition consideration due and/or payable during the term of this Agreement, and including the amount of Permitted Indebtedness assumed or to which such assets, businesses or business or ownership interest or shares, or any Person so acquired, is subject, shall not be greater than (i) $4,000,000 for any single acquisition or group of related acquisitions or (ii) $6,000,000 for all such acquisitions during the term of this Agreement.</w:t>
      </w:r>
    </w:p>
    <w:p>
      <w:pPr>
        <w:spacing w:after="0" w:line="14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“Permitted Indebtedness” means:</w:t>
      </w:r>
    </w:p>
    <w:p>
      <w:pPr>
        <w:spacing w:after="0" w:line="184" w:lineRule="exact"/>
        <w:rPr>
          <w:sz w:val="20"/>
          <w:szCs w:val="20"/>
          <w:color w:val="auto"/>
        </w:rPr>
      </w:pPr>
    </w:p>
    <w:p>
      <w:pPr>
        <w:ind w:left="1780" w:hanging="534"/>
        <w:spacing w:after="0"/>
        <w:tabs>
          <w:tab w:leader="none" w:pos="1780" w:val="left"/>
        </w:tabs>
        <w:numPr>
          <w:ilvl w:val="0"/>
          <w:numId w:val="495"/>
        </w:numPr>
        <w:rPr>
          <w:rFonts w:ascii="Arial" w:cs="Arial" w:eastAsia="Arial" w:hAnsi="Arial"/>
          <w:sz w:val="14"/>
          <w:szCs w:val="14"/>
          <w:color w:val="auto"/>
        </w:rPr>
      </w:pPr>
      <w:r>
        <w:rPr>
          <w:rFonts w:ascii="Arial" w:cs="Arial" w:eastAsia="Arial" w:hAnsi="Arial"/>
          <w:sz w:val="14"/>
          <w:szCs w:val="14"/>
          <w:color w:val="auto"/>
        </w:rPr>
        <w:t>Indebtedness of Borrower in favor of the Lenders or Agent arising under this Agreement or any other Loan Document;</w:t>
      </w:r>
    </w:p>
    <w:p>
      <w:pPr>
        <w:spacing w:after="0" w:line="195" w:lineRule="exact"/>
        <w:rPr>
          <w:rFonts w:ascii="Arial" w:cs="Arial" w:eastAsia="Arial" w:hAnsi="Arial"/>
          <w:sz w:val="14"/>
          <w:szCs w:val="14"/>
          <w:color w:val="auto"/>
        </w:rPr>
      </w:pPr>
    </w:p>
    <w:p>
      <w:pPr>
        <w:ind w:left="1620" w:hanging="383"/>
        <w:spacing w:after="0"/>
        <w:tabs>
          <w:tab w:leader="none" w:pos="1620" w:val="left"/>
        </w:tabs>
        <w:numPr>
          <w:ilvl w:val="0"/>
          <w:numId w:val="495"/>
        </w:numPr>
        <w:rPr>
          <w:rFonts w:ascii="Arial" w:cs="Arial" w:eastAsia="Arial" w:hAnsi="Arial"/>
          <w:sz w:val="14"/>
          <w:szCs w:val="14"/>
          <w:color w:val="auto"/>
        </w:rPr>
      </w:pPr>
      <w:r>
        <w:rPr>
          <w:rFonts w:ascii="Arial" w:cs="Arial" w:eastAsia="Arial" w:hAnsi="Arial"/>
          <w:sz w:val="14"/>
          <w:szCs w:val="14"/>
          <w:color w:val="auto"/>
        </w:rPr>
        <w:t>Indebtedness existing on the Closing Date which is disclosed in Schedule 1A;</w:t>
      </w:r>
    </w:p>
    <w:p>
      <w:pPr>
        <w:spacing w:after="0" w:line="195" w:lineRule="exact"/>
        <w:rPr>
          <w:rFonts w:ascii="Arial" w:cs="Arial" w:eastAsia="Arial" w:hAnsi="Arial"/>
          <w:sz w:val="14"/>
          <w:szCs w:val="14"/>
          <w:color w:val="auto"/>
        </w:rPr>
      </w:pPr>
    </w:p>
    <w:p>
      <w:pPr>
        <w:ind w:left="460" w:right="440" w:firstLine="787"/>
        <w:spacing w:after="0" w:line="288" w:lineRule="auto"/>
        <w:tabs>
          <w:tab w:leader="none" w:pos="1704" w:val="left"/>
        </w:tabs>
        <w:numPr>
          <w:ilvl w:val="0"/>
          <w:numId w:val="495"/>
        </w:numPr>
        <w:rPr>
          <w:rFonts w:ascii="Arial" w:cs="Arial" w:eastAsia="Arial" w:hAnsi="Arial"/>
          <w:sz w:val="14"/>
          <w:szCs w:val="14"/>
          <w:color w:val="auto"/>
        </w:rPr>
      </w:pPr>
      <w:r>
        <w:rPr>
          <w:rFonts w:ascii="Arial" w:cs="Arial" w:eastAsia="Arial" w:hAnsi="Arial"/>
          <w:sz w:val="14"/>
          <w:szCs w:val="14"/>
          <w:color w:val="auto"/>
        </w:rPr>
        <w:t>Indebtedness of up to $1,500,000 outstanding at any time secured by a Lien described in clause (vii) of the defined term “Permitted Liens,” provided such Indebtedness does not exceed the cost of the Equipment financed with such Indebtedness;</w:t>
      </w:r>
    </w:p>
    <w:p>
      <w:pPr>
        <w:spacing w:after="0" w:line="131" w:lineRule="exact"/>
        <w:rPr>
          <w:rFonts w:ascii="Arial" w:cs="Arial" w:eastAsia="Arial" w:hAnsi="Arial"/>
          <w:sz w:val="14"/>
          <w:szCs w:val="14"/>
          <w:color w:val="auto"/>
        </w:rPr>
      </w:pPr>
    </w:p>
    <w:p>
      <w:pPr>
        <w:ind w:left="460" w:firstLine="786"/>
        <w:spacing w:after="0" w:line="288" w:lineRule="auto"/>
        <w:tabs>
          <w:tab w:leader="none" w:pos="1695" w:val="left"/>
        </w:tabs>
        <w:numPr>
          <w:ilvl w:val="0"/>
          <w:numId w:val="495"/>
        </w:numPr>
        <w:rPr>
          <w:rFonts w:ascii="Arial" w:cs="Arial" w:eastAsia="Arial" w:hAnsi="Arial"/>
          <w:sz w:val="14"/>
          <w:szCs w:val="14"/>
          <w:color w:val="auto"/>
        </w:rPr>
      </w:pPr>
      <w:r>
        <w:rPr>
          <w:rFonts w:ascii="Arial" w:cs="Arial" w:eastAsia="Arial" w:hAnsi="Arial"/>
          <w:sz w:val="14"/>
          <w:szCs w:val="14"/>
          <w:color w:val="auto"/>
        </w:rPr>
        <w:t>Indebtedness to trade creditors incurred in the ordinary course of business, including such Indebtedness incurred in the ordinary course of business with corporate credit cards in an amount not to exceed $500,000 at any time outstanding;</w:t>
      </w:r>
    </w:p>
    <w:p>
      <w:pPr>
        <w:spacing w:after="0" w:line="131" w:lineRule="exact"/>
        <w:rPr>
          <w:rFonts w:ascii="Arial" w:cs="Arial" w:eastAsia="Arial" w:hAnsi="Arial"/>
          <w:sz w:val="14"/>
          <w:szCs w:val="14"/>
          <w:color w:val="auto"/>
        </w:rPr>
      </w:pPr>
    </w:p>
    <w:p>
      <w:pPr>
        <w:ind w:left="1620" w:hanging="383"/>
        <w:spacing w:after="0"/>
        <w:tabs>
          <w:tab w:leader="none" w:pos="1620" w:val="left"/>
        </w:tabs>
        <w:numPr>
          <w:ilvl w:val="0"/>
          <w:numId w:val="495"/>
        </w:numPr>
        <w:rPr>
          <w:rFonts w:ascii="Arial" w:cs="Arial" w:eastAsia="Arial" w:hAnsi="Arial"/>
          <w:sz w:val="14"/>
          <w:szCs w:val="14"/>
          <w:color w:val="auto"/>
        </w:rPr>
      </w:pPr>
      <w:r>
        <w:rPr>
          <w:rFonts w:ascii="Arial" w:cs="Arial" w:eastAsia="Arial" w:hAnsi="Arial"/>
          <w:sz w:val="14"/>
          <w:szCs w:val="14"/>
          <w:color w:val="auto"/>
        </w:rPr>
        <w:t>Indebtedness that also constitutes a Permitted Investment;</w:t>
      </w:r>
    </w:p>
    <w:p>
      <w:pPr>
        <w:spacing w:after="0" w:line="195" w:lineRule="exact"/>
        <w:rPr>
          <w:rFonts w:ascii="Arial" w:cs="Arial" w:eastAsia="Arial" w:hAnsi="Arial"/>
          <w:sz w:val="14"/>
          <w:szCs w:val="14"/>
          <w:color w:val="auto"/>
        </w:rPr>
      </w:pPr>
    </w:p>
    <w:p>
      <w:pPr>
        <w:ind w:left="1620" w:hanging="383"/>
        <w:spacing w:after="0"/>
        <w:tabs>
          <w:tab w:leader="none" w:pos="1620" w:val="left"/>
        </w:tabs>
        <w:numPr>
          <w:ilvl w:val="0"/>
          <w:numId w:val="495"/>
        </w:numPr>
        <w:rPr>
          <w:rFonts w:ascii="Arial" w:cs="Arial" w:eastAsia="Arial" w:hAnsi="Arial"/>
          <w:sz w:val="14"/>
          <w:szCs w:val="14"/>
          <w:color w:val="auto"/>
        </w:rPr>
      </w:pPr>
      <w:r>
        <w:rPr>
          <w:rFonts w:ascii="Arial" w:cs="Arial" w:eastAsia="Arial" w:hAnsi="Arial"/>
          <w:sz w:val="14"/>
          <w:szCs w:val="14"/>
          <w:color w:val="auto"/>
        </w:rPr>
        <w:t>Subordinated Indebtedness;</w:t>
      </w:r>
    </w:p>
    <w:p>
      <w:pPr>
        <w:spacing w:after="0" w:line="184" w:lineRule="exact"/>
        <w:rPr>
          <w:rFonts w:ascii="Arial" w:cs="Arial" w:eastAsia="Arial" w:hAnsi="Arial"/>
          <w:sz w:val="14"/>
          <w:szCs w:val="14"/>
          <w:color w:val="auto"/>
        </w:rPr>
      </w:pPr>
    </w:p>
    <w:p>
      <w:pPr>
        <w:ind w:left="1680" w:hanging="434"/>
        <w:spacing w:after="0"/>
        <w:tabs>
          <w:tab w:leader="none" w:pos="1680" w:val="left"/>
        </w:tabs>
        <w:numPr>
          <w:ilvl w:val="0"/>
          <w:numId w:val="495"/>
        </w:numPr>
        <w:rPr>
          <w:rFonts w:ascii="Arial" w:cs="Arial" w:eastAsia="Arial" w:hAnsi="Arial"/>
          <w:sz w:val="13"/>
          <w:szCs w:val="13"/>
          <w:color w:val="auto"/>
        </w:rPr>
      </w:pPr>
      <w:r>
        <w:rPr>
          <w:rFonts w:ascii="Arial" w:cs="Arial" w:eastAsia="Arial" w:hAnsi="Arial"/>
          <w:sz w:val="13"/>
          <w:szCs w:val="13"/>
          <w:color w:val="auto"/>
        </w:rPr>
        <w:t>reimbursement obligations in connection with letters of credit that are secured by Cash and issued on behalf of the Borrower or a Subsidiary thereof in an amount</w:t>
      </w:r>
    </w:p>
    <w:p>
      <w:pPr>
        <w:spacing w:after="0" w:line="32"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not to exceed</w:t>
      </w:r>
    </w:p>
    <w:p>
      <w:pPr>
        <w:spacing w:after="0" w:line="1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$250,000 at any time outstanding,</w:t>
      </w:r>
    </w:p>
    <w:p>
      <w:pPr>
        <w:spacing w:after="0" w:line="174" w:lineRule="exact"/>
        <w:rPr>
          <w:rFonts w:ascii="Arial" w:cs="Arial" w:eastAsia="Arial" w:hAnsi="Arial"/>
          <w:sz w:val="13"/>
          <w:szCs w:val="13"/>
          <w:color w:val="auto"/>
        </w:rPr>
      </w:pPr>
    </w:p>
    <w:p>
      <w:pPr>
        <w:ind w:left="1640" w:hanging="394"/>
        <w:spacing w:after="0"/>
        <w:tabs>
          <w:tab w:leader="none" w:pos="1640" w:val="left"/>
        </w:tabs>
        <w:numPr>
          <w:ilvl w:val="0"/>
          <w:numId w:val="495"/>
        </w:numPr>
        <w:rPr>
          <w:rFonts w:ascii="Arial" w:cs="Arial" w:eastAsia="Arial" w:hAnsi="Arial"/>
          <w:sz w:val="13"/>
          <w:szCs w:val="13"/>
          <w:color w:val="auto"/>
        </w:rPr>
      </w:pPr>
      <w:r>
        <w:rPr>
          <w:rFonts w:ascii="Arial" w:cs="Arial" w:eastAsia="Arial" w:hAnsi="Arial"/>
          <w:sz w:val="13"/>
          <w:szCs w:val="13"/>
          <w:color w:val="auto"/>
        </w:rPr>
        <w:t>Indebtedness arising from honoring by a bank or other financial institution of a check, draft or similar instrument drawn against insufficient funds in the ordinary</w:t>
      </w:r>
    </w:p>
    <w:p>
      <w:pPr>
        <w:spacing w:after="0" w:line="32"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4"/>
          <w:szCs w:val="14"/>
          <w:color w:val="auto"/>
        </w:rPr>
        <w:t>course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20955</wp:posOffset>
            </wp:positionV>
            <wp:extent cx="7159625" cy="69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20"/>
          </w:cols>
          <w:pgMar w:left="440" w:top="648" w:right="439" w:bottom="1440" w:gutter="0" w:footer="0" w:header="0"/>
        </w:sectPr>
      </w:pPr>
    </w:p>
    <w:bookmarkStart w:id="682" w:name="page683"/>
    <w:bookmarkEnd w:id="682"/>
    <w:p>
      <w:pPr>
        <w:spacing w:after="0"/>
        <w:rPr>
          <w:sz w:val="20"/>
          <w:szCs w:val="20"/>
          <w:color w:val="auto"/>
        </w:rPr>
      </w:pPr>
      <w:r>
        <w:rPr>
          <w:rFonts w:ascii="Arial" w:cs="Arial" w:eastAsia="Arial" w:hAnsi="Arial"/>
          <w:sz w:val="14"/>
          <w:szCs w:val="14"/>
          <w:color w:val="auto"/>
        </w:rPr>
        <w:t>business, provided that such Indebtedness is extinguished within ten (10) days of Borrower or its Subsidiaries obtaining notice or knowledge of its incurrence;</w:t>
      </w:r>
    </w:p>
    <w:p>
      <w:pPr>
        <w:spacing w:after="0" w:line="184" w:lineRule="exact"/>
        <w:rPr>
          <w:sz w:val="20"/>
          <w:szCs w:val="20"/>
          <w:color w:val="auto"/>
        </w:rPr>
      </w:pPr>
    </w:p>
    <w:p>
      <w:pPr>
        <w:ind w:left="1220" w:hanging="453"/>
        <w:spacing w:after="0"/>
        <w:tabs>
          <w:tab w:leader="none" w:pos="1220" w:val="left"/>
        </w:tabs>
        <w:numPr>
          <w:ilvl w:val="0"/>
          <w:numId w:val="496"/>
        </w:numPr>
        <w:rPr>
          <w:rFonts w:ascii="Arial" w:cs="Arial" w:eastAsia="Arial" w:hAnsi="Arial"/>
          <w:sz w:val="14"/>
          <w:szCs w:val="14"/>
          <w:color w:val="auto"/>
        </w:rPr>
      </w:pPr>
      <w:r>
        <w:rPr>
          <w:rFonts w:ascii="Arial" w:cs="Arial" w:eastAsia="Arial" w:hAnsi="Arial"/>
          <w:sz w:val="14"/>
          <w:szCs w:val="14"/>
          <w:color w:val="auto"/>
        </w:rPr>
        <w:t>Indebtedness of Borrower and its Subsidiaries incurred in connection with financing of insurance premiums in the ordinary course of business;</w:t>
      </w:r>
    </w:p>
    <w:p>
      <w:pPr>
        <w:spacing w:after="0" w:line="195" w:lineRule="exact"/>
        <w:rPr>
          <w:rFonts w:ascii="Arial" w:cs="Arial" w:eastAsia="Arial" w:hAnsi="Arial"/>
          <w:sz w:val="14"/>
          <w:szCs w:val="14"/>
          <w:color w:val="auto"/>
        </w:rPr>
      </w:pPr>
    </w:p>
    <w:p>
      <w:pPr>
        <w:ind w:left="1260" w:hanging="493"/>
        <w:spacing w:after="0"/>
        <w:tabs>
          <w:tab w:leader="none" w:pos="1260" w:val="left"/>
        </w:tabs>
        <w:numPr>
          <w:ilvl w:val="0"/>
          <w:numId w:val="496"/>
        </w:numPr>
        <w:rPr>
          <w:rFonts w:ascii="Arial" w:cs="Arial" w:eastAsia="Arial" w:hAnsi="Arial"/>
          <w:sz w:val="14"/>
          <w:szCs w:val="14"/>
          <w:color w:val="auto"/>
        </w:rPr>
      </w:pPr>
      <w:r>
        <w:rPr>
          <w:rFonts w:ascii="Arial" w:cs="Arial" w:eastAsia="Arial" w:hAnsi="Arial"/>
          <w:sz w:val="14"/>
          <w:szCs w:val="14"/>
          <w:color w:val="auto"/>
        </w:rPr>
        <w:t>Indebtedness incurred in connection with netting services incurred in the ordinary course of business;</w:t>
      </w:r>
    </w:p>
    <w:p>
      <w:pPr>
        <w:spacing w:after="0" w:line="184" w:lineRule="exact"/>
        <w:rPr>
          <w:rFonts w:ascii="Arial" w:cs="Arial" w:eastAsia="Arial" w:hAnsi="Arial"/>
          <w:sz w:val="14"/>
          <w:szCs w:val="14"/>
          <w:color w:val="auto"/>
        </w:rPr>
      </w:pPr>
    </w:p>
    <w:p>
      <w:pPr>
        <w:ind w:right="160" w:firstLine="767"/>
        <w:spacing w:after="0" w:line="288" w:lineRule="auto"/>
        <w:tabs>
          <w:tab w:leader="none" w:pos="1235" w:val="left"/>
        </w:tabs>
        <w:numPr>
          <w:ilvl w:val="0"/>
          <w:numId w:val="496"/>
        </w:numPr>
        <w:rPr>
          <w:rFonts w:ascii="Arial" w:cs="Arial" w:eastAsia="Arial" w:hAnsi="Arial"/>
          <w:sz w:val="14"/>
          <w:szCs w:val="14"/>
          <w:color w:val="auto"/>
        </w:rPr>
      </w:pPr>
      <w:r>
        <w:rPr>
          <w:rFonts w:ascii="Arial" w:cs="Arial" w:eastAsia="Arial" w:hAnsi="Arial"/>
          <w:sz w:val="14"/>
          <w:szCs w:val="14"/>
          <w:color w:val="auto"/>
        </w:rPr>
        <w:t>Indebtedness arising out of currency or commodity swap agreements, interest rate cap agreements, interest rate collar agreements or other similar agreements entered into in the ordinary course of business and not for speculation</w:t>
      </w:r>
    </w:p>
    <w:p>
      <w:pPr>
        <w:spacing w:after="0" w:line="131" w:lineRule="exact"/>
        <w:rPr>
          <w:rFonts w:ascii="Arial" w:cs="Arial" w:eastAsia="Arial" w:hAnsi="Arial"/>
          <w:sz w:val="14"/>
          <w:szCs w:val="14"/>
          <w:color w:val="auto"/>
        </w:rPr>
      </w:pPr>
    </w:p>
    <w:p>
      <w:pPr>
        <w:ind w:left="1200" w:hanging="433"/>
        <w:spacing w:after="0"/>
        <w:tabs>
          <w:tab w:leader="none" w:pos="1200" w:val="left"/>
        </w:tabs>
        <w:numPr>
          <w:ilvl w:val="0"/>
          <w:numId w:val="496"/>
        </w:numPr>
        <w:rPr>
          <w:rFonts w:ascii="Arial" w:cs="Arial" w:eastAsia="Arial" w:hAnsi="Arial"/>
          <w:sz w:val="14"/>
          <w:szCs w:val="14"/>
          <w:color w:val="auto"/>
        </w:rPr>
      </w:pPr>
      <w:r>
        <w:rPr>
          <w:rFonts w:ascii="Arial" w:cs="Arial" w:eastAsia="Arial" w:hAnsi="Arial"/>
          <w:sz w:val="14"/>
          <w:szCs w:val="14"/>
          <w:color w:val="auto"/>
        </w:rPr>
        <w:t>other unsecured Indebtedness in an amount not to exceed $250,000 at any time outstanding,</w:t>
      </w:r>
    </w:p>
    <w:p>
      <w:pPr>
        <w:spacing w:after="0" w:line="195" w:lineRule="exact"/>
        <w:rPr>
          <w:rFonts w:ascii="Arial" w:cs="Arial" w:eastAsia="Arial" w:hAnsi="Arial"/>
          <w:sz w:val="14"/>
          <w:szCs w:val="14"/>
          <w:color w:val="auto"/>
        </w:rPr>
      </w:pPr>
    </w:p>
    <w:p>
      <w:pPr>
        <w:ind w:right="360" w:firstLine="767"/>
        <w:spacing w:after="0" w:line="288" w:lineRule="auto"/>
        <w:tabs>
          <w:tab w:leader="none" w:pos="1171" w:val="left"/>
        </w:tabs>
        <w:numPr>
          <w:ilvl w:val="0"/>
          <w:numId w:val="496"/>
        </w:numPr>
        <w:rPr>
          <w:rFonts w:ascii="Arial" w:cs="Arial" w:eastAsia="Arial" w:hAnsi="Arial"/>
          <w:sz w:val="14"/>
          <w:szCs w:val="14"/>
          <w:color w:val="auto"/>
        </w:rPr>
      </w:pPr>
      <w:r>
        <w:rPr>
          <w:rFonts w:ascii="Arial" w:cs="Arial" w:eastAsia="Arial" w:hAnsi="Arial"/>
          <w:sz w:val="14"/>
          <w:szCs w:val="14"/>
          <w:color w:val="auto"/>
        </w:rPr>
        <w:t>intercompany Indebtedness as long as either (A) each of the Subsidiary obligor and the Subsidiary obligee under such Indebtedness is a Subsidiary that has executed a Joinder Agreement; and</w:t>
      </w:r>
    </w:p>
    <w:p>
      <w:pPr>
        <w:spacing w:after="0" w:line="131" w:lineRule="exact"/>
        <w:rPr>
          <w:rFonts w:ascii="Arial" w:cs="Arial" w:eastAsia="Arial" w:hAnsi="Arial"/>
          <w:sz w:val="14"/>
          <w:szCs w:val="14"/>
          <w:color w:val="auto"/>
        </w:rPr>
      </w:pPr>
    </w:p>
    <w:p>
      <w:pPr>
        <w:ind w:right="400" w:firstLine="767"/>
        <w:spacing w:after="0" w:line="288" w:lineRule="auto"/>
        <w:tabs>
          <w:tab w:leader="none" w:pos="1163" w:val="left"/>
        </w:tabs>
        <w:numPr>
          <w:ilvl w:val="0"/>
          <w:numId w:val="496"/>
        </w:numPr>
        <w:rPr>
          <w:rFonts w:ascii="Arial" w:cs="Arial" w:eastAsia="Arial" w:hAnsi="Arial"/>
          <w:sz w:val="14"/>
          <w:szCs w:val="14"/>
          <w:color w:val="auto"/>
        </w:rPr>
      </w:pPr>
      <w:r>
        <w:rPr>
          <w:rFonts w:ascii="Arial" w:cs="Arial" w:eastAsia="Arial" w:hAnsi="Arial"/>
          <w:sz w:val="14"/>
          <w:szCs w:val="14"/>
          <w:color w:val="auto"/>
        </w:rPr>
        <w:t>extensions, refinancings and renewals of any items of Permitted Indebtedness, provided that the principal amount is not increased or the terms modified to impose materially more burdensome terms upon Borrower or its Subsidiary, as the case may be.</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“Permitted Investment” means:</w:t>
      </w:r>
    </w:p>
    <w:p>
      <w:pPr>
        <w:spacing w:after="0" w:line="195" w:lineRule="exact"/>
        <w:rPr>
          <w:sz w:val="20"/>
          <w:szCs w:val="20"/>
          <w:color w:val="auto"/>
        </w:rPr>
      </w:pPr>
    </w:p>
    <w:p>
      <w:pPr>
        <w:ind w:left="1140" w:hanging="383"/>
        <w:spacing w:after="0"/>
        <w:tabs>
          <w:tab w:leader="none" w:pos="1140" w:val="left"/>
        </w:tabs>
        <w:numPr>
          <w:ilvl w:val="0"/>
          <w:numId w:val="497"/>
        </w:numPr>
        <w:rPr>
          <w:rFonts w:ascii="Arial" w:cs="Arial" w:eastAsia="Arial" w:hAnsi="Arial"/>
          <w:sz w:val="14"/>
          <w:szCs w:val="14"/>
          <w:color w:val="auto"/>
        </w:rPr>
      </w:pPr>
      <w:r>
        <w:rPr>
          <w:rFonts w:ascii="Arial" w:cs="Arial" w:eastAsia="Arial" w:hAnsi="Arial"/>
          <w:sz w:val="14"/>
          <w:szCs w:val="14"/>
          <w:color w:val="auto"/>
        </w:rPr>
        <w:t>Investments existing on the Closing Date which are disclosed in Schedule 1B;</w:t>
      </w:r>
    </w:p>
    <w:p>
      <w:pPr>
        <w:spacing w:after="0" w:line="184" w:lineRule="exact"/>
        <w:rPr>
          <w:rFonts w:ascii="Arial" w:cs="Arial" w:eastAsia="Arial" w:hAnsi="Arial"/>
          <w:sz w:val="14"/>
          <w:szCs w:val="14"/>
          <w:color w:val="auto"/>
        </w:rPr>
      </w:pPr>
    </w:p>
    <w:p>
      <w:pPr>
        <w:ind w:right="40" w:firstLine="767"/>
        <w:spacing w:after="0" w:line="263" w:lineRule="auto"/>
        <w:tabs>
          <w:tab w:leader="none" w:pos="1275" w:val="left"/>
        </w:tabs>
        <w:numPr>
          <w:ilvl w:val="0"/>
          <w:numId w:val="497"/>
        </w:numPr>
        <w:rPr>
          <w:rFonts w:ascii="Arial" w:cs="Arial" w:eastAsia="Arial" w:hAnsi="Arial"/>
          <w:sz w:val="14"/>
          <w:szCs w:val="14"/>
          <w:color w:val="auto"/>
        </w:rPr>
      </w:pPr>
      <w:r>
        <w:rPr>
          <w:rFonts w:ascii="Arial" w:cs="Arial" w:eastAsia="Arial" w:hAnsi="Arial"/>
          <w:sz w:val="14"/>
          <w:szCs w:val="14"/>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(d) money market accounts and (e) any other investments permitted under the Investment Policy Statement of the Borrower dated as of November 12, 2018, as updated from time to time to the extent a copy of such updates have been provided to, and reviewed by, Agent;</w:t>
      </w:r>
    </w:p>
    <w:p>
      <w:pPr>
        <w:spacing w:after="0" w:line="149" w:lineRule="exact"/>
        <w:rPr>
          <w:rFonts w:ascii="Arial" w:cs="Arial" w:eastAsia="Arial" w:hAnsi="Arial"/>
          <w:sz w:val="14"/>
          <w:szCs w:val="14"/>
          <w:color w:val="auto"/>
        </w:rPr>
      </w:pPr>
    </w:p>
    <w:p>
      <w:pPr>
        <w:ind w:right="360" w:firstLine="767"/>
        <w:spacing w:after="0" w:line="273" w:lineRule="auto"/>
        <w:tabs>
          <w:tab w:leader="none" w:pos="1244" w:val="left"/>
        </w:tabs>
        <w:numPr>
          <w:ilvl w:val="1"/>
          <w:numId w:val="497"/>
        </w:numPr>
        <w:rPr>
          <w:rFonts w:ascii="Arial" w:cs="Arial" w:eastAsia="Arial" w:hAnsi="Arial"/>
          <w:sz w:val="14"/>
          <w:szCs w:val="14"/>
          <w:color w:val="auto"/>
        </w:rPr>
      </w:pPr>
      <w:r>
        <w:rPr>
          <w:rFonts w:ascii="Arial" w:cs="Arial" w:eastAsia="Arial" w:hAnsi="Arial"/>
          <w:sz w:val="14"/>
          <w:szCs w:val="14"/>
          <w:color w:val="auto"/>
        </w:rPr>
        <w:t>repurchases of stock from former employees, directors, or consultants of Century, Borrower or its Subsidiaries under the terms of applicable repurchase agreements at the original issuance price of such securities in an aggregate amount not to exceed $250,000 in any fiscal year, provided that no Event of Default has occurred, is continuing or could exist after giving effect to the repurchases;</w:t>
      </w:r>
    </w:p>
    <w:p>
      <w:pPr>
        <w:spacing w:after="0" w:line="152" w:lineRule="exact"/>
        <w:rPr>
          <w:sz w:val="20"/>
          <w:szCs w:val="20"/>
          <w:color w:val="auto"/>
        </w:rPr>
      </w:pPr>
    </w:p>
    <w:p>
      <w:pPr>
        <w:ind w:left="1140" w:hanging="383"/>
        <w:spacing w:after="0"/>
        <w:tabs>
          <w:tab w:leader="none" w:pos="1140" w:val="left"/>
        </w:tabs>
        <w:numPr>
          <w:ilvl w:val="0"/>
          <w:numId w:val="498"/>
        </w:numPr>
        <w:rPr>
          <w:rFonts w:ascii="Arial" w:cs="Arial" w:eastAsia="Arial" w:hAnsi="Arial"/>
          <w:sz w:val="14"/>
          <w:szCs w:val="14"/>
          <w:color w:val="auto"/>
        </w:rPr>
      </w:pPr>
      <w:r>
        <w:rPr>
          <w:rFonts w:ascii="Arial" w:cs="Arial" w:eastAsia="Arial" w:hAnsi="Arial"/>
          <w:sz w:val="14"/>
          <w:szCs w:val="14"/>
          <w:color w:val="auto"/>
        </w:rPr>
        <w:t>Investments accepted in connection with Permitted Transfers;</w:t>
      </w:r>
    </w:p>
    <w:p>
      <w:pPr>
        <w:spacing w:after="0" w:line="184" w:lineRule="exact"/>
        <w:rPr>
          <w:sz w:val="20"/>
          <w:szCs w:val="20"/>
          <w:color w:val="auto"/>
        </w:rPr>
      </w:pPr>
    </w:p>
    <w:p>
      <w:pPr>
        <w:ind w:left="1260" w:hanging="493"/>
        <w:spacing w:after="0"/>
        <w:tabs>
          <w:tab w:leader="none" w:pos="1260" w:val="left"/>
        </w:tabs>
        <w:numPr>
          <w:ilvl w:val="0"/>
          <w:numId w:val="499"/>
        </w:numPr>
        <w:rPr>
          <w:rFonts w:ascii="Arial" w:cs="Arial" w:eastAsia="Arial" w:hAnsi="Arial"/>
          <w:sz w:val="13"/>
          <w:szCs w:val="13"/>
          <w:color w:val="auto"/>
        </w:rPr>
      </w:pPr>
      <w:r>
        <w:rPr>
          <w:rFonts w:ascii="Arial" w:cs="Arial" w:eastAsia="Arial" w:hAnsi="Arial"/>
          <w:sz w:val="13"/>
          <w:szCs w:val="13"/>
          <w:color w:val="auto"/>
        </w:rPr>
        <w:t>Investments (including debt obligations) received in connection with the bankruptcy or reorganization of customers or suppliers and in settlement of delinquent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obligations</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13970</wp:posOffset>
            </wp:positionV>
            <wp:extent cx="7159625" cy="69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440"/>
          </w:cols>
          <w:pgMar w:left="920" w:top="582" w:right="539" w:bottom="1440" w:gutter="0" w:footer="0" w:header="0"/>
        </w:sectPr>
      </w:pPr>
    </w:p>
    <w:bookmarkStart w:id="683" w:name="page684"/>
    <w:bookmarkEnd w:id="683"/>
    <w:p>
      <w:pPr>
        <w:ind w:left="20"/>
        <w:spacing w:after="0"/>
        <w:rPr>
          <w:sz w:val="20"/>
          <w:szCs w:val="20"/>
          <w:color w:val="auto"/>
        </w:rPr>
      </w:pPr>
      <w:r>
        <w:rPr>
          <w:rFonts w:ascii="Arial" w:cs="Arial" w:eastAsia="Arial" w:hAnsi="Arial"/>
          <w:sz w:val="14"/>
          <w:szCs w:val="14"/>
          <w:color w:val="auto"/>
        </w:rPr>
        <w:t>of, and other disputes with, customers or suppliers arising in the ordinary course of Borrower’s business;</w:t>
      </w:r>
    </w:p>
    <w:p>
      <w:pPr>
        <w:spacing w:after="0" w:line="184" w:lineRule="exact"/>
        <w:rPr>
          <w:sz w:val="20"/>
          <w:szCs w:val="20"/>
          <w:color w:val="auto"/>
        </w:rPr>
      </w:pPr>
    </w:p>
    <w:p>
      <w:pPr>
        <w:ind w:left="20" w:right="640" w:firstLine="767"/>
        <w:spacing w:after="0" w:line="288" w:lineRule="auto"/>
        <w:tabs>
          <w:tab w:leader="none" w:pos="1255" w:val="left"/>
        </w:tabs>
        <w:numPr>
          <w:ilvl w:val="0"/>
          <w:numId w:val="500"/>
        </w:numPr>
        <w:rPr>
          <w:rFonts w:ascii="Arial" w:cs="Arial" w:eastAsia="Arial" w:hAnsi="Arial"/>
          <w:sz w:val="14"/>
          <w:szCs w:val="14"/>
          <w:color w:val="auto"/>
        </w:rPr>
      </w:pPr>
      <w:r>
        <w:rPr>
          <w:rFonts w:ascii="Arial" w:cs="Arial" w:eastAsia="Arial" w:hAnsi="Arial"/>
          <w:sz w:val="14"/>
          <w:szCs w:val="14"/>
          <w:color w:val="auto"/>
        </w:rPr>
        <w:t>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42" w:lineRule="exact"/>
        <w:rPr>
          <w:rFonts w:ascii="Arial" w:cs="Arial" w:eastAsia="Arial" w:hAnsi="Arial"/>
          <w:sz w:val="14"/>
          <w:szCs w:val="14"/>
          <w:color w:val="auto"/>
        </w:rPr>
      </w:pPr>
    </w:p>
    <w:p>
      <w:pPr>
        <w:ind w:right="320" w:firstLine="787"/>
        <w:spacing w:after="0" w:line="273" w:lineRule="auto"/>
        <w:tabs>
          <w:tab w:leader="none" w:pos="1204" w:val="left"/>
        </w:tabs>
        <w:numPr>
          <w:ilvl w:val="0"/>
          <w:numId w:val="500"/>
        </w:numPr>
        <w:rPr>
          <w:rFonts w:ascii="Arial" w:cs="Arial" w:eastAsia="Arial" w:hAnsi="Arial"/>
          <w:sz w:val="14"/>
          <w:szCs w:val="14"/>
          <w:color w:val="auto"/>
        </w:rPr>
      </w:pPr>
      <w:r>
        <w:rPr>
          <w:rFonts w:ascii="Arial" w:cs="Arial" w:eastAsia="Arial" w:hAnsi="Arial"/>
          <w:sz w:val="14"/>
          <w:szCs w:val="14"/>
          <w:color w:val="auto"/>
        </w:rPr>
        <w:t>Investments consisting of loans not involving the net transfer on a substantially contemporaneous basis of cash proceeds to employees, officers, managers or directors relating to the purchase of capital stock of Century, Borrower or its Subsidiaries pursuant to employee stock purchase plans or other similar agreements approved by Century’s, Borrower’s or a Subsidiary’s Board of Directors or similar governing body;</w:t>
      </w:r>
    </w:p>
    <w:p>
      <w:pPr>
        <w:spacing w:after="0" w:line="141" w:lineRule="exact"/>
        <w:rPr>
          <w:rFonts w:ascii="Arial" w:cs="Arial" w:eastAsia="Arial" w:hAnsi="Arial"/>
          <w:sz w:val="14"/>
          <w:szCs w:val="14"/>
          <w:color w:val="auto"/>
        </w:rPr>
      </w:pPr>
    </w:p>
    <w:p>
      <w:pPr>
        <w:ind w:right="120" w:firstLine="787"/>
        <w:spacing w:after="0" w:line="303" w:lineRule="auto"/>
        <w:tabs>
          <w:tab w:leader="none" w:pos="1172" w:val="left"/>
        </w:tabs>
        <w:numPr>
          <w:ilvl w:val="0"/>
          <w:numId w:val="500"/>
        </w:numPr>
        <w:rPr>
          <w:rFonts w:ascii="Arial" w:cs="Arial" w:eastAsia="Arial" w:hAnsi="Arial"/>
          <w:sz w:val="13"/>
          <w:szCs w:val="13"/>
          <w:color w:val="auto"/>
        </w:rPr>
      </w:pPr>
      <w:r>
        <w:rPr>
          <w:rFonts w:ascii="Arial" w:cs="Arial" w:eastAsia="Arial" w:hAnsi="Arial"/>
          <w:sz w:val="13"/>
          <w:szCs w:val="13"/>
          <w:color w:val="auto"/>
        </w:rPr>
        <w:t>Investments consisting of (i) travel advances and employee relocation loans in the ordinary course of business, and (ii) loans to employees, officers, managers or directors relating to the purchase of equity securities of Century, Borrower or its Subsidiaries pursuant to employee stock purchase plans or agreements approved by Century’s, Borrower’s or its Subsidiary’s Board of Directors or similar governing body; not to exceed $250,000 in the aggregate for (i) and (ii) during the term of this Agreement;</w:t>
      </w:r>
    </w:p>
    <w:p>
      <w:pPr>
        <w:spacing w:after="0" w:line="135" w:lineRule="exact"/>
        <w:rPr>
          <w:rFonts w:ascii="Arial" w:cs="Arial" w:eastAsia="Arial" w:hAnsi="Arial"/>
          <w:sz w:val="13"/>
          <w:szCs w:val="13"/>
          <w:color w:val="auto"/>
        </w:rPr>
      </w:pPr>
    </w:p>
    <w:p>
      <w:pPr>
        <w:ind w:left="20" w:firstLine="767"/>
        <w:spacing w:after="0" w:line="288" w:lineRule="auto"/>
        <w:tabs>
          <w:tab w:leader="none" w:pos="1321" w:val="left"/>
        </w:tabs>
        <w:numPr>
          <w:ilvl w:val="0"/>
          <w:numId w:val="500"/>
        </w:numPr>
        <w:rPr>
          <w:rFonts w:ascii="Arial" w:cs="Arial" w:eastAsia="Arial" w:hAnsi="Arial"/>
          <w:sz w:val="14"/>
          <w:szCs w:val="14"/>
          <w:color w:val="auto"/>
        </w:rPr>
      </w:pPr>
      <w:r>
        <w:rPr>
          <w:rFonts w:ascii="Arial" w:cs="Arial" w:eastAsia="Arial" w:hAnsi="Arial"/>
          <w:sz w:val="14"/>
          <w:szCs w:val="14"/>
          <w:color w:val="auto"/>
        </w:rPr>
        <w:t>Investments in newly-formed Subsidiaries, provided that each such Subsidiary enters into a Joinder Agreement promptly after its formation by Borrower and execute such other documents as shall be reasonably requested by Agent;</w:t>
      </w:r>
    </w:p>
    <w:p>
      <w:pPr>
        <w:spacing w:after="0" w:line="142" w:lineRule="exact"/>
        <w:rPr>
          <w:rFonts w:ascii="Arial" w:cs="Arial" w:eastAsia="Arial" w:hAnsi="Arial"/>
          <w:sz w:val="14"/>
          <w:szCs w:val="14"/>
          <w:color w:val="auto"/>
        </w:rPr>
      </w:pPr>
    </w:p>
    <w:p>
      <w:pPr>
        <w:ind w:right="60" w:firstLine="787"/>
        <w:spacing w:after="0" w:line="273" w:lineRule="auto"/>
        <w:tabs>
          <w:tab w:leader="none" w:pos="1268" w:val="left"/>
        </w:tabs>
        <w:numPr>
          <w:ilvl w:val="0"/>
          <w:numId w:val="500"/>
        </w:numPr>
        <w:rPr>
          <w:rFonts w:ascii="Arial" w:cs="Arial" w:eastAsia="Arial" w:hAnsi="Arial"/>
          <w:sz w:val="14"/>
          <w:szCs w:val="14"/>
          <w:color w:val="auto"/>
        </w:rPr>
      </w:pPr>
      <w:r>
        <w:rPr>
          <w:rFonts w:ascii="Arial" w:cs="Arial" w:eastAsia="Arial" w:hAnsi="Arial"/>
          <w:sz w:val="14"/>
          <w:szCs w:val="14"/>
          <w:color w:val="auto"/>
        </w:rPr>
        <w:t>Investments in (i) Foreign Subsidiaries approved in advance in writing by Agent; and (ii) Century Canada, not to exceed $200,000 in the aggregate in any fiscal year, provided however up to CAN $2,000,000 may be invested in Century Canada solely for the purposes of paying the amounts due under the Empirica Promissory Note as such amounts come due in accordance with the terms of the Empirica Promissory Note in effect as of the Closing Date;</w:t>
      </w:r>
    </w:p>
    <w:p>
      <w:pPr>
        <w:spacing w:after="0" w:line="141" w:lineRule="exact"/>
        <w:rPr>
          <w:rFonts w:ascii="Arial" w:cs="Arial" w:eastAsia="Arial" w:hAnsi="Arial"/>
          <w:sz w:val="14"/>
          <w:szCs w:val="14"/>
          <w:color w:val="auto"/>
        </w:rPr>
      </w:pPr>
    </w:p>
    <w:p>
      <w:pPr>
        <w:ind w:right="280" w:firstLine="786"/>
        <w:spacing w:after="0" w:line="264" w:lineRule="auto"/>
        <w:tabs>
          <w:tab w:leader="none" w:pos="1235" w:val="left"/>
        </w:tabs>
        <w:numPr>
          <w:ilvl w:val="0"/>
          <w:numId w:val="500"/>
        </w:numPr>
        <w:rPr>
          <w:rFonts w:ascii="Arial" w:cs="Arial" w:eastAsia="Arial" w:hAnsi="Arial"/>
          <w:sz w:val="14"/>
          <w:szCs w:val="14"/>
          <w:color w:val="auto"/>
        </w:rPr>
      </w:pPr>
      <w:r>
        <w:rPr>
          <w:rFonts w:ascii="Arial" w:cs="Arial" w:eastAsia="Arial" w:hAnsi="Arial"/>
          <w:sz w:val="14"/>
          <w:szCs w:val="14"/>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w:t>
      </w:r>
    </w:p>
    <w:p>
      <w:pPr>
        <w:spacing w:after="0"/>
        <w:rPr>
          <w:rFonts w:ascii="Arial" w:cs="Arial" w:eastAsia="Arial" w:hAnsi="Arial"/>
          <w:sz w:val="14"/>
          <w:szCs w:val="14"/>
          <w:color w:val="auto"/>
        </w:rPr>
      </w:pPr>
      <w:r>
        <w:rPr>
          <w:rFonts w:ascii="Arial" w:cs="Arial" w:eastAsia="Arial" w:hAnsi="Arial"/>
          <w:sz w:val="14"/>
          <w:szCs w:val="14"/>
          <w:color w:val="auto"/>
        </w:rPr>
        <w:t>$250,000 in the aggregate in any fiscal year;</w:t>
      </w:r>
    </w:p>
    <w:p>
      <w:pPr>
        <w:spacing w:after="0" w:line="174" w:lineRule="exact"/>
        <w:rPr>
          <w:rFonts w:ascii="Arial" w:cs="Arial" w:eastAsia="Arial" w:hAnsi="Arial"/>
          <w:sz w:val="14"/>
          <w:szCs w:val="14"/>
          <w:color w:val="auto"/>
        </w:rPr>
      </w:pPr>
    </w:p>
    <w:p>
      <w:pPr>
        <w:ind w:left="1160" w:hanging="383"/>
        <w:spacing w:after="0"/>
        <w:tabs>
          <w:tab w:leader="none" w:pos="116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Investments consisting of Permitted Acquisitions; and</w:t>
      </w:r>
    </w:p>
    <w:p>
      <w:pPr>
        <w:spacing w:after="0" w:line="195" w:lineRule="exact"/>
        <w:rPr>
          <w:rFonts w:ascii="Arial" w:cs="Arial" w:eastAsia="Arial" w:hAnsi="Arial"/>
          <w:sz w:val="14"/>
          <w:szCs w:val="14"/>
          <w:color w:val="auto"/>
        </w:rPr>
      </w:pPr>
    </w:p>
    <w:p>
      <w:pPr>
        <w:ind w:left="1180" w:hanging="393"/>
        <w:spacing w:after="0"/>
        <w:tabs>
          <w:tab w:leader="none" w:pos="118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additional Investments that do not exceed $250,000 in the aggregate.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“Permitted Liens” means:</w:t>
      </w:r>
    </w:p>
    <w:p>
      <w:pPr>
        <w:spacing w:after="0" w:line="184" w:lineRule="exact"/>
        <w:rPr>
          <w:sz w:val="20"/>
          <w:szCs w:val="20"/>
          <w:color w:val="auto"/>
        </w:rPr>
      </w:pPr>
    </w:p>
    <w:p>
      <w:pPr>
        <w:ind w:left="1160" w:hanging="383"/>
        <w:spacing w:after="0"/>
        <w:tabs>
          <w:tab w:leader="none" w:pos="116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Liens in favor of Agent or the Lenders;</w:t>
      </w:r>
    </w:p>
    <w:p>
      <w:pPr>
        <w:spacing w:after="0" w:line="184" w:lineRule="exact"/>
        <w:rPr>
          <w:rFonts w:ascii="Arial" w:cs="Arial" w:eastAsia="Arial" w:hAnsi="Arial"/>
          <w:sz w:val="14"/>
          <w:szCs w:val="14"/>
          <w:color w:val="auto"/>
        </w:rPr>
      </w:pPr>
    </w:p>
    <w:p>
      <w:pPr>
        <w:ind w:left="1160" w:hanging="383"/>
        <w:spacing w:after="0"/>
        <w:tabs>
          <w:tab w:leader="none" w:pos="1160" w:val="left"/>
        </w:tabs>
        <w:numPr>
          <w:ilvl w:val="0"/>
          <w:numId w:val="501"/>
        </w:numPr>
        <w:rPr>
          <w:rFonts w:ascii="Arial" w:cs="Arial" w:eastAsia="Arial" w:hAnsi="Arial"/>
          <w:sz w:val="14"/>
          <w:szCs w:val="14"/>
          <w:color w:val="auto"/>
        </w:rPr>
      </w:pPr>
      <w:r>
        <w:rPr>
          <w:rFonts w:ascii="Arial" w:cs="Arial" w:eastAsia="Arial" w:hAnsi="Arial"/>
          <w:sz w:val="14"/>
          <w:szCs w:val="14"/>
          <w:color w:val="auto"/>
        </w:rPr>
        <w:t>Liens existing on the Closing Date which are disclosed in Schedule 1C;</w:t>
      </w:r>
    </w:p>
    <w:p>
      <w:pPr>
        <w:spacing w:after="0" w:line="184" w:lineRule="exact"/>
        <w:rPr>
          <w:sz w:val="20"/>
          <w:szCs w:val="20"/>
          <w:color w:val="auto"/>
        </w:rPr>
      </w:pPr>
    </w:p>
    <w:p>
      <w:pPr>
        <w:ind w:left="20" w:right="520" w:firstLine="767"/>
        <w:spacing w:after="0" w:line="288" w:lineRule="auto"/>
        <w:tabs>
          <w:tab w:leader="none" w:pos="1264" w:val="left"/>
        </w:tabs>
        <w:numPr>
          <w:ilvl w:val="0"/>
          <w:numId w:val="502"/>
        </w:numPr>
        <w:rPr>
          <w:rFonts w:ascii="Arial" w:cs="Arial" w:eastAsia="Arial" w:hAnsi="Arial"/>
          <w:sz w:val="14"/>
          <w:szCs w:val="14"/>
          <w:color w:val="auto"/>
        </w:rPr>
      </w:pPr>
      <w:r>
        <w:rPr>
          <w:rFonts w:ascii="Arial" w:cs="Arial" w:eastAsia="Arial" w:hAnsi="Arial"/>
          <w:sz w:val="14"/>
          <w:szCs w:val="14"/>
          <w:color w:val="auto"/>
        </w:rPr>
        <w:t>Liens for taxes, fees, assessments or other governmental charges or levies, either not yet due or being contested in good faith by appropriate proceedings diligently conducted; provided, that Borrower maintains adequate reserves therefor on Borrower’s Books in accordance with GAAP;</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20955</wp:posOffset>
            </wp:positionV>
            <wp:extent cx="7159625" cy="698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540"/>
          </w:cols>
          <w:pgMar w:left="900" w:top="582" w:right="459" w:bottom="1440" w:gutter="0" w:footer="0" w:header="0"/>
        </w:sectPr>
      </w:pPr>
    </w:p>
    <w:bookmarkStart w:id="684" w:name="page685"/>
    <w:bookmarkEnd w:id="684"/>
    <w:p>
      <w:pPr>
        <w:ind w:left="20" w:firstLine="767"/>
        <w:spacing w:after="0" w:line="288" w:lineRule="auto"/>
        <w:tabs>
          <w:tab w:leader="none" w:pos="1255" w:val="left"/>
        </w:tabs>
        <w:numPr>
          <w:ilvl w:val="0"/>
          <w:numId w:val="503"/>
        </w:numPr>
        <w:rPr>
          <w:rFonts w:ascii="Arial" w:cs="Arial" w:eastAsia="Arial" w:hAnsi="Arial"/>
          <w:sz w:val="14"/>
          <w:szCs w:val="14"/>
          <w:color w:val="auto"/>
        </w:rPr>
      </w:pPr>
      <w:r>
        <w:rPr>
          <w:rFonts w:ascii="Arial" w:cs="Arial" w:eastAsia="Arial" w:hAnsi="Arial"/>
          <w:sz w:val="14"/>
          <w:szCs w:val="14"/>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spacing w:after="0" w:line="142" w:lineRule="exact"/>
        <w:rPr>
          <w:rFonts w:ascii="Arial" w:cs="Arial" w:eastAsia="Arial" w:hAnsi="Arial"/>
          <w:sz w:val="14"/>
          <w:szCs w:val="14"/>
          <w:color w:val="auto"/>
        </w:rPr>
      </w:pPr>
    </w:p>
    <w:p>
      <w:pPr>
        <w:ind w:left="1280" w:hanging="493"/>
        <w:spacing w:after="0"/>
        <w:tabs>
          <w:tab w:leader="none" w:pos="1280" w:val="left"/>
        </w:tabs>
        <w:numPr>
          <w:ilvl w:val="0"/>
          <w:numId w:val="503"/>
        </w:numPr>
        <w:rPr>
          <w:rFonts w:ascii="Arial" w:cs="Arial" w:eastAsia="Arial" w:hAnsi="Arial"/>
          <w:sz w:val="14"/>
          <w:szCs w:val="14"/>
          <w:color w:val="auto"/>
        </w:rPr>
      </w:pPr>
      <w:r>
        <w:rPr>
          <w:rFonts w:ascii="Arial" w:cs="Arial" w:eastAsia="Arial" w:hAnsi="Arial"/>
          <w:sz w:val="14"/>
          <w:szCs w:val="14"/>
          <w:color w:val="auto"/>
        </w:rPr>
        <w:t>Liens arising from judgments, decrees or attachments in circumstances which do not constitute an Event of Default hereunder;</w:t>
      </w:r>
    </w:p>
    <w:p>
      <w:pPr>
        <w:spacing w:after="0" w:line="184" w:lineRule="exact"/>
        <w:rPr>
          <w:rFonts w:ascii="Arial" w:cs="Arial" w:eastAsia="Arial" w:hAnsi="Arial"/>
          <w:sz w:val="14"/>
          <w:szCs w:val="14"/>
          <w:color w:val="auto"/>
        </w:rPr>
      </w:pPr>
    </w:p>
    <w:p>
      <w:pPr>
        <w:ind w:right="200" w:firstLine="786"/>
        <w:spacing w:after="0" w:line="294" w:lineRule="auto"/>
        <w:tabs>
          <w:tab w:leader="none" w:pos="1235" w:val="left"/>
        </w:tabs>
        <w:numPr>
          <w:ilvl w:val="0"/>
          <w:numId w:val="503"/>
        </w:numPr>
        <w:rPr>
          <w:rFonts w:ascii="Arial" w:cs="Arial" w:eastAsia="Arial" w:hAnsi="Arial"/>
          <w:sz w:val="13"/>
          <w:szCs w:val="13"/>
          <w:color w:val="auto"/>
        </w:rPr>
      </w:pPr>
      <w:r>
        <w:rPr>
          <w:rFonts w:ascii="Arial" w:cs="Arial" w:eastAsia="Arial" w:hAnsi="Arial"/>
          <w:sz w:val="13"/>
          <w:szCs w:val="13"/>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41" w:lineRule="exact"/>
        <w:rPr>
          <w:rFonts w:ascii="Arial" w:cs="Arial" w:eastAsia="Arial" w:hAnsi="Arial"/>
          <w:sz w:val="13"/>
          <w:szCs w:val="13"/>
          <w:color w:val="auto"/>
        </w:rPr>
      </w:pPr>
    </w:p>
    <w:p>
      <w:pPr>
        <w:ind w:right="380" w:firstLine="786"/>
        <w:spacing w:after="0" w:line="288" w:lineRule="auto"/>
        <w:tabs>
          <w:tab w:leader="none" w:pos="1203" w:val="left"/>
        </w:tabs>
        <w:numPr>
          <w:ilvl w:val="0"/>
          <w:numId w:val="503"/>
        </w:numPr>
        <w:rPr>
          <w:rFonts w:ascii="Arial" w:cs="Arial" w:eastAsia="Arial" w:hAnsi="Arial"/>
          <w:sz w:val="14"/>
          <w:szCs w:val="14"/>
          <w:color w:val="auto"/>
        </w:rPr>
      </w:pPr>
      <w:r>
        <w:rPr>
          <w:rFonts w:ascii="Arial" w:cs="Arial" w:eastAsia="Arial" w:hAnsi="Arial"/>
          <w:sz w:val="14"/>
          <w:szCs w:val="14"/>
          <w:color w:val="auto"/>
        </w:rPr>
        <w:t>Liens on Equipment or software or other intellectual property constituting purchase money Liens and other Liens in connection with capital leases securing Indebtedness permitted in clause (iii) of “Permitted Indebtedness”;</w:t>
      </w:r>
    </w:p>
    <w:p>
      <w:pPr>
        <w:spacing w:after="0" w:line="131" w:lineRule="exact"/>
        <w:rPr>
          <w:rFonts w:ascii="Arial" w:cs="Arial" w:eastAsia="Arial" w:hAnsi="Arial"/>
          <w:sz w:val="14"/>
          <w:szCs w:val="14"/>
          <w:color w:val="auto"/>
        </w:rPr>
      </w:pPr>
    </w:p>
    <w:p>
      <w:pPr>
        <w:ind w:left="1160" w:hanging="383"/>
        <w:spacing w:after="0"/>
        <w:tabs>
          <w:tab w:leader="none" w:pos="1160" w:val="left"/>
        </w:tabs>
        <w:numPr>
          <w:ilvl w:val="0"/>
          <w:numId w:val="503"/>
        </w:numPr>
        <w:rPr>
          <w:rFonts w:ascii="Arial" w:cs="Arial" w:eastAsia="Arial" w:hAnsi="Arial"/>
          <w:sz w:val="14"/>
          <w:szCs w:val="14"/>
          <w:color w:val="auto"/>
        </w:rPr>
      </w:pPr>
      <w:r>
        <w:rPr>
          <w:rFonts w:ascii="Arial" w:cs="Arial" w:eastAsia="Arial" w:hAnsi="Arial"/>
          <w:sz w:val="14"/>
          <w:szCs w:val="14"/>
          <w:color w:val="auto"/>
        </w:rPr>
        <w:t>Liens incurred in connection with Subordinated Indebtedness;</w:t>
      </w:r>
    </w:p>
    <w:p>
      <w:pPr>
        <w:spacing w:after="0" w:line="195" w:lineRule="exact"/>
        <w:rPr>
          <w:rFonts w:ascii="Arial" w:cs="Arial" w:eastAsia="Arial" w:hAnsi="Arial"/>
          <w:sz w:val="14"/>
          <w:szCs w:val="14"/>
          <w:color w:val="auto"/>
        </w:rPr>
      </w:pPr>
    </w:p>
    <w:p>
      <w:pPr>
        <w:ind w:left="1240" w:hanging="454"/>
        <w:spacing w:after="0"/>
        <w:tabs>
          <w:tab w:leader="none" w:pos="1240" w:val="left"/>
        </w:tabs>
        <w:numPr>
          <w:ilvl w:val="0"/>
          <w:numId w:val="503"/>
        </w:numPr>
        <w:rPr>
          <w:rFonts w:ascii="Arial" w:cs="Arial" w:eastAsia="Arial" w:hAnsi="Arial"/>
          <w:sz w:val="13"/>
          <w:szCs w:val="13"/>
          <w:color w:val="auto"/>
        </w:rPr>
      </w:pPr>
      <w:r>
        <w:rPr>
          <w:rFonts w:ascii="Arial" w:cs="Arial" w:eastAsia="Arial" w:hAnsi="Arial"/>
          <w:sz w:val="13"/>
          <w:szCs w:val="13"/>
          <w:color w:val="auto"/>
        </w:rPr>
        <w:t>leasehold interests in leases or subleases and licenses granted in the ordinary course of business and not interfering in any material respect with the business of</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the licensor;</w:t>
      </w:r>
    </w:p>
    <w:p>
      <w:pPr>
        <w:spacing w:after="0" w:line="174" w:lineRule="exact"/>
        <w:rPr>
          <w:rFonts w:ascii="Arial" w:cs="Arial" w:eastAsia="Arial" w:hAnsi="Arial"/>
          <w:sz w:val="13"/>
          <w:szCs w:val="13"/>
          <w:color w:val="auto"/>
        </w:rPr>
      </w:pPr>
    </w:p>
    <w:p>
      <w:pPr>
        <w:ind w:left="1280" w:hanging="493"/>
        <w:spacing w:after="0"/>
        <w:tabs>
          <w:tab w:leader="none" w:pos="1280" w:val="left"/>
        </w:tabs>
        <w:numPr>
          <w:ilvl w:val="0"/>
          <w:numId w:val="503"/>
        </w:numPr>
        <w:rPr>
          <w:rFonts w:ascii="Arial" w:cs="Arial" w:eastAsia="Arial" w:hAnsi="Arial"/>
          <w:sz w:val="13"/>
          <w:szCs w:val="13"/>
          <w:color w:val="auto"/>
        </w:rPr>
      </w:pPr>
      <w:r>
        <w:rPr>
          <w:rFonts w:ascii="Arial" w:cs="Arial" w:eastAsia="Arial" w:hAnsi="Arial"/>
          <w:sz w:val="13"/>
          <w:szCs w:val="13"/>
          <w:color w:val="auto"/>
        </w:rPr>
        <w:t>Liens in favor of customs and revenue authorities arising as a matter of law to secure payment of custom duties that are promptly paid on or before the date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they become due;</w:t>
      </w:r>
    </w:p>
    <w:p>
      <w:pPr>
        <w:spacing w:after="0" w:line="186" w:lineRule="exact"/>
        <w:rPr>
          <w:sz w:val="20"/>
          <w:szCs w:val="20"/>
          <w:color w:val="auto"/>
        </w:rPr>
      </w:pPr>
    </w:p>
    <w:p>
      <w:pPr>
        <w:ind w:right="120" w:firstLine="786"/>
        <w:spacing w:after="0" w:line="288" w:lineRule="auto"/>
        <w:tabs>
          <w:tab w:leader="none" w:pos="1235" w:val="left"/>
        </w:tabs>
        <w:numPr>
          <w:ilvl w:val="0"/>
          <w:numId w:val="504"/>
        </w:numPr>
        <w:rPr>
          <w:rFonts w:ascii="Arial" w:cs="Arial" w:eastAsia="Arial" w:hAnsi="Arial"/>
          <w:sz w:val="14"/>
          <w:szCs w:val="14"/>
          <w:color w:val="auto"/>
        </w:rPr>
      </w:pPr>
      <w:r>
        <w:rPr>
          <w:rFonts w:ascii="Arial" w:cs="Arial" w:eastAsia="Arial" w:hAnsi="Arial"/>
          <w:sz w:val="14"/>
          <w:szCs w:val="14"/>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42" w:lineRule="exact"/>
        <w:rPr>
          <w:rFonts w:ascii="Arial" w:cs="Arial" w:eastAsia="Arial" w:hAnsi="Arial"/>
          <w:sz w:val="14"/>
          <w:szCs w:val="14"/>
          <w:color w:val="auto"/>
        </w:rPr>
      </w:pPr>
    </w:p>
    <w:p>
      <w:pPr>
        <w:ind w:left="1220" w:hanging="434"/>
        <w:spacing w:after="0"/>
        <w:tabs>
          <w:tab w:leader="none" w:pos="1220" w:val="left"/>
        </w:tabs>
        <w:numPr>
          <w:ilvl w:val="0"/>
          <w:numId w:val="504"/>
        </w:numPr>
        <w:rPr>
          <w:rFonts w:ascii="Arial" w:cs="Arial" w:eastAsia="Arial" w:hAnsi="Arial"/>
          <w:sz w:val="13"/>
          <w:szCs w:val="13"/>
          <w:color w:val="auto"/>
        </w:rPr>
      </w:pPr>
      <w:r>
        <w:rPr>
          <w:rFonts w:ascii="Arial" w:cs="Arial" w:eastAsia="Arial" w:hAnsi="Arial"/>
          <w:sz w:val="13"/>
          <w:szCs w:val="13"/>
          <w:color w:val="auto"/>
        </w:rPr>
        <w:t>statutory and common law rights of set-off and other similar rights as to deposits of cash and securities in favor of banks, other depository institutions and</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brokerage firms;</w:t>
      </w:r>
    </w:p>
    <w:p>
      <w:pPr>
        <w:spacing w:after="0" w:line="174" w:lineRule="exact"/>
        <w:rPr>
          <w:rFonts w:ascii="Arial" w:cs="Arial" w:eastAsia="Arial" w:hAnsi="Arial"/>
          <w:sz w:val="13"/>
          <w:szCs w:val="13"/>
          <w:color w:val="auto"/>
        </w:rPr>
      </w:pPr>
    </w:p>
    <w:p>
      <w:pPr>
        <w:ind w:right="160" w:firstLine="787"/>
        <w:spacing w:after="0" w:line="288" w:lineRule="auto"/>
        <w:tabs>
          <w:tab w:leader="none" w:pos="1172" w:val="left"/>
        </w:tabs>
        <w:numPr>
          <w:ilvl w:val="0"/>
          <w:numId w:val="504"/>
        </w:numPr>
        <w:rPr>
          <w:rFonts w:ascii="Arial" w:cs="Arial" w:eastAsia="Arial" w:hAnsi="Arial"/>
          <w:sz w:val="14"/>
          <w:szCs w:val="14"/>
          <w:color w:val="auto"/>
        </w:rPr>
      </w:pPr>
      <w:r>
        <w:rPr>
          <w:rFonts w:ascii="Arial" w:cs="Arial" w:eastAsia="Arial" w:hAnsi="Arial"/>
          <w:sz w:val="14"/>
          <w:szCs w:val="14"/>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142" w:lineRule="exact"/>
        <w:rPr>
          <w:rFonts w:ascii="Arial" w:cs="Arial" w:eastAsia="Arial" w:hAnsi="Arial"/>
          <w:sz w:val="14"/>
          <w:szCs w:val="14"/>
          <w:color w:val="auto"/>
        </w:rPr>
      </w:pPr>
    </w:p>
    <w:p>
      <w:pPr>
        <w:ind w:left="1180" w:hanging="394"/>
        <w:spacing w:after="0"/>
        <w:tabs>
          <w:tab w:leader="none" w:pos="1180" w:val="left"/>
        </w:tabs>
        <w:numPr>
          <w:ilvl w:val="0"/>
          <w:numId w:val="504"/>
        </w:numPr>
        <w:rPr>
          <w:rFonts w:ascii="Arial" w:cs="Arial" w:eastAsia="Arial" w:hAnsi="Arial"/>
          <w:sz w:val="13"/>
          <w:szCs w:val="13"/>
          <w:color w:val="auto"/>
        </w:rPr>
      </w:pPr>
      <w:r>
        <w:rPr>
          <w:rFonts w:ascii="Arial" w:cs="Arial" w:eastAsia="Arial" w:hAnsi="Arial"/>
          <w:sz w:val="13"/>
          <w:szCs w:val="13"/>
          <w:color w:val="auto"/>
        </w:rPr>
        <w:t>(A) Liens on Cash securing obligations permitted under clause (vii) of the definition of Permitted Indebtedness and (B) security deposits in connection with</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real property leases, the combination of (A) and (B) in an aggregate amount not to exceed $250,000 at any time;</w:t>
      </w:r>
    </w:p>
    <w:p>
      <w:pPr>
        <w:spacing w:after="0" w:line="186" w:lineRule="exact"/>
        <w:rPr>
          <w:sz w:val="20"/>
          <w:szCs w:val="20"/>
          <w:color w:val="auto"/>
        </w:rPr>
      </w:pPr>
    </w:p>
    <w:p>
      <w:pPr>
        <w:ind w:right="60" w:firstLine="787"/>
        <w:spacing w:after="0" w:line="273" w:lineRule="auto"/>
        <w:tabs>
          <w:tab w:leader="none" w:pos="1196" w:val="left"/>
        </w:tabs>
        <w:numPr>
          <w:ilvl w:val="0"/>
          <w:numId w:val="505"/>
        </w:numPr>
        <w:rPr>
          <w:rFonts w:ascii="Arial" w:cs="Arial" w:eastAsia="Arial" w:hAnsi="Arial"/>
          <w:sz w:val="14"/>
          <w:szCs w:val="14"/>
          <w:color w:val="auto"/>
        </w:rPr>
      </w:pPr>
      <w:r>
        <w:rPr>
          <w:rFonts w:ascii="Arial" w:cs="Arial" w:eastAsia="Arial" w:hAnsi="Arial"/>
          <w:sz w:val="14"/>
          <w:szCs w:val="14"/>
          <w:color w:val="auto"/>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and the principal amount of the Indebtedness being extended, renewed or refinanced (as may have been reduced by any payment thereon) does not increase; and</w:t>
      </w:r>
    </w:p>
    <w:p>
      <w:pPr>
        <w:spacing w:after="0" w:line="14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13970</wp:posOffset>
            </wp:positionV>
            <wp:extent cx="7159625" cy="698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540"/>
          </w:cols>
          <w:pgMar w:left="900" w:top="648" w:right="459" w:bottom="1440" w:gutter="0" w:footer="0" w:header="0"/>
        </w:sectPr>
      </w:pPr>
    </w:p>
    <w:bookmarkStart w:id="685" w:name="page686"/>
    <w:bookmarkEnd w:id="685"/>
    <w:p>
      <w:pPr>
        <w:ind w:left="1020" w:right="1660" w:firstLine="267"/>
        <w:spacing w:after="0" w:line="522" w:lineRule="auto"/>
        <w:tabs>
          <w:tab w:leader="none" w:pos="1666" w:val="left"/>
        </w:tabs>
        <w:numPr>
          <w:ilvl w:val="0"/>
          <w:numId w:val="506"/>
        </w:numPr>
        <w:rPr>
          <w:rFonts w:ascii="Arial" w:cs="Arial" w:eastAsia="Arial" w:hAnsi="Arial"/>
          <w:sz w:val="14"/>
          <w:szCs w:val="14"/>
          <w:color w:val="auto"/>
        </w:rPr>
      </w:pPr>
      <w:r>
        <w:rPr>
          <w:rFonts w:ascii="Arial" w:cs="Arial" w:eastAsia="Arial" w:hAnsi="Arial"/>
          <w:sz w:val="14"/>
          <w:szCs w:val="14"/>
          <w:color w:val="auto"/>
        </w:rPr>
        <w:t>Other Liens, provided that the aggregate outstanding amount of Indebtedness secured thereby shall not exceed $150,000 at any time. “Permitted Transfers” means:</w:t>
      </w:r>
    </w:p>
    <w:p>
      <w:pPr>
        <w:spacing w:after="0" w:line="1" w:lineRule="exact"/>
        <w:rPr>
          <w:rFonts w:ascii="Arial" w:cs="Arial" w:eastAsia="Arial" w:hAnsi="Arial"/>
          <w:sz w:val="14"/>
          <w:szCs w:val="14"/>
          <w:color w:val="auto"/>
        </w:rPr>
      </w:pPr>
    </w:p>
    <w:p>
      <w:pPr>
        <w:ind w:left="1660" w:hanging="383"/>
        <w:spacing w:after="0"/>
        <w:tabs>
          <w:tab w:leader="none" w:pos="1660" w:val="left"/>
        </w:tabs>
        <w:numPr>
          <w:ilvl w:val="0"/>
          <w:numId w:val="507"/>
        </w:numPr>
        <w:rPr>
          <w:rFonts w:ascii="Arial" w:cs="Arial" w:eastAsia="Arial" w:hAnsi="Arial"/>
          <w:sz w:val="14"/>
          <w:szCs w:val="14"/>
          <w:color w:val="auto"/>
        </w:rPr>
      </w:pPr>
      <w:r>
        <w:rPr>
          <w:rFonts w:ascii="Arial" w:cs="Arial" w:eastAsia="Arial" w:hAnsi="Arial"/>
          <w:sz w:val="14"/>
          <w:szCs w:val="14"/>
          <w:color w:val="auto"/>
        </w:rPr>
        <w:t>sales of Inventory in the ordinary course of business,</w:t>
      </w:r>
    </w:p>
    <w:p>
      <w:pPr>
        <w:spacing w:after="0" w:line="184" w:lineRule="exact"/>
        <w:rPr>
          <w:rFonts w:ascii="Arial" w:cs="Arial" w:eastAsia="Arial" w:hAnsi="Arial"/>
          <w:sz w:val="14"/>
          <w:szCs w:val="14"/>
          <w:color w:val="auto"/>
        </w:rPr>
      </w:pPr>
    </w:p>
    <w:p>
      <w:pPr>
        <w:ind w:left="1780" w:hanging="493"/>
        <w:spacing w:after="0"/>
        <w:tabs>
          <w:tab w:leader="none" w:pos="1780" w:val="left"/>
        </w:tabs>
        <w:numPr>
          <w:ilvl w:val="0"/>
          <w:numId w:val="507"/>
        </w:numPr>
        <w:rPr>
          <w:rFonts w:ascii="Arial" w:cs="Arial" w:eastAsia="Arial" w:hAnsi="Arial"/>
          <w:sz w:val="14"/>
          <w:szCs w:val="14"/>
          <w:color w:val="auto"/>
        </w:rPr>
      </w:pPr>
      <w:r>
        <w:rPr>
          <w:rFonts w:ascii="Arial" w:cs="Arial" w:eastAsia="Arial" w:hAnsi="Arial"/>
          <w:sz w:val="14"/>
          <w:szCs w:val="14"/>
          <w:color w:val="auto"/>
        </w:rPr>
        <w:t>licenses of, and similar arrangements for, Intellectual Property pursuant to the Option Agreement;</w:t>
      </w:r>
    </w:p>
    <w:p>
      <w:pPr>
        <w:spacing w:after="0" w:line="195" w:lineRule="exact"/>
        <w:rPr>
          <w:rFonts w:ascii="Arial" w:cs="Arial" w:eastAsia="Arial" w:hAnsi="Arial"/>
          <w:sz w:val="14"/>
          <w:szCs w:val="14"/>
          <w:color w:val="auto"/>
        </w:rPr>
      </w:pPr>
    </w:p>
    <w:p>
      <w:pPr>
        <w:ind w:left="500" w:right="220" w:firstLine="786"/>
        <w:spacing w:after="0" w:line="273" w:lineRule="auto"/>
        <w:tabs>
          <w:tab w:leader="none" w:pos="1743" w:val="left"/>
        </w:tabs>
        <w:numPr>
          <w:ilvl w:val="0"/>
          <w:numId w:val="507"/>
        </w:numPr>
        <w:rPr>
          <w:rFonts w:ascii="Arial" w:cs="Arial" w:eastAsia="Arial" w:hAnsi="Arial"/>
          <w:sz w:val="14"/>
          <w:szCs w:val="14"/>
          <w:color w:val="auto"/>
        </w:rPr>
      </w:pPr>
      <w:r>
        <w:rPr>
          <w:rFonts w:ascii="Arial" w:cs="Arial" w:eastAsia="Arial" w:hAnsi="Arial"/>
          <w:sz w:val="14"/>
          <w:szCs w:val="14"/>
          <w:color w:val="auto"/>
        </w:rPr>
        <w:t>licenses and similar arrangements for the use of Intellectual Property in the ordinary course of business that could not result in a legal transfer of title of the licensed property that may be exclusive in respects other than territory or may be exclusive as to territory but only as to discreet geographical areas outside of the United States of America in the ordinary course of business,</w:t>
      </w:r>
    </w:p>
    <w:p>
      <w:pPr>
        <w:spacing w:after="0" w:line="151" w:lineRule="exact"/>
        <w:rPr>
          <w:rFonts w:ascii="Arial" w:cs="Arial" w:eastAsia="Arial" w:hAnsi="Arial"/>
          <w:sz w:val="14"/>
          <w:szCs w:val="14"/>
          <w:color w:val="auto"/>
        </w:rPr>
      </w:pPr>
    </w:p>
    <w:p>
      <w:pPr>
        <w:ind w:left="1740" w:hanging="454"/>
        <w:spacing w:after="0"/>
        <w:tabs>
          <w:tab w:leader="none" w:pos="1740" w:val="left"/>
        </w:tabs>
        <w:numPr>
          <w:ilvl w:val="0"/>
          <w:numId w:val="507"/>
        </w:numPr>
        <w:rPr>
          <w:rFonts w:ascii="Arial" w:cs="Arial" w:eastAsia="Arial" w:hAnsi="Arial"/>
          <w:sz w:val="14"/>
          <w:szCs w:val="14"/>
          <w:color w:val="auto"/>
        </w:rPr>
      </w:pPr>
      <w:r>
        <w:rPr>
          <w:rFonts w:ascii="Arial" w:cs="Arial" w:eastAsia="Arial" w:hAnsi="Arial"/>
          <w:sz w:val="14"/>
          <w:szCs w:val="14"/>
          <w:color w:val="auto"/>
        </w:rPr>
        <w:t>dispositions of worn-out, obsolete or surplus Equipment at fair market value in the ordinary course of business,</w:t>
      </w:r>
    </w:p>
    <w:p>
      <w:pPr>
        <w:spacing w:after="0" w:line="184" w:lineRule="exact"/>
        <w:rPr>
          <w:rFonts w:ascii="Arial" w:cs="Arial" w:eastAsia="Arial" w:hAnsi="Arial"/>
          <w:sz w:val="14"/>
          <w:szCs w:val="14"/>
          <w:color w:val="auto"/>
        </w:rPr>
      </w:pPr>
    </w:p>
    <w:p>
      <w:pPr>
        <w:ind w:left="1780" w:hanging="494"/>
        <w:spacing w:after="0"/>
        <w:tabs>
          <w:tab w:leader="none" w:pos="1780" w:val="left"/>
        </w:tabs>
        <w:numPr>
          <w:ilvl w:val="0"/>
          <w:numId w:val="507"/>
        </w:numPr>
        <w:rPr>
          <w:rFonts w:ascii="Arial" w:cs="Arial" w:eastAsia="Arial" w:hAnsi="Arial"/>
          <w:sz w:val="14"/>
          <w:szCs w:val="14"/>
          <w:color w:val="auto"/>
        </w:rPr>
      </w:pPr>
      <w:r>
        <w:rPr>
          <w:rFonts w:ascii="Arial" w:cs="Arial" w:eastAsia="Arial" w:hAnsi="Arial"/>
          <w:sz w:val="14"/>
          <w:szCs w:val="14"/>
          <w:color w:val="auto"/>
        </w:rPr>
        <w:t>transfers of assets made by Borrower or any of its Subsidiaries to another Borrower or any Subsidiary that is a Borrower or guarantor hereunder;</w:t>
      </w:r>
    </w:p>
    <w:p>
      <w:pPr>
        <w:spacing w:after="0" w:line="195" w:lineRule="exact"/>
        <w:rPr>
          <w:rFonts w:ascii="Arial" w:cs="Arial" w:eastAsia="Arial" w:hAnsi="Arial"/>
          <w:sz w:val="14"/>
          <w:szCs w:val="14"/>
          <w:color w:val="auto"/>
        </w:rPr>
      </w:pPr>
    </w:p>
    <w:p>
      <w:pPr>
        <w:ind w:left="1740" w:hanging="454"/>
        <w:spacing w:after="0"/>
        <w:tabs>
          <w:tab w:leader="none" w:pos="1740" w:val="left"/>
        </w:tabs>
        <w:numPr>
          <w:ilvl w:val="0"/>
          <w:numId w:val="507"/>
        </w:numPr>
        <w:rPr>
          <w:rFonts w:ascii="Arial" w:cs="Arial" w:eastAsia="Arial" w:hAnsi="Arial"/>
          <w:sz w:val="14"/>
          <w:szCs w:val="14"/>
          <w:color w:val="auto"/>
        </w:rPr>
      </w:pPr>
      <w:r>
        <w:rPr>
          <w:rFonts w:ascii="Arial" w:cs="Arial" w:eastAsia="Arial" w:hAnsi="Arial"/>
          <w:sz w:val="14"/>
          <w:szCs w:val="14"/>
          <w:color w:val="auto"/>
        </w:rPr>
        <w:t>other transfers of assets having a fair market value of not more than $500,000 in the aggregate in any fiscal year, and</w:t>
      </w:r>
    </w:p>
    <w:p>
      <w:pPr>
        <w:spacing w:after="0" w:line="195" w:lineRule="exact"/>
        <w:rPr>
          <w:rFonts w:ascii="Arial" w:cs="Arial" w:eastAsia="Arial" w:hAnsi="Arial"/>
          <w:sz w:val="14"/>
          <w:szCs w:val="14"/>
          <w:color w:val="auto"/>
        </w:rPr>
      </w:pPr>
    </w:p>
    <w:p>
      <w:pPr>
        <w:ind w:left="1720" w:hanging="433"/>
        <w:spacing w:after="0"/>
        <w:tabs>
          <w:tab w:leader="none" w:pos="1720" w:val="left"/>
        </w:tabs>
        <w:numPr>
          <w:ilvl w:val="0"/>
          <w:numId w:val="507"/>
        </w:numPr>
        <w:rPr>
          <w:rFonts w:ascii="Arial" w:cs="Arial" w:eastAsia="Arial" w:hAnsi="Arial"/>
          <w:sz w:val="14"/>
          <w:szCs w:val="14"/>
          <w:color w:val="auto"/>
        </w:rPr>
      </w:pPr>
      <w:r>
        <w:rPr>
          <w:rFonts w:ascii="Arial" w:cs="Arial" w:eastAsia="Arial" w:hAnsi="Arial"/>
          <w:sz w:val="14"/>
          <w:szCs w:val="14"/>
          <w:color w:val="auto"/>
        </w:rPr>
        <w:t>Transfers which are Permitted Liens, Permitted Investments or distributions permitted under Section 7.7 of this Agreement.</w:t>
      </w:r>
    </w:p>
    <w:p>
      <w:pPr>
        <w:spacing w:after="0" w:line="184" w:lineRule="exact"/>
        <w:rPr>
          <w:sz w:val="20"/>
          <w:szCs w:val="20"/>
          <w:color w:val="auto"/>
        </w:rPr>
      </w:pPr>
    </w:p>
    <w:p>
      <w:pPr>
        <w:ind w:right="420" w:firstLine="1075"/>
        <w:spacing w:after="0" w:line="288" w:lineRule="auto"/>
        <w:rPr>
          <w:sz w:val="20"/>
          <w:szCs w:val="20"/>
          <w:color w:val="auto"/>
        </w:rPr>
      </w:pPr>
      <w:r>
        <w:rPr>
          <w:rFonts w:ascii="Arial" w:cs="Arial" w:eastAsia="Arial" w:hAnsi="Arial"/>
          <w:sz w:val="14"/>
          <w:szCs w:val="14"/>
          <w:color w:val="auto"/>
        </w:rPr>
        <w:t>“Person” means any individual, sole proprietorship, partnership, joint venture, trust, unincorporated organization, association, corporation, limited liability company, institution, other entity or government.</w:t>
      </w:r>
    </w:p>
    <w:p>
      <w:pPr>
        <w:spacing w:after="0" w:line="142" w:lineRule="exact"/>
        <w:rPr>
          <w:sz w:val="20"/>
          <w:szCs w:val="20"/>
          <w:color w:val="auto"/>
        </w:rPr>
      </w:pPr>
    </w:p>
    <w:p>
      <w:pPr>
        <w:ind w:right="280" w:firstLine="1036"/>
        <w:spacing w:after="0" w:line="288" w:lineRule="auto"/>
        <w:rPr>
          <w:sz w:val="20"/>
          <w:szCs w:val="20"/>
          <w:color w:val="auto"/>
        </w:rPr>
      </w:pPr>
      <w:r>
        <w:rPr>
          <w:rFonts w:ascii="Arial" w:cs="Arial" w:eastAsia="Arial" w:hAnsi="Arial"/>
          <w:sz w:val="14"/>
          <w:szCs w:val="14"/>
          <w:color w:val="auto"/>
        </w:rPr>
        <w:t>“Pledge Agreement” means the Pledge Agreement dated as of the Closing Date between Borrower and Agent, as the same may from time to time be amended, restated, modified or otherwise supplemented.</w:t>
      </w:r>
    </w:p>
    <w:p>
      <w:pPr>
        <w:spacing w:after="0" w:line="142" w:lineRule="exact"/>
        <w:rPr>
          <w:sz w:val="20"/>
          <w:szCs w:val="20"/>
          <w:color w:val="auto"/>
        </w:rPr>
      </w:pPr>
    </w:p>
    <w:p>
      <w:pPr>
        <w:ind w:right="100" w:firstLine="1075"/>
        <w:spacing w:after="0" w:line="288" w:lineRule="auto"/>
        <w:rPr>
          <w:sz w:val="20"/>
          <w:szCs w:val="20"/>
          <w:color w:val="auto"/>
        </w:rPr>
      </w:pPr>
      <w:r>
        <w:rPr>
          <w:rFonts w:ascii="Arial" w:cs="Arial" w:eastAsia="Arial" w:hAnsi="Arial"/>
          <w:sz w:val="14"/>
          <w:szCs w:val="14"/>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3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“Register” has the meaning specified in Section 11.7.</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“Required Lenders” means at any time, the holders of more than 50% of the aggregate unpaid principal amount of the Term Loans then outstanding.</w:t>
      </w:r>
    </w:p>
    <w:p>
      <w:pPr>
        <w:spacing w:after="0" w:line="195" w:lineRule="exact"/>
        <w:rPr>
          <w:sz w:val="20"/>
          <w:szCs w:val="20"/>
          <w:color w:val="auto"/>
        </w:rPr>
      </w:pPr>
    </w:p>
    <w:p>
      <w:pPr>
        <w:ind w:firstLine="1036"/>
        <w:spacing w:after="0" w:line="273" w:lineRule="auto"/>
        <w:rPr>
          <w:sz w:val="20"/>
          <w:szCs w:val="20"/>
          <w:color w:val="auto"/>
        </w:rPr>
      </w:pPr>
      <w:r>
        <w:rPr>
          <w:rFonts w:ascii="Arial" w:cs="Arial" w:eastAsia="Arial" w:hAnsi="Arial"/>
          <w:sz w:val="14"/>
          <w:szCs w:val="14"/>
          <w:color w:val="auto"/>
        </w:rPr>
        <w:t>“Restricted License” means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Agent’s right to sell any Collateral.</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13970</wp:posOffset>
            </wp:positionV>
            <wp:extent cx="7159625"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960"/>
          </w:cols>
          <w:pgMar w:left="400" w:top="648" w:right="539" w:bottom="1440" w:gutter="0" w:footer="0" w:header="0"/>
        </w:sectPr>
      </w:pPr>
    </w:p>
    <w:bookmarkStart w:id="686" w:name="page687"/>
    <w:bookmarkEnd w:id="686"/>
    <w:p>
      <w:pPr>
        <w:ind w:left="1060"/>
        <w:spacing w:after="0"/>
        <w:rPr>
          <w:sz w:val="20"/>
          <w:szCs w:val="20"/>
          <w:color w:val="auto"/>
        </w:rPr>
      </w:pPr>
      <w:r>
        <w:rPr>
          <w:rFonts w:ascii="Arial" w:cs="Arial" w:eastAsia="Arial" w:hAnsi="Arial"/>
          <w:sz w:val="14"/>
          <w:szCs w:val="14"/>
          <w:color w:val="auto"/>
        </w:rPr>
        <w:t>“Sanctioned Country” means, at any time, a country or territory which is the subject or target of any Sanctions.</w:t>
      </w:r>
    </w:p>
    <w:p>
      <w:pPr>
        <w:spacing w:after="0" w:line="195" w:lineRule="exact"/>
        <w:rPr>
          <w:sz w:val="20"/>
          <w:szCs w:val="20"/>
          <w:color w:val="auto"/>
        </w:rPr>
      </w:pPr>
    </w:p>
    <w:p>
      <w:pPr>
        <w:ind w:right="60" w:firstLine="1036"/>
        <w:spacing w:after="0" w:line="273" w:lineRule="auto"/>
        <w:rPr>
          <w:sz w:val="20"/>
          <w:szCs w:val="20"/>
          <w:color w:val="auto"/>
        </w:rPr>
      </w:pPr>
      <w:r>
        <w:rPr>
          <w:rFonts w:ascii="Arial" w:cs="Arial" w:eastAsia="Arial" w:hAnsi="Arial"/>
          <w:sz w:val="14"/>
          <w:szCs w:val="14"/>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41" w:lineRule="exact"/>
        <w:rPr>
          <w:sz w:val="20"/>
          <w:szCs w:val="20"/>
          <w:color w:val="auto"/>
        </w:rPr>
      </w:pPr>
    </w:p>
    <w:p>
      <w:pPr>
        <w:ind w:right="140" w:firstLine="1036"/>
        <w:spacing w:after="0" w:line="273" w:lineRule="auto"/>
        <w:rPr>
          <w:sz w:val="20"/>
          <w:szCs w:val="20"/>
          <w:color w:val="auto"/>
        </w:rPr>
      </w:pPr>
      <w:r>
        <w:rPr>
          <w:rFonts w:ascii="Arial" w:cs="Arial" w:eastAsia="Arial" w:hAnsi="Arial"/>
          <w:sz w:val="14"/>
          <w:szCs w:val="14"/>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52" w:lineRule="exact"/>
        <w:rPr>
          <w:sz w:val="20"/>
          <w:szCs w:val="20"/>
          <w:color w:val="auto"/>
        </w:rPr>
      </w:pPr>
    </w:p>
    <w:p>
      <w:pPr>
        <w:ind w:right="260" w:firstLine="1036"/>
        <w:spacing w:after="0" w:line="288" w:lineRule="auto"/>
        <w:rPr>
          <w:sz w:val="20"/>
          <w:szCs w:val="20"/>
          <w:color w:val="auto"/>
        </w:rPr>
      </w:pPr>
      <w:r>
        <w:rPr>
          <w:rFonts w:ascii="Arial" w:cs="Arial" w:eastAsia="Arial" w:hAnsi="Arial"/>
          <w:sz w:val="14"/>
          <w:szCs w:val="14"/>
          <w:color w:val="auto"/>
        </w:rPr>
        <w:t>“Secured Obligations” means Borrower’s obligations under this Agreement and any Loan Document (other than the Warrant), including any obligation to pay any amount now owing or later arising.</w:t>
      </w:r>
    </w:p>
    <w:p>
      <w:pPr>
        <w:spacing w:after="0" w:line="142" w:lineRule="exact"/>
        <w:rPr>
          <w:sz w:val="20"/>
          <w:szCs w:val="20"/>
          <w:color w:val="auto"/>
        </w:rPr>
      </w:pPr>
    </w:p>
    <w:p>
      <w:pPr>
        <w:ind w:right="260" w:firstLine="1075"/>
        <w:spacing w:after="0" w:line="288" w:lineRule="auto"/>
        <w:rPr>
          <w:sz w:val="20"/>
          <w:szCs w:val="20"/>
          <w:color w:val="auto"/>
        </w:rPr>
      </w:pPr>
      <w:r>
        <w:rPr>
          <w:rFonts w:ascii="Arial" w:cs="Arial" w:eastAsia="Arial" w:hAnsi="Arial"/>
          <w:sz w:val="14"/>
          <w:szCs w:val="14"/>
          <w:color w:val="auto"/>
        </w:rPr>
        <w:t>“Subordinated Indebtedness” means Indebtedness subordinated to the Secured Obligations in amounts and on terms and conditions satisfactory to Agent in its reasonable discretion and subject to a subordination agreement in form and substance satisfactory to Agent in its reasonable discretion.</w:t>
      </w:r>
    </w:p>
    <w:p>
      <w:pPr>
        <w:spacing w:after="0" w:line="13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“Subsequent Financing” means the closing of any Borrower financing which becomes effective after the Closing Date broadly marketed to multiple investors.</w:t>
      </w:r>
    </w:p>
    <w:p>
      <w:pPr>
        <w:spacing w:after="0" w:line="195" w:lineRule="exact"/>
        <w:rPr>
          <w:sz w:val="20"/>
          <w:szCs w:val="20"/>
          <w:color w:val="auto"/>
        </w:rPr>
      </w:pPr>
    </w:p>
    <w:p>
      <w:pPr>
        <w:ind w:right="160" w:firstLine="1036"/>
        <w:spacing w:after="0" w:line="288" w:lineRule="auto"/>
        <w:rPr>
          <w:sz w:val="20"/>
          <w:szCs w:val="20"/>
          <w:color w:val="auto"/>
        </w:rPr>
      </w:pPr>
      <w:r>
        <w:rPr>
          <w:rFonts w:ascii="Arial" w:cs="Arial" w:eastAsia="Arial" w:hAnsi="Arial"/>
          <w:sz w:val="14"/>
          <w:szCs w:val="14"/>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42" w:lineRule="exact"/>
        <w:rPr>
          <w:sz w:val="20"/>
          <w:szCs w:val="20"/>
          <w:color w:val="auto"/>
        </w:rPr>
      </w:pPr>
    </w:p>
    <w:p>
      <w:pPr>
        <w:ind w:firstLine="1035"/>
        <w:spacing w:after="0" w:line="288" w:lineRule="auto"/>
        <w:rPr>
          <w:sz w:val="20"/>
          <w:szCs w:val="20"/>
          <w:color w:val="auto"/>
        </w:rPr>
      </w:pPr>
      <w:r>
        <w:rPr>
          <w:rFonts w:ascii="Arial" w:cs="Arial" w:eastAsia="Arial" w:hAnsi="Arial"/>
          <w:sz w:val="14"/>
          <w:szCs w:val="14"/>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2" w:lineRule="exact"/>
        <w:rPr>
          <w:sz w:val="20"/>
          <w:szCs w:val="20"/>
          <w:color w:val="auto"/>
        </w:rPr>
      </w:pPr>
    </w:p>
    <w:p>
      <w:pPr>
        <w:ind w:right="220" w:firstLine="1036"/>
        <w:spacing w:after="0" w:line="288" w:lineRule="auto"/>
        <w:rPr>
          <w:sz w:val="20"/>
          <w:szCs w:val="20"/>
          <w:color w:val="auto"/>
        </w:rPr>
      </w:pPr>
      <w:r>
        <w:rPr>
          <w:rFonts w:ascii="Arial" w:cs="Arial" w:eastAsia="Arial" w:hAnsi="Arial"/>
          <w:sz w:val="14"/>
          <w:szCs w:val="14"/>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“Term Loan Advance” means each Tranche 1 Advance, Tranche 2 Advance, Tranche 3 Advance and any other Term Loan funds advanced under this Agreement.</w:t>
      </w:r>
    </w:p>
    <w:p>
      <w:pPr>
        <w:spacing w:after="0" w:line="195" w:lineRule="exact"/>
        <w:rPr>
          <w:sz w:val="20"/>
          <w:szCs w:val="20"/>
          <w:color w:val="auto"/>
        </w:rPr>
      </w:pPr>
    </w:p>
    <w:p>
      <w:pPr>
        <w:ind w:right="240" w:firstLine="1035"/>
        <w:spacing w:after="0" w:line="288" w:lineRule="auto"/>
        <w:rPr>
          <w:sz w:val="20"/>
          <w:szCs w:val="20"/>
          <w:color w:val="auto"/>
        </w:rPr>
      </w:pPr>
      <w:r>
        <w:rPr>
          <w:rFonts w:ascii="Arial" w:cs="Arial" w:eastAsia="Arial" w:hAnsi="Arial"/>
          <w:sz w:val="14"/>
          <w:szCs w:val="14"/>
          <w:color w:val="auto"/>
        </w:rPr>
        <w:t>“Term Loan Interest Rate” means for any day a per annum rate of interest equal to the greater of either (i) the sum of (x) the prime rate as reported in The Wall Street Journal, and (y) Six and Thirty One Hundredths Percent (6.30%); or (ii) Nine and Fifty-Five One Hundredths Percent (9.55%).</w:t>
      </w:r>
    </w:p>
    <w:p>
      <w:pPr>
        <w:spacing w:after="0" w:line="13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“Term Loan Maturity Date” means April 1, 2024; provided that if such day is not a Business Day, the Term Loan Maturity Date shall be the immediately preceding Business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Day.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13970</wp:posOffset>
            </wp:positionV>
            <wp:extent cx="7159625" cy="698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80"/>
          </w:cols>
          <w:pgMar w:left="400" w:top="647" w:right="419" w:bottom="1440" w:gutter="0" w:footer="0" w:header="0"/>
        </w:sectPr>
      </w:pPr>
    </w:p>
    <w:bookmarkStart w:id="687" w:name="page688"/>
    <w:bookmarkEnd w:id="687"/>
    <w:p>
      <w:pPr>
        <w:jc w:val="both"/>
        <w:ind w:left="100" w:right="260" w:firstLine="1075"/>
        <w:spacing w:after="0" w:line="288" w:lineRule="auto"/>
        <w:rPr>
          <w:sz w:val="20"/>
          <w:szCs w:val="20"/>
          <w:color w:val="auto"/>
        </w:rPr>
      </w:pPr>
      <w:r>
        <w:rPr>
          <w:rFonts w:ascii="Arial" w:cs="Arial" w:eastAsia="Arial" w:hAnsi="Arial"/>
          <w:sz w:val="14"/>
          <w:szCs w:val="14"/>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42" w:lineRule="exact"/>
        <w:rPr>
          <w:sz w:val="20"/>
          <w:szCs w:val="20"/>
          <w:color w:val="auto"/>
        </w:rPr>
      </w:pPr>
    </w:p>
    <w:p>
      <w:pPr>
        <w:ind w:left="100" w:right="40" w:firstLine="1036"/>
        <w:spacing w:after="0" w:line="329" w:lineRule="auto"/>
        <w:rPr>
          <w:sz w:val="20"/>
          <w:szCs w:val="20"/>
          <w:color w:val="auto"/>
        </w:rPr>
      </w:pPr>
      <w:r>
        <w:rPr>
          <w:rFonts w:ascii="Arial" w:cs="Arial" w:eastAsia="Arial" w:hAnsi="Arial"/>
          <w:sz w:val="13"/>
          <w:szCs w:val="13"/>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08"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“Tranche 3 Facility Charge” means one percent (1.00%) of the Tranche 3 Advance, which is payable to the Lenders in accordance with Section 4.2(d).</w:t>
      </w:r>
    </w:p>
    <w:p>
      <w:pPr>
        <w:spacing w:after="0" w:line="195" w:lineRule="exact"/>
        <w:rPr>
          <w:sz w:val="20"/>
          <w:szCs w:val="20"/>
          <w:color w:val="auto"/>
        </w:rPr>
      </w:pPr>
    </w:p>
    <w:p>
      <w:pPr>
        <w:jc w:val="both"/>
        <w:ind w:left="100" w:right="240" w:firstLine="1075"/>
        <w:spacing w:after="0" w:line="294" w:lineRule="auto"/>
        <w:rPr>
          <w:sz w:val="20"/>
          <w:szCs w:val="20"/>
          <w:color w:val="auto"/>
        </w:rPr>
      </w:pPr>
      <w:r>
        <w:rPr>
          <w:rFonts w:ascii="Arial" w:cs="Arial" w:eastAsia="Arial" w:hAnsi="Arial"/>
          <w:sz w:val="13"/>
          <w:szCs w:val="13"/>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4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“U.S. Person” means any Person that is a “United States person” as defined in Section 7701(a)(30) of the Code.</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“Warrant” means any warrant entered into in connection with the Loan, as may be amended, restated or modified from time to time.</w:t>
      </w:r>
    </w:p>
    <w:p>
      <w:pPr>
        <w:spacing w:after="0" w:line="260" w:lineRule="exact"/>
        <w:rPr>
          <w:sz w:val="20"/>
          <w:szCs w:val="20"/>
          <w:color w:val="auto"/>
        </w:rPr>
      </w:pPr>
    </w:p>
    <w:p>
      <w:pPr>
        <w:ind w:left="600"/>
        <w:spacing w:after="0"/>
        <w:tabs>
          <w:tab w:leader="none" w:pos="11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The following terms are defined in the Sections or subsections referenced opposite such</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terms: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spacing w:after="0"/>
              <w:rPr>
                <w:sz w:val="16"/>
                <w:szCs w:val="16"/>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Defined Term</w:t>
            </w:r>
          </w:p>
        </w:tc>
        <w:tc>
          <w:tcPr>
            <w:tcW w:w="4280" w:type="dxa"/>
            <w:vAlign w:val="bottom"/>
          </w:tcPr>
          <w:p>
            <w:pPr>
              <w:ind w:left="1200"/>
              <w:spacing w:after="0"/>
              <w:rPr>
                <w:sz w:val="20"/>
                <w:szCs w:val="20"/>
                <w:color w:val="auto"/>
              </w:rPr>
            </w:pPr>
            <w:r>
              <w:rPr>
                <w:rFonts w:ascii="Arial" w:cs="Arial" w:eastAsia="Arial" w:hAnsi="Arial"/>
                <w:sz w:val="14"/>
                <w:szCs w:val="14"/>
                <w:b w:val="1"/>
                <w:bCs w:val="1"/>
                <w:color w:val="auto"/>
              </w:rPr>
              <w:t>Section</w:t>
            </w:r>
          </w:p>
        </w:tc>
        <w:tc>
          <w:tcPr>
            <w:tcW w:w="2260" w:type="dxa"/>
            <w:vAlign w:val="bottom"/>
          </w:tcPr>
          <w:p>
            <w:pPr>
              <w:spacing w:after="0"/>
              <w:rPr>
                <w:sz w:val="16"/>
                <w:szCs w:val="16"/>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Agent</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Preamble</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Assignee</w:t>
            </w:r>
          </w:p>
        </w:tc>
        <w:tc>
          <w:tcPr>
            <w:tcW w:w="4280" w:type="dxa"/>
            <w:vAlign w:val="bottom"/>
          </w:tcPr>
          <w:p>
            <w:pPr>
              <w:ind w:left="1200"/>
              <w:spacing w:after="0"/>
              <w:rPr>
                <w:sz w:val="20"/>
                <w:szCs w:val="20"/>
                <w:color w:val="auto"/>
              </w:rPr>
            </w:pPr>
            <w:r>
              <w:rPr>
                <w:rFonts w:ascii="Arial" w:cs="Arial" w:eastAsia="Arial" w:hAnsi="Arial"/>
                <w:sz w:val="14"/>
                <w:szCs w:val="14"/>
                <w:color w:val="auto"/>
              </w:rPr>
              <w:t>11.14</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Borrower</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Preamble</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Claims</w:t>
            </w:r>
          </w:p>
        </w:tc>
        <w:tc>
          <w:tcPr>
            <w:tcW w:w="4280" w:type="dxa"/>
            <w:vAlign w:val="bottom"/>
          </w:tcPr>
          <w:p>
            <w:pPr>
              <w:ind w:left="1200"/>
              <w:spacing w:after="0"/>
              <w:rPr>
                <w:sz w:val="20"/>
                <w:szCs w:val="20"/>
                <w:color w:val="auto"/>
              </w:rPr>
            </w:pPr>
            <w:r>
              <w:rPr>
                <w:rFonts w:ascii="Arial" w:cs="Arial" w:eastAsia="Arial" w:hAnsi="Arial"/>
                <w:sz w:val="14"/>
                <w:szCs w:val="14"/>
                <w:color w:val="auto"/>
              </w:rPr>
              <w:t>11.11</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Collateral</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3.1</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Confidential Information</w:t>
            </w:r>
          </w:p>
        </w:tc>
        <w:tc>
          <w:tcPr>
            <w:tcW w:w="4280" w:type="dxa"/>
            <w:vAlign w:val="bottom"/>
          </w:tcPr>
          <w:p>
            <w:pPr>
              <w:ind w:left="1200"/>
              <w:spacing w:after="0"/>
              <w:rPr>
                <w:sz w:val="20"/>
                <w:szCs w:val="20"/>
                <w:color w:val="auto"/>
              </w:rPr>
            </w:pPr>
            <w:r>
              <w:rPr>
                <w:rFonts w:ascii="Arial" w:cs="Arial" w:eastAsia="Arial" w:hAnsi="Arial"/>
                <w:sz w:val="14"/>
                <w:szCs w:val="14"/>
                <w:color w:val="auto"/>
              </w:rPr>
              <w:t>11.13</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End of Term Charge</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2.6</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Event of Default</w:t>
            </w:r>
          </w:p>
        </w:tc>
        <w:tc>
          <w:tcPr>
            <w:tcW w:w="4280" w:type="dxa"/>
            <w:vAlign w:val="bottom"/>
          </w:tcPr>
          <w:p>
            <w:pPr>
              <w:ind w:left="1200"/>
              <w:spacing w:after="0"/>
              <w:rPr>
                <w:sz w:val="20"/>
                <w:szCs w:val="20"/>
                <w:color w:val="auto"/>
              </w:rPr>
            </w:pPr>
            <w:r>
              <w:rPr>
                <w:rFonts w:ascii="Arial" w:cs="Arial" w:eastAsia="Arial" w:hAnsi="Arial"/>
                <w:sz w:val="14"/>
                <w:szCs w:val="14"/>
                <w:color w:val="auto"/>
              </w:rPr>
              <w:t>9</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Financial Statements</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7.1</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Indemnified Person</w:t>
            </w:r>
          </w:p>
        </w:tc>
        <w:tc>
          <w:tcPr>
            <w:tcW w:w="4280" w:type="dxa"/>
            <w:vAlign w:val="bottom"/>
          </w:tcPr>
          <w:p>
            <w:pPr>
              <w:ind w:left="1200"/>
              <w:spacing w:after="0"/>
              <w:rPr>
                <w:sz w:val="20"/>
                <w:szCs w:val="20"/>
                <w:color w:val="auto"/>
              </w:rPr>
            </w:pPr>
            <w:r>
              <w:rPr>
                <w:rFonts w:ascii="Arial" w:cs="Arial" w:eastAsia="Arial" w:hAnsi="Arial"/>
                <w:sz w:val="14"/>
                <w:szCs w:val="14"/>
                <w:color w:val="auto"/>
              </w:rPr>
              <w:t>6.3</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Lenders</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Preamble</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Liabilities</w:t>
            </w:r>
          </w:p>
        </w:tc>
        <w:tc>
          <w:tcPr>
            <w:tcW w:w="4280" w:type="dxa"/>
            <w:vAlign w:val="bottom"/>
          </w:tcPr>
          <w:p>
            <w:pPr>
              <w:ind w:left="1200"/>
              <w:spacing w:after="0"/>
              <w:rPr>
                <w:sz w:val="20"/>
                <w:szCs w:val="20"/>
                <w:color w:val="auto"/>
              </w:rPr>
            </w:pPr>
            <w:r>
              <w:rPr>
                <w:rFonts w:ascii="Arial" w:cs="Arial" w:eastAsia="Arial" w:hAnsi="Arial"/>
                <w:sz w:val="14"/>
                <w:szCs w:val="14"/>
                <w:color w:val="auto"/>
              </w:rPr>
              <w:t>6.3</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Maximum Rate</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2.3</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Open Source License</w:t>
            </w:r>
          </w:p>
        </w:tc>
        <w:tc>
          <w:tcPr>
            <w:tcW w:w="4280" w:type="dxa"/>
            <w:vAlign w:val="bottom"/>
          </w:tcPr>
          <w:p>
            <w:pPr>
              <w:ind w:left="1200"/>
              <w:spacing w:after="0"/>
              <w:rPr>
                <w:sz w:val="20"/>
                <w:szCs w:val="20"/>
                <w:color w:val="auto"/>
              </w:rPr>
            </w:pPr>
            <w:r>
              <w:rPr>
                <w:rFonts w:ascii="Arial" w:cs="Arial" w:eastAsia="Arial" w:hAnsi="Arial"/>
                <w:sz w:val="14"/>
                <w:szCs w:val="14"/>
                <w:color w:val="auto"/>
              </w:rPr>
              <w:t>5.10</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Participant Register</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11.8</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rPr>
              <w:t>Prepayment Charge</w:t>
            </w:r>
          </w:p>
        </w:tc>
        <w:tc>
          <w:tcPr>
            <w:tcW w:w="4280" w:type="dxa"/>
            <w:vAlign w:val="bottom"/>
          </w:tcPr>
          <w:p>
            <w:pPr>
              <w:ind w:left="1200"/>
              <w:spacing w:after="0"/>
              <w:rPr>
                <w:sz w:val="20"/>
                <w:szCs w:val="20"/>
                <w:color w:val="auto"/>
              </w:rPr>
            </w:pPr>
            <w:r>
              <w:rPr>
                <w:rFonts w:ascii="Arial" w:cs="Arial" w:eastAsia="Arial" w:hAnsi="Arial"/>
                <w:sz w:val="14"/>
                <w:szCs w:val="14"/>
                <w:color w:val="auto"/>
              </w:rPr>
              <w:t>2.5</w:t>
            </w:r>
          </w:p>
        </w:tc>
        <w:tc>
          <w:tcPr>
            <w:tcW w:w="2260" w:type="dxa"/>
            <w:vAlign w:val="bottom"/>
          </w:tcPr>
          <w:p>
            <w:pPr>
              <w:spacing w:after="0"/>
              <w:rPr>
                <w:sz w:val="15"/>
                <w:szCs w:val="15"/>
                <w:color w:val="auto"/>
              </w:rPr>
            </w:pPr>
          </w:p>
        </w:tc>
      </w:tr>
      <w:tr>
        <w:trPr>
          <w:trHeight w:val="173"/>
        </w:trPr>
        <w:tc>
          <w:tcPr>
            <w:tcW w:w="2260" w:type="dxa"/>
            <w:vAlign w:val="bottom"/>
          </w:tcPr>
          <w:p>
            <w:pPr>
              <w:spacing w:after="0"/>
              <w:rPr>
                <w:sz w:val="15"/>
                <w:szCs w:val="15"/>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Publicity Materials</w:t>
            </w:r>
          </w:p>
        </w:tc>
        <w:tc>
          <w:tcPr>
            <w:tcW w:w="428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11.19</w:t>
            </w:r>
          </w:p>
        </w:tc>
        <w:tc>
          <w:tcPr>
            <w:tcW w:w="2260" w:type="dxa"/>
            <w:vAlign w:val="bottom"/>
          </w:tcPr>
          <w:p>
            <w:pPr>
              <w:spacing w:after="0"/>
              <w:rPr>
                <w:sz w:val="15"/>
                <w:szCs w:val="15"/>
                <w:color w:val="auto"/>
              </w:rPr>
            </w:pPr>
          </w:p>
        </w:tc>
      </w:tr>
      <w:tr>
        <w:trPr>
          <w:trHeight w:val="350"/>
        </w:trPr>
        <w:tc>
          <w:tcPr>
            <w:tcW w:w="2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14</w:t>
            </w: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48" w:right="319" w:bottom="1440" w:gutter="0" w:footer="0" w:header="0"/>
        </w:sectPr>
      </w:pPr>
    </w:p>
    <w:bookmarkStart w:id="688" w:name="page689"/>
    <w:bookmarkEnd w:id="688"/>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2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Register</w:t>
            </w:r>
          </w:p>
        </w:tc>
        <w:tc>
          <w:tcPr>
            <w:tcW w:w="430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11.7</w:t>
            </w:r>
          </w:p>
        </w:tc>
      </w:tr>
      <w:tr>
        <w:trPr>
          <w:trHeight w:val="173"/>
        </w:trPr>
        <w:tc>
          <w:tcPr>
            <w:tcW w:w="2460" w:type="dxa"/>
            <w:vAlign w:val="bottom"/>
          </w:tcPr>
          <w:p>
            <w:pPr>
              <w:ind w:left="80"/>
              <w:spacing w:after="0"/>
              <w:rPr>
                <w:sz w:val="20"/>
                <w:szCs w:val="20"/>
                <w:color w:val="auto"/>
              </w:rPr>
            </w:pPr>
            <w:r>
              <w:rPr>
                <w:rFonts w:ascii="Arial" w:cs="Arial" w:eastAsia="Arial" w:hAnsi="Arial"/>
                <w:sz w:val="14"/>
                <w:szCs w:val="14"/>
                <w:b w:val="1"/>
                <w:bCs w:val="1"/>
                <w:color w:val="auto"/>
              </w:rPr>
              <w:t>Rights to Payment</w:t>
            </w:r>
          </w:p>
        </w:tc>
        <w:tc>
          <w:tcPr>
            <w:tcW w:w="4300" w:type="dxa"/>
            <w:vAlign w:val="bottom"/>
          </w:tcPr>
          <w:p>
            <w:pPr>
              <w:ind w:left="1220"/>
              <w:spacing w:after="0"/>
              <w:rPr>
                <w:sz w:val="20"/>
                <w:szCs w:val="20"/>
                <w:color w:val="auto"/>
              </w:rPr>
            </w:pPr>
            <w:r>
              <w:rPr>
                <w:rFonts w:ascii="Arial" w:cs="Arial" w:eastAsia="Arial" w:hAnsi="Arial"/>
                <w:sz w:val="14"/>
                <w:szCs w:val="14"/>
                <w:color w:val="auto"/>
              </w:rPr>
              <w:t>3.1</w:t>
            </w:r>
          </w:p>
        </w:tc>
      </w:tr>
      <w:tr>
        <w:trPr>
          <w:trHeight w:val="173"/>
        </w:trPr>
        <w:tc>
          <w:tcPr>
            <w:tcW w:w="24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Tranche 1 Advance</w:t>
            </w:r>
          </w:p>
        </w:tc>
        <w:tc>
          <w:tcPr>
            <w:tcW w:w="430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2.2(a)</w:t>
            </w:r>
          </w:p>
        </w:tc>
      </w:tr>
      <w:tr>
        <w:trPr>
          <w:trHeight w:val="173"/>
        </w:trPr>
        <w:tc>
          <w:tcPr>
            <w:tcW w:w="2460" w:type="dxa"/>
            <w:vAlign w:val="bottom"/>
          </w:tcPr>
          <w:p>
            <w:pPr>
              <w:ind w:left="80"/>
              <w:spacing w:after="0"/>
              <w:rPr>
                <w:sz w:val="20"/>
                <w:szCs w:val="20"/>
                <w:color w:val="auto"/>
              </w:rPr>
            </w:pPr>
            <w:r>
              <w:rPr>
                <w:rFonts w:ascii="Arial" w:cs="Arial" w:eastAsia="Arial" w:hAnsi="Arial"/>
                <w:sz w:val="14"/>
                <w:szCs w:val="14"/>
                <w:color w:val="auto"/>
              </w:rPr>
              <w:t>Tranche 2 Advance</w:t>
            </w:r>
          </w:p>
        </w:tc>
        <w:tc>
          <w:tcPr>
            <w:tcW w:w="4300" w:type="dxa"/>
            <w:vAlign w:val="bottom"/>
          </w:tcPr>
          <w:p>
            <w:pPr>
              <w:ind w:left="1220"/>
              <w:spacing w:after="0"/>
              <w:rPr>
                <w:sz w:val="20"/>
                <w:szCs w:val="20"/>
                <w:color w:val="auto"/>
              </w:rPr>
            </w:pPr>
            <w:r>
              <w:rPr>
                <w:rFonts w:ascii="Arial" w:cs="Arial" w:eastAsia="Arial" w:hAnsi="Arial"/>
                <w:sz w:val="14"/>
                <w:szCs w:val="14"/>
                <w:color w:val="auto"/>
              </w:rPr>
              <w:t>2.2(a)</w:t>
            </w:r>
          </w:p>
        </w:tc>
      </w:tr>
      <w:tr>
        <w:trPr>
          <w:trHeight w:val="173"/>
        </w:trPr>
        <w:tc>
          <w:tcPr>
            <w:tcW w:w="24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Tranche 3 Advance</w:t>
            </w:r>
          </w:p>
        </w:tc>
        <w:tc>
          <w:tcPr>
            <w:tcW w:w="4300" w:type="dxa"/>
            <w:vAlign w:val="bottom"/>
            <w:shd w:val="clear" w:color="auto" w:fill="CCEEFF"/>
          </w:tcPr>
          <w:p>
            <w:pPr>
              <w:ind w:left="1220"/>
              <w:spacing w:after="0"/>
              <w:rPr>
                <w:sz w:val="20"/>
                <w:szCs w:val="20"/>
                <w:color w:val="auto"/>
              </w:rPr>
            </w:pPr>
            <w:r>
              <w:rPr>
                <w:rFonts w:ascii="Arial" w:cs="Arial" w:eastAsia="Arial" w:hAnsi="Arial"/>
                <w:sz w:val="14"/>
                <w:szCs w:val="14"/>
                <w:color w:val="auto"/>
              </w:rPr>
              <w:t>2.2(a)</w:t>
            </w:r>
          </w:p>
        </w:tc>
      </w:tr>
    </w:tbl>
    <w:p>
      <w:pPr>
        <w:spacing w:after="0" w:line="162"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3"/>
          <w:szCs w:val="13"/>
          <w:color w:val="auto"/>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3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1.4 If at any time any change in GAAP would affect the computation of any financial requirement set forth in any Loan Document, and either the Borrower or the Required Lenders shall so request, Agent, Lenders and the Borrower shall negotiate in good faith to amend such requirement to preserve the original intent thereof in light of such change in GAAP; provided that, until so amended, such requirement shall continue to be computed in accordance with GAAP prior to such change.</w:t>
      </w:r>
    </w:p>
    <w:p>
      <w:pPr>
        <w:spacing w:after="0" w:line="137"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 xml:space="preserve">SECTION 2. </w:t>
      </w:r>
      <w:r>
        <w:rPr>
          <w:rFonts w:ascii="Arial" w:cs="Arial" w:eastAsia="Arial" w:hAnsi="Arial"/>
          <w:sz w:val="14"/>
          <w:szCs w:val="14"/>
          <w:b w:val="1"/>
          <w:bCs w:val="1"/>
          <w:u w:val="single" w:color="auto"/>
          <w:color w:val="auto"/>
        </w:rPr>
        <w:t>THE LOAN</w:t>
      </w:r>
    </w:p>
    <w:p>
      <w:pPr>
        <w:spacing w:after="0" w:line="199"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[Reserved]</w:t>
      </w:r>
    </w:p>
    <w:p>
      <w:pPr>
        <w:spacing w:after="0" w:line="18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3"/>
          <w:szCs w:val="13"/>
          <w:color w:val="auto"/>
        </w:rPr>
        <w:t>Term Loan.</w:t>
      </w:r>
    </w:p>
    <w:p>
      <w:pPr>
        <w:spacing w:after="0" w:line="195" w:lineRule="exact"/>
        <w:rPr>
          <w:sz w:val="20"/>
          <w:szCs w:val="20"/>
          <w:color w:val="auto"/>
        </w:rPr>
      </w:pPr>
    </w:p>
    <w:p>
      <w:pPr>
        <w:ind w:left="80" w:right="200" w:firstLine="508"/>
        <w:spacing w:after="0" w:line="262" w:lineRule="auto"/>
        <w:tabs>
          <w:tab w:leader="none" w:pos="1333" w:val="left"/>
        </w:tabs>
        <w:numPr>
          <w:ilvl w:val="0"/>
          <w:numId w:val="508"/>
        </w:numPr>
        <w:rPr>
          <w:rFonts w:ascii="Arial" w:cs="Arial" w:eastAsia="Arial" w:hAnsi="Arial"/>
          <w:sz w:val="14"/>
          <w:szCs w:val="14"/>
          <w:color w:val="auto"/>
        </w:rPr>
      </w:pPr>
      <w:r>
        <w:rPr>
          <w:rFonts w:ascii="Arial" w:cs="Arial" w:eastAsia="Arial" w:hAnsi="Arial"/>
          <w:sz w:val="14"/>
          <w:szCs w:val="14"/>
          <w:color w:val="auto"/>
        </w:rPr>
        <w:t>Advances. Subject to the terms and conditions of this Agreement, the Lenders will severally (and not jointly) make in an amount not to exceed its respective Term Commitment, and Borrower agrees to draw, a Term Loan Advance of Ten Million Dollars ($10,000,000) on the Closing Date (the “Tranche 1 Advance”). Subject to the terms and conditions of this Agreement, beginning on the later of (i) January 1, 2021 and (ii) the achievement of Performance Milestone I, and continuing through September 30, 2021 (as such date may be extended in Agent’s sole discretion), Borrower may request and the Lenders shall severally (and not jointly) make an additional Term Loan Advance in a principal amount of Ten Million Dollars ($10,000,000) (the “Tranche 2 Advance”). Subject to the terms and conditions of this Agreement, and conditioned on approval by the Lenders’ investment committee in its sole and unfettered discretion, Borrower may request additional Term Loan Advances in an aggregate principal amount up to Ten Million Dollars ($10,000,000), in minimum increments of Two</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60"/>
          </w:cols>
          <w:pgMar w:left="840" w:top="594" w:right="399" w:bottom="1440" w:gutter="0" w:footer="0" w:header="0"/>
        </w:sectPr>
      </w:pPr>
    </w:p>
    <w:bookmarkStart w:id="689" w:name="page690"/>
    <w:bookmarkEnd w:id="689"/>
    <w:p>
      <w:pPr>
        <w:ind w:left="620" w:right="580"/>
        <w:spacing w:after="0" w:line="288" w:lineRule="auto"/>
        <w:rPr>
          <w:sz w:val="20"/>
          <w:szCs w:val="20"/>
          <w:color w:val="auto"/>
        </w:rPr>
      </w:pPr>
      <w:r>
        <w:rPr>
          <w:rFonts w:ascii="Arial" w:cs="Arial" w:eastAsia="Arial" w:hAnsi="Arial"/>
          <w:sz w:val="14"/>
          <w:szCs w:val="14"/>
          <w:color w:val="auto"/>
        </w:rPr>
        <w:t>Million Five Hundred Thousand Dollars ($2,500,000) (each, a “Tranche 3 Advance”). The aggregate outstanding Term Loan Advances may be up to the Maximum Term Loan Amount.</w:t>
      </w:r>
    </w:p>
    <w:p>
      <w:pPr>
        <w:spacing w:after="0" w:line="132" w:lineRule="exact"/>
        <w:rPr>
          <w:sz w:val="20"/>
          <w:szCs w:val="20"/>
          <w:color w:val="auto"/>
        </w:rPr>
      </w:pPr>
    </w:p>
    <w:p>
      <w:pPr>
        <w:ind w:left="620" w:right="280" w:firstLine="508"/>
        <w:spacing w:after="0" w:line="303" w:lineRule="auto"/>
        <w:tabs>
          <w:tab w:leader="none" w:pos="1917" w:val="left"/>
        </w:tabs>
        <w:numPr>
          <w:ilvl w:val="1"/>
          <w:numId w:val="509"/>
        </w:numPr>
        <w:rPr>
          <w:rFonts w:ascii="Arial" w:cs="Arial" w:eastAsia="Arial" w:hAnsi="Arial"/>
          <w:sz w:val="13"/>
          <w:szCs w:val="13"/>
          <w:color w:val="auto"/>
        </w:rPr>
      </w:pPr>
      <w:r>
        <w:rPr>
          <w:rFonts w:ascii="Arial" w:cs="Arial" w:eastAsia="Arial" w:hAnsi="Arial"/>
          <w:sz w:val="13"/>
          <w:szCs w:val="13"/>
          <w:color w:val="auto"/>
        </w:rPr>
        <w:t>Advance Request. To obtain a Term Loan Advance, Borrower shall complete, sign and deliver an Advance Request (at least five (5) Business Days before the Advance Date other than the Closing Date, which shall be at least one (1) Business Day) to Agent. The Lenders shall fund the Term Loan Advance in the manner requested by the Advance Request provided that each of the conditions precedent to such Term Loan Advance is satisfied as of the requested Advance Date.</w:t>
      </w:r>
    </w:p>
    <w:p>
      <w:pPr>
        <w:spacing w:after="0" w:line="135" w:lineRule="exact"/>
        <w:rPr>
          <w:rFonts w:ascii="Arial" w:cs="Arial" w:eastAsia="Arial" w:hAnsi="Arial"/>
          <w:sz w:val="13"/>
          <w:szCs w:val="13"/>
          <w:color w:val="auto"/>
        </w:rPr>
      </w:pPr>
    </w:p>
    <w:p>
      <w:pPr>
        <w:ind w:left="620" w:right="260" w:firstLine="508"/>
        <w:spacing w:after="0" w:line="273" w:lineRule="auto"/>
        <w:tabs>
          <w:tab w:leader="none" w:pos="1873" w:val="left"/>
        </w:tabs>
        <w:numPr>
          <w:ilvl w:val="1"/>
          <w:numId w:val="509"/>
        </w:numPr>
        <w:rPr>
          <w:rFonts w:ascii="Arial" w:cs="Arial" w:eastAsia="Arial" w:hAnsi="Arial"/>
          <w:sz w:val="14"/>
          <w:szCs w:val="14"/>
          <w:color w:val="auto"/>
        </w:rPr>
      </w:pPr>
      <w:r>
        <w:rPr>
          <w:rFonts w:ascii="Arial" w:cs="Arial" w:eastAsia="Arial" w:hAnsi="Arial"/>
          <w:sz w:val="14"/>
          <w:szCs w:val="14"/>
          <w:color w:val="auto"/>
        </w:rPr>
        <w:t>Interest. Term Loan Interest Rate. The unpaid principal balance of each Term Loan Advance shall bear interest thereon from such Advance Date until paid in full at the Term Loan Interest Rate based on a year consisting of 360 days, based on the actual number of days elapsed. The Term Loan Interest Rate will float and change on the day the prime rate changes from time to time.</w:t>
      </w:r>
    </w:p>
    <w:p>
      <w:pPr>
        <w:spacing w:after="0" w:line="141" w:lineRule="exact"/>
        <w:rPr>
          <w:rFonts w:ascii="Arial" w:cs="Arial" w:eastAsia="Arial" w:hAnsi="Arial"/>
          <w:sz w:val="14"/>
          <w:szCs w:val="14"/>
          <w:color w:val="auto"/>
        </w:rPr>
      </w:pPr>
    </w:p>
    <w:p>
      <w:pPr>
        <w:ind w:left="620" w:right="120" w:firstLine="508"/>
        <w:spacing w:after="0" w:line="279" w:lineRule="auto"/>
        <w:tabs>
          <w:tab w:leader="none" w:pos="1845" w:val="left"/>
        </w:tabs>
        <w:numPr>
          <w:ilvl w:val="1"/>
          <w:numId w:val="509"/>
        </w:numPr>
        <w:rPr>
          <w:rFonts w:ascii="Arial" w:cs="Arial" w:eastAsia="Arial" w:hAnsi="Arial"/>
          <w:sz w:val="13"/>
          <w:szCs w:val="13"/>
          <w:color w:val="auto"/>
        </w:rPr>
      </w:pPr>
      <w:r>
        <w:rPr>
          <w:rFonts w:ascii="Arial" w:cs="Arial" w:eastAsia="Arial" w:hAnsi="Arial"/>
          <w:sz w:val="13"/>
          <w:szCs w:val="13"/>
          <w:color w:val="auto"/>
        </w:rPr>
        <w:t>Payment. Borrower will pay interest on each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the Term Loan Maturity Date. Subject to Addendum 1,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out-of-pocket legal fees and costs incurred by Agent or the Lenders in connection with Section 11.12 of this Agreement; provided that, with respect to clause</w:t>
      </w:r>
    </w:p>
    <w:p>
      <w:pPr>
        <w:ind w:left="600" w:right="100" w:firstLine="10"/>
        <w:spacing w:after="0" w:line="281" w:lineRule="auto"/>
        <w:tabs>
          <w:tab w:leader="none" w:pos="807" w:val="left"/>
        </w:tabs>
        <w:numPr>
          <w:ilvl w:val="0"/>
          <w:numId w:val="510"/>
        </w:numPr>
        <w:rPr>
          <w:rFonts w:ascii="Arial" w:cs="Arial" w:eastAsia="Arial" w:hAnsi="Arial"/>
          <w:sz w:val="13"/>
          <w:szCs w:val="13"/>
          <w:color w:val="auto"/>
        </w:rPr>
      </w:pPr>
      <w:r>
        <w:rPr>
          <w:rFonts w:ascii="Arial" w:cs="Arial" w:eastAsia="Arial" w:hAnsi="Arial"/>
          <w:sz w:val="13"/>
          <w:szCs w:val="13"/>
          <w:color w:val="auto"/>
        </w:rPr>
        <w:t>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(x)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 and (y) except with respect to Agent’s and the Lenders’ fees and expenses necessary to finalize the loan documentation, and due and payable on the Closing Date, Agent shall provide Borrower prior written notice before initiating a debit entry for payment of Agent’s and the Lenders’ fees and expenses due after the Closing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jc w:val="right"/>
              <w:ind w:right="408"/>
              <w:spacing w:after="0"/>
              <w:rPr>
                <w:sz w:val="20"/>
                <w:szCs w:val="20"/>
                <w:color w:val="auto"/>
              </w:rPr>
            </w:pPr>
            <w:r>
              <w:rPr>
                <w:rFonts w:ascii="Arial" w:cs="Arial" w:eastAsia="Arial" w:hAnsi="Arial"/>
                <w:sz w:val="14"/>
                <w:szCs w:val="14"/>
                <w:color w:val="auto"/>
              </w:rPr>
              <w:t>2.3</w:t>
            </w:r>
          </w:p>
        </w:tc>
        <w:tc>
          <w:tcPr>
            <w:tcW w:w="9560" w:type="dxa"/>
            <w:vAlign w:val="bottom"/>
          </w:tcPr>
          <w:p>
            <w:pPr>
              <w:jc w:val="right"/>
              <w:ind w:right="328"/>
              <w:spacing w:after="0"/>
              <w:rPr>
                <w:sz w:val="20"/>
                <w:szCs w:val="20"/>
                <w:color w:val="auto"/>
              </w:rPr>
            </w:pPr>
            <w:r>
              <w:rPr>
                <w:rFonts w:ascii="Arial" w:cs="Arial" w:eastAsia="Arial" w:hAnsi="Arial"/>
                <w:sz w:val="14"/>
                <w:szCs w:val="14"/>
                <w:color w:val="auto"/>
                <w:w w:val="94"/>
              </w:rPr>
              <w:t>Maximum Interest. Notwithstanding any provision in this Agreement or any other Loan Document, it is the parties’ intent not to contract for, charge or receive</w:t>
            </w:r>
          </w:p>
        </w:tc>
      </w:tr>
      <w:tr>
        <w:trPr>
          <w:trHeight w:val="182"/>
        </w:trPr>
        <w:tc>
          <w:tcPr>
            <w:tcW w:w="1720" w:type="dxa"/>
            <w:vAlign w:val="bottom"/>
          </w:tcPr>
          <w:p>
            <w:pPr>
              <w:jc w:val="right"/>
              <w:spacing w:after="0"/>
              <w:rPr>
                <w:sz w:val="20"/>
                <w:szCs w:val="20"/>
                <w:color w:val="auto"/>
              </w:rPr>
            </w:pPr>
            <w:r>
              <w:rPr>
                <w:rFonts w:ascii="Arial" w:cs="Arial" w:eastAsia="Arial" w:hAnsi="Arial"/>
                <w:sz w:val="14"/>
                <w:szCs w:val="14"/>
                <w:color w:val="auto"/>
              </w:rPr>
              <w:t>interest at a rate that</w:t>
            </w:r>
          </w:p>
        </w:tc>
        <w:tc>
          <w:tcPr>
            <w:tcW w:w="9560" w:type="dxa"/>
            <w:vAlign w:val="bottom"/>
          </w:tcPr>
          <w:p>
            <w:pPr>
              <w:spacing w:after="0"/>
              <w:rPr>
                <w:sz w:val="15"/>
                <w:szCs w:val="15"/>
                <w:color w:val="auto"/>
              </w:rPr>
            </w:pPr>
          </w:p>
        </w:tc>
      </w:tr>
      <w:tr>
        <w:trPr>
          <w:trHeight w:val="346"/>
        </w:trPr>
        <w:tc>
          <w:tcPr>
            <w:tcW w:w="172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jc w:val="right"/>
              <w:ind w:right="5488"/>
              <w:spacing w:after="0"/>
              <w:rPr>
                <w:sz w:val="20"/>
                <w:szCs w:val="20"/>
                <w:color w:val="auto"/>
              </w:rPr>
            </w:pPr>
            <w:r>
              <w:rPr>
                <w:rFonts w:ascii="Arial" w:cs="Arial" w:eastAsia="Arial" w:hAnsi="Arial"/>
                <w:sz w:val="14"/>
                <w:szCs w:val="14"/>
                <w:color w:val="auto"/>
              </w:rPr>
              <w:t>16</w:t>
            </w:r>
          </w:p>
        </w:tc>
      </w:tr>
    </w:tbl>
    <w:p>
      <w:pPr>
        <w:sectPr>
          <w:pgSz w:w="11900" w:h="16838" w:orient="portrait"/>
          <w:cols w:equalWidth="0" w:num="1">
            <w:col w:w="11280"/>
          </w:cols>
          <w:pgMar w:left="300" w:top="583" w:right="319" w:bottom="1440" w:gutter="0" w:footer="0" w:header="0"/>
        </w:sectPr>
      </w:pPr>
    </w:p>
    <w:bookmarkStart w:id="690" w:name="page691"/>
    <w:bookmarkEnd w:id="690"/>
    <w:p>
      <w:pPr>
        <w:ind w:right="140"/>
        <w:spacing w:after="0" w:line="263" w:lineRule="auto"/>
        <w:rPr>
          <w:sz w:val="20"/>
          <w:szCs w:val="20"/>
          <w:color w:val="auto"/>
        </w:rPr>
      </w:pPr>
      <w:r>
        <w:rPr>
          <w:rFonts w:ascii="Arial" w:cs="Arial" w:eastAsia="Arial" w:hAnsi="Arial"/>
          <w:sz w:val="14"/>
          <w:szCs w:val="14"/>
          <w:color w:val="auto"/>
        </w:rPr>
        <w:t>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50" w:lineRule="exact"/>
        <w:rPr>
          <w:sz w:val="20"/>
          <w:szCs w:val="20"/>
          <w:color w:val="auto"/>
        </w:rPr>
      </w:pPr>
    </w:p>
    <w:p>
      <w:pPr>
        <w:ind w:right="160" w:firstLine="518"/>
        <w:spacing w:after="0" w:line="265" w:lineRule="auto"/>
        <w:rPr>
          <w:sz w:val="20"/>
          <w:szCs w:val="20"/>
          <w:color w:val="auto"/>
        </w:rPr>
      </w:pPr>
      <w:r>
        <w:rPr>
          <w:rFonts w:ascii="Arial" w:cs="Arial" w:eastAsia="Arial" w:hAnsi="Arial"/>
          <w:sz w:val="14"/>
          <w:szCs w:val="14"/>
          <w:color w:val="auto"/>
        </w:rPr>
        <w:t>2.4 Default Interest. In the event any payment is not paid on the scheduled payment date, an amount equal to four percent (4%) of the past due amount shall be payable on demand made by Agent in writing. In addition, upon the occurrence and during the continuation of an Event of Default hereunder, all Secured Obligations, including principal, interest, compounded interest, and professional fees, shall bear interest at a rate per annum equal to the rate set forth in Section 2.2(c), plus four percent (4%) per annum. In the event any interest is not paid when due hereunder, delinquent interest shall be added to principal and shall bear interest on interest, compounded at the rate set forth in Section 2.2(c) or this Section 2.4, as applicable.</w:t>
      </w:r>
    </w:p>
    <w:p>
      <w:pPr>
        <w:spacing w:after="0" w:line="147" w:lineRule="exact"/>
        <w:rPr>
          <w:sz w:val="20"/>
          <w:szCs w:val="20"/>
          <w:color w:val="auto"/>
        </w:rPr>
      </w:pPr>
    </w:p>
    <w:p>
      <w:pPr>
        <w:ind w:firstLine="517"/>
        <w:spacing w:after="0" w:line="282" w:lineRule="auto"/>
        <w:rPr>
          <w:sz w:val="20"/>
          <w:szCs w:val="20"/>
          <w:color w:val="auto"/>
        </w:rPr>
      </w:pPr>
      <w:r>
        <w:rPr>
          <w:rFonts w:ascii="Arial" w:cs="Arial" w:eastAsia="Arial" w:hAnsi="Arial"/>
          <w:sz w:val="13"/>
          <w:szCs w:val="13"/>
          <w:color w:val="auto"/>
        </w:rPr>
        <w:t>2.5 Prepayment. At its option, upon at least seven (7) Business Days prior written notice to Agent, Borrower may at any time prepay all or a portion of the outstanding Advances by paying the entire principal balance (or such portion thereof), all accrued and unpaid interest thereon, together with a prepayment charge equal to the following percentage of the principal amount of the Advance being prepaid: with respect to each Advance, if such Advance amounts are prepaid prior to the Amortization Date, two percent (2.00%); and thereafter, one percent (1.00%) (each, a “Prepayment Charge”); provided that any partial prepayment shall be in minimum increments of principal in the amount $5,000,000 (or such lesser amount as is then outstanding).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preceding Business Day.</w:t>
      </w:r>
    </w:p>
    <w:p>
      <w:pPr>
        <w:spacing w:after="0" w:line="150"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2"/>
          <w:szCs w:val="12"/>
          <w:color w:val="auto"/>
        </w:rPr>
        <w:t>End of Term Charge.</w:t>
      </w:r>
    </w:p>
    <w:p>
      <w:pPr>
        <w:spacing w:after="0" w:line="184" w:lineRule="exact"/>
        <w:rPr>
          <w:sz w:val="20"/>
          <w:szCs w:val="20"/>
          <w:color w:val="auto"/>
        </w:rPr>
      </w:pPr>
    </w:p>
    <w:p>
      <w:pPr>
        <w:ind w:left="80" w:right="220" w:firstLine="508"/>
        <w:spacing w:after="0" w:line="288" w:lineRule="auto"/>
        <w:tabs>
          <w:tab w:leader="none" w:pos="1225" w:val="left"/>
        </w:tabs>
        <w:numPr>
          <w:ilvl w:val="0"/>
          <w:numId w:val="511"/>
        </w:numPr>
        <w:rPr>
          <w:rFonts w:ascii="Arial" w:cs="Arial" w:eastAsia="Arial" w:hAnsi="Arial"/>
          <w:sz w:val="14"/>
          <w:szCs w:val="14"/>
          <w:color w:val="auto"/>
        </w:rPr>
      </w:pPr>
      <w:r>
        <w:rPr>
          <w:rFonts w:ascii="Arial" w:cs="Arial" w:eastAsia="Arial" w:hAnsi="Arial"/>
          <w:sz w:val="14"/>
          <w:szCs w:val="14"/>
          <w:color w:val="auto"/>
        </w:rPr>
        <w:t>On any date that Borrower partially prepays the outstanding Secured Obligations pursuant to Section 2.5, Borrower shall pay the Lenders a charge of Three and Ninety-Five Hundredths Percent (3.95%) of such Term Loan Advances being repaid.</w:t>
      </w:r>
    </w:p>
    <w:p>
      <w:pPr>
        <w:spacing w:after="0" w:line="131" w:lineRule="exact"/>
        <w:rPr>
          <w:rFonts w:ascii="Arial" w:cs="Arial" w:eastAsia="Arial" w:hAnsi="Arial"/>
          <w:sz w:val="14"/>
          <w:szCs w:val="14"/>
          <w:color w:val="auto"/>
        </w:rPr>
      </w:pPr>
    </w:p>
    <w:p>
      <w:pPr>
        <w:ind w:left="1180" w:hanging="592"/>
        <w:spacing w:after="0"/>
        <w:tabs>
          <w:tab w:leader="none" w:pos="1180" w:val="left"/>
        </w:tabs>
        <w:numPr>
          <w:ilvl w:val="0"/>
          <w:numId w:val="511"/>
        </w:numPr>
        <w:rPr>
          <w:rFonts w:ascii="Arial" w:cs="Arial" w:eastAsia="Arial" w:hAnsi="Arial"/>
          <w:sz w:val="14"/>
          <w:szCs w:val="14"/>
          <w:color w:val="auto"/>
        </w:rPr>
      </w:pPr>
      <w:r>
        <w:rPr>
          <w:rFonts w:ascii="Arial" w:cs="Arial" w:eastAsia="Arial" w:hAnsi="Arial"/>
          <w:sz w:val="14"/>
          <w:szCs w:val="14"/>
          <w:color w:val="auto"/>
        </w:rPr>
        <w:t>On the earliest to occur of (i) the Term Loan Maturity Date, (ii) the date that Borrower prepays the outstanding Secured Obligations (other than any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inchoate indemnity</w:t>
      </w:r>
    </w:p>
    <w:p>
      <w:pPr>
        <w:spacing w:after="0" w:line="175"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583" w:right="439" w:bottom="1440" w:gutter="0" w:footer="0" w:header="0"/>
        </w:sectPr>
      </w:pPr>
    </w:p>
    <w:bookmarkStart w:id="691" w:name="page692"/>
    <w:bookmarkEnd w:id="691"/>
    <w:p>
      <w:pPr>
        <w:jc w:val="both"/>
        <w:ind w:left="60" w:right="300"/>
        <w:spacing w:after="0" w:line="303" w:lineRule="auto"/>
        <w:rPr>
          <w:sz w:val="20"/>
          <w:szCs w:val="20"/>
          <w:color w:val="auto"/>
        </w:rPr>
      </w:pPr>
      <w:r>
        <w:rPr>
          <w:rFonts w:ascii="Arial" w:cs="Arial" w:eastAsia="Arial" w:hAnsi="Arial"/>
          <w:sz w:val="13"/>
          <w:szCs w:val="13"/>
          <w:color w:val="auto"/>
        </w:rPr>
        <w:t>obligations and any other obligations which, by their terms, are to survive the termination of this Agreement) in full, or (iii) the date that the Secured Obligations become due and payable, Borrower shall pay the Lenders a charge equal to (x) Three and Ninety-Five Hundredths Percent (3.95%) of the aggregate Term Loan Advances minus (y) the aggregate amount of payments made pursuant to Section 2.6(a) (collectively with any charge made pursuant to Section 2.6(a), the “End of Term Charge”).</w:t>
      </w:r>
    </w:p>
    <w:p>
      <w:pPr>
        <w:spacing w:after="0" w:line="124" w:lineRule="exact"/>
        <w:rPr>
          <w:sz w:val="20"/>
          <w:szCs w:val="20"/>
          <w:color w:val="auto"/>
        </w:rPr>
      </w:pPr>
    </w:p>
    <w:p>
      <w:pPr>
        <w:jc w:val="both"/>
        <w:ind w:left="60" w:right="40" w:firstLine="528"/>
        <w:spacing w:after="0" w:line="273" w:lineRule="auto"/>
        <w:tabs>
          <w:tab w:leader="none" w:pos="1205" w:val="left"/>
        </w:tabs>
        <w:numPr>
          <w:ilvl w:val="0"/>
          <w:numId w:val="512"/>
        </w:numPr>
        <w:rPr>
          <w:rFonts w:ascii="Arial" w:cs="Arial" w:eastAsia="Arial" w:hAnsi="Arial"/>
          <w:sz w:val="14"/>
          <w:szCs w:val="14"/>
          <w:color w:val="auto"/>
        </w:rPr>
      </w:pPr>
      <w:r>
        <w:rPr>
          <w:rFonts w:ascii="Arial" w:cs="Arial" w:eastAsia="Arial" w:hAnsi="Arial"/>
          <w:sz w:val="14"/>
          <w:szCs w:val="14"/>
          <w:color w:val="auto"/>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2.7</w:t>
            </w:r>
          </w:p>
        </w:tc>
        <w:tc>
          <w:tcPr>
            <w:tcW w:w="9600" w:type="dxa"/>
            <w:vAlign w:val="bottom"/>
          </w:tcPr>
          <w:p>
            <w:pPr>
              <w:ind w:left="240"/>
              <w:spacing w:after="0"/>
              <w:rPr>
                <w:sz w:val="20"/>
                <w:szCs w:val="20"/>
                <w:color w:val="auto"/>
              </w:rPr>
            </w:pPr>
            <w:r>
              <w:rPr>
                <w:rFonts w:ascii="Arial" w:cs="Arial" w:eastAsia="Arial" w:hAnsi="Arial"/>
                <w:sz w:val="14"/>
                <w:szCs w:val="14"/>
                <w:color w:val="auto"/>
                <w:w w:val="92"/>
              </w:rPr>
              <w:t>Pro Rata Treatment. Each payment (including any prepayment) on account of any fee and any reduction of the Term Loans shall be made pro rata according to the</w:t>
            </w:r>
          </w:p>
        </w:tc>
      </w:tr>
      <w:tr>
        <w:trPr>
          <w:trHeight w:val="182"/>
        </w:trPr>
        <w:tc>
          <w:tcPr>
            <w:tcW w:w="10560" w:type="dxa"/>
            <w:vAlign w:val="bottom"/>
            <w:gridSpan w:val="2"/>
          </w:tcPr>
          <w:p>
            <w:pPr>
              <w:spacing w:after="0"/>
              <w:rPr>
                <w:sz w:val="20"/>
                <w:szCs w:val="20"/>
                <w:color w:val="auto"/>
              </w:rPr>
            </w:pPr>
            <w:r>
              <w:rPr>
                <w:rFonts w:ascii="Arial" w:cs="Arial" w:eastAsia="Arial" w:hAnsi="Arial"/>
                <w:sz w:val="14"/>
                <w:szCs w:val="14"/>
                <w:color w:val="auto"/>
              </w:rPr>
              <w:t>Term Commitments of the relevant Lender.</w:t>
            </w:r>
          </w:p>
        </w:tc>
      </w:tr>
      <w:tr>
        <w:trPr>
          <w:trHeight w:val="345"/>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2.8</w:t>
            </w:r>
          </w:p>
        </w:tc>
        <w:tc>
          <w:tcPr>
            <w:tcW w:w="9600" w:type="dxa"/>
            <w:vAlign w:val="bottom"/>
          </w:tcPr>
          <w:p>
            <w:pPr>
              <w:ind w:left="240"/>
              <w:spacing w:after="0"/>
              <w:rPr>
                <w:sz w:val="20"/>
                <w:szCs w:val="20"/>
                <w:color w:val="auto"/>
              </w:rPr>
            </w:pPr>
            <w:r>
              <w:rPr>
                <w:rFonts w:ascii="Arial" w:cs="Arial" w:eastAsia="Arial" w:hAnsi="Arial"/>
                <w:sz w:val="14"/>
                <w:szCs w:val="14"/>
                <w:color w:val="auto"/>
                <w:w w:val="96"/>
              </w:rPr>
              <w:t>Taxes; Increased Costs. The Borrower, the Agent and the Lenders each hereby agree to the terms and conditions set forth on Addendum 1 attached hereto.</w:t>
            </w:r>
          </w:p>
        </w:tc>
      </w:tr>
      <w:tr>
        <w:trPr>
          <w:trHeight w:val="345"/>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2.9</w:t>
            </w:r>
          </w:p>
        </w:tc>
        <w:tc>
          <w:tcPr>
            <w:tcW w:w="9600" w:type="dxa"/>
            <w:vAlign w:val="bottom"/>
          </w:tcPr>
          <w:p>
            <w:pPr>
              <w:ind w:left="240"/>
              <w:spacing w:after="0"/>
              <w:rPr>
                <w:sz w:val="20"/>
                <w:szCs w:val="20"/>
                <w:color w:val="auto"/>
              </w:rPr>
            </w:pPr>
            <w:r>
              <w:rPr>
                <w:rFonts w:ascii="Arial" w:cs="Arial" w:eastAsia="Arial" w:hAnsi="Arial"/>
                <w:sz w:val="14"/>
                <w:szCs w:val="14"/>
                <w:color w:val="auto"/>
                <w:w w:val="91"/>
              </w:rPr>
              <w:t>Treatment of Prepayment Charge and End of Term Charge. Borrower agrees that any Prepayment Charge and any End of Term Charge payable shall be presumed</w:t>
            </w:r>
          </w:p>
        </w:tc>
      </w:tr>
    </w:tbl>
    <w:p>
      <w:pPr>
        <w:spacing w:after="0" w:line="300" w:lineRule="auto"/>
        <w:rPr>
          <w:sz w:val="20"/>
          <w:szCs w:val="20"/>
          <w:color w:val="auto"/>
        </w:rPr>
      </w:pPr>
      <w:r>
        <w:rPr>
          <w:rFonts w:ascii="Arial" w:cs="Arial" w:eastAsia="Arial" w:hAnsi="Arial"/>
          <w:sz w:val="12"/>
          <w:szCs w:val="12"/>
          <w:color w:val="auto"/>
        </w:rPr>
        <w:t>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w:t>
      </w:r>
    </w:p>
    <w:p>
      <w:pPr>
        <w:spacing w:after="0" w:line="1" w:lineRule="exact"/>
        <w:rPr>
          <w:sz w:val="20"/>
          <w:szCs w:val="20"/>
          <w:color w:val="auto"/>
        </w:rPr>
      </w:pPr>
    </w:p>
    <w:p>
      <w:pPr>
        <w:ind w:right="160" w:firstLine="6"/>
        <w:spacing w:after="0" w:line="360" w:lineRule="auto"/>
        <w:tabs>
          <w:tab w:leader="none" w:pos="204" w:val="left"/>
        </w:tabs>
        <w:numPr>
          <w:ilvl w:val="0"/>
          <w:numId w:val="513"/>
        </w:numPr>
        <w:rPr>
          <w:rFonts w:ascii="Arial" w:cs="Arial" w:eastAsia="Arial" w:hAnsi="Arial"/>
          <w:sz w:val="12"/>
          <w:szCs w:val="12"/>
          <w:color w:val="auto"/>
        </w:rPr>
      </w:pPr>
      <w:r>
        <w:rPr>
          <w:rFonts w:ascii="Arial" w:cs="Arial" w:eastAsia="Arial" w:hAnsi="Arial"/>
          <w:sz w:val="12"/>
          <w:szCs w:val="12"/>
          <w:color w:val="auto"/>
        </w:rPr>
        <w:t>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Loans.</w:t>
      </w:r>
    </w:p>
    <w:p>
      <w:pPr>
        <w:spacing w:after="0" w:line="10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9600" w:type="dxa"/>
            <w:vAlign w:val="bottom"/>
          </w:tcPr>
          <w:p>
            <w:pPr>
              <w:ind w:left="2980"/>
              <w:spacing w:after="0"/>
              <w:rPr>
                <w:sz w:val="20"/>
                <w:szCs w:val="20"/>
                <w:color w:val="auto"/>
              </w:rPr>
            </w:pPr>
            <w:r>
              <w:rPr>
                <w:rFonts w:ascii="Arial" w:cs="Arial" w:eastAsia="Arial" w:hAnsi="Arial"/>
                <w:sz w:val="14"/>
                <w:szCs w:val="14"/>
                <w:b w:val="1"/>
                <w:bCs w:val="1"/>
                <w:color w:val="auto"/>
              </w:rPr>
              <w:t xml:space="preserve">SECTION 3. </w:t>
            </w:r>
            <w:r>
              <w:rPr>
                <w:rFonts w:ascii="Arial" w:cs="Arial" w:eastAsia="Arial" w:hAnsi="Arial"/>
                <w:sz w:val="14"/>
                <w:szCs w:val="14"/>
                <w:b w:val="1"/>
                <w:bCs w:val="1"/>
                <w:u w:val="single" w:color="auto"/>
                <w:color w:val="auto"/>
              </w:rPr>
              <w:t>SECURITY INTEREST</w:t>
            </w:r>
          </w:p>
        </w:tc>
      </w:tr>
      <w:tr>
        <w:trPr>
          <w:trHeight w:val="345"/>
        </w:trPr>
        <w:tc>
          <w:tcPr>
            <w:tcW w:w="440" w:type="dxa"/>
            <w:vAlign w:val="bottom"/>
          </w:tcPr>
          <w:p>
            <w:pPr>
              <w:jc w:val="right"/>
              <w:ind w:right="188"/>
              <w:spacing w:after="0"/>
              <w:rPr>
                <w:sz w:val="20"/>
                <w:szCs w:val="20"/>
                <w:color w:val="auto"/>
              </w:rPr>
            </w:pPr>
            <w:r>
              <w:rPr>
                <w:rFonts w:ascii="Arial" w:cs="Arial" w:eastAsia="Arial" w:hAnsi="Arial"/>
                <w:sz w:val="14"/>
                <w:szCs w:val="14"/>
                <w:color w:val="auto"/>
                <w:w w:val="81"/>
              </w:rPr>
              <w:t>3.1</w:t>
            </w:r>
          </w:p>
        </w:tc>
        <w:tc>
          <w:tcPr>
            <w:tcW w:w="9600" w:type="dxa"/>
            <w:vAlign w:val="bottom"/>
          </w:tcPr>
          <w:p>
            <w:pPr>
              <w:ind w:left="240"/>
              <w:spacing w:after="0"/>
              <w:rPr>
                <w:sz w:val="20"/>
                <w:szCs w:val="20"/>
                <w:color w:val="auto"/>
              </w:rPr>
            </w:pPr>
            <w:r>
              <w:rPr>
                <w:rFonts w:ascii="Arial" w:cs="Arial" w:eastAsia="Arial" w:hAnsi="Arial"/>
                <w:sz w:val="14"/>
                <w:szCs w:val="14"/>
                <w:color w:val="auto"/>
                <w:w w:val="93"/>
              </w:rPr>
              <w:t>As security for the prompt and complete payment when due (whether on the payment dates or otherwise) of all the Secured Obligations, Borrower grants to Agent</w:t>
            </w:r>
          </w:p>
        </w:tc>
      </w:tr>
    </w:tbl>
    <w:p>
      <w:pPr>
        <w:jc w:val="both"/>
        <w:ind w:right="40"/>
        <w:spacing w:after="0" w:line="266" w:lineRule="auto"/>
        <w:rPr>
          <w:sz w:val="20"/>
          <w:szCs w:val="20"/>
          <w:color w:val="auto"/>
        </w:rPr>
      </w:pPr>
      <w:r>
        <w:rPr>
          <w:rFonts w:ascii="Arial" w:cs="Arial" w:eastAsia="Arial" w:hAnsi="Arial"/>
          <w:sz w:val="14"/>
          <w:szCs w:val="14"/>
          <w:color w:val="auto"/>
        </w:rPr>
        <w:t>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(other than Intellectual Property); (e) Inventory; (f)</w:t>
      </w:r>
    </w:p>
    <w:p>
      <w:pPr>
        <w:spacing w:after="0" w:line="146"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00"/>
          </w:cols>
          <w:pgMar w:left="840" w:top="583" w:right="459" w:bottom="1440" w:gutter="0" w:footer="0" w:header="0"/>
        </w:sectPr>
      </w:pPr>
    </w:p>
    <w:bookmarkStart w:id="692" w:name="page693"/>
    <w:bookmarkEnd w:id="692"/>
    <w:p>
      <w:pPr>
        <w:spacing w:after="0" w:line="285" w:lineRule="auto"/>
        <w:rPr>
          <w:sz w:val="20"/>
          <w:szCs w:val="20"/>
          <w:color w:val="auto"/>
        </w:rPr>
      </w:pPr>
      <w:r>
        <w:rPr>
          <w:rFonts w:ascii="Arial" w:cs="Arial" w:eastAsia="Arial" w:hAnsi="Arial"/>
          <w:sz w:val="13"/>
          <w:szCs w:val="13"/>
          <w:color w:val="auto"/>
        </w:rPr>
        <w:t xml:space="preserve">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the Collateral shall include all Accounts and General Intangibles that consist of rights to payment and proceeds from the sale, licensing or disposition of all or any part, or rights in, the Intellectual Property (the “Rights to 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p>
    <w:p>
      <w:pPr>
        <w:spacing w:after="0" w:line="138" w:lineRule="exact"/>
        <w:rPr>
          <w:sz w:val="20"/>
          <w:szCs w:val="20"/>
          <w:color w:val="auto"/>
        </w:rPr>
      </w:pPr>
    </w:p>
    <w:p>
      <w:pPr>
        <w:ind w:right="100" w:firstLine="518"/>
        <w:spacing w:after="0" w:line="261" w:lineRule="auto"/>
        <w:rPr>
          <w:sz w:val="20"/>
          <w:szCs w:val="20"/>
          <w:color w:val="auto"/>
        </w:rPr>
      </w:pPr>
      <w:r>
        <w:rPr>
          <w:rFonts w:ascii="Arial" w:cs="Arial" w:eastAsia="Arial" w:hAnsi="Arial"/>
          <w:sz w:val="14"/>
          <w:szCs w:val="14"/>
          <w:color w:val="auto"/>
        </w:rPr>
        <w:t>3.2 Notwithstanding the broad grant of the security interest set forth in Section 3.1, above, the Collateral shall not include (a) nonassignable licenses or contracts, which by their terms require the consent of the licensor thereof or another party (but only to the extent such prohibition on transfer is enforceable under applicable law, including, without limitation, Sections 9406, 9407 and 9408 of the UCC), provided further, that upon the termination of such prohibition or such consent being provided with respect to any license or contract, such license or contract shall automatically be included in the Collateral; (b) property for which the granting of a security interest therein is contrary to applicable law, provided that upon the cessation of any such restriction or prohibition, such property shall automatically be included in the Collateral; (c) any property subject to a Permitted Lien hereunder, if the grant of a security interest with respect to such property pursuant to this Agreement would be prohibited by the agreement creating such Permitted Lien or would otherwise constitute a default thereunder or create a right of termination by a party thereto (other than Borrower), provided that upon the termination and release of such Lien or prohibition, such property shall automatically be included in the Collateral; and (d) any Excluded Account.</w:t>
      </w:r>
    </w:p>
    <w:p>
      <w:pPr>
        <w:spacing w:after="0" w:line="149"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 xml:space="preserve">SECTION 4. </w:t>
      </w:r>
      <w:r>
        <w:rPr>
          <w:rFonts w:ascii="Arial" w:cs="Arial" w:eastAsia="Arial" w:hAnsi="Arial"/>
          <w:sz w:val="14"/>
          <w:szCs w:val="14"/>
          <w:b w:val="1"/>
          <w:bCs w:val="1"/>
          <w:u w:val="single" w:color="auto"/>
          <w:color w:val="auto"/>
        </w:rPr>
        <w:t>CONDITIONS PRECEDENT TO LOAN</w:t>
      </w:r>
    </w:p>
    <w:p>
      <w:pPr>
        <w:spacing w:after="0" w:line="264" w:lineRule="exact"/>
        <w:rPr>
          <w:sz w:val="20"/>
          <w:szCs w:val="20"/>
          <w:color w:val="auto"/>
        </w:rPr>
      </w:pPr>
    </w:p>
    <w:p>
      <w:pPr>
        <w:jc w:val="center"/>
        <w:ind w:right="2960"/>
        <w:spacing w:after="0"/>
        <w:rPr>
          <w:sz w:val="20"/>
          <w:szCs w:val="20"/>
          <w:color w:val="auto"/>
        </w:rPr>
      </w:pPr>
      <w:r>
        <w:rPr>
          <w:rFonts w:ascii="Arial" w:cs="Arial" w:eastAsia="Arial" w:hAnsi="Arial"/>
          <w:sz w:val="13"/>
          <w:szCs w:val="13"/>
          <w:color w:val="auto"/>
        </w:rPr>
        <w:t>The obligations of the Lenders to make the Loan hereunder are subject to the satisfaction by Borrower of the following conditions:</w:t>
      </w:r>
    </w:p>
    <w:p>
      <w:pPr>
        <w:spacing w:after="0" w:line="196" w:lineRule="exact"/>
        <w:rPr>
          <w:sz w:val="20"/>
          <w:szCs w:val="20"/>
          <w:color w:val="auto"/>
        </w:rPr>
      </w:pPr>
    </w:p>
    <w:p>
      <w:pPr>
        <w:ind w:left="520"/>
        <w:spacing w:after="0"/>
        <w:tabs>
          <w:tab w:leader="none" w:pos="11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Initial Advance. On or prior to the Closing Date, Borrower shall have delivered to Agent the following:</w:t>
      </w:r>
    </w:p>
    <w:p>
      <w:pPr>
        <w:spacing w:after="0" w:line="195" w:lineRule="exact"/>
        <w:rPr>
          <w:sz w:val="20"/>
          <w:szCs w:val="20"/>
          <w:color w:val="auto"/>
        </w:rPr>
      </w:pPr>
    </w:p>
    <w:p>
      <w:pPr>
        <w:ind w:left="60" w:right="240" w:firstLine="528"/>
        <w:spacing w:after="0" w:line="273" w:lineRule="auto"/>
        <w:tabs>
          <w:tab w:leader="none" w:pos="1313" w:val="left"/>
        </w:tabs>
        <w:numPr>
          <w:ilvl w:val="0"/>
          <w:numId w:val="514"/>
        </w:numPr>
        <w:rPr>
          <w:rFonts w:ascii="Arial" w:cs="Arial" w:eastAsia="Arial" w:hAnsi="Arial"/>
          <w:sz w:val="14"/>
          <w:szCs w:val="14"/>
          <w:color w:val="auto"/>
        </w:rPr>
      </w:pPr>
      <w:r>
        <w:rPr>
          <w:rFonts w:ascii="Arial" w:cs="Arial" w:eastAsia="Arial" w:hAnsi="Arial"/>
          <w:sz w:val="14"/>
          <w:szCs w:val="14"/>
          <w:color w:val="auto"/>
        </w:rPr>
        <w:t>executed copies of the Loan Documents (other than the Warrant, which shall be an original),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51" w:lineRule="exact"/>
        <w:rPr>
          <w:rFonts w:ascii="Arial" w:cs="Arial" w:eastAsia="Arial" w:hAnsi="Arial"/>
          <w:sz w:val="14"/>
          <w:szCs w:val="14"/>
          <w:color w:val="auto"/>
        </w:rPr>
      </w:pPr>
    </w:p>
    <w:p>
      <w:pPr>
        <w:ind w:left="1300" w:hanging="712"/>
        <w:spacing w:after="0"/>
        <w:tabs>
          <w:tab w:leader="none" w:pos="1300" w:val="left"/>
        </w:tabs>
        <w:numPr>
          <w:ilvl w:val="0"/>
          <w:numId w:val="514"/>
        </w:numPr>
        <w:rPr>
          <w:rFonts w:ascii="Arial" w:cs="Arial" w:eastAsia="Arial" w:hAnsi="Arial"/>
          <w:sz w:val="14"/>
          <w:szCs w:val="14"/>
          <w:color w:val="auto"/>
        </w:rPr>
      </w:pPr>
      <w:r>
        <w:rPr>
          <w:rFonts w:ascii="Arial" w:cs="Arial" w:eastAsia="Arial" w:hAnsi="Arial"/>
          <w:sz w:val="14"/>
          <w:szCs w:val="14"/>
          <w:color w:val="auto"/>
        </w:rPr>
        <w:t>a legal opinion of Borrower’s counsel in form and substance reasonably acceptable to Agent,</w:t>
      </w:r>
    </w:p>
    <w:p>
      <w:pPr>
        <w:spacing w:after="0" w:line="184" w:lineRule="exact"/>
        <w:rPr>
          <w:rFonts w:ascii="Arial" w:cs="Arial" w:eastAsia="Arial" w:hAnsi="Arial"/>
          <w:sz w:val="14"/>
          <w:szCs w:val="14"/>
          <w:color w:val="auto"/>
        </w:rPr>
      </w:pPr>
    </w:p>
    <w:p>
      <w:pPr>
        <w:ind w:left="60" w:right="240" w:firstLine="528"/>
        <w:spacing w:after="0" w:line="288" w:lineRule="auto"/>
        <w:tabs>
          <w:tab w:leader="none" w:pos="1313" w:val="left"/>
        </w:tabs>
        <w:numPr>
          <w:ilvl w:val="0"/>
          <w:numId w:val="514"/>
        </w:numPr>
        <w:rPr>
          <w:rFonts w:ascii="Arial" w:cs="Arial" w:eastAsia="Arial" w:hAnsi="Arial"/>
          <w:sz w:val="14"/>
          <w:szCs w:val="14"/>
          <w:color w:val="auto"/>
        </w:rPr>
      </w:pPr>
      <w:r>
        <w:rPr>
          <w:rFonts w:ascii="Arial" w:cs="Arial" w:eastAsia="Arial" w:hAnsi="Arial"/>
          <w:sz w:val="14"/>
          <w:szCs w:val="14"/>
          <w:color w:val="auto"/>
        </w:rPr>
        <w:t>certified copy of resolutions of Borrower’s Board of Managers evidencing approval of (i) the Loan and other transactions evidenced by the Loan Documents; and (ii) the Warrant and transactions evidenced thereby;</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583" w:right="439" w:bottom="1440" w:gutter="0" w:footer="0" w:header="0"/>
        </w:sectPr>
      </w:pPr>
    </w:p>
    <w:bookmarkStart w:id="693" w:name="page694"/>
    <w:bookmarkEnd w:id="693"/>
    <w:p>
      <w:pPr>
        <w:ind w:left="1300" w:hanging="712"/>
        <w:spacing w:after="0"/>
        <w:tabs>
          <w:tab w:leader="none" w:pos="1300" w:val="left"/>
        </w:tabs>
        <w:numPr>
          <w:ilvl w:val="0"/>
          <w:numId w:val="515"/>
        </w:numPr>
        <w:rPr>
          <w:rFonts w:ascii="Arial" w:cs="Arial" w:eastAsia="Arial" w:hAnsi="Arial"/>
          <w:sz w:val="14"/>
          <w:szCs w:val="14"/>
          <w:color w:val="auto"/>
        </w:rPr>
      </w:pPr>
      <w:r>
        <w:rPr>
          <w:rFonts w:ascii="Arial" w:cs="Arial" w:eastAsia="Arial" w:hAnsi="Arial"/>
          <w:sz w:val="14"/>
          <w:szCs w:val="14"/>
          <w:color w:val="auto"/>
        </w:rPr>
        <w:t>certified copies of the Certificate of Formation Operating Agreement, as amended through the Closing Date, of Borrower;</w:t>
      </w:r>
    </w:p>
    <w:p>
      <w:pPr>
        <w:spacing w:after="0" w:line="195" w:lineRule="exact"/>
        <w:rPr>
          <w:rFonts w:ascii="Arial" w:cs="Arial" w:eastAsia="Arial" w:hAnsi="Arial"/>
          <w:sz w:val="14"/>
          <w:szCs w:val="14"/>
          <w:color w:val="auto"/>
        </w:rPr>
      </w:pPr>
    </w:p>
    <w:p>
      <w:pPr>
        <w:ind w:left="60" w:right="40" w:firstLine="528"/>
        <w:spacing w:after="0" w:line="288" w:lineRule="auto"/>
        <w:tabs>
          <w:tab w:leader="none" w:pos="1313" w:val="left"/>
        </w:tabs>
        <w:numPr>
          <w:ilvl w:val="0"/>
          <w:numId w:val="515"/>
        </w:numPr>
        <w:rPr>
          <w:rFonts w:ascii="Arial" w:cs="Arial" w:eastAsia="Arial" w:hAnsi="Arial"/>
          <w:sz w:val="14"/>
          <w:szCs w:val="14"/>
          <w:color w:val="auto"/>
        </w:rPr>
      </w:pPr>
      <w:r>
        <w:rPr>
          <w:rFonts w:ascii="Arial" w:cs="Arial" w:eastAsia="Arial" w:hAnsi="Arial"/>
          <w:sz w:val="14"/>
          <w:szCs w:val="14"/>
          <w:color w:val="auto"/>
        </w:rPr>
        <w:t>a certificate of good standing for Borrower from its state of formation and similar certificates from all other jurisdictions in which it does business and where the failure to be qualified could have a Material Adverse Effect;</w:t>
      </w:r>
    </w:p>
    <w:p>
      <w:pPr>
        <w:spacing w:after="0" w:line="131" w:lineRule="exact"/>
        <w:rPr>
          <w:rFonts w:ascii="Arial" w:cs="Arial" w:eastAsia="Arial" w:hAnsi="Arial"/>
          <w:sz w:val="14"/>
          <w:szCs w:val="14"/>
          <w:color w:val="auto"/>
        </w:rPr>
      </w:pPr>
    </w:p>
    <w:p>
      <w:pPr>
        <w:ind w:left="60" w:right="500" w:firstLine="528"/>
        <w:spacing w:after="0" w:line="288" w:lineRule="auto"/>
        <w:tabs>
          <w:tab w:leader="none" w:pos="1297" w:val="left"/>
        </w:tabs>
        <w:numPr>
          <w:ilvl w:val="0"/>
          <w:numId w:val="515"/>
        </w:numPr>
        <w:rPr>
          <w:rFonts w:ascii="Arial" w:cs="Arial" w:eastAsia="Arial" w:hAnsi="Arial"/>
          <w:sz w:val="14"/>
          <w:szCs w:val="14"/>
          <w:color w:val="auto"/>
        </w:rPr>
      </w:pPr>
      <w:r>
        <w:rPr>
          <w:rFonts w:ascii="Arial" w:cs="Arial" w:eastAsia="Arial" w:hAnsi="Arial"/>
          <w:sz w:val="14"/>
          <w:szCs w:val="14"/>
          <w:color w:val="auto"/>
        </w:rPr>
        <w:t>payment of the Due Diligence Fee, Initial Facility Charge and reimbursement of Agent’s and the Lenders’ current expenses reimbursable pursuant to this Agreement, which amounts may be deducted from the initial Advance;</w:t>
      </w:r>
    </w:p>
    <w:p>
      <w:pPr>
        <w:spacing w:after="0" w:line="142" w:lineRule="exact"/>
        <w:rPr>
          <w:rFonts w:ascii="Arial" w:cs="Arial" w:eastAsia="Arial" w:hAnsi="Arial"/>
          <w:sz w:val="14"/>
          <w:szCs w:val="14"/>
          <w:color w:val="auto"/>
        </w:rPr>
      </w:pPr>
    </w:p>
    <w:p>
      <w:pPr>
        <w:ind w:left="1340" w:hanging="752"/>
        <w:spacing w:after="0"/>
        <w:tabs>
          <w:tab w:leader="none" w:pos="1340" w:val="left"/>
        </w:tabs>
        <w:numPr>
          <w:ilvl w:val="0"/>
          <w:numId w:val="515"/>
        </w:numPr>
        <w:rPr>
          <w:rFonts w:ascii="Arial" w:cs="Arial" w:eastAsia="Arial" w:hAnsi="Arial"/>
          <w:sz w:val="14"/>
          <w:szCs w:val="14"/>
          <w:color w:val="auto"/>
        </w:rPr>
      </w:pPr>
      <w:r>
        <w:rPr>
          <w:rFonts w:ascii="Arial" w:cs="Arial" w:eastAsia="Arial" w:hAnsi="Arial"/>
          <w:sz w:val="14"/>
          <w:szCs w:val="14"/>
          <w:color w:val="auto"/>
        </w:rPr>
        <w:t>all certificates of insurance and copies of each insurance policy required hereunder; and</w:t>
      </w:r>
    </w:p>
    <w:p>
      <w:pPr>
        <w:spacing w:after="0" w:line="184" w:lineRule="exact"/>
        <w:rPr>
          <w:rFonts w:ascii="Arial" w:cs="Arial" w:eastAsia="Arial" w:hAnsi="Arial"/>
          <w:sz w:val="14"/>
          <w:szCs w:val="14"/>
          <w:color w:val="auto"/>
        </w:rPr>
      </w:pPr>
    </w:p>
    <w:p>
      <w:pPr>
        <w:ind w:left="1340" w:hanging="752"/>
        <w:spacing w:after="0"/>
        <w:tabs>
          <w:tab w:leader="none" w:pos="1340" w:val="left"/>
        </w:tabs>
        <w:numPr>
          <w:ilvl w:val="0"/>
          <w:numId w:val="515"/>
        </w:numPr>
        <w:rPr>
          <w:rFonts w:ascii="Arial" w:cs="Arial" w:eastAsia="Arial" w:hAnsi="Arial"/>
          <w:sz w:val="14"/>
          <w:szCs w:val="14"/>
          <w:color w:val="auto"/>
        </w:rPr>
      </w:pPr>
      <w:r>
        <w:rPr>
          <w:rFonts w:ascii="Arial" w:cs="Arial" w:eastAsia="Arial" w:hAnsi="Arial"/>
          <w:sz w:val="14"/>
          <w:szCs w:val="14"/>
          <w:color w:val="auto"/>
        </w:rPr>
        <w:t>such other documents as Agent may reasonably request.</w:t>
      </w:r>
    </w:p>
    <w:p>
      <w:pPr>
        <w:spacing w:after="0" w:line="18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All Advances. On each Advance Date:</w:t>
      </w:r>
    </w:p>
    <w:p>
      <w:pPr>
        <w:spacing w:after="0" w:line="184" w:lineRule="exact"/>
        <w:rPr>
          <w:sz w:val="20"/>
          <w:szCs w:val="20"/>
          <w:color w:val="auto"/>
        </w:rPr>
      </w:pPr>
    </w:p>
    <w:p>
      <w:pPr>
        <w:ind w:left="80" w:right="240" w:firstLine="508"/>
        <w:spacing w:after="0" w:line="288" w:lineRule="auto"/>
        <w:tabs>
          <w:tab w:leader="none" w:pos="1333" w:val="left"/>
        </w:tabs>
        <w:numPr>
          <w:ilvl w:val="0"/>
          <w:numId w:val="516"/>
        </w:numPr>
        <w:rPr>
          <w:rFonts w:ascii="Arial" w:cs="Arial" w:eastAsia="Arial" w:hAnsi="Arial"/>
          <w:sz w:val="14"/>
          <w:szCs w:val="14"/>
          <w:color w:val="auto"/>
        </w:rPr>
      </w:pPr>
      <w:r>
        <w:rPr>
          <w:rFonts w:ascii="Arial" w:cs="Arial" w:eastAsia="Arial" w:hAnsi="Arial"/>
          <w:sz w:val="14"/>
          <w:szCs w:val="14"/>
          <w:color w:val="auto"/>
        </w:rPr>
        <w:t>Agent shall have received (i) an Advance Request for the relevant Advance as required by Section 2.2(b), each duly executed by Borrower’s Chief Executive Officer or Chief Financial Officer, and (ii) any other documents Agent may reasonably request.</w:t>
      </w:r>
    </w:p>
    <w:p>
      <w:pPr>
        <w:spacing w:after="0" w:line="142" w:lineRule="exact"/>
        <w:rPr>
          <w:rFonts w:ascii="Arial" w:cs="Arial" w:eastAsia="Arial" w:hAnsi="Arial"/>
          <w:sz w:val="14"/>
          <w:szCs w:val="14"/>
          <w:color w:val="auto"/>
        </w:rPr>
      </w:pPr>
    </w:p>
    <w:p>
      <w:pPr>
        <w:ind w:left="60" w:firstLine="528"/>
        <w:spacing w:after="0" w:line="267" w:lineRule="auto"/>
        <w:tabs>
          <w:tab w:leader="none" w:pos="1285" w:val="left"/>
        </w:tabs>
        <w:numPr>
          <w:ilvl w:val="0"/>
          <w:numId w:val="516"/>
        </w:numPr>
        <w:rPr>
          <w:rFonts w:ascii="Arial" w:cs="Arial" w:eastAsia="Arial" w:hAnsi="Arial"/>
          <w:sz w:val="14"/>
          <w:szCs w:val="14"/>
          <w:color w:val="auto"/>
        </w:rPr>
      </w:pPr>
      <w:r>
        <w:rPr>
          <w:rFonts w:ascii="Arial" w:cs="Arial" w:eastAsia="Arial" w:hAnsi="Arial"/>
          <w:sz w:val="14"/>
          <w:szCs w:val="14"/>
          <w:color w:val="auto"/>
        </w:rPr>
        <w:t>The representations and warranties set forth in this Agreement shall be true and correct in all material respects (or, in the case of any representation and warranty qualified by materiality, in all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in the case of any representation and warranty qualified by materiality, in all respects as of such earlier date).</w:t>
      </w:r>
    </w:p>
    <w:p>
      <w:pPr>
        <w:spacing w:after="0" w:line="157" w:lineRule="exact"/>
        <w:rPr>
          <w:rFonts w:ascii="Arial" w:cs="Arial" w:eastAsia="Arial" w:hAnsi="Arial"/>
          <w:sz w:val="14"/>
          <w:szCs w:val="14"/>
          <w:color w:val="auto"/>
        </w:rPr>
      </w:pPr>
    </w:p>
    <w:p>
      <w:pPr>
        <w:ind w:left="60" w:right="340" w:firstLine="528"/>
        <w:spacing w:after="0" w:line="288" w:lineRule="auto"/>
        <w:tabs>
          <w:tab w:leader="none" w:pos="1313" w:val="left"/>
        </w:tabs>
        <w:numPr>
          <w:ilvl w:val="0"/>
          <w:numId w:val="516"/>
        </w:numPr>
        <w:rPr>
          <w:rFonts w:ascii="Arial" w:cs="Arial" w:eastAsia="Arial" w:hAnsi="Arial"/>
          <w:sz w:val="14"/>
          <w:szCs w:val="14"/>
          <w:color w:val="auto"/>
        </w:rPr>
      </w:pPr>
      <w:r>
        <w:rPr>
          <w:rFonts w:ascii="Arial" w:cs="Arial" w:eastAsia="Arial" w:hAnsi="Arial"/>
          <w:sz w:val="14"/>
          <w:szCs w:val="14"/>
          <w:color w:val="auto"/>
        </w:rPr>
        <w:t>Borrower shall be in compliance in all material respects with all the terms and provisions set forth herein and in each other Loan Document on its part to be observed or performed, and at the time of and immediately after such Advance no Event of Default shall have occurred and be continuing.</w:t>
      </w:r>
    </w:p>
    <w:p>
      <w:pPr>
        <w:spacing w:after="0" w:line="131" w:lineRule="exact"/>
        <w:rPr>
          <w:rFonts w:ascii="Arial" w:cs="Arial" w:eastAsia="Arial" w:hAnsi="Arial"/>
          <w:sz w:val="14"/>
          <w:szCs w:val="14"/>
          <w:color w:val="auto"/>
        </w:rPr>
      </w:pPr>
    </w:p>
    <w:p>
      <w:pPr>
        <w:ind w:left="1300" w:hanging="712"/>
        <w:spacing w:after="0"/>
        <w:tabs>
          <w:tab w:leader="none" w:pos="1300" w:val="left"/>
        </w:tabs>
        <w:numPr>
          <w:ilvl w:val="0"/>
          <w:numId w:val="516"/>
        </w:numPr>
        <w:rPr>
          <w:rFonts w:ascii="Arial" w:cs="Arial" w:eastAsia="Arial" w:hAnsi="Arial"/>
          <w:sz w:val="14"/>
          <w:szCs w:val="14"/>
          <w:color w:val="auto"/>
        </w:rPr>
      </w:pPr>
      <w:r>
        <w:rPr>
          <w:rFonts w:ascii="Arial" w:cs="Arial" w:eastAsia="Arial" w:hAnsi="Arial"/>
          <w:sz w:val="14"/>
          <w:szCs w:val="14"/>
          <w:color w:val="auto"/>
        </w:rPr>
        <w:t>With respect to any Tranche 3 Advance, the Loan Parties shall have paid the Tranche 3 Facility Charge.</w:t>
      </w:r>
    </w:p>
    <w:p>
      <w:pPr>
        <w:spacing w:after="0" w:line="195" w:lineRule="exact"/>
        <w:rPr>
          <w:rFonts w:ascii="Arial" w:cs="Arial" w:eastAsia="Arial" w:hAnsi="Arial"/>
          <w:sz w:val="14"/>
          <w:szCs w:val="14"/>
          <w:color w:val="auto"/>
        </w:rPr>
      </w:pPr>
    </w:p>
    <w:p>
      <w:pPr>
        <w:ind w:left="80" w:right="320" w:firstLine="508"/>
        <w:spacing w:after="0" w:line="288" w:lineRule="auto"/>
        <w:tabs>
          <w:tab w:leader="none" w:pos="1333" w:val="left"/>
        </w:tabs>
        <w:numPr>
          <w:ilvl w:val="0"/>
          <w:numId w:val="516"/>
        </w:numPr>
        <w:rPr>
          <w:rFonts w:ascii="Arial" w:cs="Arial" w:eastAsia="Arial" w:hAnsi="Arial"/>
          <w:sz w:val="14"/>
          <w:szCs w:val="14"/>
          <w:color w:val="auto"/>
        </w:rPr>
      </w:pPr>
      <w:r>
        <w:rPr>
          <w:rFonts w:ascii="Arial" w:cs="Arial" w:eastAsia="Arial" w:hAnsi="Arial"/>
          <w:sz w:val="14"/>
          <w:szCs w:val="14"/>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32" w:lineRule="exact"/>
        <w:rPr>
          <w:sz w:val="20"/>
          <w:szCs w:val="20"/>
          <w:color w:val="auto"/>
        </w:rPr>
      </w:pPr>
    </w:p>
    <w:p>
      <w:pPr>
        <w:ind w:right="300" w:firstLine="518"/>
        <w:spacing w:after="0" w:line="329" w:lineRule="auto"/>
        <w:rPr>
          <w:sz w:val="20"/>
          <w:szCs w:val="20"/>
          <w:color w:val="auto"/>
        </w:rPr>
      </w:pPr>
      <w:r>
        <w:rPr>
          <w:rFonts w:ascii="Arial" w:cs="Arial" w:eastAsia="Arial" w:hAnsi="Arial"/>
          <w:sz w:val="13"/>
          <w:szCs w:val="13"/>
          <w:color w:val="auto"/>
        </w:rPr>
        <w:t>4.3 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04"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 xml:space="preserve">SECTION 5. </w:t>
      </w:r>
      <w:r>
        <w:rPr>
          <w:rFonts w:ascii="Arial" w:cs="Arial" w:eastAsia="Arial" w:hAnsi="Arial"/>
          <w:sz w:val="14"/>
          <w:szCs w:val="14"/>
          <w:b w:val="1"/>
          <w:bCs w:val="1"/>
          <w:u w:val="single" w:color="auto"/>
          <w:color w:val="auto"/>
        </w:rPr>
        <w:t>REPRESENTATIONS AND WARRANTIES OF BORROWER</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4"/>
          <w:szCs w:val="14"/>
          <w:color w:val="auto"/>
        </w:rPr>
        <w:t>Borrower represents and warrants that:</w:t>
      </w:r>
    </w:p>
    <w:p>
      <w:pPr>
        <w:spacing w:after="0" w:line="368"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647" w:right="439" w:bottom="1440" w:gutter="0" w:footer="0" w:header="0"/>
        </w:sectPr>
      </w:pPr>
    </w:p>
    <w:bookmarkStart w:id="694" w:name="page695"/>
    <w:bookmarkEnd w:id="694"/>
    <w:p>
      <w:pPr>
        <w:ind w:firstLine="518"/>
        <w:spacing w:after="0" w:line="265" w:lineRule="auto"/>
        <w:rPr>
          <w:sz w:val="20"/>
          <w:szCs w:val="20"/>
          <w:color w:val="auto"/>
        </w:rPr>
      </w:pPr>
      <w:r>
        <w:rPr>
          <w:rFonts w:ascii="Arial" w:cs="Arial" w:eastAsia="Arial" w:hAnsi="Arial"/>
          <w:sz w:val="14"/>
          <w:szCs w:val="14"/>
          <w:color w:val="auto"/>
        </w:rPr>
        <w:t>5.1 Status. Borrower is a limited liability company duly organized, legally existing and in good standing under the laws its state of formation,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5.2</w:t>
            </w:r>
          </w:p>
        </w:tc>
        <w:tc>
          <w:tcPr>
            <w:tcW w:w="9440" w:type="dxa"/>
            <w:vAlign w:val="bottom"/>
          </w:tcPr>
          <w:p>
            <w:pPr>
              <w:ind w:left="240"/>
              <w:spacing w:after="0"/>
              <w:rPr>
                <w:sz w:val="20"/>
                <w:szCs w:val="20"/>
                <w:color w:val="auto"/>
              </w:rPr>
            </w:pPr>
            <w:r>
              <w:rPr>
                <w:rFonts w:ascii="Arial" w:cs="Arial" w:eastAsia="Arial" w:hAnsi="Arial"/>
                <w:sz w:val="14"/>
                <w:szCs w:val="14"/>
                <w:color w:val="auto"/>
                <w:w w:val="96"/>
              </w:rPr>
              <w:t>Collateral. Borrower owns or otherwise has the rights to use the Collateral and owns, or has rights to, the Intellectual Property, free of all Liens, except for</w:t>
            </w:r>
          </w:p>
        </w:tc>
      </w:tr>
      <w:tr>
        <w:trPr>
          <w:trHeight w:val="182"/>
        </w:trPr>
        <w:tc>
          <w:tcPr>
            <w:tcW w:w="10400" w:type="dxa"/>
            <w:vAlign w:val="bottom"/>
            <w:gridSpan w:val="2"/>
          </w:tcPr>
          <w:p>
            <w:pPr>
              <w:spacing w:after="0"/>
              <w:rPr>
                <w:sz w:val="20"/>
                <w:szCs w:val="20"/>
                <w:color w:val="auto"/>
              </w:rPr>
            </w:pPr>
            <w:r>
              <w:rPr>
                <w:rFonts w:ascii="Arial" w:cs="Arial" w:eastAsia="Arial" w:hAnsi="Arial"/>
                <w:sz w:val="14"/>
                <w:szCs w:val="14"/>
                <w:color w:val="auto"/>
              </w:rPr>
              <w:t>Permitted Liens. Borrower has the power and authority to grant to Agent a Lien in the Collateral as security for the Secured Obligations.</w:t>
            </w:r>
          </w:p>
        </w:tc>
      </w:tr>
      <w:tr>
        <w:trPr>
          <w:trHeight w:val="345"/>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5.3</w:t>
            </w:r>
          </w:p>
        </w:tc>
        <w:tc>
          <w:tcPr>
            <w:tcW w:w="9440" w:type="dxa"/>
            <w:vAlign w:val="bottom"/>
          </w:tcPr>
          <w:p>
            <w:pPr>
              <w:ind w:left="240"/>
              <w:spacing w:after="0"/>
              <w:rPr>
                <w:sz w:val="20"/>
                <w:szCs w:val="20"/>
                <w:color w:val="auto"/>
              </w:rPr>
            </w:pPr>
            <w:r>
              <w:rPr>
                <w:rFonts w:ascii="Arial" w:cs="Arial" w:eastAsia="Arial" w:hAnsi="Arial"/>
                <w:sz w:val="14"/>
                <w:szCs w:val="14"/>
                <w:color w:val="auto"/>
                <w:w w:val="93"/>
              </w:rPr>
              <w:t>Consents. Borrower’s execution, delivery and performance of this Agreement and all other Loan Documents, and Borrower’s execution of the Warrant, (i) have</w:t>
            </w:r>
          </w:p>
        </w:tc>
      </w:tr>
    </w:tbl>
    <w:p>
      <w:pPr>
        <w:ind w:right="20"/>
        <w:spacing w:after="0" w:line="261" w:lineRule="auto"/>
        <w:rPr>
          <w:sz w:val="20"/>
          <w:szCs w:val="20"/>
          <w:color w:val="auto"/>
        </w:rPr>
      </w:pPr>
      <w:r>
        <w:rPr>
          <w:rFonts w:ascii="Arial" w:cs="Arial" w:eastAsia="Arial" w:hAnsi="Arial"/>
          <w:sz w:val="14"/>
          <w:szCs w:val="14"/>
          <w:color w:val="auto"/>
        </w:rPr>
        <w:t>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of Formation, Operating Agreement, or any, law, regulation, order, injunction, judgment, decree or writ to which Borrower is subject, which could not reasonably be expected to result in a Material Adverse Effect and (iv) except as described on 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5.4</w:t>
            </w:r>
          </w:p>
        </w:tc>
        <w:tc>
          <w:tcPr>
            <w:tcW w:w="9580" w:type="dxa"/>
            <w:vAlign w:val="bottom"/>
          </w:tcPr>
          <w:p>
            <w:pPr>
              <w:ind w:left="240"/>
              <w:spacing w:after="0"/>
              <w:rPr>
                <w:sz w:val="20"/>
                <w:szCs w:val="20"/>
                <w:color w:val="auto"/>
              </w:rPr>
            </w:pPr>
            <w:r>
              <w:rPr>
                <w:rFonts w:ascii="Arial" w:cs="Arial" w:eastAsia="Arial" w:hAnsi="Arial"/>
                <w:sz w:val="14"/>
                <w:szCs w:val="14"/>
                <w:color w:val="auto"/>
                <w:w w:val="95"/>
              </w:rPr>
              <w:t>Material Adverse Effect. No event that has had or could reasonably be expected to have a Material Adverse Effect has occurred and is continuing. Borrower is</w:t>
            </w:r>
          </w:p>
        </w:tc>
      </w:tr>
      <w:tr>
        <w:trPr>
          <w:trHeight w:val="182"/>
        </w:trPr>
        <w:tc>
          <w:tcPr>
            <w:tcW w:w="10540" w:type="dxa"/>
            <w:vAlign w:val="bottom"/>
            <w:gridSpan w:val="2"/>
          </w:tcPr>
          <w:p>
            <w:pPr>
              <w:spacing w:after="0"/>
              <w:rPr>
                <w:sz w:val="20"/>
                <w:szCs w:val="20"/>
                <w:color w:val="auto"/>
              </w:rPr>
            </w:pPr>
            <w:r>
              <w:rPr>
                <w:rFonts w:ascii="Arial" w:cs="Arial" w:eastAsia="Arial" w:hAnsi="Arial"/>
                <w:sz w:val="14"/>
                <w:szCs w:val="14"/>
                <w:color w:val="auto"/>
              </w:rPr>
              <w:t>not aware of any event likely to occur that is reasonably expected to result in a Material Adverse Effect.</w:t>
            </w:r>
          </w:p>
        </w:tc>
      </w:tr>
      <w:tr>
        <w:trPr>
          <w:trHeight w:val="345"/>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5.5</w:t>
            </w:r>
          </w:p>
        </w:tc>
        <w:tc>
          <w:tcPr>
            <w:tcW w:w="9580" w:type="dxa"/>
            <w:vAlign w:val="bottom"/>
          </w:tcPr>
          <w:p>
            <w:pPr>
              <w:ind w:left="240"/>
              <w:spacing w:after="0"/>
              <w:rPr>
                <w:sz w:val="20"/>
                <w:szCs w:val="20"/>
                <w:color w:val="auto"/>
              </w:rPr>
            </w:pPr>
            <w:r>
              <w:rPr>
                <w:rFonts w:ascii="Arial" w:cs="Arial" w:eastAsia="Arial" w:hAnsi="Arial"/>
                <w:sz w:val="14"/>
                <w:szCs w:val="14"/>
                <w:color w:val="auto"/>
                <w:w w:val="94"/>
              </w:rPr>
              <w:t>Actions Before Governmental Authorities. There are no actions, suits or proceedings at law or in equity or by or before any Governmental Authority now pending</w:t>
            </w:r>
          </w:p>
        </w:tc>
      </w:tr>
    </w:tbl>
    <w:p>
      <w:pPr>
        <w:spacing w:after="0"/>
        <w:rPr>
          <w:sz w:val="20"/>
          <w:szCs w:val="20"/>
          <w:color w:val="auto"/>
        </w:rPr>
      </w:pPr>
      <w:r>
        <w:rPr>
          <w:rFonts w:ascii="Arial" w:cs="Arial" w:eastAsia="Arial" w:hAnsi="Arial"/>
          <w:sz w:val="14"/>
          <w:szCs w:val="14"/>
          <w:color w:val="auto"/>
        </w:rPr>
        <w:t>or, to the knowledge of Borrower, threatened against or affecting Borrower or its property, that is reasonably expected to result in a Material Adverse Effect.</w:t>
      </w:r>
    </w:p>
    <w:p>
      <w:pPr>
        <w:spacing w:after="0" w:line="186"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3"/>
          <w:szCs w:val="13"/>
          <w:color w:val="auto"/>
        </w:rPr>
        <w:t>Laws.</w:t>
      </w:r>
    </w:p>
    <w:p>
      <w:pPr>
        <w:spacing w:after="0" w:line="184" w:lineRule="exact"/>
        <w:rPr>
          <w:sz w:val="20"/>
          <w:szCs w:val="20"/>
          <w:color w:val="auto"/>
        </w:rPr>
      </w:pPr>
    </w:p>
    <w:p>
      <w:pPr>
        <w:ind w:left="80" w:right="100" w:firstLine="508"/>
        <w:spacing w:after="0" w:line="303" w:lineRule="auto"/>
        <w:tabs>
          <w:tab w:leader="none" w:pos="1225" w:val="left"/>
        </w:tabs>
        <w:numPr>
          <w:ilvl w:val="0"/>
          <w:numId w:val="517"/>
        </w:numPr>
        <w:rPr>
          <w:rFonts w:ascii="Arial" w:cs="Arial" w:eastAsia="Arial" w:hAnsi="Arial"/>
          <w:sz w:val="13"/>
          <w:szCs w:val="13"/>
          <w:color w:val="auto"/>
        </w:rPr>
      </w:pPr>
      <w:r>
        <w:rPr>
          <w:rFonts w:ascii="Arial" w:cs="Arial" w:eastAsia="Arial" w:hAnsi="Arial"/>
          <w:sz w:val="13"/>
          <w:szCs w:val="13"/>
          <w:color w:val="auto"/>
        </w:rPr>
        <w:t>Neither Borrower nor any of its Subsidiaries is in violation of any law, rule or regulation, or in default with respect to any judgment, writ, injunction or decree of any Governmental Authority, where such violation or default could reasonably be expected to result in a Material Adverse Effect. Borrower is not in default in any manner under any provision of any agreement or instrument evidencing material Indebtedness, or any other material agreement to which it is a party or by which it is bound.</w:t>
      </w:r>
    </w:p>
    <w:p>
      <w:pPr>
        <w:spacing w:after="0" w:line="124" w:lineRule="exact"/>
        <w:rPr>
          <w:rFonts w:ascii="Arial" w:cs="Arial" w:eastAsia="Arial" w:hAnsi="Arial"/>
          <w:sz w:val="13"/>
          <w:szCs w:val="13"/>
          <w:color w:val="auto"/>
        </w:rPr>
      </w:pPr>
    </w:p>
    <w:p>
      <w:pPr>
        <w:jc w:val="both"/>
        <w:ind w:left="80" w:right="40" w:firstLine="508"/>
        <w:spacing w:after="0" w:line="267" w:lineRule="auto"/>
        <w:tabs>
          <w:tab w:leader="none" w:pos="1197" w:val="left"/>
        </w:tabs>
        <w:numPr>
          <w:ilvl w:val="0"/>
          <w:numId w:val="517"/>
        </w:numPr>
        <w:rPr>
          <w:rFonts w:ascii="Arial" w:cs="Arial" w:eastAsia="Arial" w:hAnsi="Arial"/>
          <w:sz w:val="14"/>
          <w:szCs w:val="14"/>
          <w:color w:val="auto"/>
        </w:rPr>
      </w:pPr>
      <w:r>
        <w:rPr>
          <w:rFonts w:ascii="Arial" w:cs="Arial" w:eastAsia="Arial" w:hAnsi="Arial"/>
          <w:sz w:val="14"/>
          <w:szCs w:val="14"/>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w:t>
      </w:r>
    </w:p>
    <w:p>
      <w:pPr>
        <w:spacing w:after="0" w:line="147"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820" w:right="439" w:bottom="1440" w:gutter="0" w:footer="0" w:header="0"/>
        </w:sectPr>
      </w:pPr>
    </w:p>
    <w:bookmarkStart w:id="695" w:name="page696"/>
    <w:bookmarkEnd w:id="695"/>
    <w:p>
      <w:pPr>
        <w:ind w:left="60"/>
        <w:spacing w:after="0" w:line="265" w:lineRule="auto"/>
        <w:rPr>
          <w:sz w:val="20"/>
          <w:szCs w:val="20"/>
          <w:color w:val="auto"/>
        </w:rPr>
      </w:pPr>
      <w:r>
        <w:rPr>
          <w:rFonts w:ascii="Arial" w:cs="Arial" w:eastAsia="Arial" w:hAnsi="Arial"/>
          <w:sz w:val="14"/>
          <w:szCs w:val="14"/>
          <w:color w:val="auto"/>
        </w:rPr>
        <w:t>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47" w:lineRule="exact"/>
        <w:rPr>
          <w:sz w:val="20"/>
          <w:szCs w:val="20"/>
          <w:color w:val="auto"/>
        </w:rPr>
      </w:pPr>
    </w:p>
    <w:p>
      <w:pPr>
        <w:ind w:left="60" w:firstLine="528"/>
        <w:spacing w:after="0" w:line="282" w:lineRule="auto"/>
        <w:tabs>
          <w:tab w:leader="none" w:pos="1205" w:val="left"/>
        </w:tabs>
        <w:numPr>
          <w:ilvl w:val="0"/>
          <w:numId w:val="518"/>
        </w:numPr>
        <w:rPr>
          <w:rFonts w:ascii="Arial" w:cs="Arial" w:eastAsia="Arial" w:hAnsi="Arial"/>
          <w:sz w:val="13"/>
          <w:szCs w:val="13"/>
          <w:color w:val="auto"/>
        </w:rPr>
      </w:pPr>
      <w:r>
        <w:rPr>
          <w:rFonts w:ascii="Arial" w:cs="Arial" w:eastAsia="Arial" w:hAnsi="Arial"/>
          <w:sz w:val="13"/>
          <w:szCs w:val="13"/>
          <w:color w:val="auto"/>
        </w:rPr>
        <w:t>None of Borrower, any of its Subsidiaries, or to their knowledge, any of Borrower’s or its Subsidiaries’ respective controlled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42" w:lineRule="exact"/>
        <w:rPr>
          <w:sz w:val="20"/>
          <w:szCs w:val="20"/>
          <w:color w:val="auto"/>
        </w:rPr>
      </w:pPr>
    </w:p>
    <w:p>
      <w:pPr>
        <w:ind w:right="20" w:firstLine="518"/>
        <w:spacing w:after="0" w:line="263" w:lineRule="auto"/>
        <w:rPr>
          <w:sz w:val="20"/>
          <w:szCs w:val="20"/>
          <w:color w:val="auto"/>
        </w:rPr>
      </w:pPr>
      <w:r>
        <w:rPr>
          <w:rFonts w:ascii="Arial" w:cs="Arial" w:eastAsia="Arial" w:hAnsi="Arial"/>
          <w:sz w:val="14"/>
          <w:szCs w:val="14"/>
          <w:color w:val="auto"/>
        </w:rPr>
        <w:t>5.7 Information Correct and Current. No information, report, Advance Request, financial statement, exhibit or schedule furnished, by or on behalf of Borrower to Agent in connection with any Loan Document or included therein or delivered pursuant thereto contained, or, when taken as a whole,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(ii) the most current of such projections provided to Borrower’s Board of Managers.</w:t>
      </w:r>
    </w:p>
    <w:p>
      <w:pPr>
        <w:spacing w:after="0" w:line="161" w:lineRule="exact"/>
        <w:rPr>
          <w:sz w:val="20"/>
          <w:szCs w:val="20"/>
          <w:color w:val="auto"/>
        </w:rPr>
      </w:pPr>
    </w:p>
    <w:p>
      <w:pPr>
        <w:ind w:right="120" w:firstLine="518"/>
        <w:spacing w:after="0" w:line="265" w:lineRule="auto"/>
        <w:rPr>
          <w:sz w:val="20"/>
          <w:szCs w:val="20"/>
          <w:color w:val="auto"/>
        </w:rPr>
      </w:pPr>
      <w:r>
        <w:rPr>
          <w:rFonts w:ascii="Arial" w:cs="Arial" w:eastAsia="Arial" w:hAnsi="Arial"/>
          <w:sz w:val="14"/>
          <w:szCs w:val="14"/>
          <w:color w:val="auto"/>
        </w:rPr>
        <w:t>5.8 Tax Matters. Except as described on Schedule 5.8, (a) Borrower and its Subsidiaries have filed all federal and state income Tax returns and other material Tax returns that they are required to file (taking into account any timely filed extensions),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w:t>
      </w:r>
    </w:p>
    <w:p>
      <w:pPr>
        <w:spacing w:after="0" w:line="14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40"/>
          </w:cols>
          <w:pgMar w:left="840" w:top="583" w:right="419" w:bottom="1440" w:gutter="0" w:footer="0" w:header="0"/>
        </w:sectPr>
      </w:pPr>
    </w:p>
    <w:bookmarkStart w:id="696" w:name="page697"/>
    <w:bookmarkEnd w:id="696"/>
    <w:p>
      <w:pPr>
        <w:spacing w:after="0"/>
        <w:rPr>
          <w:sz w:val="20"/>
          <w:szCs w:val="20"/>
          <w:color w:val="auto"/>
        </w:rPr>
      </w:pPr>
      <w:r>
        <w:rPr>
          <w:rFonts w:ascii="Arial" w:cs="Arial" w:eastAsia="Arial" w:hAnsi="Arial"/>
          <w:sz w:val="14"/>
          <w:szCs w:val="14"/>
          <w:color w:val="auto"/>
        </w:rPr>
        <w:t>have had, or could reasonably be expected to have, individually or in the aggregate, a Material Adverse Effect.</w:t>
      </w:r>
    </w:p>
    <w:p>
      <w:pPr>
        <w:spacing w:after="0" w:line="184" w:lineRule="exact"/>
        <w:rPr>
          <w:sz w:val="20"/>
          <w:szCs w:val="20"/>
          <w:color w:val="auto"/>
        </w:rPr>
      </w:pPr>
    </w:p>
    <w:p>
      <w:pPr>
        <w:ind w:right="20" w:firstLine="518"/>
        <w:spacing w:after="0" w:line="261" w:lineRule="auto"/>
        <w:rPr>
          <w:sz w:val="20"/>
          <w:szCs w:val="20"/>
          <w:color w:val="auto"/>
        </w:rPr>
      </w:pPr>
      <w:r>
        <w:rPr>
          <w:rFonts w:ascii="Arial" w:cs="Arial" w:eastAsia="Arial" w:hAnsi="Arial"/>
          <w:sz w:val="14"/>
          <w:szCs w:val="14"/>
          <w:color w:val="auto"/>
        </w:rPr>
        <w:t>5.9 Intellectual Property Claims. Borrower owns, or otherwise has the right to use, the Intellectual Property material to Borrower’s business. Except as described on Schedule 5.9, (i) to the knowledge of Borrower, each of the material Copyrights, Trademarks and Patents is valid and enforceable, (ii) no material part of the Intellectual Property has been judged invalid or unenforceable, in whole or in part, and (iii) no claim has been made to Borrower that any material part of the Intellectual Property violates the rights of any third party. Exhibit C is a true, correct and complete list of each of Borrower’s Patents, registered Trademarks, registered Copyrights, and material agreements under which Borrower licenses Intellectual Property from third parties (other than shrink-wrap software licenses),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64" w:lineRule="exact"/>
        <w:rPr>
          <w:sz w:val="20"/>
          <w:szCs w:val="20"/>
          <w:color w:val="auto"/>
        </w:rPr>
      </w:pPr>
    </w:p>
    <w:p>
      <w:pPr>
        <w:ind w:firstLine="518"/>
        <w:spacing w:after="0" w:line="261" w:lineRule="auto"/>
        <w:rPr>
          <w:sz w:val="20"/>
          <w:szCs w:val="20"/>
          <w:color w:val="auto"/>
        </w:rPr>
      </w:pPr>
      <w:r>
        <w:rPr>
          <w:rFonts w:ascii="Arial" w:cs="Arial" w:eastAsia="Arial" w:hAnsi="Arial"/>
          <w:sz w:val="14"/>
          <w:szCs w:val="14"/>
          <w:color w:val="auto"/>
        </w:rPr>
        <w:t>5.10 Intellectual Property. Except as described on Schedule 5.10,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necessary or material in the operation or conduct of Borrower’s business and used in the design, development, promotion, sale, license, manufacture, import, export, use or distribution of Borrower Products except customary covenants in inbound license agreements and equipment leases where Borrower is the licensee or lessee. Except as set forth on Schedule 5.10, Borrower is not a party to, nor is it bound by, any Restricted License.</w:t>
      </w:r>
    </w:p>
    <w:p>
      <w:pPr>
        <w:spacing w:after="0" w:line="15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could require disclosure or distribution in source code form.</w:t>
      </w:r>
    </w:p>
    <w:p>
      <w:pPr>
        <w:spacing w:after="0" w:line="158" w:lineRule="exact"/>
        <w:rPr>
          <w:sz w:val="20"/>
          <w:szCs w:val="20"/>
          <w:color w:val="auto"/>
        </w:rPr>
      </w:pPr>
    </w:p>
    <w:p>
      <w:pPr>
        <w:ind w:right="120" w:firstLine="518"/>
        <w:spacing w:after="0" w:line="267" w:lineRule="auto"/>
        <w:rPr>
          <w:sz w:val="20"/>
          <w:szCs w:val="20"/>
          <w:color w:val="auto"/>
        </w:rPr>
      </w:pPr>
      <w:r>
        <w:rPr>
          <w:rFonts w:ascii="Arial" w:cs="Arial" w:eastAsia="Arial" w:hAnsi="Arial"/>
          <w:sz w:val="14"/>
          <w:szCs w:val="14"/>
          <w:color w:val="auto"/>
        </w:rPr>
        <w:t>5.11 Borrower Products. Except as described on Schedule 5.11, no Intellectual Property owned by Borrower or Borrower Product has been or is subject to any actual or, to the knowledge of Borrower, threatened litigation, proceeding (including any proceeding in the United States Patent and Trademark Office or any corresponding foreign office or agency, except for routine prosecution of such Intellectual Property in the United States Patent and Trademark Office or any corresponding foreign office or agency) or outstanding decree, order, judgment, settlement</w:t>
      </w:r>
    </w:p>
    <w:p>
      <w:pPr>
        <w:spacing w:after="0" w:line="147"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40"/>
          </w:cols>
          <w:pgMar w:left="840" w:top="583" w:right="419" w:bottom="1440" w:gutter="0" w:footer="0" w:header="0"/>
        </w:sectPr>
      </w:pPr>
    </w:p>
    <w:bookmarkStart w:id="697" w:name="page698"/>
    <w:bookmarkEnd w:id="697"/>
    <w:p>
      <w:pPr>
        <w:ind w:right="40"/>
        <w:spacing w:after="0" w:line="285" w:lineRule="auto"/>
        <w:rPr>
          <w:sz w:val="20"/>
          <w:szCs w:val="20"/>
          <w:color w:val="auto"/>
        </w:rPr>
      </w:pPr>
      <w:r>
        <w:rPr>
          <w:rFonts w:ascii="Arial" w:cs="Arial" w:eastAsia="Arial" w:hAnsi="Arial"/>
          <w:sz w:val="13"/>
          <w:szCs w:val="13"/>
          <w:color w:val="auto"/>
        </w:rPr>
        <w:t>agreement or stipulation that restricts in any material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To the best knowledge of Borrower, neither Borrower’s use of its Intellectual Property nor the production and sale of Borrower Products infringes the intellectual property or other rights of others.</w:t>
      </w:r>
    </w:p>
    <w:p>
      <w:pPr>
        <w:spacing w:after="0" w:line="138" w:lineRule="exact"/>
        <w:rPr>
          <w:sz w:val="20"/>
          <w:szCs w:val="20"/>
          <w:color w:val="auto"/>
        </w:rPr>
      </w:pPr>
    </w:p>
    <w:p>
      <w:pPr>
        <w:jc w:val="both"/>
        <w:ind w:right="40" w:firstLine="517"/>
        <w:spacing w:after="0" w:line="267" w:lineRule="auto"/>
        <w:rPr>
          <w:sz w:val="20"/>
          <w:szCs w:val="20"/>
          <w:color w:val="auto"/>
        </w:rPr>
      </w:pPr>
      <w:r>
        <w:rPr>
          <w:rFonts w:ascii="Arial" w:cs="Arial" w:eastAsia="Arial" w:hAnsi="Arial"/>
          <w:sz w:val="14"/>
          <w:szCs w:val="14"/>
          <w:color w:val="auto"/>
        </w:rPr>
        <w:t>5.12 Financial Accounts. Exhibit D,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58" w:lineRule="exact"/>
        <w:rPr>
          <w:sz w:val="20"/>
          <w:szCs w:val="20"/>
          <w:color w:val="auto"/>
        </w:rPr>
      </w:pPr>
    </w:p>
    <w:p>
      <w:pPr>
        <w:ind w:right="80" w:firstLine="518"/>
        <w:spacing w:after="0" w:line="288" w:lineRule="auto"/>
        <w:rPr>
          <w:sz w:val="20"/>
          <w:szCs w:val="20"/>
          <w:color w:val="auto"/>
        </w:rPr>
      </w:pPr>
      <w:r>
        <w:rPr>
          <w:rFonts w:ascii="Arial" w:cs="Arial" w:eastAsia="Arial" w:hAnsi="Arial"/>
          <w:sz w:val="14"/>
          <w:szCs w:val="14"/>
          <w:color w:val="auto"/>
        </w:rPr>
        <w:t>5.13 Employee Loans. Except as described on Schedule 5.13, Borrower has no outstanding loans to any employee, officer or director of the Borrower nor has Borrower guaranteed the payment of any loan made to an employee, officer or director of the Borrower by a third party.</w:t>
      </w:r>
    </w:p>
    <w:p>
      <w:pPr>
        <w:spacing w:after="0" w:line="132" w:lineRule="exact"/>
        <w:rPr>
          <w:sz w:val="20"/>
          <w:szCs w:val="20"/>
          <w:color w:val="auto"/>
        </w:rPr>
      </w:pPr>
    </w:p>
    <w:p>
      <w:pPr>
        <w:jc w:val="both"/>
        <w:ind w:right="180" w:firstLine="518"/>
        <w:spacing w:after="0" w:line="273" w:lineRule="auto"/>
        <w:rPr>
          <w:sz w:val="20"/>
          <w:szCs w:val="20"/>
          <w:color w:val="auto"/>
        </w:rPr>
      </w:pPr>
      <w:r>
        <w:rPr>
          <w:rFonts w:ascii="Arial" w:cs="Arial" w:eastAsia="Arial" w:hAnsi="Arial"/>
          <w:sz w:val="14"/>
          <w:szCs w:val="14"/>
          <w:color w:val="auto"/>
        </w:rPr>
        <w:t>5.14 Capitalization and Subsidiaries. Borrower’s capitalization as of the Closing Date is set forth on Schedule 5.14 annexed hereto. Borrower does not own any stock, partnership interest or other securities of any Person, except for Permitted Investments. Attached as Schedule 5.14, as may be updated by Borrower in a written notice provided after the Closing Date, is a true, correct and complete list of each Subsidiary.</w:t>
      </w:r>
    </w:p>
    <w:p>
      <w:pPr>
        <w:spacing w:after="0" w:line="148"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9380" w:type="dxa"/>
            <w:vAlign w:val="bottom"/>
          </w:tcPr>
          <w:p>
            <w:pPr>
              <w:ind w:left="2580"/>
              <w:spacing w:after="0"/>
              <w:rPr>
                <w:sz w:val="20"/>
                <w:szCs w:val="20"/>
                <w:color w:val="auto"/>
              </w:rPr>
            </w:pPr>
            <w:r>
              <w:rPr>
                <w:rFonts w:ascii="Arial" w:cs="Arial" w:eastAsia="Arial" w:hAnsi="Arial"/>
                <w:sz w:val="14"/>
                <w:szCs w:val="14"/>
                <w:b w:val="1"/>
                <w:bCs w:val="1"/>
                <w:color w:val="auto"/>
              </w:rPr>
              <w:t xml:space="preserve">SECTION 6. </w:t>
            </w:r>
            <w:r>
              <w:rPr>
                <w:rFonts w:ascii="Arial" w:cs="Arial" w:eastAsia="Arial" w:hAnsi="Arial"/>
                <w:sz w:val="14"/>
                <w:szCs w:val="14"/>
                <w:b w:val="1"/>
                <w:bCs w:val="1"/>
                <w:u w:val="single" w:color="auto"/>
                <w:color w:val="auto"/>
              </w:rPr>
              <w:t>INSURANCE; INDEMNIFICATION</w:t>
            </w:r>
          </w:p>
        </w:tc>
      </w:tr>
      <w:tr>
        <w:trPr>
          <w:trHeight w:val="345"/>
        </w:trPr>
        <w:tc>
          <w:tcPr>
            <w:tcW w:w="440" w:type="dxa"/>
            <w:vAlign w:val="bottom"/>
          </w:tcPr>
          <w:p>
            <w:pPr>
              <w:jc w:val="right"/>
              <w:ind w:right="188"/>
              <w:spacing w:after="0"/>
              <w:rPr>
                <w:sz w:val="20"/>
                <w:szCs w:val="20"/>
                <w:color w:val="auto"/>
              </w:rPr>
            </w:pPr>
            <w:r>
              <w:rPr>
                <w:rFonts w:ascii="Arial" w:cs="Arial" w:eastAsia="Arial" w:hAnsi="Arial"/>
                <w:sz w:val="14"/>
                <w:szCs w:val="14"/>
                <w:color w:val="auto"/>
                <w:w w:val="81"/>
              </w:rPr>
              <w:t>6.1</w:t>
            </w:r>
          </w:p>
        </w:tc>
        <w:tc>
          <w:tcPr>
            <w:tcW w:w="9380" w:type="dxa"/>
            <w:vAlign w:val="bottom"/>
          </w:tcPr>
          <w:p>
            <w:pPr>
              <w:ind w:left="240"/>
              <w:spacing w:after="0"/>
              <w:rPr>
                <w:sz w:val="20"/>
                <w:szCs w:val="20"/>
                <w:color w:val="auto"/>
              </w:rPr>
            </w:pPr>
            <w:r>
              <w:rPr>
                <w:rFonts w:ascii="Arial" w:cs="Arial" w:eastAsia="Arial" w:hAnsi="Arial"/>
                <w:sz w:val="14"/>
                <w:szCs w:val="14"/>
                <w:color w:val="auto"/>
                <w:w w:val="92"/>
              </w:rPr>
              <w:t>Coverage. Borrower shall cause to be carried and maintained commercial general liability insurance, on an occurrence form, against risks and in such amounts</w:t>
            </w:r>
          </w:p>
        </w:tc>
      </w:tr>
    </w:tbl>
    <w:p>
      <w:pPr>
        <w:spacing w:after="0" w:line="259" w:lineRule="auto"/>
        <w:rPr>
          <w:sz w:val="20"/>
          <w:szCs w:val="20"/>
          <w:color w:val="auto"/>
        </w:rPr>
      </w:pPr>
      <w:r>
        <w:rPr>
          <w:rFonts w:ascii="Arial" w:cs="Arial" w:eastAsia="Arial" w:hAnsi="Arial"/>
          <w:sz w:val="14"/>
          <w:szCs w:val="14"/>
          <w:color w:val="auto"/>
        </w:rPr>
        <w:t>customarily insured against in Borrower’s line of business; provided that such policies of insurance shall be provided to and reviewed and approved by Agent in its reasonable discretion. Such risks shall include the risks of bodily injury, including death, property damage, personal injury, advertising injury, and contractual liability per the terms of the indemnification agreement found in Section 6.3. So long as there are any Secured Obligations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suffers or causes any reduction in coverage amounts from that in existence as of the Closing Date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w:t>
      </w:r>
    </w:p>
    <w:p>
      <w:pPr>
        <w:spacing w:after="0" w:line="154"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580"/>
          </w:cols>
          <w:pgMar w:left="840" w:top="583" w:right="479" w:bottom="1440" w:gutter="0" w:footer="0" w:header="0"/>
        </w:sectPr>
      </w:pPr>
    </w:p>
    <w:bookmarkStart w:id="698" w:name="page699"/>
    <w:bookmarkEnd w:id="698"/>
    <w:p>
      <w:pPr>
        <w:ind w:right="60"/>
        <w:spacing w:after="0" w:line="273" w:lineRule="auto"/>
        <w:rPr>
          <w:sz w:val="20"/>
          <w:szCs w:val="20"/>
          <w:color w:val="auto"/>
        </w:rPr>
      </w:pPr>
      <w:r>
        <w:rPr>
          <w:rFonts w:ascii="Arial" w:cs="Arial" w:eastAsia="Arial" w:hAnsi="Arial"/>
          <w:sz w:val="14"/>
          <w:szCs w:val="14"/>
          <w:color w:val="auto"/>
        </w:rPr>
        <w:t>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41" w:lineRule="exact"/>
        <w:rPr>
          <w:sz w:val="20"/>
          <w:szCs w:val="20"/>
          <w:color w:val="auto"/>
        </w:rPr>
      </w:pPr>
    </w:p>
    <w:p>
      <w:pPr>
        <w:ind w:firstLine="518"/>
        <w:spacing w:after="0" w:line="283" w:lineRule="auto"/>
        <w:rPr>
          <w:sz w:val="20"/>
          <w:szCs w:val="20"/>
          <w:color w:val="auto"/>
        </w:rPr>
      </w:pPr>
      <w:r>
        <w:rPr>
          <w:rFonts w:ascii="Arial" w:cs="Arial" w:eastAsia="Arial" w:hAnsi="Arial"/>
          <w:sz w:val="13"/>
          <w:szCs w:val="13"/>
          <w:color w:val="auto"/>
        </w:rPr>
        <w:t>6.2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Upon written request of Agent, Borrower shall provide Agent with copies of each insurance policy. Upon entering or amending any insurance policy required hereunder, Borrower shall provide Agent with copies of such policies and shall promptly deliver to Agent updated insurance certificates with respect to such policies.</w:t>
      </w:r>
    </w:p>
    <w:p>
      <w:pPr>
        <w:spacing w:after="0" w:line="151" w:lineRule="exact"/>
        <w:rPr>
          <w:sz w:val="20"/>
          <w:szCs w:val="20"/>
          <w:color w:val="auto"/>
        </w:rPr>
      </w:pPr>
    </w:p>
    <w:p>
      <w:pPr>
        <w:ind w:right="20" w:firstLine="518"/>
        <w:spacing w:after="0" w:line="260" w:lineRule="auto"/>
        <w:rPr>
          <w:sz w:val="20"/>
          <w:szCs w:val="20"/>
          <w:color w:val="auto"/>
        </w:rPr>
      </w:pPr>
      <w:r>
        <w:rPr>
          <w:rFonts w:ascii="Arial" w:cs="Arial" w:eastAsia="Arial" w:hAnsi="Arial"/>
          <w:sz w:val="14"/>
          <w:szCs w:val="14"/>
          <w:color w:val="auto"/>
        </w:rPr>
        <w:t>6.3 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and documented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Notwithstanding anything contained herein to the contrary, in no event shall Borrower be required to indemnify any Indemnified Person for any Liabilities to the extent such Liabilities arise solely out of gross negligence or willful misconduct of any Indemnified Person.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p>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 xml:space="preserve">SECTION 7. </w:t>
      </w:r>
      <w:r>
        <w:rPr>
          <w:rFonts w:ascii="Arial" w:cs="Arial" w:eastAsia="Arial" w:hAnsi="Arial"/>
          <w:sz w:val="14"/>
          <w:szCs w:val="14"/>
          <w:b w:val="1"/>
          <w:bCs w:val="1"/>
          <w:u w:val="single" w:color="auto"/>
          <w:color w:val="auto"/>
        </w:rPr>
        <w:t>COVENANTS OF BORROWER</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14"/>
          <w:szCs w:val="14"/>
          <w:color w:val="auto"/>
        </w:rPr>
        <w:t>Borrower agrees as follows:</w:t>
      </w:r>
    </w:p>
    <w:p>
      <w:pPr>
        <w:spacing w:after="0" w:line="357"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580"/>
          </w:cols>
          <w:pgMar w:left="840" w:top="583" w:right="479" w:bottom="1440" w:gutter="0" w:footer="0" w:header="0"/>
        </w:sectPr>
      </w:pPr>
    </w:p>
    <w:bookmarkStart w:id="699" w:name="page700"/>
    <w:bookmarkEnd w:id="699"/>
    <w:p>
      <w:pPr>
        <w:ind w:left="460"/>
        <w:spacing w:after="0"/>
        <w:tabs>
          <w:tab w:leader="none" w:pos="112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3"/>
          <w:szCs w:val="13"/>
          <w:color w:val="auto"/>
        </w:rPr>
        <w:t>Financial Reports. Borrower shall furnish to Agent the financial statements and reports listed hereinafter (the “Financial Statements”):</w:t>
      </w:r>
    </w:p>
    <w:p>
      <w:pPr>
        <w:spacing w:after="0" w:line="195" w:lineRule="exact"/>
        <w:rPr>
          <w:sz w:val="20"/>
          <w:szCs w:val="20"/>
          <w:color w:val="auto"/>
        </w:rPr>
      </w:pPr>
    </w:p>
    <w:p>
      <w:pPr>
        <w:ind w:firstLine="528"/>
        <w:spacing w:after="0" w:line="263" w:lineRule="auto"/>
        <w:tabs>
          <w:tab w:leader="none" w:pos="1253" w:val="left"/>
        </w:tabs>
        <w:numPr>
          <w:ilvl w:val="0"/>
          <w:numId w:val="519"/>
        </w:numPr>
        <w:rPr>
          <w:rFonts w:ascii="Arial" w:cs="Arial" w:eastAsia="Arial" w:hAnsi="Arial"/>
          <w:sz w:val="14"/>
          <w:szCs w:val="14"/>
          <w:color w:val="auto"/>
        </w:rPr>
      </w:pPr>
      <w:r>
        <w:rPr>
          <w:rFonts w:ascii="Arial" w:cs="Arial" w:eastAsia="Arial" w:hAnsi="Arial"/>
          <w:sz w:val="14"/>
          <w:szCs w:val="14"/>
          <w:color w:val="auto"/>
        </w:rPr>
        <w:t>as soon as practicable (and in any event within thirty (30) days) after the end of each month, unaudited interim and year-to-date financial statements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49" w:lineRule="exact"/>
        <w:rPr>
          <w:rFonts w:ascii="Arial" w:cs="Arial" w:eastAsia="Arial" w:hAnsi="Arial"/>
          <w:sz w:val="14"/>
          <w:szCs w:val="14"/>
          <w:color w:val="auto"/>
        </w:rPr>
      </w:pPr>
    </w:p>
    <w:p>
      <w:pPr>
        <w:ind w:firstLine="528"/>
        <w:spacing w:after="0" w:line="290" w:lineRule="auto"/>
        <w:tabs>
          <w:tab w:leader="none" w:pos="1225" w:val="left"/>
        </w:tabs>
        <w:numPr>
          <w:ilvl w:val="0"/>
          <w:numId w:val="519"/>
        </w:numPr>
        <w:rPr>
          <w:rFonts w:ascii="Arial" w:cs="Arial" w:eastAsia="Arial" w:hAnsi="Arial"/>
          <w:sz w:val="13"/>
          <w:szCs w:val="13"/>
          <w:color w:val="auto"/>
        </w:rPr>
      </w:pPr>
      <w:r>
        <w:rPr>
          <w:rFonts w:ascii="Arial" w:cs="Arial" w:eastAsia="Arial" w:hAnsi="Arial"/>
          <w:sz w:val="13"/>
          <w:szCs w:val="13"/>
          <w:color w:val="auto"/>
        </w:rPr>
        <w:t>as soon as practicable (and in any event within forty-five (45) days) after the end of each calendar quarter, unaudited interim and year-to-date financial statements as of the end of such calendar quarter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 as well as the most recent capitalization table for Borrower;</w:t>
      </w:r>
    </w:p>
    <w:p>
      <w:pPr>
        <w:spacing w:after="0" w:line="143" w:lineRule="exact"/>
        <w:rPr>
          <w:rFonts w:ascii="Arial" w:cs="Arial" w:eastAsia="Arial" w:hAnsi="Arial"/>
          <w:sz w:val="13"/>
          <w:szCs w:val="13"/>
          <w:color w:val="auto"/>
        </w:rPr>
      </w:pPr>
    </w:p>
    <w:p>
      <w:pPr>
        <w:ind w:right="80" w:firstLine="528"/>
        <w:spacing w:after="0" w:line="294" w:lineRule="auto"/>
        <w:tabs>
          <w:tab w:leader="none" w:pos="1253" w:val="left"/>
        </w:tabs>
        <w:numPr>
          <w:ilvl w:val="0"/>
          <w:numId w:val="519"/>
        </w:numPr>
        <w:rPr>
          <w:rFonts w:ascii="Arial" w:cs="Arial" w:eastAsia="Arial" w:hAnsi="Arial"/>
          <w:sz w:val="13"/>
          <w:szCs w:val="13"/>
          <w:color w:val="auto"/>
        </w:rPr>
      </w:pPr>
      <w:r>
        <w:rPr>
          <w:rFonts w:ascii="Arial" w:cs="Arial" w:eastAsia="Arial" w:hAnsi="Arial"/>
          <w:sz w:val="13"/>
          <w:szCs w:val="13"/>
          <w:color w:val="auto"/>
        </w:rPr>
        <w:t>as soon as practicable (and in any event within one hundred eighty (180) days (or, if Borrower becomes subject to reporting rules of the United States Securities and Exchange Commission, ninety (90) days) after the end of each fiscal year, unqualified audited financial statements as of the end of such year (prepared on a consolidated basis),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w:t>
      </w:r>
    </w:p>
    <w:p>
      <w:pPr>
        <w:spacing w:after="0" w:line="141" w:lineRule="exact"/>
        <w:rPr>
          <w:rFonts w:ascii="Arial" w:cs="Arial" w:eastAsia="Arial" w:hAnsi="Arial"/>
          <w:sz w:val="13"/>
          <w:szCs w:val="13"/>
          <w:color w:val="auto"/>
        </w:rPr>
      </w:pPr>
    </w:p>
    <w:p>
      <w:pPr>
        <w:ind w:left="1300" w:hanging="773"/>
        <w:spacing w:after="0"/>
        <w:tabs>
          <w:tab w:leader="none" w:pos="1300" w:val="left"/>
        </w:tabs>
        <w:numPr>
          <w:ilvl w:val="0"/>
          <w:numId w:val="519"/>
        </w:numPr>
        <w:rPr>
          <w:rFonts w:ascii="Arial" w:cs="Arial" w:eastAsia="Arial" w:hAnsi="Arial"/>
          <w:sz w:val="14"/>
          <w:szCs w:val="14"/>
          <w:color w:val="auto"/>
        </w:rPr>
      </w:pPr>
      <w:r>
        <w:rPr>
          <w:rFonts w:ascii="Arial" w:cs="Arial" w:eastAsia="Arial" w:hAnsi="Arial"/>
          <w:sz w:val="14"/>
          <w:szCs w:val="14"/>
          <w:color w:val="auto"/>
        </w:rPr>
        <w:t>together with the financial statements delivered as required by Sections 7.1(a) through (c), a Compliance Certificate in the form of Exhibit E;</w:t>
      </w:r>
    </w:p>
    <w:p>
      <w:pPr>
        <w:spacing w:after="0" w:line="184" w:lineRule="exact"/>
        <w:rPr>
          <w:rFonts w:ascii="Arial" w:cs="Arial" w:eastAsia="Arial" w:hAnsi="Arial"/>
          <w:sz w:val="14"/>
          <w:szCs w:val="14"/>
          <w:color w:val="auto"/>
        </w:rPr>
      </w:pPr>
    </w:p>
    <w:p>
      <w:pPr>
        <w:ind w:left="1260" w:hanging="732"/>
        <w:spacing w:after="0"/>
        <w:tabs>
          <w:tab w:leader="none" w:pos="126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as soon as practicable (and in any event within 7 days) after the end of each month, a report showing agings of accounts receivable and accounts payable;</w:t>
      </w:r>
    </w:p>
    <w:p>
      <w:pPr>
        <w:spacing w:after="0" w:line="206" w:lineRule="exact"/>
        <w:rPr>
          <w:rFonts w:ascii="Arial" w:cs="Arial" w:eastAsia="Arial" w:hAnsi="Arial"/>
          <w:sz w:val="13"/>
          <w:szCs w:val="13"/>
          <w:color w:val="auto"/>
        </w:rPr>
      </w:pPr>
    </w:p>
    <w:p>
      <w:pPr>
        <w:jc w:val="both"/>
        <w:ind w:right="40" w:firstLine="528"/>
        <w:spacing w:after="0" w:line="273" w:lineRule="auto"/>
        <w:tabs>
          <w:tab w:leader="none" w:pos="1237" w:val="left"/>
        </w:tabs>
        <w:numPr>
          <w:ilvl w:val="0"/>
          <w:numId w:val="519"/>
        </w:numPr>
        <w:rPr>
          <w:rFonts w:ascii="Arial" w:cs="Arial" w:eastAsia="Arial" w:hAnsi="Arial"/>
          <w:sz w:val="14"/>
          <w:szCs w:val="14"/>
          <w:color w:val="auto"/>
        </w:rPr>
      </w:pPr>
      <w:r>
        <w:rPr>
          <w:rFonts w:ascii="Arial" w:cs="Arial" w:eastAsia="Arial" w:hAnsi="Arial"/>
          <w:sz w:val="14"/>
          <w:szCs w:val="14"/>
          <w:color w:val="auto"/>
        </w:rPr>
        <w:t>promptly after the sending or filing thereof, as the case may be, copies of any proxy statements, financial statements or reports that Borrower has made available to holders of its units and copies of any regular, periodic and special reports or registration statements that Borrower files with the United States Securities and Exchange Commission or any Governmental Authority that may be substituted therefor, or any national securities exchange;</w:t>
      </w:r>
    </w:p>
    <w:p>
      <w:pPr>
        <w:spacing w:after="0" w:line="151" w:lineRule="exact"/>
        <w:rPr>
          <w:rFonts w:ascii="Arial" w:cs="Arial" w:eastAsia="Arial" w:hAnsi="Arial"/>
          <w:sz w:val="14"/>
          <w:szCs w:val="14"/>
          <w:color w:val="auto"/>
        </w:rPr>
      </w:pPr>
    </w:p>
    <w:p>
      <w:pPr>
        <w:ind w:right="280" w:firstLine="528"/>
        <w:spacing w:after="0" w:line="288" w:lineRule="auto"/>
        <w:tabs>
          <w:tab w:leader="none" w:pos="1574" w:val="left"/>
        </w:tabs>
        <w:numPr>
          <w:ilvl w:val="0"/>
          <w:numId w:val="519"/>
        </w:numPr>
        <w:rPr>
          <w:rFonts w:ascii="Arial" w:cs="Arial" w:eastAsia="Arial" w:hAnsi="Arial"/>
          <w:sz w:val="14"/>
          <w:szCs w:val="14"/>
          <w:color w:val="auto"/>
        </w:rPr>
      </w:pPr>
      <w:r>
        <w:rPr>
          <w:rFonts w:ascii="Arial" w:cs="Arial" w:eastAsia="Arial" w:hAnsi="Arial"/>
          <w:sz w:val="14"/>
          <w:szCs w:val="14"/>
          <w:color w:val="auto"/>
        </w:rPr>
        <w:t>promptly following execution thereof, copies of any material amendments or modifications to (i) the Commitment Agreement, (ii) the Operating Agreement and/or (iii) the Option Agreement;</w:t>
      </w:r>
    </w:p>
    <w:p>
      <w:pPr>
        <w:spacing w:after="0" w:line="13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13970</wp:posOffset>
            </wp:positionV>
            <wp:extent cx="7159625" cy="69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540"/>
          </w:cols>
          <w:pgMar w:left="900" w:top="820" w:right="459" w:bottom="1440" w:gutter="0" w:footer="0" w:header="0"/>
        </w:sectPr>
      </w:pPr>
    </w:p>
    <w:bookmarkStart w:id="700" w:name="page701"/>
    <w:bookmarkEnd w:id="700"/>
    <w:p>
      <w:pPr>
        <w:ind w:left="120" w:right="640" w:firstLine="528"/>
        <w:spacing w:after="0" w:line="288" w:lineRule="auto"/>
        <w:tabs>
          <w:tab w:leader="none" w:pos="1345" w:val="left"/>
        </w:tabs>
        <w:numPr>
          <w:ilvl w:val="1"/>
          <w:numId w:val="520"/>
        </w:numPr>
        <w:rPr>
          <w:rFonts w:ascii="Arial" w:cs="Arial" w:eastAsia="Arial" w:hAnsi="Arial"/>
          <w:sz w:val="14"/>
          <w:szCs w:val="14"/>
          <w:color w:val="auto"/>
        </w:rPr>
      </w:pPr>
      <w:r>
        <w:rPr>
          <w:rFonts w:ascii="Arial" w:cs="Arial" w:eastAsia="Arial" w:hAnsi="Arial"/>
          <w:sz w:val="14"/>
          <w:szCs w:val="14"/>
          <w:color w:val="auto"/>
        </w:rPr>
        <w:t>financial and business projections promptly following their approval by Borrower’s Board of Managers, and in any event, within thirty (30) days after to the end of Borrower’s fiscal year, as well as budgets, operating plans and other financial information reasonably requested by Agent;</w:t>
      </w:r>
    </w:p>
    <w:p>
      <w:pPr>
        <w:spacing w:after="0" w:line="142" w:lineRule="exact"/>
        <w:rPr>
          <w:rFonts w:ascii="Arial" w:cs="Arial" w:eastAsia="Arial" w:hAnsi="Arial"/>
          <w:sz w:val="14"/>
          <w:szCs w:val="14"/>
          <w:color w:val="auto"/>
        </w:rPr>
      </w:pPr>
    </w:p>
    <w:p>
      <w:pPr>
        <w:ind w:left="120" w:right="340" w:firstLine="528"/>
        <w:spacing w:after="0" w:line="288" w:lineRule="auto"/>
        <w:tabs>
          <w:tab w:leader="none" w:pos="1385" w:val="left"/>
        </w:tabs>
        <w:numPr>
          <w:ilvl w:val="1"/>
          <w:numId w:val="520"/>
        </w:numPr>
        <w:rPr>
          <w:rFonts w:ascii="Arial" w:cs="Arial" w:eastAsia="Arial" w:hAnsi="Arial"/>
          <w:sz w:val="14"/>
          <w:szCs w:val="14"/>
          <w:color w:val="auto"/>
        </w:rPr>
      </w:pPr>
      <w:r>
        <w:rPr>
          <w:rFonts w:ascii="Arial" w:cs="Arial" w:eastAsia="Arial" w:hAnsi="Arial"/>
          <w:sz w:val="14"/>
          <w:szCs w:val="14"/>
          <w:color w:val="auto"/>
        </w:rPr>
        <w:t>a copy of Century’s, Borrower’s and their Subsidiaries’ annual 409A valuation report as soon as practicable (and in any event, within ten (10) days after such report becomes available); and</w:t>
      </w:r>
    </w:p>
    <w:p>
      <w:pPr>
        <w:spacing w:after="0" w:line="131" w:lineRule="exact"/>
        <w:rPr>
          <w:rFonts w:ascii="Arial" w:cs="Arial" w:eastAsia="Arial" w:hAnsi="Arial"/>
          <w:sz w:val="14"/>
          <w:szCs w:val="14"/>
          <w:color w:val="auto"/>
        </w:rPr>
      </w:pPr>
    </w:p>
    <w:p>
      <w:pPr>
        <w:ind w:left="1400" w:hanging="752"/>
        <w:spacing w:after="0"/>
        <w:tabs>
          <w:tab w:leader="none" w:pos="1400" w:val="left"/>
        </w:tabs>
        <w:numPr>
          <w:ilvl w:val="1"/>
          <w:numId w:val="520"/>
        </w:numPr>
        <w:rPr>
          <w:rFonts w:ascii="Arial" w:cs="Arial" w:eastAsia="Arial" w:hAnsi="Arial"/>
          <w:sz w:val="13"/>
          <w:szCs w:val="13"/>
          <w:color w:val="auto"/>
        </w:rPr>
      </w:pPr>
      <w:r>
        <w:rPr>
          <w:rFonts w:ascii="Arial" w:cs="Arial" w:eastAsia="Arial" w:hAnsi="Arial"/>
          <w:sz w:val="13"/>
          <w:szCs w:val="13"/>
          <w:color w:val="auto"/>
        </w:rPr>
        <w:t>Immediate notice if Borrower or any Subsidiary has knowledge that Borrower, or any Subsidiary or Affiliate of Borrower, is listed on the OFAC Lists or (a) is</w:t>
      </w:r>
    </w:p>
    <w:p>
      <w:pPr>
        <w:spacing w:after="0" w:line="32"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4"/>
          <w:szCs w:val="14"/>
          <w:color w:val="auto"/>
        </w:rPr>
        <w:t>convicted on,</w:t>
      </w:r>
    </w:p>
    <w:p>
      <w:pPr>
        <w:spacing w:after="0" w:line="11" w:lineRule="exact"/>
        <w:rPr>
          <w:rFonts w:ascii="Arial" w:cs="Arial" w:eastAsia="Arial" w:hAnsi="Arial"/>
          <w:sz w:val="13"/>
          <w:szCs w:val="13"/>
          <w:color w:val="auto"/>
        </w:rPr>
      </w:pPr>
    </w:p>
    <w:p>
      <w:pPr>
        <w:ind w:left="340" w:hanging="209"/>
        <w:spacing w:after="0"/>
        <w:tabs>
          <w:tab w:leader="none" w:pos="340" w:val="left"/>
        </w:tabs>
        <w:numPr>
          <w:ilvl w:val="0"/>
          <w:numId w:val="521"/>
        </w:numPr>
        <w:rPr>
          <w:rFonts w:ascii="Arial" w:cs="Arial" w:eastAsia="Arial" w:hAnsi="Arial"/>
          <w:sz w:val="14"/>
          <w:szCs w:val="14"/>
          <w:color w:val="auto"/>
        </w:rPr>
      </w:pPr>
      <w:r>
        <w:rPr>
          <w:rFonts w:ascii="Arial" w:cs="Arial" w:eastAsia="Arial" w:hAnsi="Arial"/>
          <w:sz w:val="14"/>
          <w:szCs w:val="14"/>
          <w:color w:val="auto"/>
        </w:rPr>
        <w:t xml:space="preserve">pleads </w:t>
      </w:r>
      <w:r>
        <w:rPr>
          <w:rFonts w:ascii="Arial" w:cs="Arial" w:eastAsia="Arial" w:hAnsi="Arial"/>
          <w:sz w:val="14"/>
          <w:szCs w:val="14"/>
          <w:i w:val="1"/>
          <w:iCs w:val="1"/>
          <w:color w:val="auto"/>
        </w:rPr>
        <w:t>nolo contendere</w:t>
      </w:r>
      <w:r>
        <w:rPr>
          <w:rFonts w:ascii="Arial" w:cs="Arial" w:eastAsia="Arial" w:hAnsi="Arial"/>
          <w:sz w:val="14"/>
          <w:szCs w:val="14"/>
          <w:color w:val="auto"/>
        </w:rPr>
        <w:t xml:space="preserve"> to, (c) is indicted on, or (d) is arraigned and held over on charges involving money laundering or predicate crimes to money laundering.</w:t>
      </w:r>
    </w:p>
    <w:p>
      <w:pPr>
        <w:spacing w:after="0" w:line="186"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Borrower shall not make any change in its (a) accounting policies or reporting practices, except as required by GAAP or (b) fiscal years or fiscal quarters. The fiscal year of Borrower shall end on December 31.</w:t>
      </w:r>
    </w:p>
    <w:p>
      <w:pPr>
        <w:spacing w:after="0" w:line="132" w:lineRule="exact"/>
        <w:rPr>
          <w:sz w:val="20"/>
          <w:szCs w:val="20"/>
          <w:color w:val="auto"/>
        </w:rPr>
      </w:pPr>
    </w:p>
    <w:p>
      <w:pPr>
        <w:ind w:right="300"/>
        <w:spacing w:after="0" w:line="273" w:lineRule="auto"/>
        <w:rPr>
          <w:sz w:val="20"/>
          <w:szCs w:val="20"/>
          <w:color w:val="auto"/>
        </w:rPr>
      </w:pPr>
      <w:r>
        <w:rPr>
          <w:rFonts w:ascii="Arial" w:cs="Arial" w:eastAsia="Arial" w:hAnsi="Arial"/>
          <w:sz w:val="14"/>
          <w:szCs w:val="14"/>
          <w:color w:val="auto"/>
        </w:rPr>
        <w:t xml:space="preserve">The executed Compliance Certificate, and all Financial Statements required to be delivered pursuant to clauses (a), (b), (c) and (d) shall be sent via e-mail to </w:t>
      </w:r>
      <w:r>
        <w:rPr>
          <w:rFonts w:ascii="Arial" w:cs="Arial" w:eastAsia="Arial" w:hAnsi="Arial"/>
          <w:sz w:val="14"/>
          <w:szCs w:val="14"/>
          <w:u w:val="single" w:color="auto"/>
          <w:color w:val="auto"/>
        </w:rPr>
        <w:t>financialstatements@htgc.com</w:t>
      </w:r>
      <w:r>
        <w:rPr>
          <w:rFonts w:ascii="Arial" w:cs="Arial" w:eastAsia="Arial" w:hAnsi="Arial"/>
          <w:sz w:val="14"/>
          <w:szCs w:val="14"/>
          <w:color w:val="auto"/>
        </w:rPr>
        <w:t xml:space="preserve"> with a copy to </w:t>
      </w:r>
      <w:r>
        <w:rPr>
          <w:rFonts w:ascii="Arial" w:cs="Arial" w:eastAsia="Arial" w:hAnsi="Arial"/>
          <w:sz w:val="14"/>
          <w:szCs w:val="14"/>
          <w:u w:val="single" w:color="auto"/>
          <w:color w:val="auto"/>
        </w:rPr>
        <w:t>legal@htgc.com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bjadot@htgc.com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mdutra@htgc.com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ksegien@htgc.com</w:t>
      </w:r>
      <w:r>
        <w:rPr>
          <w:rFonts w:ascii="Arial" w:cs="Arial" w:eastAsia="Arial" w:hAnsi="Arial"/>
          <w:sz w:val="14"/>
          <w:szCs w:val="14"/>
          <w:color w:val="auto"/>
        </w:rPr>
        <w:t xml:space="preserve"> provided, that if e- mail is not available or sending such Financial Statements via e-mail is not possible, they shall be faxed to Agent at: (650) 473-9194, attention Account Manager: Century Therapeutics, LLC.</w:t>
      </w:r>
    </w:p>
    <w:p>
      <w:pPr>
        <w:spacing w:after="0" w:line="5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 xml:space="preserve">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emails a link thereto to Agent; provided that Borrower shall directly provide Agent all Financial Statements required to be delivered pursuant to </w:t>
      </w:r>
      <w:r>
        <w:rPr>
          <w:rFonts w:ascii="Arial" w:cs="Arial" w:eastAsia="Arial" w:hAnsi="Arial"/>
          <w:sz w:val="14"/>
          <w:szCs w:val="14"/>
          <w:u w:val="single" w:color="auto"/>
          <w:color w:val="auto"/>
        </w:rPr>
        <w:t>Section 7.1(b)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(c)</w:t>
      </w:r>
      <w:r>
        <w:rPr>
          <w:rFonts w:ascii="Arial" w:cs="Arial" w:eastAsia="Arial" w:hAnsi="Arial"/>
          <w:sz w:val="14"/>
          <w:szCs w:val="14"/>
          <w:color w:val="auto"/>
        </w:rPr>
        <w:t xml:space="preserve"> hereunder.</w:t>
      </w:r>
    </w:p>
    <w:p>
      <w:pPr>
        <w:spacing w:after="0" w:line="55" w:lineRule="exact"/>
        <w:rPr>
          <w:sz w:val="20"/>
          <w:szCs w:val="20"/>
          <w:color w:val="auto"/>
        </w:rPr>
      </w:pPr>
    </w:p>
    <w:p>
      <w:pPr>
        <w:ind w:left="60" w:right="120" w:firstLine="518"/>
        <w:spacing w:after="0" w:line="284" w:lineRule="auto"/>
        <w:rPr>
          <w:sz w:val="20"/>
          <w:szCs w:val="20"/>
          <w:color w:val="auto"/>
        </w:rPr>
      </w:pPr>
      <w:r>
        <w:rPr>
          <w:rFonts w:ascii="Arial" w:cs="Arial" w:eastAsia="Arial" w:hAnsi="Arial"/>
          <w:sz w:val="13"/>
          <w:szCs w:val="13"/>
          <w:color w:val="auto"/>
        </w:rPr>
        <w:t xml:space="preserve">7.2 Management Rights. Borrower shall permit any representative that Agent or the Lenders authorizes, including their attorneys and accountants, to inspect the Collateral and examine and make copies and abstracts of the books of account and records of Borrower at reasonable times and upon reasonable notice during normal business hours;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49" w:lineRule="exact"/>
        <w:rPr>
          <w:sz w:val="20"/>
          <w:szCs w:val="20"/>
          <w:color w:val="auto"/>
        </w:rPr>
      </w:pPr>
    </w:p>
    <w:p>
      <w:pPr>
        <w:jc w:val="both"/>
        <w:ind w:left="60" w:right="420" w:firstLine="518"/>
        <w:spacing w:after="0" w:line="273" w:lineRule="auto"/>
        <w:rPr>
          <w:sz w:val="20"/>
          <w:szCs w:val="20"/>
          <w:color w:val="auto"/>
        </w:rPr>
      </w:pPr>
      <w:r>
        <w:rPr>
          <w:rFonts w:ascii="Arial" w:cs="Arial" w:eastAsia="Arial" w:hAnsi="Arial"/>
          <w:sz w:val="14"/>
          <w:szCs w:val="14"/>
          <w:color w:val="auto"/>
        </w:rPr>
        <w:t>7.3 Further Assurances. Borrower shall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instruments or documents as may be reasonably requested by</w:t>
      </w:r>
    </w:p>
    <w:p>
      <w:pPr>
        <w:spacing w:after="0" w:line="14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13970</wp:posOffset>
            </wp:positionV>
            <wp:extent cx="7159625" cy="698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80"/>
          </w:cols>
          <w:pgMar w:left="780" w:top="647" w:right="339" w:bottom="1440" w:gutter="0" w:footer="0" w:header="0"/>
        </w:sectPr>
      </w:pPr>
    </w:p>
    <w:bookmarkStart w:id="701" w:name="page702"/>
    <w:bookmarkEnd w:id="701"/>
    <w:p>
      <w:pPr>
        <w:ind w:right="180"/>
        <w:spacing w:after="0" w:line="290" w:lineRule="auto"/>
        <w:rPr>
          <w:sz w:val="20"/>
          <w:szCs w:val="20"/>
          <w:color w:val="auto"/>
        </w:rPr>
      </w:pPr>
      <w:r>
        <w:rPr>
          <w:rFonts w:ascii="Arial" w:cs="Arial" w:eastAsia="Arial" w:hAnsi="Arial"/>
          <w:sz w:val="13"/>
          <w:szCs w:val="13"/>
          <w:color w:val="auto"/>
        </w:rPr>
        <w:t>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33" w:lineRule="exact"/>
        <w:rPr>
          <w:sz w:val="20"/>
          <w:szCs w:val="20"/>
          <w:color w:val="auto"/>
        </w:rPr>
      </w:pPr>
    </w:p>
    <w:p>
      <w:pPr>
        <w:ind w:right="120" w:firstLine="518"/>
        <w:spacing w:after="0" w:line="262" w:lineRule="auto"/>
        <w:rPr>
          <w:sz w:val="20"/>
          <w:szCs w:val="20"/>
          <w:color w:val="auto"/>
        </w:rPr>
      </w:pPr>
      <w:r>
        <w:rPr>
          <w:rFonts w:ascii="Arial" w:cs="Arial" w:eastAsia="Arial" w:hAnsi="Arial"/>
          <w:sz w:val="14"/>
          <w:szCs w:val="14"/>
          <w:color w:val="auto"/>
        </w:rPr>
        <w:t>7.4 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units in connection with such conversion, (b) purchase money Indebtedness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(d) payments made on Subordinated Indebtedness made in accordance with the terms of the relevant Subordination Agreement, (e) scheduled payments on Permitted Indebtedness in accordance with the terms thereof or (f) as otherwise permitted hereunder or approved in writing by Agent.</w:t>
      </w:r>
    </w:p>
    <w:p>
      <w:pPr>
        <w:spacing w:after="0" w:line="162" w:lineRule="exact"/>
        <w:rPr>
          <w:sz w:val="20"/>
          <w:szCs w:val="20"/>
          <w:color w:val="auto"/>
        </w:rPr>
      </w:pPr>
    </w:p>
    <w:p>
      <w:pPr>
        <w:ind w:firstLine="518"/>
        <w:spacing w:after="0" w:line="281" w:lineRule="auto"/>
        <w:rPr>
          <w:sz w:val="20"/>
          <w:szCs w:val="20"/>
          <w:color w:val="auto"/>
        </w:rPr>
      </w:pPr>
      <w:r>
        <w:rPr>
          <w:rFonts w:ascii="Arial" w:cs="Arial" w:eastAsia="Arial" w:hAnsi="Arial"/>
          <w:sz w:val="13"/>
          <w:szCs w:val="13"/>
          <w:color w:val="auto"/>
        </w:rPr>
        <w:t>7.5 Collateral. Borrower shall at all times keep the Collateral, the Intellectual Property and all other property and assets used in Borrower’s business or in which Borrower now or hereafter holds any interest free and clear from any legal process or Liens whatsoever (except for Permitted Liens), and shall give Agent prompt written notice of any legal process that is reasonably likely to result in damages, expenses or liabilities in excess of $250,000, affecting the Collateral, the Intellectual Property, such other property and assets, or any Liens thereon, provided however, that the Collateral and such other property and assets may be subject to Permitted Liens except that there shall be no Liens whatsoever on Intellectual Property. Borrower shall not agree with any Person other than Agent or the Lenders not to encumber its property.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provided however, that there shall be no Liens whatsoever on Intellectual Property), and shall give Agent prompt written notice of any legal process affecting such Subsidiary’s assets.</w:t>
      </w:r>
    </w:p>
    <w:p>
      <w:pPr>
        <w:spacing w:after="0" w:line="144" w:lineRule="exact"/>
        <w:rPr>
          <w:sz w:val="20"/>
          <w:szCs w:val="20"/>
          <w:color w:val="auto"/>
        </w:rPr>
      </w:pPr>
    </w:p>
    <w:p>
      <w:pPr>
        <w:ind w:right="120" w:firstLine="518"/>
        <w:spacing w:after="0" w:line="288" w:lineRule="auto"/>
        <w:rPr>
          <w:sz w:val="20"/>
          <w:szCs w:val="20"/>
          <w:color w:val="auto"/>
        </w:rPr>
      </w:pPr>
      <w:r>
        <w:rPr>
          <w:rFonts w:ascii="Arial" w:cs="Arial" w:eastAsia="Arial" w:hAnsi="Arial"/>
          <w:sz w:val="14"/>
          <w:szCs w:val="14"/>
          <w:color w:val="auto"/>
        </w:rPr>
        <w:t>7.6 Investments. Borrower shall not directly or indirectly acquire or own, or make any Investment in or to any Person, or permit any of its Subsidiaries to do so, other than Permitted Investments.</w:t>
      </w:r>
    </w:p>
    <w:p>
      <w:pPr>
        <w:spacing w:after="0" w:line="13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40"/>
          </w:cols>
          <w:pgMar w:left="840" w:top="582" w:right="419" w:bottom="1440" w:gutter="0" w:footer="0" w:header="0"/>
        </w:sectPr>
      </w:pPr>
    </w:p>
    <w:bookmarkStart w:id="702" w:name="page703"/>
    <w:bookmarkEnd w:id="702"/>
    <w:p>
      <w:pPr>
        <w:ind w:right="60" w:firstLine="518"/>
        <w:spacing w:after="0" w:line="261" w:lineRule="auto"/>
        <w:rPr>
          <w:sz w:val="20"/>
          <w:szCs w:val="20"/>
          <w:color w:val="auto"/>
        </w:rPr>
      </w:pPr>
      <w:r>
        <w:rPr>
          <w:rFonts w:ascii="Arial" w:cs="Arial" w:eastAsia="Arial" w:hAnsi="Arial"/>
          <w:sz w:val="14"/>
          <w:szCs w:val="14"/>
          <w:color w:val="auto"/>
        </w:rPr>
        <w:t>7.7 Distributions. Borrower shall not, and shall not allow any Subsidiary to, (a) repurchase or redeem any class of stock or other Equity Interest other than pursuant to employee, director, manager or consultant repurchase plans or other similar agreements, provided, however, in each case the repurchase or redemption price does not exceed the original consideration paid for such stock or Equity Interest, or (b) declare or pay any cash dividend or make any other cash distribution on any class of stock or other Equity Interest, except that (x) a Subsidiary may pay dividends or make other distributions to Borrower or any Subsidiary of Borrower and (y) Borrower may make distributions to its members in accordance with Section 7.03 of the Operating Agreement on account of such members’ tax liability (including any required estimated tax payments) resulting from such members’ membership interests in Borrower, in accordance with the terms of the Operating Agreement, or (c) lend money to any employees, officers, managers or directors or guarantee the payment of any such loans granted by a third party in excess of $100,000 in the aggregate or (d) waive, release or forgive any Indebtedness owed by any employees, officers, managers or directors in excess of $100,000 in the aggregate.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7.8</w:t>
            </w:r>
          </w:p>
        </w:tc>
        <w:tc>
          <w:tcPr>
            <w:tcW w:w="9660" w:type="dxa"/>
            <w:vAlign w:val="bottom"/>
          </w:tcPr>
          <w:p>
            <w:pPr>
              <w:ind w:left="240"/>
              <w:spacing w:after="0"/>
              <w:rPr>
                <w:sz w:val="20"/>
                <w:szCs w:val="20"/>
                <w:color w:val="auto"/>
              </w:rPr>
            </w:pPr>
            <w:r>
              <w:rPr>
                <w:rFonts w:ascii="Arial" w:cs="Arial" w:eastAsia="Arial" w:hAnsi="Arial"/>
                <w:sz w:val="14"/>
                <w:szCs w:val="14"/>
                <w:color w:val="auto"/>
                <w:w w:val="94"/>
              </w:rPr>
              <w:t>Transfers. Except for Permitted Transfers, Borrower shall not, and shall not allow any Subsidiary to, voluntarily or involuntarily transfer, sell, lease, license, lend or</w:t>
            </w:r>
          </w:p>
        </w:tc>
      </w:tr>
      <w:tr>
        <w:trPr>
          <w:trHeight w:val="182"/>
        </w:trPr>
        <w:tc>
          <w:tcPr>
            <w:tcW w:w="10620" w:type="dxa"/>
            <w:vAlign w:val="bottom"/>
            <w:gridSpan w:val="2"/>
          </w:tcPr>
          <w:p>
            <w:pPr>
              <w:spacing w:after="0"/>
              <w:rPr>
                <w:sz w:val="20"/>
                <w:szCs w:val="20"/>
                <w:color w:val="auto"/>
              </w:rPr>
            </w:pPr>
            <w:r>
              <w:rPr>
                <w:rFonts w:ascii="Arial" w:cs="Arial" w:eastAsia="Arial" w:hAnsi="Arial"/>
                <w:sz w:val="14"/>
                <w:szCs w:val="14"/>
                <w:color w:val="auto"/>
              </w:rPr>
              <w:t>in any other manner convey any equitable, beneficial or legal interest in any material portion of its assets.</w:t>
            </w:r>
          </w:p>
        </w:tc>
      </w:tr>
      <w:tr>
        <w:trPr>
          <w:trHeight w:val="345"/>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9660" w:type="dxa"/>
            <w:vAlign w:val="bottom"/>
          </w:tcPr>
          <w:p>
            <w:pPr>
              <w:ind w:left="240"/>
              <w:spacing w:after="0"/>
              <w:rPr>
                <w:sz w:val="20"/>
                <w:szCs w:val="20"/>
                <w:color w:val="auto"/>
              </w:rPr>
            </w:pPr>
            <w:r>
              <w:rPr>
                <w:rFonts w:ascii="Arial" w:cs="Arial" w:eastAsia="Arial" w:hAnsi="Arial"/>
                <w:sz w:val="14"/>
                <w:szCs w:val="14"/>
                <w:color w:val="auto"/>
                <w:w w:val="95"/>
              </w:rPr>
              <w:t>Mergers and Consolidations. Borrower shall not merge or consolidate, or permit any of its Subsidiaries to merge or consolidate, with or into any other business</w:t>
            </w:r>
          </w:p>
        </w:tc>
      </w:tr>
    </w:tbl>
    <w:p>
      <w:pPr>
        <w:spacing w:after="0"/>
        <w:rPr>
          <w:sz w:val="20"/>
          <w:szCs w:val="20"/>
          <w:color w:val="auto"/>
        </w:rPr>
      </w:pPr>
      <w:r>
        <w:rPr>
          <w:rFonts w:ascii="Arial" w:cs="Arial" w:eastAsia="Arial" w:hAnsi="Arial"/>
          <w:sz w:val="13"/>
          <w:szCs w:val="13"/>
          <w:color w:val="auto"/>
        </w:rPr>
        <w:t>organization (other than mergers or consolidations of (a) a Subsidiary which is not a Borrower into another Subsidiary or into Borrower or (b) a Borrower into another Borrower).</w:t>
      </w:r>
    </w:p>
    <w:p>
      <w:pPr>
        <w:spacing w:after="0" w:line="197" w:lineRule="exact"/>
        <w:rPr>
          <w:sz w:val="20"/>
          <w:szCs w:val="20"/>
          <w:color w:val="auto"/>
        </w:rPr>
      </w:pPr>
    </w:p>
    <w:p>
      <w:pPr>
        <w:ind w:right="160" w:firstLine="518"/>
        <w:spacing w:after="0" w:line="290" w:lineRule="auto"/>
        <w:rPr>
          <w:sz w:val="20"/>
          <w:szCs w:val="20"/>
          <w:color w:val="auto"/>
        </w:rPr>
      </w:pPr>
      <w:r>
        <w:rPr>
          <w:rFonts w:ascii="Arial" w:cs="Arial" w:eastAsia="Arial" w:hAnsi="Arial"/>
          <w:sz w:val="13"/>
          <w:szCs w:val="13"/>
          <w:color w:val="auto"/>
        </w:rPr>
        <w:t>7.10 Taxes. Borrower shall, and shall cause each of its Subsidiaries to, pay when due (subject to any properly obtained extensions)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43" w:lineRule="exact"/>
        <w:rPr>
          <w:sz w:val="20"/>
          <w:szCs w:val="20"/>
          <w:color w:val="auto"/>
        </w:rPr>
      </w:pPr>
    </w:p>
    <w:p>
      <w:pPr>
        <w:ind w:right="20" w:firstLine="518"/>
        <w:spacing w:after="0" w:line="285" w:lineRule="auto"/>
        <w:rPr>
          <w:sz w:val="20"/>
          <w:szCs w:val="20"/>
          <w:color w:val="auto"/>
        </w:rPr>
      </w:pPr>
      <w:r>
        <w:rPr>
          <w:rFonts w:ascii="Arial" w:cs="Arial" w:eastAsia="Arial" w:hAnsi="Arial"/>
          <w:sz w:val="13"/>
          <w:szCs w:val="13"/>
          <w:color w:val="auto"/>
        </w:rPr>
        <w:t>7.11 Organizational Changes. Neither Borrower nor any Subsidiary shall change its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except with respect to Century Canada, shall be within the continental United States of America. Neither Borrower nor any Subsidiary shall relocate any item of Collateral (other than (x) sales of Inventory in the ordinary course of business, (y) relocations of Equipment having an aggregate value of up to $150,000 in any fiscal year, and (z) relocations of Collateral from a location described on Exhibit B to another location described on Exhibit B) unless (i) it has provided prompt written notice to Agent, (ii) such relocation is within the continental United States of America (except with respect to Century Canada) and, (iii) if such relocation is to a third party bailee, it has delivered a bailee agreement in form and substance reasonably acceptable to Agent.</w:t>
      </w:r>
    </w:p>
    <w:p>
      <w:pPr>
        <w:spacing w:after="0" w:line="138"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647" w:right="439" w:bottom="1440" w:gutter="0" w:footer="0" w:header="0"/>
        </w:sectPr>
      </w:pPr>
    </w:p>
    <w:bookmarkStart w:id="703" w:name="page704"/>
    <w:bookmarkEnd w:id="703"/>
    <w:p>
      <w:pPr>
        <w:ind w:left="60" w:right="340" w:firstLine="518"/>
        <w:spacing w:after="0" w:line="288" w:lineRule="auto"/>
        <w:rPr>
          <w:sz w:val="20"/>
          <w:szCs w:val="20"/>
          <w:color w:val="auto"/>
        </w:rPr>
      </w:pPr>
      <w:r>
        <w:rPr>
          <w:rFonts w:ascii="Arial" w:cs="Arial" w:eastAsia="Arial" w:hAnsi="Arial"/>
          <w:sz w:val="14"/>
          <w:szCs w:val="14"/>
          <w:color w:val="auto"/>
        </w:rPr>
        <w:t>7.12 Deposit Accounts. Neither Borrower nor any Subsidiary shall maintain any Deposit Accounts, or accounts holding Investment Property, except with respect to which Agent has an Account Control Agreement; provided that no Account Control Agreement shall be required for any Excluded Account.</w:t>
      </w:r>
    </w:p>
    <w:p>
      <w:pPr>
        <w:spacing w:after="0" w:line="142" w:lineRule="exact"/>
        <w:rPr>
          <w:sz w:val="20"/>
          <w:szCs w:val="20"/>
          <w:color w:val="auto"/>
        </w:rPr>
      </w:pPr>
    </w:p>
    <w:p>
      <w:pPr>
        <w:ind w:left="60" w:right="140" w:firstLine="518"/>
        <w:spacing w:after="0" w:line="288" w:lineRule="auto"/>
        <w:rPr>
          <w:sz w:val="20"/>
          <w:szCs w:val="20"/>
          <w:color w:val="auto"/>
        </w:rPr>
      </w:pPr>
      <w:r>
        <w:rPr>
          <w:rFonts w:ascii="Arial" w:cs="Arial" w:eastAsia="Arial" w:hAnsi="Arial"/>
          <w:sz w:val="14"/>
          <w:szCs w:val="14"/>
          <w:color w:val="auto"/>
        </w:rPr>
        <w:t>7.13 Borrower shall notify Agent of each Subsidiary formed subsequent to the Closing Date and, within 15 days of formation (or such later date as Agent may agree in its sole discretion), shall cause any such Subsidiary to execute and deliver to Agent a Joinder Agreement.</w:t>
      </w:r>
    </w:p>
    <w:p>
      <w:pPr>
        <w:spacing w:after="0" w:line="132" w:lineRule="exact"/>
        <w:rPr>
          <w:sz w:val="20"/>
          <w:szCs w:val="20"/>
          <w:color w:val="auto"/>
        </w:rPr>
      </w:pPr>
    </w:p>
    <w:p>
      <w:pPr>
        <w:ind w:left="60" w:right="140" w:firstLine="518"/>
        <w:spacing w:after="0" w:line="288" w:lineRule="auto"/>
        <w:rPr>
          <w:sz w:val="20"/>
          <w:szCs w:val="20"/>
          <w:color w:val="auto"/>
        </w:rPr>
      </w:pPr>
      <w:r>
        <w:rPr>
          <w:rFonts w:ascii="Arial" w:cs="Arial" w:eastAsia="Arial" w:hAnsi="Arial"/>
          <w:sz w:val="14"/>
          <w:szCs w:val="14"/>
          <w:color w:val="auto"/>
        </w:rPr>
        <w:t>7.14 Century Canada. Borrower shall not cause or permit Cash or other assets held by Century Canada to exceed $500,000 in the aggregate at any time. Borrower shall not cause or permit Century Canada to incur any Indebtedness other than the Empirica Promissory Note.</w:t>
      </w:r>
    </w:p>
    <w:p>
      <w:pPr>
        <w:spacing w:after="0" w:line="142"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4"/>
          <w:szCs w:val="14"/>
          <w:color w:val="auto"/>
        </w:rPr>
        <w:t>7.15</w:t>
      </w:r>
      <w:r>
        <w:rPr>
          <w:sz w:val="20"/>
          <w:szCs w:val="20"/>
          <w:color w:val="auto"/>
        </w:rPr>
        <w:tab/>
      </w:r>
      <w:r>
        <w:rPr>
          <w:rFonts w:ascii="Arial" w:cs="Arial" w:eastAsia="Arial" w:hAnsi="Arial"/>
          <w:sz w:val="13"/>
          <w:szCs w:val="13"/>
          <w:color w:val="auto"/>
        </w:rPr>
        <w:t>Notification of Event of Default. Borrower shall notify Agent promptly, any in any event within three (3) Business Days, of the occurrence of any Event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Default.</w:t>
      </w:r>
    </w:p>
    <w:p>
      <w:pPr>
        <w:spacing w:after="0" w:line="186"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4"/>
          <w:szCs w:val="14"/>
          <w:color w:val="auto"/>
        </w:rPr>
        <w:t>7.16</w:t>
      </w:r>
      <w:r>
        <w:rPr>
          <w:sz w:val="20"/>
          <w:szCs w:val="20"/>
          <w:color w:val="auto"/>
        </w:rPr>
        <w:tab/>
      </w:r>
      <w:r>
        <w:rPr>
          <w:rFonts w:ascii="Arial" w:cs="Arial" w:eastAsia="Arial" w:hAnsi="Arial"/>
          <w:sz w:val="13"/>
          <w:szCs w:val="13"/>
          <w:color w:val="auto"/>
        </w:rPr>
        <w:t>[RESERVED]</w:t>
      </w:r>
    </w:p>
    <w:p>
      <w:pPr>
        <w:spacing w:after="0" w:line="184" w:lineRule="exact"/>
        <w:rPr>
          <w:sz w:val="20"/>
          <w:szCs w:val="20"/>
          <w:color w:val="auto"/>
        </w:rPr>
      </w:pPr>
    </w:p>
    <w:p>
      <w:pPr>
        <w:ind w:left="60" w:right="120" w:firstLine="517"/>
        <w:spacing w:after="0" w:line="273" w:lineRule="auto"/>
        <w:rPr>
          <w:sz w:val="20"/>
          <w:szCs w:val="20"/>
          <w:color w:val="auto"/>
        </w:rPr>
      </w:pPr>
      <w:r>
        <w:rPr>
          <w:rFonts w:ascii="Arial" w:cs="Arial" w:eastAsia="Arial" w:hAnsi="Arial"/>
          <w:sz w:val="14"/>
          <w:szCs w:val="14"/>
          <w:color w:val="auto"/>
        </w:rPr>
        <w:t>7.17 Use of Proceeds. Borrower agrees that the proceeds of the Loans shall be used solely to pay related fees and expenses in connection with this Agreement and for working capital and general corporate purposes, including to fund any Permitted Investments. The proceeds of the Loans Credit will not be used in violation of Anti-Corruption Laws or applicable Sanctions.</w:t>
      </w:r>
    </w:p>
    <w:p>
      <w:pPr>
        <w:spacing w:after="0" w:line="152"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4"/>
          <w:szCs w:val="14"/>
          <w:color w:val="auto"/>
        </w:rPr>
        <w:t>7.18</w:t>
      </w:r>
      <w:r>
        <w:rPr>
          <w:sz w:val="20"/>
          <w:szCs w:val="20"/>
          <w:color w:val="auto"/>
        </w:rPr>
        <w:tab/>
      </w:r>
      <w:r>
        <w:rPr>
          <w:rFonts w:ascii="Arial" w:cs="Arial" w:eastAsia="Arial" w:hAnsi="Arial"/>
          <w:sz w:val="13"/>
          <w:szCs w:val="13"/>
          <w:color w:val="auto"/>
        </w:rPr>
        <w:t>[RESERVED].</w:t>
      </w:r>
    </w:p>
    <w:p>
      <w:pPr>
        <w:spacing w:after="0" w:line="195"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4"/>
          <w:szCs w:val="14"/>
          <w:color w:val="auto"/>
        </w:rPr>
        <w:t>7.19</w:t>
      </w:r>
      <w:r>
        <w:rPr>
          <w:sz w:val="20"/>
          <w:szCs w:val="20"/>
          <w:color w:val="auto"/>
        </w:rPr>
        <w:tab/>
      </w:r>
      <w:r>
        <w:rPr>
          <w:rFonts w:ascii="Arial" w:cs="Arial" w:eastAsia="Arial" w:hAnsi="Arial"/>
          <w:sz w:val="13"/>
          <w:szCs w:val="13"/>
          <w:color w:val="auto"/>
        </w:rPr>
        <w:t>Compliance with Laws.</w:t>
      </w:r>
    </w:p>
    <w:p>
      <w:pPr>
        <w:spacing w:after="0" w:line="184" w:lineRule="exact"/>
        <w:rPr>
          <w:sz w:val="20"/>
          <w:szCs w:val="20"/>
          <w:color w:val="auto"/>
        </w:rPr>
      </w:pPr>
    </w:p>
    <w:p>
      <w:pPr>
        <w:ind w:left="60" w:right="100" w:firstLine="1036"/>
        <w:spacing w:after="0" w:line="303" w:lineRule="auto"/>
        <w:rPr>
          <w:sz w:val="20"/>
          <w:szCs w:val="20"/>
          <w:color w:val="auto"/>
        </w:rPr>
      </w:pPr>
      <w:r>
        <w:rPr>
          <w:rFonts w:ascii="Arial" w:cs="Arial" w:eastAsia="Arial" w:hAnsi="Arial"/>
          <w:sz w:val="13"/>
          <w:szCs w:val="13"/>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w:t>
      </w:r>
    </w:p>
    <w:p>
      <w:pPr>
        <w:spacing w:after="0" w:line="124" w:lineRule="exact"/>
        <w:rPr>
          <w:sz w:val="20"/>
          <w:szCs w:val="20"/>
          <w:color w:val="auto"/>
        </w:rPr>
      </w:pPr>
    </w:p>
    <w:p>
      <w:pPr>
        <w:ind w:left="60" w:right="200" w:firstLine="1036"/>
        <w:spacing w:after="0" w:line="264" w:lineRule="auto"/>
        <w:rPr>
          <w:sz w:val="20"/>
          <w:szCs w:val="20"/>
          <w:color w:val="auto"/>
        </w:rPr>
      </w:pPr>
      <w:r>
        <w:rPr>
          <w:rFonts w:ascii="Arial" w:cs="Arial" w:eastAsia="Arial" w:hAnsi="Arial"/>
          <w:sz w:val="14"/>
          <w:szCs w:val="14"/>
          <w:color w:val="auto"/>
        </w:rPr>
        <w:t>Neither Borrower nor any of its Subsidiaries shall, nor shall Borrower or any of its Subsidiaries permit any controlled Affiliate to, directly or indirectly, knowingly enter into any documents, instruments, agreements or contracts with any Person listed on the OFAC Lists.</w:t>
      </w:r>
    </w:p>
    <w:p>
      <w:pPr>
        <w:spacing w:after="0" w:line="1" w:lineRule="exact"/>
        <w:rPr>
          <w:sz w:val="20"/>
          <w:szCs w:val="20"/>
          <w:color w:val="auto"/>
        </w:rPr>
      </w:pPr>
    </w:p>
    <w:p>
      <w:pPr>
        <w:ind w:left="60"/>
        <w:spacing w:after="0" w:line="261" w:lineRule="auto"/>
        <w:rPr>
          <w:sz w:val="20"/>
          <w:szCs w:val="20"/>
          <w:color w:val="auto"/>
        </w:rPr>
      </w:pPr>
      <w:r>
        <w:rPr>
          <w:rFonts w:ascii="Arial" w:cs="Arial" w:eastAsia="Arial" w:hAnsi="Arial"/>
          <w:sz w:val="14"/>
          <w:szCs w:val="14"/>
          <w:color w:val="auto"/>
        </w:rPr>
        <w:t>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62" w:lineRule="exact"/>
        <w:rPr>
          <w:sz w:val="20"/>
          <w:szCs w:val="20"/>
          <w:color w:val="auto"/>
        </w:rPr>
      </w:pPr>
    </w:p>
    <w:p>
      <w:pPr>
        <w:ind w:right="120" w:firstLine="1036"/>
        <w:spacing w:after="0" w:line="273" w:lineRule="auto"/>
        <w:rPr>
          <w:sz w:val="20"/>
          <w:szCs w:val="20"/>
          <w:color w:val="auto"/>
        </w:rPr>
      </w:pPr>
      <w:r>
        <w:rPr>
          <w:rFonts w:ascii="Arial" w:cs="Arial" w:eastAsia="Arial" w:hAnsi="Arial"/>
          <w:sz w:val="14"/>
          <w:szCs w:val="14"/>
          <w:color w:val="auto"/>
        </w:rPr>
        <w:t>Borrower will, within 90 days of the Closing Date, implement and at all times thereafter maintain in effect policies and procedures designed to ensure compliance by the Borrower, its Subsidiaries and their respective directors, officers, employees and agents with Anti- Corruption Laws and applicable Sanctions, and Borrower, its Subsidiaries and their respective</w:t>
      </w:r>
    </w:p>
    <w:p>
      <w:pPr>
        <w:spacing w:after="0" w:line="141" w:lineRule="exact"/>
        <w:rPr>
          <w:sz w:val="20"/>
          <w:szCs w:val="20"/>
          <w:color w:val="auto"/>
        </w:rPr>
      </w:pPr>
    </w:p>
    <w:p>
      <w:pPr>
        <w:jc w:val="center"/>
        <w:ind w:right="3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13970</wp:posOffset>
            </wp:positionV>
            <wp:extent cx="7159625" cy="698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60"/>
          </w:cols>
          <w:pgMar w:left="780" w:top="647" w:right="459" w:bottom="1440" w:gutter="0" w:footer="0" w:header="0"/>
        </w:sectPr>
      </w:pPr>
    </w:p>
    <w:bookmarkStart w:id="704" w:name="page705"/>
    <w:bookmarkEnd w:id="704"/>
    <w:p>
      <w:pPr>
        <w:spacing w:after="0"/>
        <w:rPr>
          <w:sz w:val="20"/>
          <w:szCs w:val="20"/>
          <w:color w:val="auto"/>
        </w:rPr>
      </w:pPr>
      <w:r>
        <w:rPr>
          <w:rFonts w:ascii="Arial" w:cs="Arial" w:eastAsia="Arial" w:hAnsi="Arial"/>
          <w:sz w:val="13"/>
          <w:szCs w:val="13"/>
          <w:color w:val="auto"/>
        </w:rPr>
        <w:t>officers and employees and to the knowledge of Borrower its directors and agents, are in compliance with Anti-Corruption Laws and applicable Sanctions in all material respects.</w:t>
      </w:r>
    </w:p>
    <w:p>
      <w:pPr>
        <w:spacing w:after="0" w:line="196" w:lineRule="exact"/>
        <w:rPr>
          <w:sz w:val="20"/>
          <w:szCs w:val="20"/>
          <w:color w:val="auto"/>
        </w:rPr>
      </w:pPr>
    </w:p>
    <w:p>
      <w:pPr>
        <w:jc w:val="both"/>
        <w:ind w:right="120" w:firstLine="1036"/>
        <w:spacing w:after="0" w:line="273" w:lineRule="auto"/>
        <w:rPr>
          <w:sz w:val="20"/>
          <w:szCs w:val="20"/>
          <w:color w:val="auto"/>
        </w:rPr>
      </w:pPr>
      <w:r>
        <w:rPr>
          <w:rFonts w:ascii="Arial" w:cs="Arial" w:eastAsia="Arial" w:hAnsi="Arial"/>
          <w:sz w:val="14"/>
          <w:szCs w:val="14"/>
          <w:color w:val="auto"/>
        </w:rPr>
        <w:t>None of Borrower, any of its Subsidiaries or any of their respective managers,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52" w:lineRule="exact"/>
        <w:rPr>
          <w:sz w:val="20"/>
          <w:szCs w:val="20"/>
          <w:color w:val="auto"/>
        </w:rPr>
      </w:pPr>
    </w:p>
    <w:p>
      <w:pPr>
        <w:ind w:left="60" w:right="60" w:firstLine="518"/>
        <w:spacing w:after="0" w:line="265" w:lineRule="auto"/>
        <w:rPr>
          <w:sz w:val="20"/>
          <w:szCs w:val="20"/>
          <w:color w:val="auto"/>
        </w:rPr>
      </w:pPr>
      <w:r>
        <w:rPr>
          <w:rFonts w:ascii="Arial" w:cs="Arial" w:eastAsia="Arial" w:hAnsi="Arial"/>
          <w:sz w:val="14"/>
          <w:szCs w:val="14"/>
          <w:color w:val="auto"/>
        </w:rPr>
        <w:t xml:space="preserve">7.20 Minimum Cash. If and only if Borrower has </w:t>
      </w:r>
      <w:r>
        <w:rPr>
          <w:rFonts w:ascii="Arial" w:cs="Arial" w:eastAsia="Arial" w:hAnsi="Arial"/>
          <w:sz w:val="14"/>
          <w:szCs w:val="14"/>
          <w:u w:val="single" w:color="auto"/>
          <w:color w:val="auto"/>
        </w:rPr>
        <w:t>both</w:t>
      </w:r>
      <w:r>
        <w:rPr>
          <w:rFonts w:ascii="Arial" w:cs="Arial" w:eastAsia="Arial" w:hAnsi="Arial"/>
          <w:sz w:val="14"/>
          <w:szCs w:val="14"/>
          <w:color w:val="auto"/>
        </w:rPr>
        <w:t xml:space="preserve">: (a) drawn the Tranche 2 Advance </w:t>
      </w:r>
      <w:r>
        <w:rPr>
          <w:rFonts w:ascii="Arial" w:cs="Arial" w:eastAsia="Arial" w:hAnsi="Arial"/>
          <w:sz w:val="14"/>
          <w:szCs w:val="14"/>
          <w:u w:val="single" w:color="auto"/>
          <w:color w:val="auto"/>
        </w:rPr>
        <w:t>and</w:t>
      </w:r>
      <w:r>
        <w:rPr>
          <w:rFonts w:ascii="Arial" w:cs="Arial" w:eastAsia="Arial" w:hAnsi="Arial"/>
          <w:sz w:val="14"/>
          <w:szCs w:val="14"/>
          <w:color w:val="auto"/>
        </w:rPr>
        <w:t xml:space="preserve"> (b) not achieved Performance Milestone II by September 30, 2021, then at all times after September 30, 2021, Borrower shall maintain minimum unrestricted Cash of at least Eight Million Five Hundred Thousand Dollars ($8,500,000) plus the amount of Borrower’s accounts payable not paid after the 90th day following the invoice date for such accounts payable, in an account subject to an Account Control Agreement in favor of Agent, until Performance Milestone II has been achieved. For the avoidance of doubt, if the Tranche 2 Advance is not drawn or Borrower has achieved Performance Milestone II by September 30, 2021, then there shall be no minimum cash requirement.</w:t>
      </w:r>
    </w:p>
    <w:p>
      <w:pPr>
        <w:spacing w:after="0" w:line="147" w:lineRule="exact"/>
        <w:rPr>
          <w:sz w:val="20"/>
          <w:szCs w:val="20"/>
          <w:color w:val="auto"/>
        </w:rPr>
      </w:pPr>
    </w:p>
    <w:p>
      <w:pPr>
        <w:ind w:left="60" w:right="40" w:firstLine="518"/>
        <w:spacing w:after="0" w:line="273" w:lineRule="auto"/>
        <w:rPr>
          <w:sz w:val="20"/>
          <w:szCs w:val="20"/>
          <w:color w:val="auto"/>
        </w:rPr>
      </w:pPr>
      <w:r>
        <w:rPr>
          <w:rFonts w:ascii="Arial" w:cs="Arial" w:eastAsia="Arial" w:hAnsi="Arial"/>
          <w:sz w:val="14"/>
          <w:szCs w:val="14"/>
          <w:color w:val="auto"/>
        </w:rPr>
        <w:t>7.21 Intellectual Property. Borrower shall (i) protect, defend and maintain the validity and enforceability of its Intellectual Property; (ii) promptly advise Agent in writing of material infringements of its Intellectual Property; and (iii) not allow any Intellectual Property material to Borrowers’ business to be abandoned, forfeited or dedicated to the public without Agent’s written consent.</w:t>
      </w:r>
    </w:p>
    <w:p>
      <w:pPr>
        <w:spacing w:after="0" w:line="152" w:lineRule="exact"/>
        <w:rPr>
          <w:sz w:val="20"/>
          <w:szCs w:val="20"/>
          <w:color w:val="auto"/>
        </w:rPr>
      </w:pPr>
    </w:p>
    <w:p>
      <w:pPr>
        <w:ind w:left="60" w:right="120" w:firstLine="518"/>
        <w:spacing w:after="0" w:line="273" w:lineRule="auto"/>
        <w:rPr>
          <w:sz w:val="20"/>
          <w:szCs w:val="20"/>
          <w:color w:val="auto"/>
        </w:rPr>
      </w:pPr>
      <w:r>
        <w:rPr>
          <w:rFonts w:ascii="Arial" w:cs="Arial" w:eastAsia="Arial" w:hAnsi="Arial"/>
          <w:sz w:val="14"/>
          <w:szCs w:val="14"/>
          <w:color w:val="auto"/>
        </w:rPr>
        <w:t>7.22 Transactions with Affiliates. Except as described on Schedule 7.22,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w:t>
      </w:r>
    </w:p>
    <w:p>
      <w:pPr>
        <w:spacing w:after="0" w:line="137"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 xml:space="preserve">SECTION 8. </w:t>
      </w:r>
      <w:r>
        <w:rPr>
          <w:rFonts w:ascii="Arial" w:cs="Arial" w:eastAsia="Arial" w:hAnsi="Arial"/>
          <w:sz w:val="14"/>
          <w:szCs w:val="14"/>
          <w:b w:val="1"/>
          <w:bCs w:val="1"/>
          <w:u w:val="single" w:color="auto"/>
          <w:color w:val="auto"/>
        </w:rPr>
        <w:t>RIGHT TO INVEST</w:t>
      </w:r>
    </w:p>
    <w:p>
      <w:pPr>
        <w:spacing w:after="0" w:line="188" w:lineRule="exact"/>
        <w:rPr>
          <w:sz w:val="20"/>
          <w:szCs w:val="20"/>
          <w:color w:val="auto"/>
        </w:rPr>
      </w:pPr>
    </w:p>
    <w:p>
      <w:pPr>
        <w:jc w:val="both"/>
        <w:ind w:left="60" w:right="160" w:firstLine="518"/>
        <w:spacing w:after="0" w:line="303" w:lineRule="auto"/>
        <w:rPr>
          <w:sz w:val="20"/>
          <w:szCs w:val="20"/>
          <w:color w:val="auto"/>
        </w:rPr>
      </w:pPr>
      <w:r>
        <w:rPr>
          <w:rFonts w:ascii="Arial" w:cs="Arial" w:eastAsia="Arial" w:hAnsi="Arial"/>
          <w:sz w:val="13"/>
          <w:szCs w:val="13"/>
          <w:color w:val="auto"/>
        </w:rPr>
        <w:t>8.1 Borrower shall use commercially reasonable efforts to notify the Lenders of each Subsequent Financing, and the Lenders or their assignee or nominee shall have the right, in their discretion, to indicate their interest to participate in any Subsequent Financing on the same terms, conditions and pricing afforded to investors participating in any such Subsequent Financing (excluding Bayer and Century Therapeutics, Inc.). This Section 8.1, and all rights and obligations hereunder, shall expire upon termination of this Agreement.</w:t>
      </w:r>
    </w:p>
    <w:p>
      <w:pPr>
        <w:spacing w:after="0" w:line="131"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 xml:space="preserve">SECTION 9. </w:t>
      </w:r>
      <w:r>
        <w:rPr>
          <w:rFonts w:ascii="Arial" w:cs="Arial" w:eastAsia="Arial" w:hAnsi="Arial"/>
          <w:sz w:val="14"/>
          <w:szCs w:val="14"/>
          <w:b w:val="1"/>
          <w:bCs w:val="1"/>
          <w:u w:val="single" w:color="auto"/>
          <w:color w:val="auto"/>
        </w:rPr>
        <w:t>EVENTS OF DEFAULT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occurrence of any one or more of the following events shall be an Event of Default:</w:t>
      </w:r>
    </w:p>
    <w:p>
      <w:pPr>
        <w:spacing w:after="0" w:line="184" w:lineRule="exact"/>
        <w:rPr>
          <w:sz w:val="20"/>
          <w:szCs w:val="20"/>
          <w:color w:val="auto"/>
        </w:rPr>
      </w:pPr>
    </w:p>
    <w:p>
      <w:pPr>
        <w:ind w:left="580"/>
        <w:spacing w:after="0"/>
        <w:tabs>
          <w:tab w:leader="none" w:pos="12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color w:val="auto"/>
        </w:rPr>
        <w:t>Payments. Borrower fails to pay any amount due under this Agreement or any of the other Loan Documents on the due date; provided, however, that an Event of</w:t>
      </w:r>
    </w:p>
    <w:p>
      <w:pPr>
        <w:spacing w:after="0" w:line="21" w:lineRule="exact"/>
        <w:rPr>
          <w:sz w:val="20"/>
          <w:szCs w:val="20"/>
          <w:color w:val="auto"/>
        </w:rPr>
      </w:pPr>
    </w:p>
    <w:p>
      <w:pPr>
        <w:ind w:left="60"/>
        <w:spacing w:after="0" w:line="274" w:lineRule="auto"/>
        <w:rPr>
          <w:sz w:val="20"/>
          <w:szCs w:val="20"/>
          <w:color w:val="auto"/>
        </w:rPr>
      </w:pPr>
      <w:r>
        <w:rPr>
          <w:rFonts w:ascii="Arial" w:cs="Arial" w:eastAsia="Arial" w:hAnsi="Arial"/>
          <w:sz w:val="14"/>
          <w:szCs w:val="14"/>
          <w:color w:val="auto"/>
        </w:rPr>
        <w:t>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4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13970</wp:posOffset>
            </wp:positionV>
            <wp:extent cx="7159625" cy="698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40"/>
          </w:cols>
          <w:pgMar w:left="780" w:top="583" w:right="479" w:bottom="1440" w:gutter="0" w:footer="0" w:header="0"/>
        </w:sectPr>
      </w:pPr>
    </w:p>
    <w:bookmarkStart w:id="705" w:name="page706"/>
    <w:bookmarkEnd w:id="705"/>
    <w:p>
      <w:pPr>
        <w:ind w:firstLine="517"/>
        <w:spacing w:after="0" w:line="284" w:lineRule="auto"/>
        <w:rPr>
          <w:sz w:val="20"/>
          <w:szCs w:val="20"/>
          <w:color w:val="auto"/>
        </w:rPr>
      </w:pPr>
      <w:r>
        <w:rPr>
          <w:rFonts w:ascii="Arial" w:cs="Arial" w:eastAsia="Arial" w:hAnsi="Arial"/>
          <w:sz w:val="13"/>
          <w:szCs w:val="13"/>
          <w:color w:val="auto"/>
        </w:rPr>
        <w:t>9.2 Covenants.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Sections 6, 7.4, 7.5, 7.6,</w:t>
      </w:r>
    </w:p>
    <w:p>
      <w:pPr>
        <w:spacing w:after="0" w:line="1" w:lineRule="exact"/>
        <w:rPr>
          <w:sz w:val="20"/>
          <w:szCs w:val="20"/>
          <w:color w:val="auto"/>
        </w:rPr>
      </w:pPr>
    </w:p>
    <w:p>
      <w:pPr>
        <w:ind w:right="140"/>
        <w:spacing w:after="0" w:line="295" w:lineRule="auto"/>
        <w:rPr>
          <w:sz w:val="20"/>
          <w:szCs w:val="20"/>
          <w:color w:val="auto"/>
        </w:rPr>
      </w:pPr>
      <w:r>
        <w:rPr>
          <w:rFonts w:ascii="Arial" w:cs="Arial" w:eastAsia="Arial" w:hAnsi="Arial"/>
          <w:sz w:val="13"/>
          <w:szCs w:val="13"/>
          <w:color w:val="auto"/>
        </w:rPr>
        <w:t>7.7, 7.8, 7.9, 7.15, 7.17, 7.19, 7.20, 7.21, and 7.22), any other Loan Document, or any other agreement among Borrower, Agent and the Lenders, such default continues for more than ten (10) Business Days after the earlier of the date on which (i) Agent or the Lenders has given notice of such default to Borrower and (ii) Borrower has actual knowledge of such default or (b) with respect to a default under any of Sections 6, 7.4, 7.5, 7.6, 7.7, 7.8, 7.9, 7.15, 7.17, 7.19, 7.20, 7.21, and 7.22, the occurrence of such default; or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9.3</w:t>
            </w:r>
          </w:p>
        </w:tc>
        <w:tc>
          <w:tcPr>
            <w:tcW w:w="9500" w:type="dxa"/>
            <w:vAlign w:val="bottom"/>
          </w:tcPr>
          <w:p>
            <w:pPr>
              <w:ind w:left="240"/>
              <w:spacing w:after="0"/>
              <w:rPr>
                <w:sz w:val="20"/>
                <w:szCs w:val="20"/>
                <w:color w:val="auto"/>
              </w:rPr>
            </w:pPr>
            <w:r>
              <w:rPr>
                <w:rFonts w:ascii="Arial" w:cs="Arial" w:eastAsia="Arial" w:hAnsi="Arial"/>
                <w:sz w:val="14"/>
                <w:szCs w:val="14"/>
                <w:color w:val="auto"/>
              </w:rPr>
              <w:t>Material Adverse Effect. A circumstance has occurred that could reasonably be expected to have a Material Adverse Effect; or</w:t>
            </w:r>
          </w:p>
        </w:tc>
      </w:tr>
      <w:tr>
        <w:trPr>
          <w:trHeight w:val="336"/>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9.4</w:t>
            </w:r>
          </w:p>
        </w:tc>
        <w:tc>
          <w:tcPr>
            <w:tcW w:w="9500" w:type="dxa"/>
            <w:vAlign w:val="bottom"/>
          </w:tcPr>
          <w:p>
            <w:pPr>
              <w:ind w:left="240"/>
              <w:spacing w:after="0"/>
              <w:rPr>
                <w:sz w:val="20"/>
                <w:szCs w:val="20"/>
                <w:color w:val="auto"/>
              </w:rPr>
            </w:pPr>
            <w:r>
              <w:rPr>
                <w:rFonts w:ascii="Arial" w:cs="Arial" w:eastAsia="Arial" w:hAnsi="Arial"/>
                <w:sz w:val="14"/>
                <w:szCs w:val="14"/>
                <w:color w:val="auto"/>
                <w:w w:val="93"/>
              </w:rPr>
              <w:t>Representations. Any representation or warranty made by Borrower in any Loan Document or in the Warrant shall have been false or misleading in any material</w:t>
            </w:r>
          </w:p>
        </w:tc>
      </w:tr>
      <w:tr>
        <w:trPr>
          <w:trHeight w:val="182"/>
        </w:trPr>
        <w:tc>
          <w:tcPr>
            <w:tcW w:w="10460" w:type="dxa"/>
            <w:vAlign w:val="bottom"/>
            <w:gridSpan w:val="2"/>
          </w:tcPr>
          <w:p>
            <w:pPr>
              <w:spacing w:after="0"/>
              <w:rPr>
                <w:sz w:val="20"/>
                <w:szCs w:val="20"/>
                <w:color w:val="auto"/>
              </w:rPr>
            </w:pPr>
            <w:r>
              <w:rPr>
                <w:rFonts w:ascii="Arial" w:cs="Arial" w:eastAsia="Arial" w:hAnsi="Arial"/>
                <w:sz w:val="14"/>
                <w:szCs w:val="14"/>
                <w:color w:val="auto"/>
              </w:rPr>
              <w:t>respect when made or when deemed made; or</w:t>
            </w:r>
          </w:p>
        </w:tc>
      </w:tr>
      <w:tr>
        <w:trPr>
          <w:trHeight w:val="356"/>
        </w:trPr>
        <w:tc>
          <w:tcPr>
            <w:tcW w:w="960" w:type="dxa"/>
            <w:vAlign w:val="bottom"/>
          </w:tcPr>
          <w:p>
            <w:pPr>
              <w:jc w:val="right"/>
              <w:ind w:right="188"/>
              <w:spacing w:after="0"/>
              <w:rPr>
                <w:sz w:val="20"/>
                <w:szCs w:val="20"/>
                <w:color w:val="auto"/>
              </w:rPr>
            </w:pPr>
            <w:r>
              <w:rPr>
                <w:rFonts w:ascii="Arial" w:cs="Arial" w:eastAsia="Arial" w:hAnsi="Arial"/>
                <w:sz w:val="14"/>
                <w:szCs w:val="14"/>
                <w:color w:val="auto"/>
              </w:rPr>
              <w:t>9.5</w:t>
            </w:r>
          </w:p>
        </w:tc>
        <w:tc>
          <w:tcPr>
            <w:tcW w:w="9500" w:type="dxa"/>
            <w:vAlign w:val="bottom"/>
          </w:tcPr>
          <w:p>
            <w:pPr>
              <w:ind w:left="240"/>
              <w:spacing w:after="0"/>
              <w:rPr>
                <w:sz w:val="20"/>
                <w:szCs w:val="20"/>
                <w:color w:val="auto"/>
              </w:rPr>
            </w:pPr>
            <w:r>
              <w:rPr>
                <w:rFonts w:ascii="Arial" w:cs="Arial" w:eastAsia="Arial" w:hAnsi="Arial"/>
                <w:sz w:val="14"/>
                <w:szCs w:val="14"/>
                <w:color w:val="auto"/>
                <w:w w:val="93"/>
              </w:rPr>
              <w:t>Insolvency. Borrower (A) (i) shall make an assignment for the benefit of creditors; or (ii) shall be unable to pay its debts as they become due, or be unable to pay</w:t>
            </w:r>
          </w:p>
        </w:tc>
      </w:tr>
    </w:tbl>
    <w:p>
      <w:pPr>
        <w:ind w:right="120"/>
        <w:spacing w:after="0" w:line="277" w:lineRule="auto"/>
        <w:rPr>
          <w:sz w:val="20"/>
          <w:szCs w:val="20"/>
          <w:color w:val="auto"/>
        </w:rPr>
      </w:pPr>
      <w:r>
        <w:rPr>
          <w:rFonts w:ascii="Arial" w:cs="Arial" w:eastAsia="Arial" w:hAnsi="Arial"/>
          <w:sz w:val="13"/>
          <w:szCs w:val="13"/>
          <w:color w:val="auto"/>
        </w:rPr>
        <w:t>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of the assets or property of Borrower; or (vi) shall cease operations of its business as its business has normally been conducted, or terminate substantially all of its employees; or (vii) Borrower or its directors or majority shareholders shall take any action initiating any of the foregoing actions described in clauses (i) through (vi); or (B) either</w:t>
      </w:r>
    </w:p>
    <w:p>
      <w:pPr>
        <w:ind w:right="20" w:firstLine="6"/>
        <w:spacing w:after="0" w:line="260" w:lineRule="auto"/>
        <w:tabs>
          <w:tab w:leader="none" w:pos="172" w:val="left"/>
        </w:tabs>
        <w:numPr>
          <w:ilvl w:val="0"/>
          <w:numId w:val="522"/>
        </w:numPr>
        <w:rPr>
          <w:rFonts w:ascii="Arial" w:cs="Arial" w:eastAsia="Arial" w:hAnsi="Arial"/>
          <w:sz w:val="14"/>
          <w:szCs w:val="14"/>
          <w:color w:val="auto"/>
        </w:rPr>
      </w:pPr>
      <w:r>
        <w:rPr>
          <w:rFonts w:ascii="Arial" w:cs="Arial" w:eastAsia="Arial" w:hAnsi="Arial"/>
          <w:sz w:val="14"/>
          <w:szCs w:val="14"/>
          <w:color w:val="auto"/>
        </w:rPr>
        <w:t>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51" w:lineRule="exact"/>
        <w:rPr>
          <w:sz w:val="20"/>
          <w:szCs w:val="20"/>
          <w:color w:val="auto"/>
        </w:rPr>
      </w:pPr>
    </w:p>
    <w:p>
      <w:pPr>
        <w:ind w:right="420" w:firstLine="518"/>
        <w:spacing w:after="0" w:line="262" w:lineRule="auto"/>
        <w:rPr>
          <w:sz w:val="20"/>
          <w:szCs w:val="20"/>
          <w:color w:val="auto"/>
        </w:rPr>
      </w:pPr>
      <w:r>
        <w:rPr>
          <w:rFonts w:ascii="Arial" w:cs="Arial" w:eastAsia="Arial" w:hAnsi="Arial"/>
          <w:sz w:val="14"/>
          <w:szCs w:val="14"/>
          <w:color w:val="auto"/>
        </w:rPr>
        <w:t>9.6 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$100,000, or Borrower is enjoined or in any way prevented by court order from conducting any part of its business; or</w:t>
      </w:r>
    </w:p>
    <w:p>
      <w:pPr>
        <w:jc w:val="center"/>
        <w:ind w:right="40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15240</wp:posOffset>
            </wp:positionV>
            <wp:extent cx="7159625" cy="698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00"/>
          </w:cols>
          <w:pgMar w:left="840" w:top="647" w:right="459" w:bottom="1440" w:gutter="0" w:footer="0" w:header="0"/>
        </w:sectPr>
      </w:pPr>
    </w:p>
    <w:bookmarkStart w:id="706" w:name="page707"/>
    <w:bookmarkEnd w:id="706"/>
    <w:p>
      <w:pPr>
        <w:ind w:right="160" w:firstLine="518"/>
        <w:spacing w:after="0" w:line="288" w:lineRule="auto"/>
        <w:rPr>
          <w:sz w:val="20"/>
          <w:szCs w:val="20"/>
          <w:color w:val="auto"/>
        </w:rPr>
      </w:pPr>
      <w:r>
        <w:rPr>
          <w:rFonts w:ascii="Arial" w:cs="Arial" w:eastAsia="Arial" w:hAnsi="Arial"/>
          <w:sz w:val="14"/>
          <w:szCs w:val="14"/>
          <w:color w:val="auto"/>
        </w:rPr>
        <w:t>9.7 Other Obligations. The occurrence of any default under any agreement or obligation of Borrower involving any Indebtedness in excess of $100,000, or any other material agreement or obligation, in each case if a Material Adverse Effect could reasonably be expected to result from such default.</w:t>
      </w:r>
    </w:p>
    <w:p>
      <w:pPr>
        <w:spacing w:after="0" w:line="128"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 xml:space="preserve">SECTION 10. </w:t>
      </w:r>
      <w:r>
        <w:rPr>
          <w:rFonts w:ascii="Arial" w:cs="Arial" w:eastAsia="Arial" w:hAnsi="Arial"/>
          <w:sz w:val="14"/>
          <w:szCs w:val="14"/>
          <w:b w:val="1"/>
          <w:bCs w:val="1"/>
          <w:u w:val="single" w:color="auto"/>
          <w:color w:val="auto"/>
        </w:rPr>
        <w:t>REMEDIES</w:t>
      </w:r>
    </w:p>
    <w:p>
      <w:pPr>
        <w:spacing w:after="0" w:line="188" w:lineRule="exact"/>
        <w:rPr>
          <w:sz w:val="20"/>
          <w:szCs w:val="20"/>
          <w:color w:val="auto"/>
        </w:rPr>
      </w:pPr>
    </w:p>
    <w:p>
      <w:pPr>
        <w:ind w:firstLine="518"/>
        <w:spacing w:after="0" w:line="280" w:lineRule="auto"/>
        <w:rPr>
          <w:sz w:val="20"/>
          <w:szCs w:val="20"/>
          <w:color w:val="auto"/>
        </w:rPr>
      </w:pPr>
      <w:r>
        <w:rPr>
          <w:rFonts w:ascii="Arial" w:cs="Arial" w:eastAsia="Arial" w:hAnsi="Arial"/>
          <w:sz w:val="13"/>
          <w:szCs w:val="13"/>
          <w:color w:val="auto"/>
        </w:rPr>
        <w:t>10.1 General. Upon the occurrence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53" w:lineRule="exact"/>
        <w:rPr>
          <w:sz w:val="20"/>
          <w:szCs w:val="20"/>
          <w:color w:val="auto"/>
        </w:rPr>
      </w:pPr>
    </w:p>
    <w:p>
      <w:pPr>
        <w:ind w:right="100" w:firstLine="518"/>
        <w:spacing w:after="0" w:line="290" w:lineRule="auto"/>
        <w:rPr>
          <w:sz w:val="20"/>
          <w:szCs w:val="20"/>
          <w:color w:val="auto"/>
        </w:rPr>
      </w:pPr>
      <w:r>
        <w:rPr>
          <w:rFonts w:ascii="Arial" w:cs="Arial" w:eastAsia="Arial" w:hAnsi="Arial"/>
          <w:sz w:val="13"/>
          <w:szCs w:val="13"/>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w:t>
      </w:r>
    </w:p>
    <w:p>
      <w:pPr>
        <w:spacing w:after="0" w:line="13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40"/>
          </w:cols>
          <w:pgMar w:left="840" w:top="831" w:right="419" w:bottom="1440" w:gutter="0" w:footer="0" w:header="0"/>
        </w:sectPr>
      </w:pPr>
    </w:p>
    <w:bookmarkStart w:id="707" w:name="page708"/>
    <w:bookmarkEnd w:id="707"/>
    <w:p>
      <w:pPr>
        <w:ind w:left="440"/>
        <w:spacing w:after="0"/>
        <w:rPr>
          <w:sz w:val="20"/>
          <w:szCs w:val="20"/>
          <w:color w:val="auto"/>
        </w:rPr>
      </w:pPr>
      <w:r>
        <w:rPr>
          <w:rFonts w:ascii="Arial" w:cs="Arial" w:eastAsia="Arial" w:hAnsi="Arial"/>
          <w:sz w:val="14"/>
          <w:szCs w:val="14"/>
          <w:color w:val="auto"/>
        </w:rPr>
        <w:t>sale, disposition or other realization upon all or any part of the Collateral shall be applied by Agent in the following order of priorities:</w:t>
      </w:r>
    </w:p>
    <w:p>
      <w:pPr>
        <w:spacing w:after="0" w:line="184" w:lineRule="exact"/>
        <w:rPr>
          <w:sz w:val="20"/>
          <w:szCs w:val="20"/>
          <w:color w:val="auto"/>
        </w:rPr>
      </w:pPr>
    </w:p>
    <w:p>
      <w:pPr>
        <w:ind w:left="1020" w:right="580"/>
        <w:spacing w:after="0" w:line="288" w:lineRule="auto"/>
        <w:rPr>
          <w:sz w:val="20"/>
          <w:szCs w:val="20"/>
          <w:color w:val="auto"/>
        </w:rPr>
      </w:pPr>
      <w:r>
        <w:rPr>
          <w:rFonts w:ascii="Arial" w:cs="Arial" w:eastAsia="Arial" w:hAnsi="Arial"/>
          <w:sz w:val="14"/>
          <w:szCs w:val="14"/>
          <w:color w:val="auto"/>
        </w:rPr>
        <w:t>First, to Agent and the Lenders in an amount sufficient to pay in full Agent’s and the Lenders’ reasonable costs and professionals’ and advisors’ fees and expenses as described in Section 11.12;</w:t>
      </w:r>
    </w:p>
    <w:p>
      <w:pPr>
        <w:spacing w:after="0" w:line="45" w:lineRule="exact"/>
        <w:rPr>
          <w:sz w:val="20"/>
          <w:szCs w:val="20"/>
          <w:color w:val="auto"/>
        </w:rPr>
      </w:pPr>
    </w:p>
    <w:p>
      <w:pPr>
        <w:ind w:left="1020"/>
        <w:spacing w:after="0" w:line="288" w:lineRule="auto"/>
        <w:rPr>
          <w:sz w:val="20"/>
          <w:szCs w:val="20"/>
          <w:color w:val="auto"/>
        </w:rPr>
      </w:pPr>
      <w:r>
        <w:rPr>
          <w:rFonts w:ascii="Arial" w:cs="Arial" w:eastAsia="Arial" w:hAnsi="Arial"/>
          <w:sz w:val="14"/>
          <w:szCs w:val="14"/>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45" w:lineRule="exact"/>
        <w:rPr>
          <w:sz w:val="20"/>
          <w:szCs w:val="20"/>
          <w:color w:val="auto"/>
        </w:rPr>
      </w:pPr>
    </w:p>
    <w:p>
      <w:pPr>
        <w:ind w:left="1020" w:right="240"/>
        <w:spacing w:after="0" w:line="288" w:lineRule="auto"/>
        <w:rPr>
          <w:sz w:val="20"/>
          <w:szCs w:val="20"/>
          <w:color w:val="auto"/>
        </w:rPr>
      </w:pPr>
      <w:r>
        <w:rPr>
          <w:rFonts w:ascii="Arial" w:cs="Arial" w:eastAsia="Arial" w:hAnsi="Arial"/>
          <w:sz w:val="14"/>
          <w:szCs w:val="14"/>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Agent shall be deemed to have acted reasonably in the custody, preservation and disposition of any of the Collateral if it complies with the obligations of a secured party under the UCC.</w:t>
      </w:r>
    </w:p>
    <w:p>
      <w:pPr>
        <w:spacing w:after="0" w:line="207" w:lineRule="exact"/>
        <w:rPr>
          <w:sz w:val="20"/>
          <w:szCs w:val="20"/>
          <w:color w:val="auto"/>
        </w:rPr>
      </w:pPr>
    </w:p>
    <w:p>
      <w:pPr>
        <w:ind w:left="440" w:right="180" w:firstLine="518"/>
        <w:spacing w:after="0" w:line="288" w:lineRule="auto"/>
        <w:rPr>
          <w:sz w:val="20"/>
          <w:szCs w:val="20"/>
          <w:color w:val="auto"/>
        </w:rPr>
      </w:pPr>
      <w:r>
        <w:rPr>
          <w:rFonts w:ascii="Arial" w:cs="Arial" w:eastAsia="Arial" w:hAnsi="Arial"/>
          <w:sz w:val="14"/>
          <w:szCs w:val="14"/>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32" w:lineRule="exact"/>
        <w:rPr>
          <w:sz w:val="20"/>
          <w:szCs w:val="20"/>
          <w:color w:val="auto"/>
        </w:rPr>
      </w:pPr>
    </w:p>
    <w:p>
      <w:pPr>
        <w:ind w:left="440" w:right="40" w:firstLine="518"/>
        <w:spacing w:after="0" w:line="273" w:lineRule="auto"/>
        <w:rPr>
          <w:sz w:val="20"/>
          <w:szCs w:val="20"/>
          <w:color w:val="auto"/>
        </w:rPr>
      </w:pPr>
      <w:r>
        <w:rPr>
          <w:rFonts w:ascii="Arial" w:cs="Arial" w:eastAsia="Arial" w:hAnsi="Arial"/>
          <w:sz w:val="14"/>
          <w:szCs w:val="14"/>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37"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 xml:space="preserve">SECTION 11. </w:t>
      </w:r>
      <w:r>
        <w:rPr>
          <w:rFonts w:ascii="Arial" w:cs="Arial" w:eastAsia="Arial" w:hAnsi="Arial"/>
          <w:sz w:val="14"/>
          <w:szCs w:val="14"/>
          <w:b w:val="1"/>
          <w:bCs w:val="1"/>
          <w:u w:val="single" w:color="auto"/>
          <w:color w:val="auto"/>
        </w:rPr>
        <w:t>MISCELLANEOUS</w:t>
      </w:r>
    </w:p>
    <w:p>
      <w:pPr>
        <w:spacing w:after="0" w:line="188" w:lineRule="exact"/>
        <w:rPr>
          <w:sz w:val="20"/>
          <w:szCs w:val="20"/>
          <w:color w:val="auto"/>
        </w:rPr>
      </w:pPr>
    </w:p>
    <w:p>
      <w:pPr>
        <w:ind w:left="440" w:right="200" w:firstLine="518"/>
        <w:spacing w:after="0" w:line="273" w:lineRule="auto"/>
        <w:rPr>
          <w:sz w:val="20"/>
          <w:szCs w:val="20"/>
          <w:color w:val="auto"/>
        </w:rPr>
      </w:pPr>
      <w:r>
        <w:rPr>
          <w:rFonts w:ascii="Arial" w:cs="Arial" w:eastAsia="Arial" w:hAnsi="Arial"/>
          <w:sz w:val="14"/>
          <w:szCs w:val="14"/>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52" w:lineRule="exact"/>
        <w:rPr>
          <w:sz w:val="20"/>
          <w:szCs w:val="20"/>
          <w:color w:val="auto"/>
        </w:rPr>
      </w:pPr>
    </w:p>
    <w:p>
      <w:pPr>
        <w:ind w:left="440" w:right="120" w:firstLine="518"/>
        <w:spacing w:after="0" w:line="265" w:lineRule="auto"/>
        <w:rPr>
          <w:sz w:val="20"/>
          <w:szCs w:val="20"/>
          <w:color w:val="auto"/>
        </w:rPr>
      </w:pPr>
      <w:r>
        <w:rPr>
          <w:rFonts w:ascii="Arial" w:cs="Arial" w:eastAsia="Arial" w:hAnsi="Arial"/>
          <w:sz w:val="14"/>
          <w:szCs w:val="14"/>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47" w:lineRule="exact"/>
        <w:rPr>
          <w:sz w:val="20"/>
          <w:szCs w:val="20"/>
          <w:color w:val="auto"/>
        </w:rPr>
      </w:pPr>
    </w:p>
    <w:p>
      <w:pPr>
        <w:ind w:left="1540" w:hanging="522"/>
        <w:spacing w:after="0"/>
        <w:tabs>
          <w:tab w:leader="none" w:pos="1540" w:val="left"/>
        </w:tabs>
        <w:numPr>
          <w:ilvl w:val="0"/>
          <w:numId w:val="523"/>
        </w:numPr>
        <w:rPr>
          <w:rFonts w:ascii="Arial" w:cs="Arial" w:eastAsia="Arial" w:hAnsi="Arial"/>
          <w:sz w:val="14"/>
          <w:szCs w:val="14"/>
          <w:color w:val="auto"/>
        </w:rPr>
      </w:pPr>
      <w:r>
        <w:rPr>
          <w:rFonts w:ascii="Arial" w:cs="Arial" w:eastAsia="Arial" w:hAnsi="Arial"/>
          <w:sz w:val="14"/>
          <w:szCs w:val="14"/>
          <w:color w:val="auto"/>
        </w:rPr>
        <w:t>If to Agent:</w:t>
      </w:r>
    </w:p>
    <w:p>
      <w:pPr>
        <w:spacing w:after="0" w:line="195" w:lineRule="exact"/>
        <w:rPr>
          <w:rFonts w:ascii="Arial" w:cs="Arial" w:eastAsia="Arial" w:hAnsi="Arial"/>
          <w:sz w:val="14"/>
          <w:szCs w:val="14"/>
          <w:color w:val="auto"/>
        </w:rPr>
      </w:pPr>
    </w:p>
    <w:p>
      <w:pPr>
        <w:ind w:left="1540" w:right="7820"/>
        <w:spacing w:after="0" w:line="264" w:lineRule="auto"/>
        <w:rPr>
          <w:rFonts w:ascii="Arial" w:cs="Arial" w:eastAsia="Arial" w:hAnsi="Arial"/>
          <w:sz w:val="14"/>
          <w:szCs w:val="14"/>
          <w:color w:val="auto"/>
        </w:rPr>
      </w:pPr>
      <w:r>
        <w:rPr>
          <w:rFonts w:ascii="Arial" w:cs="Arial" w:eastAsia="Arial" w:hAnsi="Arial"/>
          <w:sz w:val="14"/>
          <w:szCs w:val="14"/>
          <w:color w:val="auto"/>
        </w:rPr>
        <w:t>HERCULES CAPITAL, INC. Legal Department</w:t>
      </w:r>
    </w:p>
    <w:p>
      <w:pPr>
        <w:ind w:left="1540" w:right="6660"/>
        <w:spacing w:after="0" w:line="274" w:lineRule="auto"/>
        <w:rPr>
          <w:rFonts w:ascii="Arial" w:cs="Arial" w:eastAsia="Arial" w:hAnsi="Arial"/>
          <w:sz w:val="14"/>
          <w:szCs w:val="14"/>
          <w:color w:val="auto"/>
        </w:rPr>
      </w:pPr>
      <w:r>
        <w:rPr>
          <w:rFonts w:ascii="Arial" w:cs="Arial" w:eastAsia="Arial" w:hAnsi="Arial"/>
          <w:sz w:val="14"/>
          <w:szCs w:val="14"/>
          <w:color w:val="auto"/>
        </w:rPr>
        <w:t>Attention: Chief Legal Officer and R. Bryan Jadot 400 Hamilton Avenue, Suite 310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13970</wp:posOffset>
            </wp:positionV>
            <wp:extent cx="7159625" cy="698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00"/>
          </w:cols>
          <w:pgMar w:left="400" w:top="584" w:right="399" w:bottom="1440" w:gutter="0" w:footer="0" w:header="0"/>
        </w:sectPr>
      </w:pPr>
    </w:p>
    <w:bookmarkStart w:id="708" w:name="page709"/>
    <w:bookmarkEnd w:id="708"/>
    <w:p>
      <w:pPr>
        <w:ind w:left="1040"/>
        <w:spacing w:after="0"/>
        <w:rPr>
          <w:sz w:val="20"/>
          <w:szCs w:val="20"/>
          <w:color w:val="auto"/>
        </w:rPr>
      </w:pPr>
      <w:r>
        <w:rPr>
          <w:rFonts w:ascii="Arial" w:cs="Arial" w:eastAsia="Arial" w:hAnsi="Arial"/>
          <w:sz w:val="14"/>
          <w:szCs w:val="14"/>
          <w:color w:val="auto"/>
        </w:rPr>
        <w:t>Palo Alto, CA 94301</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legal@htgc.com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bjadot@htgc.com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mdutra@htgc.com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ksegien@htgc.com</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Telephone: 650-289-3060</w:t>
      </w:r>
    </w:p>
    <w:p>
      <w:pPr>
        <w:spacing w:after="0" w:line="186" w:lineRule="exact"/>
        <w:rPr>
          <w:sz w:val="20"/>
          <w:szCs w:val="20"/>
          <w:color w:val="auto"/>
        </w:rPr>
      </w:pPr>
    </w:p>
    <w:p>
      <w:pPr>
        <w:ind w:left="1100" w:hanging="572"/>
        <w:spacing w:after="0"/>
        <w:tabs>
          <w:tab w:leader="none" w:pos="1100" w:val="left"/>
        </w:tabs>
        <w:numPr>
          <w:ilvl w:val="0"/>
          <w:numId w:val="524"/>
        </w:numPr>
        <w:rPr>
          <w:rFonts w:ascii="Arial" w:cs="Arial" w:eastAsia="Arial" w:hAnsi="Arial"/>
          <w:sz w:val="14"/>
          <w:szCs w:val="14"/>
          <w:color w:val="auto"/>
        </w:rPr>
      </w:pPr>
      <w:r>
        <w:rPr>
          <w:rFonts w:ascii="Arial" w:cs="Arial" w:eastAsia="Arial" w:hAnsi="Arial"/>
          <w:sz w:val="14"/>
          <w:szCs w:val="14"/>
          <w:color w:val="auto"/>
        </w:rPr>
        <w:t>If to the Lenders:</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HERCULES CAPITAL, INC.</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Legal Department</w:t>
      </w:r>
    </w:p>
    <w:p>
      <w:pPr>
        <w:spacing w:after="0" w:line="1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Attention: Chief Legal Officer and R. Bryan Jadot</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400 Hamilton Avenue, Suite 310</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Palo Alto, CA 94301</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email: legal@htgc.com; bjadot@htgc.com; mdutra@htgc.com and ksegien@htgc.com</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Telephone: 650-289-3060</w:t>
      </w:r>
    </w:p>
    <w:p>
      <w:pPr>
        <w:spacing w:after="0" w:line="175" w:lineRule="exact"/>
        <w:rPr>
          <w:sz w:val="20"/>
          <w:szCs w:val="20"/>
          <w:color w:val="auto"/>
        </w:rPr>
      </w:pPr>
    </w:p>
    <w:p>
      <w:pPr>
        <w:ind w:left="1040" w:hanging="522"/>
        <w:spacing w:after="0"/>
        <w:tabs>
          <w:tab w:leader="none" w:pos="1040" w:val="left"/>
        </w:tabs>
        <w:numPr>
          <w:ilvl w:val="0"/>
          <w:numId w:val="525"/>
        </w:numPr>
        <w:rPr>
          <w:rFonts w:ascii="Arial" w:cs="Arial" w:eastAsia="Arial" w:hAnsi="Arial"/>
          <w:sz w:val="14"/>
          <w:szCs w:val="14"/>
          <w:color w:val="auto"/>
        </w:rPr>
      </w:pPr>
      <w:r>
        <w:rPr>
          <w:rFonts w:ascii="Arial" w:cs="Arial" w:eastAsia="Arial" w:hAnsi="Arial"/>
          <w:sz w:val="14"/>
          <w:szCs w:val="14"/>
          <w:color w:val="auto"/>
        </w:rPr>
        <w:t>If to Borrower:</w:t>
      </w:r>
    </w:p>
    <w:p>
      <w:pPr>
        <w:spacing w:after="0" w:line="184" w:lineRule="exact"/>
        <w:rPr>
          <w:rFonts w:ascii="Arial" w:cs="Arial" w:eastAsia="Arial" w:hAnsi="Arial"/>
          <w:sz w:val="14"/>
          <w:szCs w:val="14"/>
          <w:color w:val="auto"/>
        </w:rPr>
      </w:pPr>
    </w:p>
    <w:p>
      <w:pPr>
        <w:ind w:left="1040" w:right="7200" w:firstLine="1"/>
        <w:spacing w:after="0" w:line="264" w:lineRule="auto"/>
        <w:rPr>
          <w:rFonts w:ascii="Arial" w:cs="Arial" w:eastAsia="Arial" w:hAnsi="Arial"/>
          <w:sz w:val="14"/>
          <w:szCs w:val="14"/>
          <w:color w:val="auto"/>
        </w:rPr>
      </w:pPr>
      <w:r>
        <w:rPr>
          <w:rFonts w:ascii="Arial" w:cs="Arial" w:eastAsia="Arial" w:hAnsi="Arial"/>
          <w:sz w:val="14"/>
          <w:szCs w:val="14"/>
          <w:color w:val="auto"/>
        </w:rPr>
        <w:t>CENTURY THERAPEUTICS, LLC Attention: Douglas Carr</w:t>
      </w:r>
    </w:p>
    <w:p>
      <w:pPr>
        <w:ind w:left="1040" w:right="7680"/>
        <w:spacing w:after="0" w:line="289" w:lineRule="auto"/>
        <w:rPr>
          <w:rFonts w:ascii="Arial" w:cs="Arial" w:eastAsia="Arial" w:hAnsi="Arial"/>
          <w:sz w:val="14"/>
          <w:szCs w:val="14"/>
          <w:color w:val="auto"/>
        </w:rPr>
      </w:pPr>
      <w:r>
        <w:rPr>
          <w:rFonts w:ascii="Arial" w:cs="Arial" w:eastAsia="Arial" w:hAnsi="Arial"/>
          <w:sz w:val="13"/>
          <w:szCs w:val="13"/>
          <w:color w:val="auto"/>
        </w:rPr>
        <w:t xml:space="preserve">3675 Market Street Philadelphia, PA 19104 email: </w:t>
      </w:r>
      <w:r>
        <w:rPr>
          <w:rFonts w:ascii="Arial" w:cs="Arial" w:eastAsia="Arial" w:hAnsi="Arial"/>
          <w:sz w:val="13"/>
          <w:szCs w:val="13"/>
          <w:u w:val="single" w:color="auto"/>
          <w:color w:val="auto"/>
        </w:rPr>
        <w:t>doug@centurytx.com</w:t>
      </w:r>
      <w:r>
        <w:rPr>
          <w:rFonts w:ascii="Arial" w:cs="Arial" w:eastAsia="Arial" w:hAnsi="Arial"/>
          <w:sz w:val="13"/>
          <w:szCs w:val="13"/>
          <w:color w:val="auto"/>
        </w:rPr>
        <w:t xml:space="preserve"> Telephone:</w:t>
      </w:r>
    </w:p>
    <w:p>
      <w:pPr>
        <w:spacing w:after="0" w:line="144"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With a copy (which shall not constitute notice) to:</w:t>
      </w:r>
    </w:p>
    <w:p>
      <w:pPr>
        <w:spacing w:after="0" w:line="184" w:lineRule="exact"/>
        <w:rPr>
          <w:rFonts w:ascii="Arial" w:cs="Arial" w:eastAsia="Arial" w:hAnsi="Arial"/>
          <w:sz w:val="14"/>
          <w:szCs w:val="14"/>
          <w:color w:val="auto"/>
        </w:rPr>
      </w:pPr>
    </w:p>
    <w:p>
      <w:pPr>
        <w:ind w:left="1040" w:right="6500"/>
        <w:spacing w:after="0" w:line="262" w:lineRule="auto"/>
        <w:rPr>
          <w:rFonts w:ascii="Arial" w:cs="Arial" w:eastAsia="Arial" w:hAnsi="Arial"/>
          <w:sz w:val="14"/>
          <w:szCs w:val="14"/>
          <w:color w:val="auto"/>
        </w:rPr>
      </w:pPr>
      <w:r>
        <w:rPr>
          <w:rFonts w:ascii="Arial" w:cs="Arial" w:eastAsia="Arial" w:hAnsi="Arial"/>
          <w:sz w:val="14"/>
          <w:szCs w:val="14"/>
          <w:color w:val="auto"/>
        </w:rPr>
        <w:t>Troutman Pepper Hamilton Sanders LLP Attention: Rachael Bushey and Kathryn Nordick 3000 Two Logan Square</w:t>
      </w:r>
    </w:p>
    <w:p>
      <w:pPr>
        <w:ind w:left="1040"/>
        <w:spacing w:after="0"/>
        <w:rPr>
          <w:rFonts w:ascii="Arial" w:cs="Arial" w:eastAsia="Arial" w:hAnsi="Arial"/>
          <w:sz w:val="14"/>
          <w:szCs w:val="14"/>
          <w:color w:val="auto"/>
        </w:rPr>
      </w:pPr>
      <w:r>
        <w:rPr>
          <w:rFonts w:ascii="Arial" w:cs="Arial" w:eastAsia="Arial" w:hAnsi="Arial"/>
          <w:sz w:val="14"/>
          <w:szCs w:val="14"/>
          <w:color w:val="auto"/>
        </w:rPr>
        <w:t>Philadelphia, PA 19103-2799</w:t>
      </w:r>
    </w:p>
    <w:p>
      <w:pPr>
        <w:spacing w:after="0" w:line="1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rachael.bushey@troutman.com</w:t>
      </w:r>
      <w:r>
        <w:rPr>
          <w:rFonts w:ascii="Arial" w:cs="Arial" w:eastAsia="Arial" w:hAnsi="Arial"/>
          <w:sz w:val="14"/>
          <w:szCs w:val="14"/>
          <w:color w:val="auto"/>
        </w:rPr>
        <w:t xml:space="preserve">; </w:t>
      </w:r>
      <w:r>
        <w:rPr>
          <w:rFonts w:ascii="Arial" w:cs="Arial" w:eastAsia="Arial" w:hAnsi="Arial"/>
          <w:sz w:val="14"/>
          <w:szCs w:val="14"/>
          <w:u w:val="single" w:color="auto"/>
          <w:color w:val="auto"/>
        </w:rPr>
        <w:t>kathryn.nordick@troutman.com</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or to such other address as each party may designate for itself by like notice.</w:t>
      </w:r>
    </w:p>
    <w:p>
      <w:pPr>
        <w:spacing w:after="0" w:line="98"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3"/>
          <w:szCs w:val="13"/>
          <w:color w:val="auto"/>
        </w:rPr>
        <w:t>Entire Agreement; Amendments.</w:t>
      </w:r>
    </w:p>
    <w:p>
      <w:pPr>
        <w:spacing w:after="0" w:line="184" w:lineRule="exact"/>
        <w:rPr>
          <w:sz w:val="20"/>
          <w:szCs w:val="20"/>
          <w:color w:val="auto"/>
        </w:rPr>
      </w:pPr>
    </w:p>
    <w:p>
      <w:pPr>
        <w:ind w:right="60" w:firstLine="528"/>
        <w:spacing w:after="0" w:line="267" w:lineRule="auto"/>
        <w:tabs>
          <w:tab w:leader="none" w:pos="1253" w:val="left"/>
        </w:tabs>
        <w:numPr>
          <w:ilvl w:val="0"/>
          <w:numId w:val="526"/>
        </w:numPr>
        <w:rPr>
          <w:rFonts w:ascii="Arial" w:cs="Arial" w:eastAsia="Arial" w:hAnsi="Arial"/>
          <w:sz w:val="14"/>
          <w:szCs w:val="14"/>
          <w:color w:val="auto"/>
        </w:rPr>
      </w:pPr>
      <w:r>
        <w:rPr>
          <w:rFonts w:ascii="Arial" w:cs="Arial" w:eastAsia="Arial" w:hAnsi="Arial"/>
          <w:sz w:val="14"/>
          <w:szCs w:val="14"/>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June 23, 2020 and the Non-Disclosure Agreement).</w:t>
      </w:r>
    </w:p>
    <w:p>
      <w:pPr>
        <w:spacing w:after="0" w:line="157" w:lineRule="exact"/>
        <w:rPr>
          <w:rFonts w:ascii="Arial" w:cs="Arial" w:eastAsia="Arial" w:hAnsi="Arial"/>
          <w:sz w:val="14"/>
          <w:szCs w:val="14"/>
          <w:color w:val="auto"/>
        </w:rPr>
      </w:pPr>
    </w:p>
    <w:p>
      <w:pPr>
        <w:ind w:firstLine="528"/>
        <w:spacing w:after="0" w:line="294" w:lineRule="auto"/>
        <w:tabs>
          <w:tab w:leader="none" w:pos="1225" w:val="left"/>
        </w:tabs>
        <w:numPr>
          <w:ilvl w:val="0"/>
          <w:numId w:val="526"/>
        </w:numPr>
        <w:rPr>
          <w:rFonts w:ascii="Arial" w:cs="Arial" w:eastAsia="Arial" w:hAnsi="Arial"/>
          <w:sz w:val="13"/>
          <w:szCs w:val="13"/>
          <w:color w:val="auto"/>
        </w:rPr>
      </w:pPr>
      <w:r>
        <w:rPr>
          <w:rFonts w:ascii="Arial" w:cs="Arial" w:eastAsia="Arial" w:hAnsi="Arial"/>
          <w:sz w:val="13"/>
          <w:szCs w:val="13"/>
          <w:color w:val="auto"/>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w:t>
      </w:r>
    </w:p>
    <w:p>
      <w:pPr>
        <w:spacing w:after="0" w:line="13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13970</wp:posOffset>
            </wp:positionV>
            <wp:extent cx="7159625" cy="698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360"/>
          </w:cols>
          <w:pgMar w:left="900" w:top="647" w:right="639" w:bottom="1440" w:gutter="0" w:footer="0" w:header="0"/>
        </w:sectPr>
      </w:pPr>
    </w:p>
    <w:bookmarkStart w:id="709" w:name="page710"/>
    <w:bookmarkEnd w:id="709"/>
    <w:p>
      <w:pPr>
        <w:ind w:right="160"/>
        <w:spacing w:after="0" w:line="282" w:lineRule="auto"/>
        <w:rPr>
          <w:sz w:val="20"/>
          <w:szCs w:val="20"/>
          <w:color w:val="auto"/>
        </w:rPr>
      </w:pPr>
      <w:r>
        <w:rPr>
          <w:rFonts w:ascii="Arial" w:cs="Arial" w:eastAsia="Arial" w:hAnsi="Arial"/>
          <w:sz w:val="13"/>
          <w:szCs w:val="13"/>
          <w:color w:val="auto"/>
        </w:rPr>
        <w:t>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w:t>
      </w:r>
    </w:p>
    <w:p>
      <w:pPr>
        <w:spacing w:after="0" w:line="142" w:lineRule="exact"/>
        <w:rPr>
          <w:sz w:val="20"/>
          <w:szCs w:val="20"/>
          <w:color w:val="auto"/>
        </w:rPr>
      </w:pPr>
    </w:p>
    <w:p>
      <w:pPr>
        <w:ind w:right="300" w:firstLine="518"/>
        <w:spacing w:after="0" w:line="273" w:lineRule="auto"/>
        <w:rPr>
          <w:sz w:val="20"/>
          <w:szCs w:val="20"/>
          <w:color w:val="auto"/>
        </w:rPr>
      </w:pPr>
      <w:r>
        <w:rPr>
          <w:rFonts w:ascii="Arial" w:cs="Arial" w:eastAsia="Arial" w:hAnsi="Arial"/>
          <w:sz w:val="14"/>
          <w:szCs w:val="14"/>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52"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3"/>
          <w:szCs w:val="13"/>
          <w:color w:val="auto"/>
        </w:rPr>
        <w:t>11.5 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31" w:lineRule="exact"/>
        <w:rPr>
          <w:sz w:val="20"/>
          <w:szCs w:val="20"/>
          <w:color w:val="auto"/>
        </w:rPr>
      </w:pPr>
    </w:p>
    <w:p>
      <w:pPr>
        <w:ind w:right="80" w:firstLine="518"/>
        <w:spacing w:after="0" w:line="273" w:lineRule="auto"/>
        <w:rPr>
          <w:sz w:val="20"/>
          <w:szCs w:val="20"/>
          <w:color w:val="auto"/>
        </w:rPr>
      </w:pPr>
      <w:r>
        <w:rPr>
          <w:rFonts w:ascii="Arial" w:cs="Arial" w:eastAsia="Arial" w:hAnsi="Arial"/>
          <w:sz w:val="14"/>
          <w:szCs w:val="14"/>
          <w:color w:val="auto"/>
        </w:rPr>
        <w:t>11.6 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11.14, 11.15 and 11.18 shall survive the termination of this Agreement.</w:t>
      </w:r>
    </w:p>
    <w:p>
      <w:pPr>
        <w:spacing w:after="0" w:line="141" w:lineRule="exact"/>
        <w:rPr>
          <w:sz w:val="20"/>
          <w:szCs w:val="20"/>
          <w:color w:val="auto"/>
        </w:rPr>
      </w:pPr>
    </w:p>
    <w:p>
      <w:pPr>
        <w:ind w:right="20" w:firstLine="518"/>
        <w:spacing w:after="0" w:line="263" w:lineRule="auto"/>
        <w:rPr>
          <w:sz w:val="20"/>
          <w:szCs w:val="20"/>
          <w:color w:val="auto"/>
        </w:rPr>
      </w:pPr>
      <w:r>
        <w:rPr>
          <w:rFonts w:ascii="Arial" w:cs="Arial" w:eastAsia="Arial" w:hAnsi="Arial"/>
          <w:sz w:val="14"/>
          <w:szCs w:val="14"/>
          <w:color w:val="auto"/>
        </w:rPr>
        <w:t>11.7 Successors and Assigns.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assign, transfer, or endorse its rights hereunder and under the other Loan Documents with prior notice to Borrower (as long as no Event of Default has occurred and is continuing),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(as</w:t>
      </w:r>
    </w:p>
    <w:p>
      <w:pPr>
        <w:spacing w:after="0" w:line="150"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580"/>
          </w:cols>
          <w:pgMar w:left="840" w:top="582" w:right="479" w:bottom="1440" w:gutter="0" w:footer="0" w:header="0"/>
        </w:sectPr>
      </w:pPr>
    </w:p>
    <w:bookmarkStart w:id="710" w:name="page711"/>
    <w:bookmarkEnd w:id="710"/>
    <w:p>
      <w:pPr>
        <w:ind w:right="140"/>
        <w:spacing w:after="0" w:line="305" w:lineRule="auto"/>
        <w:rPr>
          <w:sz w:val="20"/>
          <w:szCs w:val="20"/>
          <w:color w:val="auto"/>
        </w:rPr>
      </w:pPr>
      <w:r>
        <w:rPr>
          <w:rFonts w:ascii="Arial" w:cs="Arial" w:eastAsia="Arial" w:hAnsi="Arial"/>
          <w:sz w:val="12"/>
          <w:szCs w:val="12"/>
          <w:color w:val="auto"/>
        </w:rPr>
        <w:t>identified in writing by Borrower to Agent or otherwise reasonably determined by Agent),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w:t>
      </w:r>
    </w:p>
    <w:p>
      <w:pPr>
        <w:spacing w:after="0" w:line="1" w:lineRule="exact"/>
        <w:rPr>
          <w:sz w:val="20"/>
          <w:szCs w:val="20"/>
          <w:color w:val="auto"/>
        </w:rPr>
      </w:pPr>
    </w:p>
    <w:p>
      <w:pPr>
        <w:ind w:right="20" w:firstLine="6"/>
        <w:spacing w:after="0" w:line="280" w:lineRule="auto"/>
        <w:tabs>
          <w:tab w:leader="none" w:pos="204" w:val="left"/>
        </w:tabs>
        <w:numPr>
          <w:ilvl w:val="0"/>
          <w:numId w:val="527"/>
        </w:numPr>
        <w:rPr>
          <w:rFonts w:ascii="Arial" w:cs="Arial" w:eastAsia="Arial" w:hAnsi="Arial"/>
          <w:sz w:val="13"/>
          <w:szCs w:val="13"/>
          <w:color w:val="auto"/>
        </w:rPr>
      </w:pPr>
      <w:r>
        <w:rPr>
          <w:rFonts w:ascii="Arial" w:cs="Arial" w:eastAsia="Arial" w:hAnsi="Arial"/>
          <w:sz w:val="13"/>
          <w:szCs w:val="13"/>
          <w:color w:val="auto"/>
        </w:rPr>
        <w:t>in connection with any assignment by a Lender the assigning Lender and the assignee Lender must provide the Agent with an information reasonably required by the Agent in order to maintain the Register and (z)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(z)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42" w:lineRule="exact"/>
        <w:rPr>
          <w:sz w:val="20"/>
          <w:szCs w:val="20"/>
          <w:color w:val="auto"/>
        </w:rPr>
      </w:pPr>
    </w:p>
    <w:p>
      <w:pPr>
        <w:ind w:firstLine="518"/>
        <w:spacing w:after="0" w:line="260" w:lineRule="auto"/>
        <w:rPr>
          <w:sz w:val="20"/>
          <w:szCs w:val="20"/>
          <w:color w:val="auto"/>
        </w:rPr>
      </w:pPr>
      <w:r>
        <w:rPr>
          <w:rFonts w:ascii="Arial" w:cs="Arial" w:eastAsia="Arial" w:hAnsi="Arial"/>
          <w:sz w:val="14"/>
          <w:szCs w:val="14"/>
          <w:color w:val="auto"/>
        </w:rPr>
        <w:t>11.8 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582" w:right="439" w:bottom="1440" w:gutter="0" w:footer="0" w:header="0"/>
        </w:sectPr>
      </w:pPr>
    </w:p>
    <w:bookmarkStart w:id="711" w:name="page712"/>
    <w:bookmarkEnd w:id="711"/>
    <w:p>
      <w:pPr>
        <w:spacing w:after="0"/>
        <w:rPr>
          <w:sz w:val="20"/>
          <w:szCs w:val="20"/>
          <w:color w:val="auto"/>
        </w:rPr>
      </w:pPr>
      <w:r>
        <w:rPr>
          <w:rFonts w:ascii="Arial" w:cs="Arial" w:eastAsia="Arial" w:hAnsi="Arial"/>
          <w:sz w:val="13"/>
          <w:szCs w:val="13"/>
          <w:color w:val="auto"/>
        </w:rPr>
        <w:t>entitled to receive, except to the extent such entitlement to receive a greater payment results from a change in law that occurs after the participant acquired the applicable participation.</w:t>
      </w:r>
    </w:p>
    <w:p>
      <w:pPr>
        <w:spacing w:after="0" w:line="196" w:lineRule="exact"/>
        <w:rPr>
          <w:sz w:val="20"/>
          <w:szCs w:val="20"/>
          <w:color w:val="auto"/>
        </w:rPr>
      </w:pPr>
    </w:p>
    <w:p>
      <w:pPr>
        <w:ind w:right="180" w:firstLine="518"/>
        <w:spacing w:after="0" w:line="267" w:lineRule="auto"/>
        <w:rPr>
          <w:sz w:val="20"/>
          <w:szCs w:val="20"/>
          <w:color w:val="auto"/>
        </w:rPr>
      </w:pPr>
      <w:r>
        <w:rPr>
          <w:rFonts w:ascii="Arial" w:cs="Arial" w:eastAsia="Arial" w:hAnsi="Arial"/>
          <w:sz w:val="14"/>
          <w:szCs w:val="14"/>
          <w:color w:val="auto"/>
        </w:rPr>
        <w:t>11.9 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(other than the Warrant) shall be governed by, and construed and enforced in accordance with, the laws of the State of California, excluding conflict of laws principles that would cause the application of laws of any other jurisdiction.</w:t>
      </w:r>
    </w:p>
    <w:p>
      <w:pPr>
        <w:spacing w:after="0" w:line="158" w:lineRule="exact"/>
        <w:rPr>
          <w:sz w:val="20"/>
          <w:szCs w:val="20"/>
          <w:color w:val="auto"/>
        </w:rPr>
      </w:pPr>
    </w:p>
    <w:p>
      <w:pPr>
        <w:ind w:firstLine="518"/>
        <w:spacing w:after="0" w:line="261" w:lineRule="auto"/>
        <w:rPr>
          <w:sz w:val="20"/>
          <w:szCs w:val="20"/>
          <w:color w:val="auto"/>
        </w:rPr>
      </w:pPr>
      <w:r>
        <w:rPr>
          <w:rFonts w:ascii="Arial" w:cs="Arial" w:eastAsia="Arial" w:hAnsi="Arial"/>
          <w:sz w:val="14"/>
          <w:szCs w:val="14"/>
          <w:color w:val="auto"/>
        </w:rPr>
        <w:t>11.10 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5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11.11</w:t>
      </w:r>
      <w:r>
        <w:rPr>
          <w:sz w:val="20"/>
          <w:szCs w:val="20"/>
          <w:color w:val="auto"/>
        </w:rPr>
        <w:tab/>
      </w:r>
      <w:r>
        <w:rPr>
          <w:rFonts w:ascii="Arial" w:cs="Arial" w:eastAsia="Arial" w:hAnsi="Arial"/>
          <w:sz w:val="13"/>
          <w:szCs w:val="13"/>
          <w:color w:val="auto"/>
        </w:rPr>
        <w:t>Mutual Waiver of Jury Trial / Judicial Reference.</w:t>
      </w:r>
    </w:p>
    <w:p>
      <w:pPr>
        <w:spacing w:after="0" w:line="195" w:lineRule="exact"/>
        <w:rPr>
          <w:sz w:val="20"/>
          <w:szCs w:val="20"/>
          <w:color w:val="auto"/>
        </w:rPr>
      </w:pPr>
    </w:p>
    <w:p>
      <w:pPr>
        <w:ind w:left="60" w:right="20" w:firstLine="528"/>
        <w:spacing w:after="0" w:line="284" w:lineRule="auto"/>
        <w:tabs>
          <w:tab w:leader="none" w:pos="1313" w:val="left"/>
        </w:tabs>
        <w:numPr>
          <w:ilvl w:val="0"/>
          <w:numId w:val="528"/>
        </w:numPr>
        <w:rPr>
          <w:rFonts w:ascii="Arial" w:cs="Arial" w:eastAsia="Arial" w:hAnsi="Arial"/>
          <w:sz w:val="13"/>
          <w:szCs w:val="13"/>
          <w:color w:val="auto"/>
        </w:rPr>
      </w:pPr>
      <w:r>
        <w:rPr>
          <w:rFonts w:ascii="Arial" w:cs="Arial" w:eastAsia="Arial" w:hAnsi="Arial"/>
          <w:sz w:val="13"/>
          <w:szCs w:val="13"/>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w:t>
      </w:r>
    </w:p>
    <w:p>
      <w:pPr>
        <w:ind w:left="60" w:right="40"/>
        <w:spacing w:after="0" w:line="260" w:lineRule="auto"/>
        <w:rPr>
          <w:rFonts w:ascii="Arial" w:cs="Arial" w:eastAsia="Arial" w:hAnsi="Arial"/>
          <w:sz w:val="13"/>
          <w:szCs w:val="13"/>
          <w:color w:val="auto"/>
        </w:rPr>
      </w:pPr>
      <w:r>
        <w:rPr>
          <w:rFonts w:ascii="Arial" w:cs="Arial" w:eastAsia="Arial" w:hAnsi="Arial"/>
          <w:sz w:val="14"/>
          <w:szCs w:val="14"/>
          <w:color w:val="auto"/>
        </w:rPr>
        <w:t>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52" w:lineRule="exact"/>
        <w:rPr>
          <w:rFonts w:ascii="Arial" w:cs="Arial" w:eastAsia="Arial" w:hAnsi="Arial"/>
          <w:sz w:val="13"/>
          <w:szCs w:val="13"/>
          <w:color w:val="auto"/>
        </w:rPr>
      </w:pPr>
    </w:p>
    <w:p>
      <w:pPr>
        <w:ind w:left="60" w:right="160" w:firstLine="528"/>
        <w:spacing w:after="0" w:line="267" w:lineRule="auto"/>
        <w:tabs>
          <w:tab w:leader="none" w:pos="1285" w:val="left"/>
        </w:tabs>
        <w:numPr>
          <w:ilvl w:val="0"/>
          <w:numId w:val="528"/>
        </w:numPr>
        <w:rPr>
          <w:rFonts w:ascii="Arial" w:cs="Arial" w:eastAsia="Arial" w:hAnsi="Arial"/>
          <w:sz w:val="14"/>
          <w:szCs w:val="14"/>
          <w:color w:val="auto"/>
        </w:rPr>
      </w:pPr>
      <w:r>
        <w:rPr>
          <w:rFonts w:ascii="Arial" w:cs="Arial" w:eastAsia="Arial" w:hAnsi="Arial"/>
          <w:sz w:val="14"/>
          <w:szCs w:val="14"/>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47"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584" w:right="439" w:bottom="1440" w:gutter="0" w:footer="0" w:header="0"/>
        </w:sectPr>
      </w:pPr>
    </w:p>
    <w:bookmarkStart w:id="712" w:name="page713"/>
    <w:bookmarkEnd w:id="712"/>
    <w:p>
      <w:pPr>
        <w:ind w:left="60" w:firstLine="528"/>
        <w:spacing w:after="0" w:line="273" w:lineRule="auto"/>
        <w:tabs>
          <w:tab w:leader="none" w:pos="1313" w:val="left"/>
        </w:tabs>
        <w:numPr>
          <w:ilvl w:val="0"/>
          <w:numId w:val="529"/>
        </w:numPr>
        <w:rPr>
          <w:rFonts w:ascii="Arial" w:cs="Arial" w:eastAsia="Arial" w:hAnsi="Arial"/>
          <w:sz w:val="14"/>
          <w:szCs w:val="14"/>
          <w:color w:val="auto"/>
        </w:rPr>
      </w:pPr>
      <w:r>
        <w:rPr>
          <w:rFonts w:ascii="Arial" w:cs="Arial" w:eastAsia="Arial" w:hAnsi="Arial"/>
          <w:sz w:val="14"/>
          <w:szCs w:val="14"/>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52" w:lineRule="exact"/>
        <w:rPr>
          <w:sz w:val="20"/>
          <w:szCs w:val="20"/>
          <w:color w:val="auto"/>
        </w:rPr>
      </w:pPr>
    </w:p>
    <w:p>
      <w:pPr>
        <w:ind w:right="20" w:firstLine="518"/>
        <w:spacing w:after="0" w:line="283" w:lineRule="auto"/>
        <w:rPr>
          <w:sz w:val="20"/>
          <w:szCs w:val="20"/>
          <w:color w:val="auto"/>
        </w:rPr>
      </w:pPr>
      <w:r>
        <w:rPr>
          <w:rFonts w:ascii="Arial" w:cs="Arial" w:eastAsia="Arial" w:hAnsi="Arial"/>
          <w:sz w:val="13"/>
          <w:szCs w:val="13"/>
          <w:color w:val="auto"/>
        </w:rPr>
        <w:t>11.12 Professional Fees. Borrower promises to pay Agent’s and the Lenders’ fees and expenses necessary to finalize the loan documentation, including but not limited to reasonable and documented attorneys’ fees, UCC searches, filing costs, and other miscellaneous expenses; provided that in no event shall such attorneys’ fees be in excess of $85,000. In addition, Borrower promises to pay any and all reasonable and documented attorneys’ and other professionals’ fees and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 (e) in conjunction with exercising rights and remedies after the occurrence and during the continuance of an Event of Default; (f) the protection, preservation, audit, field exam, sale, lease, liquidation, or disposition of Collateral or the exercise of remedies with respect to the Collateral; (g) any legal, litigation, administrative, arbitration, or out of court proceeding in connection with or related to Borrower or the Collateral, and any appeal or review thereof; and (h)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40" w:lineRule="exact"/>
        <w:rPr>
          <w:sz w:val="20"/>
          <w:szCs w:val="20"/>
          <w:color w:val="auto"/>
        </w:rPr>
      </w:pPr>
    </w:p>
    <w:p>
      <w:pPr>
        <w:ind w:right="40" w:firstLine="518"/>
        <w:spacing w:after="0" w:line="278" w:lineRule="auto"/>
        <w:rPr>
          <w:sz w:val="20"/>
          <w:szCs w:val="20"/>
          <w:color w:val="auto"/>
        </w:rPr>
      </w:pPr>
      <w:r>
        <w:rPr>
          <w:rFonts w:ascii="Arial" w:cs="Arial" w:eastAsia="Arial" w:hAnsi="Arial"/>
          <w:sz w:val="13"/>
          <w:szCs w:val="13"/>
          <w:color w:val="auto"/>
        </w:rPr>
        <w:t>11.13 Confidentiality. Agent and the Lenders acknowledge that certain items of Collateral and information provided to Agent and the Lenders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Borrower;</w:t>
      </w:r>
    </w:p>
    <w:p>
      <w:pPr>
        <w:spacing w:after="0" w:line="4" w:lineRule="exact"/>
        <w:rPr>
          <w:sz w:val="20"/>
          <w:szCs w:val="20"/>
          <w:color w:val="auto"/>
        </w:rPr>
      </w:pPr>
    </w:p>
    <w:p>
      <w:pPr>
        <w:jc w:val="both"/>
        <w:ind w:right="40" w:firstLine="6"/>
        <w:spacing w:after="0" w:line="289" w:lineRule="auto"/>
        <w:tabs>
          <w:tab w:leader="none" w:pos="196" w:val="left"/>
        </w:tabs>
        <w:numPr>
          <w:ilvl w:val="0"/>
          <w:numId w:val="530"/>
        </w:numPr>
        <w:rPr>
          <w:rFonts w:ascii="Arial" w:cs="Arial" w:eastAsia="Arial" w:hAnsi="Arial"/>
          <w:sz w:val="13"/>
          <w:szCs w:val="13"/>
          <w:color w:val="auto"/>
        </w:rPr>
      </w:pPr>
      <w:r>
        <w:rPr>
          <w:rFonts w:ascii="Arial" w:cs="Arial" w:eastAsia="Arial" w:hAnsi="Arial"/>
          <w:sz w:val="13"/>
          <w:szCs w:val="13"/>
          <w:color w:val="auto"/>
        </w:rPr>
        <w:t>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w:t>
      </w:r>
    </w:p>
    <w:p>
      <w:pPr>
        <w:spacing w:after="0" w:line="134"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7159625" cy="69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40"/>
          </w:cols>
          <w:pgMar w:left="840" w:top="647" w:right="419" w:bottom="1440" w:gutter="0" w:footer="0" w:header="0"/>
        </w:sectPr>
      </w:pPr>
    </w:p>
    <w:bookmarkStart w:id="713" w:name="page714"/>
    <w:bookmarkEnd w:id="713"/>
    <w:p>
      <w:pPr>
        <w:spacing w:after="0"/>
        <w:rPr>
          <w:sz w:val="20"/>
          <w:szCs w:val="20"/>
          <w:color w:val="auto"/>
        </w:rPr>
      </w:pPr>
      <w:r>
        <w:rPr>
          <w:rFonts w:ascii="Arial" w:cs="Arial" w:eastAsia="Arial" w:hAnsi="Arial"/>
          <w:sz w:val="13"/>
          <w:szCs w:val="13"/>
          <w:color w:val="auto"/>
        </w:rPr>
        <w:t>right or remedy under any Loan Document (including Agent’s sale, lease, or other disposition of Collateral after default), or any action or proceeding relating to any Loan Document;</w:t>
      </w:r>
    </w:p>
    <w:p>
      <w:pPr>
        <w:spacing w:after="0" w:line="33" w:lineRule="exact"/>
        <w:rPr>
          <w:sz w:val="20"/>
          <w:szCs w:val="20"/>
          <w:color w:val="auto"/>
        </w:rPr>
      </w:pPr>
    </w:p>
    <w:p>
      <w:pPr>
        <w:ind w:right="60" w:firstLine="6"/>
        <w:spacing w:after="0" w:line="261" w:lineRule="auto"/>
        <w:tabs>
          <w:tab w:leader="none" w:pos="204" w:val="left"/>
        </w:tabs>
        <w:numPr>
          <w:ilvl w:val="0"/>
          <w:numId w:val="531"/>
        </w:numPr>
        <w:rPr>
          <w:rFonts w:ascii="Arial" w:cs="Arial" w:eastAsia="Arial" w:hAnsi="Arial"/>
          <w:sz w:val="14"/>
          <w:szCs w:val="14"/>
          <w:color w:val="auto"/>
        </w:rPr>
      </w:pPr>
      <w:r>
        <w:rPr>
          <w:rFonts w:ascii="Arial" w:cs="Arial" w:eastAsia="Arial" w:hAnsi="Arial"/>
          <w:sz w:val="14"/>
          <w:szCs w:val="14"/>
          <w:color w:val="auto"/>
        </w:rPr>
        <w:t>to any participant or assignee of Agent or the Lenders or any prospective participant or assignee, provided, that such participant or assignee or prospective participant or assignee is subject to confidentiality restrictions that reasonably protect against the disclosure of Confidential Information;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51" w:lineRule="exact"/>
        <w:rPr>
          <w:sz w:val="20"/>
          <w:szCs w:val="20"/>
          <w:color w:val="auto"/>
        </w:rPr>
      </w:pPr>
    </w:p>
    <w:p>
      <w:pPr>
        <w:ind w:right="100" w:firstLine="517"/>
        <w:spacing w:after="0" w:line="265" w:lineRule="auto"/>
        <w:rPr>
          <w:sz w:val="20"/>
          <w:szCs w:val="20"/>
          <w:color w:val="auto"/>
        </w:rPr>
      </w:pPr>
      <w:r>
        <w:rPr>
          <w:rFonts w:ascii="Arial" w:cs="Arial" w:eastAsia="Arial" w:hAnsi="Arial"/>
          <w:sz w:val="14"/>
          <w:szCs w:val="14"/>
          <w:color w:val="auto"/>
        </w:rPr>
        <w:t>11.14 Assignment of Rights. Borrower acknowledges and understands that Agent or the Lenders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w:t>
      </w:r>
    </w:p>
    <w:p>
      <w:pPr>
        <w:spacing w:after="0" w:line="158" w:lineRule="exact"/>
        <w:rPr>
          <w:sz w:val="20"/>
          <w:szCs w:val="20"/>
          <w:color w:val="auto"/>
        </w:rPr>
      </w:pPr>
    </w:p>
    <w:p>
      <w:pPr>
        <w:ind w:firstLine="518"/>
        <w:spacing w:after="0" w:line="261" w:lineRule="auto"/>
        <w:rPr>
          <w:sz w:val="20"/>
          <w:szCs w:val="20"/>
          <w:color w:val="auto"/>
        </w:rPr>
      </w:pPr>
      <w:r>
        <w:rPr>
          <w:rFonts w:ascii="Arial" w:cs="Arial" w:eastAsia="Arial" w:hAnsi="Arial"/>
          <w:sz w:val="14"/>
          <w:szCs w:val="14"/>
          <w:color w:val="auto"/>
        </w:rPr>
        <w:t>11.15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51" w:lineRule="exact"/>
        <w:rPr>
          <w:sz w:val="20"/>
          <w:szCs w:val="20"/>
          <w:color w:val="auto"/>
        </w:rPr>
      </w:pPr>
    </w:p>
    <w:p>
      <w:pPr>
        <w:jc w:val="both"/>
        <w:ind w:right="40" w:firstLine="518"/>
        <w:spacing w:after="0" w:line="329" w:lineRule="auto"/>
        <w:rPr>
          <w:sz w:val="20"/>
          <w:szCs w:val="20"/>
          <w:color w:val="auto"/>
        </w:rPr>
      </w:pPr>
      <w:r>
        <w:rPr>
          <w:rFonts w:ascii="Arial" w:cs="Arial" w:eastAsia="Arial" w:hAnsi="Arial"/>
          <w:sz w:val="13"/>
          <w:szCs w:val="13"/>
          <w:color w:val="auto"/>
        </w:rPr>
        <w:t>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19" w:lineRule="exact"/>
        <w:rPr>
          <w:sz w:val="20"/>
          <w:szCs w:val="20"/>
          <w:color w:val="auto"/>
        </w:rPr>
      </w:pPr>
    </w:p>
    <w:p>
      <w:pPr>
        <w:jc w:val="both"/>
        <w:ind w:right="40" w:firstLine="518"/>
        <w:spacing w:after="0" w:line="273" w:lineRule="auto"/>
        <w:rPr>
          <w:sz w:val="20"/>
          <w:szCs w:val="20"/>
          <w:color w:val="auto"/>
        </w:rPr>
      </w:pPr>
      <w:r>
        <w:rPr>
          <w:rFonts w:ascii="Arial" w:cs="Arial" w:eastAsia="Arial" w:hAnsi="Arial"/>
          <w:sz w:val="14"/>
          <w:szCs w:val="14"/>
          <w:color w:val="auto"/>
        </w:rPr>
        <w:t>11.17 No Third 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4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60"/>
          </w:cols>
          <w:pgMar w:left="840" w:top="582" w:right="399" w:bottom="1440" w:gutter="0" w:footer="0" w:header="0"/>
        </w:sectPr>
      </w:pPr>
    </w:p>
    <w:bookmarkStart w:id="714" w:name="page715"/>
    <w:bookmarkEnd w:id="714"/>
    <w:p>
      <w:pPr>
        <w:ind w:right="480" w:firstLine="518"/>
        <w:spacing w:after="0" w:line="288" w:lineRule="auto"/>
        <w:rPr>
          <w:sz w:val="20"/>
          <w:szCs w:val="20"/>
          <w:color w:val="auto"/>
        </w:rPr>
      </w:pPr>
      <w:r>
        <w:rPr>
          <w:rFonts w:ascii="Arial" w:cs="Arial" w:eastAsia="Arial" w:hAnsi="Arial"/>
          <w:sz w:val="14"/>
          <w:szCs w:val="14"/>
          <w:color w:val="auto"/>
        </w:rPr>
        <w:t>11.18 Agency. Agent and each Lender hereby agree to the terms and conditions set forth on Addendum 3 attached hereto. Borrower acknowledges and agrees to the terms and conditions set forth on Addendum 3 attached hereto.</w:t>
      </w:r>
    </w:p>
    <w:p>
      <w:pPr>
        <w:spacing w:after="0" w:line="142" w:lineRule="exact"/>
        <w:rPr>
          <w:sz w:val="20"/>
          <w:szCs w:val="20"/>
          <w:color w:val="auto"/>
        </w:rPr>
      </w:pPr>
    </w:p>
    <w:p>
      <w:pPr>
        <w:ind w:firstLine="518"/>
        <w:spacing w:after="0" w:line="285" w:lineRule="auto"/>
        <w:rPr>
          <w:sz w:val="20"/>
          <w:szCs w:val="20"/>
          <w:color w:val="auto"/>
        </w:rPr>
      </w:pPr>
      <w:r>
        <w:rPr>
          <w:rFonts w:ascii="Arial" w:cs="Arial" w:eastAsia="Arial" w:hAnsi="Arial"/>
          <w:sz w:val="13"/>
          <w:szCs w:val="13"/>
          <w:color w:val="auto"/>
        </w:rPr>
        <w:t>11.19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38" w:lineRule="exact"/>
        <w:rPr>
          <w:sz w:val="20"/>
          <w:szCs w:val="20"/>
          <w:color w:val="auto"/>
        </w:rPr>
      </w:pPr>
    </w:p>
    <w:p>
      <w:pPr>
        <w:ind w:right="40" w:firstLine="518"/>
        <w:spacing w:after="0" w:line="287" w:lineRule="auto"/>
        <w:rPr>
          <w:sz w:val="20"/>
          <w:szCs w:val="20"/>
          <w:color w:val="auto"/>
        </w:rPr>
      </w:pPr>
      <w:r>
        <w:rPr>
          <w:rFonts w:ascii="Arial" w:cs="Arial" w:eastAsia="Arial" w:hAnsi="Arial"/>
          <w:sz w:val="13"/>
          <w:szCs w:val="13"/>
          <w:color w:val="auto"/>
        </w:rPr>
        <w:t>11.20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200" w:lineRule="exact"/>
        <w:rPr>
          <w:sz w:val="20"/>
          <w:szCs w:val="20"/>
          <w:color w:val="auto"/>
        </w:rPr>
      </w:pPr>
    </w:p>
    <w:p>
      <w:pPr>
        <w:spacing w:after="0" w:line="238"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(SIGNATURES TO FOLLOW)</w:t>
      </w:r>
    </w:p>
    <w:p>
      <w:pPr>
        <w:spacing w:after="0" w:line="314"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13970</wp:posOffset>
            </wp:positionV>
            <wp:extent cx="7159625" cy="698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620"/>
          </w:cols>
          <w:pgMar w:left="840" w:top="648" w:right="439" w:bottom="1440" w:gutter="0" w:footer="0" w:header="0"/>
        </w:sectPr>
      </w:pPr>
    </w:p>
    <w:bookmarkStart w:id="715" w:name="page716"/>
    <w:bookmarkEnd w:id="715"/>
    <w:p>
      <w:pPr>
        <w:ind w:left="100"/>
        <w:spacing w:after="0"/>
        <w:rPr>
          <w:sz w:val="20"/>
          <w:szCs w:val="20"/>
          <w:color w:val="auto"/>
        </w:rPr>
      </w:pPr>
      <w:r>
        <w:rPr>
          <w:rFonts w:ascii="Arial" w:cs="Arial" w:eastAsia="Arial" w:hAnsi="Arial"/>
          <w:sz w:val="14"/>
          <w:szCs w:val="14"/>
          <w:u w:val="single" w:color="auto"/>
          <w:color w:val="auto"/>
        </w:rPr>
        <w:t>CONFIDENTIAL</w:t>
      </w:r>
    </w:p>
    <w:p>
      <w:pPr>
        <w:spacing w:after="0" w:line="3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WITNESS WHEREOF, Borrower, Agent and the lenders have duly executed and delivered this Loan and Security Agreement as of the day and year first above written.</w:t>
      </w:r>
    </w:p>
    <w:p>
      <w:pPr>
        <w:spacing w:after="0" w:line="357" w:lineRule="exact"/>
        <w:rPr>
          <w:sz w:val="20"/>
          <w:szCs w:val="20"/>
          <w:color w:val="auto"/>
        </w:rPr>
      </w:pPr>
    </w:p>
    <w:tbl>
      <w:tblPr>
        <w:tblLayout w:type="fixed"/>
        <w:tblInd w:w="5640" w:type="dxa"/>
        <w:tblCellMar>
          <w:top w:w="0" w:type="dxa"/>
          <w:left w:w="0" w:type="dxa"/>
          <w:bottom w:w="0" w:type="dxa"/>
          <w:right w:w="0" w:type="dxa"/>
        </w:tblCellMar>
      </w:tblP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BORROWER:</w:t>
            </w:r>
          </w:p>
        </w:tc>
        <w:tc>
          <w:tcPr>
            <w:tcW w:w="3380" w:type="dxa"/>
            <w:vAlign w:val="bottom"/>
          </w:tcPr>
          <w:p>
            <w:pPr>
              <w:spacing w:after="0"/>
              <w:rPr>
                <w:sz w:val="15"/>
                <w:szCs w:val="15"/>
                <w:color w:val="auto"/>
              </w:rPr>
            </w:pPr>
          </w:p>
        </w:tc>
      </w:tr>
      <w:tr>
        <w:trPr>
          <w:trHeight w:val="345"/>
        </w:trPr>
        <w:tc>
          <w:tcPr>
            <w:tcW w:w="2260" w:type="dxa"/>
            <w:vAlign w:val="bottom"/>
          </w:tcPr>
          <w:p>
            <w:pPr>
              <w:spacing w:after="0"/>
              <w:rPr>
                <w:sz w:val="20"/>
                <w:szCs w:val="20"/>
                <w:color w:val="auto"/>
              </w:rPr>
            </w:pPr>
            <w:r>
              <w:rPr>
                <w:rFonts w:ascii="Arial" w:cs="Arial" w:eastAsia="Arial" w:hAnsi="Arial"/>
                <w:sz w:val="14"/>
                <w:szCs w:val="14"/>
                <w:color w:val="auto"/>
              </w:rPr>
              <w:t>CENTURY THERAPEUTICS, LLC</w:t>
            </w:r>
          </w:p>
        </w:tc>
        <w:tc>
          <w:tcPr>
            <w:tcW w:w="3380" w:type="dxa"/>
            <w:vAlign w:val="bottom"/>
          </w:tcPr>
          <w:p>
            <w:pPr>
              <w:spacing w:after="0"/>
              <w:rPr>
                <w:sz w:val="24"/>
                <w:szCs w:val="24"/>
                <w:color w:val="auto"/>
              </w:rPr>
            </w:pPr>
          </w:p>
        </w:tc>
      </w:tr>
      <w:tr>
        <w:trPr>
          <w:trHeight w:val="346"/>
        </w:trPr>
        <w:tc>
          <w:tcPr>
            <w:tcW w:w="2260" w:type="dxa"/>
            <w:vAlign w:val="bottom"/>
          </w:tcPr>
          <w:p>
            <w:pPr>
              <w:spacing w:after="0"/>
              <w:rPr>
                <w:sz w:val="20"/>
                <w:szCs w:val="20"/>
                <w:color w:val="auto"/>
              </w:rPr>
            </w:pPr>
            <w:r>
              <w:rPr>
                <w:rFonts w:ascii="Arial" w:cs="Arial" w:eastAsia="Arial" w:hAnsi="Arial"/>
                <w:sz w:val="14"/>
                <w:szCs w:val="14"/>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Douglas Carr</w:t>
            </w:r>
          </w:p>
        </w:tc>
      </w:tr>
      <w:tr>
        <w:trPr>
          <w:trHeight w:val="336"/>
        </w:trPr>
        <w:tc>
          <w:tcPr>
            <w:tcW w:w="2260" w:type="dxa"/>
            <w:vAlign w:val="bottom"/>
          </w:tcPr>
          <w:p>
            <w:pPr>
              <w:spacing w:after="0"/>
              <w:rPr>
                <w:sz w:val="20"/>
                <w:szCs w:val="20"/>
                <w:color w:val="auto"/>
              </w:rPr>
            </w:pPr>
            <w:r>
              <w:rPr>
                <w:rFonts w:ascii="Arial" w:cs="Arial" w:eastAsia="Arial" w:hAnsi="Arial"/>
                <w:sz w:val="14"/>
                <w:szCs w:val="14"/>
                <w:color w:val="auto"/>
              </w:rPr>
              <w:t>Print Name: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Douglas Carr</w:t>
            </w:r>
          </w:p>
        </w:tc>
      </w:tr>
      <w:tr>
        <w:trPr>
          <w:trHeight w:val="336"/>
        </w:trPr>
        <w:tc>
          <w:tcPr>
            <w:tcW w:w="2260" w:type="dxa"/>
            <w:vAlign w:val="bottom"/>
          </w:tcPr>
          <w:p>
            <w:pPr>
              <w:spacing w:after="0"/>
              <w:rPr>
                <w:sz w:val="20"/>
                <w:szCs w:val="20"/>
                <w:color w:val="auto"/>
              </w:rPr>
            </w:pPr>
            <w:r>
              <w:rPr>
                <w:rFonts w:ascii="Arial" w:cs="Arial" w:eastAsia="Arial" w:hAnsi="Arial"/>
                <w:sz w:val="14"/>
                <w:szCs w:val="14"/>
                <w:color w:val="auto"/>
              </w:rPr>
              <w:t>Title: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Vice President Finance &amp; Operations</w:t>
            </w: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Accepted in Palo Alto, California: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tcPr>
          <w:p>
            <w:pPr>
              <w:ind w:left="5600"/>
              <w:spacing w:after="0"/>
              <w:rPr>
                <w:sz w:val="20"/>
                <w:szCs w:val="20"/>
                <w:color w:val="auto"/>
              </w:rPr>
            </w:pPr>
            <w:r>
              <w:rPr>
                <w:rFonts w:ascii="Arial" w:cs="Arial" w:eastAsia="Arial" w:hAnsi="Arial"/>
                <w:sz w:val="14"/>
                <w:szCs w:val="14"/>
                <w:color w:val="auto"/>
              </w:rPr>
              <w:t>AGENT:</w:t>
            </w:r>
          </w:p>
        </w:tc>
        <w:tc>
          <w:tcPr>
            <w:tcW w:w="3920" w:type="dxa"/>
            <w:vAlign w:val="bottom"/>
          </w:tcPr>
          <w:p>
            <w:pPr>
              <w:spacing w:after="0"/>
              <w:rPr>
                <w:sz w:val="15"/>
                <w:szCs w:val="15"/>
                <w:color w:val="auto"/>
              </w:rPr>
            </w:pPr>
          </w:p>
        </w:tc>
      </w:tr>
      <w:tr>
        <w:trPr>
          <w:trHeight w:val="345"/>
        </w:trPr>
        <w:tc>
          <w:tcPr>
            <w:tcW w:w="7360" w:type="dxa"/>
            <w:vAlign w:val="bottom"/>
          </w:tcPr>
          <w:p>
            <w:pPr>
              <w:ind w:left="5640"/>
              <w:spacing w:after="0"/>
              <w:rPr>
                <w:sz w:val="20"/>
                <w:szCs w:val="20"/>
                <w:color w:val="auto"/>
              </w:rPr>
            </w:pPr>
            <w:r>
              <w:rPr>
                <w:rFonts w:ascii="Arial" w:cs="Arial" w:eastAsia="Arial" w:hAnsi="Arial"/>
                <w:sz w:val="14"/>
                <w:szCs w:val="14"/>
                <w:color w:val="auto"/>
                <w:w w:val="97"/>
              </w:rPr>
              <w:t>HERCULES CAPITAL, INC.</w:t>
            </w:r>
          </w:p>
        </w:tc>
        <w:tc>
          <w:tcPr>
            <w:tcW w:w="3920" w:type="dxa"/>
            <w:vAlign w:val="bottom"/>
          </w:tcPr>
          <w:p>
            <w:pPr>
              <w:spacing w:after="0"/>
              <w:rPr>
                <w:sz w:val="24"/>
                <w:szCs w:val="24"/>
                <w:color w:val="auto"/>
              </w:rPr>
            </w:pPr>
          </w:p>
        </w:tc>
      </w:tr>
      <w:tr>
        <w:trPr>
          <w:trHeight w:val="346"/>
        </w:trPr>
        <w:tc>
          <w:tcPr>
            <w:tcW w:w="7360" w:type="dxa"/>
            <w:vAlign w:val="bottom"/>
          </w:tcPr>
          <w:p>
            <w:pPr>
              <w:ind w:left="5600"/>
              <w:spacing w:after="0"/>
              <w:rPr>
                <w:sz w:val="20"/>
                <w:szCs w:val="20"/>
                <w:color w:val="auto"/>
              </w:rPr>
            </w:pPr>
            <w:r>
              <w:rPr>
                <w:rFonts w:ascii="Arial" w:cs="Arial" w:eastAsia="Arial" w:hAnsi="Arial"/>
                <w:sz w:val="14"/>
                <w:szCs w:val="14"/>
                <w:color w:val="auto"/>
              </w:rPr>
              <w:t>Signature: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Jennifer Choe</w:t>
            </w:r>
          </w:p>
        </w:tc>
      </w:tr>
      <w:tr>
        <w:trPr>
          <w:trHeight w:val="336"/>
        </w:trPr>
        <w:tc>
          <w:tcPr>
            <w:tcW w:w="7360" w:type="dxa"/>
            <w:vAlign w:val="bottom"/>
          </w:tcPr>
          <w:p>
            <w:pPr>
              <w:ind w:left="5600"/>
              <w:spacing w:after="0"/>
              <w:rPr>
                <w:sz w:val="20"/>
                <w:szCs w:val="20"/>
                <w:color w:val="auto"/>
              </w:rPr>
            </w:pPr>
            <w:r>
              <w:rPr>
                <w:rFonts w:ascii="Arial" w:cs="Arial" w:eastAsia="Arial" w:hAnsi="Arial"/>
                <w:sz w:val="14"/>
                <w:szCs w:val="14"/>
                <w:color w:val="auto"/>
              </w:rPr>
              <w:t>Print 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Jennifer Choe</w:t>
            </w:r>
          </w:p>
        </w:tc>
      </w:tr>
      <w:tr>
        <w:trPr>
          <w:trHeight w:val="335"/>
        </w:trPr>
        <w:tc>
          <w:tcPr>
            <w:tcW w:w="7360" w:type="dxa"/>
            <w:vAlign w:val="bottom"/>
          </w:tcPr>
          <w:p>
            <w:pPr>
              <w:ind w:left="5600"/>
              <w:spacing w:after="0"/>
              <w:rPr>
                <w:sz w:val="20"/>
                <w:szCs w:val="20"/>
                <w:color w:val="auto"/>
              </w:rPr>
            </w:pPr>
            <w:r>
              <w:rPr>
                <w:rFonts w:ascii="Arial" w:cs="Arial" w:eastAsia="Arial" w:hAnsi="Arial"/>
                <w:sz w:val="14"/>
                <w:szCs w:val="14"/>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Associate General Counsel</w:t>
            </w:r>
          </w:p>
        </w:tc>
      </w:tr>
      <w:tr>
        <w:trPr>
          <w:trHeight w:val="336"/>
        </w:trPr>
        <w:tc>
          <w:tcPr>
            <w:tcW w:w="7360" w:type="dxa"/>
            <w:vAlign w:val="bottom"/>
          </w:tcPr>
          <w:p>
            <w:pPr>
              <w:ind w:left="5600"/>
              <w:spacing w:after="0"/>
              <w:rPr>
                <w:sz w:val="20"/>
                <w:szCs w:val="20"/>
                <w:color w:val="auto"/>
              </w:rPr>
            </w:pPr>
            <w:r>
              <w:rPr>
                <w:rFonts w:ascii="Arial" w:cs="Arial" w:eastAsia="Arial" w:hAnsi="Arial"/>
                <w:sz w:val="14"/>
                <w:szCs w:val="14"/>
                <w:b w:val="1"/>
                <w:bCs w:val="1"/>
                <w:color w:val="auto"/>
              </w:rPr>
              <w:t>LENDERS:</w:t>
            </w:r>
          </w:p>
        </w:tc>
        <w:tc>
          <w:tcPr>
            <w:tcW w:w="3920" w:type="dxa"/>
            <w:vAlign w:val="bottom"/>
          </w:tcPr>
          <w:p>
            <w:pPr>
              <w:spacing w:after="0"/>
              <w:rPr>
                <w:sz w:val="24"/>
                <w:szCs w:val="24"/>
                <w:color w:val="auto"/>
              </w:rPr>
            </w:pPr>
          </w:p>
        </w:tc>
      </w:tr>
      <w:tr>
        <w:trPr>
          <w:trHeight w:val="345"/>
        </w:trPr>
        <w:tc>
          <w:tcPr>
            <w:tcW w:w="7360" w:type="dxa"/>
            <w:vAlign w:val="bottom"/>
          </w:tcPr>
          <w:p>
            <w:pPr>
              <w:ind w:left="5600"/>
              <w:spacing w:after="0"/>
              <w:rPr>
                <w:sz w:val="20"/>
                <w:szCs w:val="20"/>
                <w:color w:val="auto"/>
              </w:rPr>
            </w:pPr>
            <w:r>
              <w:rPr>
                <w:rFonts w:ascii="Arial" w:cs="Arial" w:eastAsia="Arial" w:hAnsi="Arial"/>
                <w:sz w:val="14"/>
                <w:szCs w:val="14"/>
                <w:color w:val="auto"/>
                <w:w w:val="99"/>
              </w:rPr>
              <w:t>HERCULES CAPITAL, INC.</w:t>
            </w:r>
          </w:p>
        </w:tc>
        <w:tc>
          <w:tcPr>
            <w:tcW w:w="3920" w:type="dxa"/>
            <w:vAlign w:val="bottom"/>
          </w:tcPr>
          <w:p>
            <w:pPr>
              <w:spacing w:after="0"/>
              <w:rPr>
                <w:sz w:val="24"/>
                <w:szCs w:val="24"/>
                <w:color w:val="auto"/>
              </w:rPr>
            </w:pPr>
          </w:p>
        </w:tc>
      </w:tr>
      <w:tr>
        <w:trPr>
          <w:trHeight w:val="346"/>
        </w:trPr>
        <w:tc>
          <w:tcPr>
            <w:tcW w:w="7360" w:type="dxa"/>
            <w:vAlign w:val="bottom"/>
          </w:tcPr>
          <w:p>
            <w:pPr>
              <w:ind w:left="5600"/>
              <w:spacing w:after="0"/>
              <w:rPr>
                <w:sz w:val="20"/>
                <w:szCs w:val="20"/>
                <w:color w:val="auto"/>
              </w:rPr>
            </w:pPr>
            <w:r>
              <w:rPr>
                <w:rFonts w:ascii="Arial" w:cs="Arial" w:eastAsia="Arial" w:hAnsi="Arial"/>
                <w:sz w:val="14"/>
                <w:szCs w:val="14"/>
                <w:color w:val="auto"/>
              </w:rPr>
              <w:t>Signature: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Jennifer Choe</w:t>
            </w:r>
          </w:p>
        </w:tc>
      </w:tr>
      <w:tr>
        <w:trPr>
          <w:trHeight w:val="336"/>
        </w:trPr>
        <w:tc>
          <w:tcPr>
            <w:tcW w:w="7360" w:type="dxa"/>
            <w:vAlign w:val="bottom"/>
          </w:tcPr>
          <w:p>
            <w:pPr>
              <w:ind w:left="5600"/>
              <w:spacing w:after="0"/>
              <w:rPr>
                <w:sz w:val="20"/>
                <w:szCs w:val="20"/>
                <w:color w:val="auto"/>
              </w:rPr>
            </w:pPr>
            <w:r>
              <w:rPr>
                <w:rFonts w:ascii="Arial" w:cs="Arial" w:eastAsia="Arial" w:hAnsi="Arial"/>
                <w:sz w:val="14"/>
                <w:szCs w:val="14"/>
                <w:color w:val="auto"/>
              </w:rPr>
              <w:t>Print 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Jennifer Choe</w:t>
            </w:r>
          </w:p>
        </w:tc>
      </w:tr>
      <w:tr>
        <w:trPr>
          <w:trHeight w:val="335"/>
        </w:trPr>
        <w:tc>
          <w:tcPr>
            <w:tcW w:w="7360" w:type="dxa"/>
            <w:vAlign w:val="bottom"/>
          </w:tcPr>
          <w:p>
            <w:pPr>
              <w:ind w:left="5600"/>
              <w:spacing w:after="0"/>
              <w:rPr>
                <w:sz w:val="20"/>
                <w:szCs w:val="20"/>
                <w:color w:val="auto"/>
              </w:rPr>
            </w:pPr>
            <w:r>
              <w:rPr>
                <w:rFonts w:ascii="Arial" w:cs="Arial" w:eastAsia="Arial" w:hAnsi="Arial"/>
                <w:sz w:val="14"/>
                <w:szCs w:val="14"/>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Associate General Counsel</w:t>
            </w:r>
          </w:p>
        </w:tc>
      </w:tr>
      <w:tr>
        <w:trPr>
          <w:trHeight w:val="509"/>
        </w:trPr>
        <w:tc>
          <w:tcPr>
            <w:tcW w:w="7360" w:type="dxa"/>
            <w:vAlign w:val="bottom"/>
          </w:tcPr>
          <w:p>
            <w:pPr>
              <w:ind w:left="4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Loan and Security Agreement</w:t>
            </w:r>
            <w:r>
              <w:rPr>
                <w:rFonts w:ascii="Arial" w:cs="Arial" w:eastAsia="Arial" w:hAnsi="Arial"/>
                <w:sz w:val="14"/>
                <w:szCs w:val="14"/>
                <w:color w:val="auto"/>
              </w:rPr>
              <w:t>]</w:t>
            </w:r>
          </w:p>
        </w:tc>
        <w:tc>
          <w:tcPr>
            <w:tcW w:w="3920" w:type="dxa"/>
            <w:vAlign w:val="bottom"/>
          </w:tcPr>
          <w:p>
            <w:pPr>
              <w:spacing w:after="0"/>
              <w:rPr>
                <w:sz w:val="24"/>
                <w:szCs w:val="24"/>
                <w:color w:val="auto"/>
              </w:rPr>
            </w:pPr>
          </w:p>
        </w:tc>
      </w:tr>
      <w:tr>
        <w:trPr>
          <w:trHeight w:val="519"/>
        </w:trPr>
        <w:tc>
          <w:tcPr>
            <w:tcW w:w="73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54" w:right="319" w:bottom="1440" w:gutter="0" w:footer="0" w:header="0"/>
        </w:sectPr>
      </w:pPr>
    </w:p>
    <w:bookmarkStart w:id="716" w:name="page717"/>
    <w:bookmarkEnd w:id="716"/>
    <w:p>
      <w:pPr>
        <w:spacing w:after="0"/>
        <w:rPr>
          <w:sz w:val="20"/>
          <w:szCs w:val="20"/>
          <w:color w:val="auto"/>
        </w:rPr>
      </w:pPr>
      <w:r>
        <w:rPr>
          <w:rFonts w:ascii="Arial" w:cs="Arial" w:eastAsia="Arial" w:hAnsi="Arial"/>
          <w:sz w:val="14"/>
          <w:szCs w:val="14"/>
          <w:color w:val="auto"/>
        </w:rPr>
        <w:t>Table of Addenda, Exhibits and Schedules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Addendum 1:</w:t>
            </w:r>
          </w:p>
        </w:tc>
        <w:tc>
          <w:tcPr>
            <w:tcW w:w="9580" w:type="dxa"/>
            <w:vAlign w:val="bottom"/>
          </w:tcPr>
          <w:p>
            <w:pPr>
              <w:ind w:left="560"/>
              <w:spacing w:after="0"/>
              <w:rPr>
                <w:sz w:val="20"/>
                <w:szCs w:val="20"/>
                <w:color w:val="auto"/>
              </w:rPr>
            </w:pPr>
            <w:r>
              <w:rPr>
                <w:rFonts w:ascii="Arial" w:cs="Arial" w:eastAsia="Arial" w:hAnsi="Arial"/>
                <w:sz w:val="14"/>
                <w:szCs w:val="14"/>
                <w:color w:val="auto"/>
              </w:rPr>
              <w:t>Taxes; Increased</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Costs Addendum 2:</w:t>
            </w:r>
          </w:p>
        </w:tc>
        <w:tc>
          <w:tcPr>
            <w:tcW w:w="9580" w:type="dxa"/>
            <w:vAlign w:val="bottom"/>
          </w:tcPr>
          <w:p>
            <w:pPr>
              <w:ind w:left="560"/>
              <w:spacing w:after="0"/>
              <w:rPr>
                <w:sz w:val="20"/>
                <w:szCs w:val="20"/>
                <w:color w:val="auto"/>
              </w:rPr>
            </w:pPr>
            <w:r>
              <w:rPr>
                <w:rFonts w:ascii="Arial" w:cs="Arial" w:eastAsia="Arial" w:hAnsi="Arial"/>
                <w:sz w:val="14"/>
                <w:szCs w:val="14"/>
                <w:color w:val="auto"/>
              </w:rPr>
              <w:t>[Reserved]</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Addendum 3:</w:t>
            </w:r>
          </w:p>
        </w:tc>
        <w:tc>
          <w:tcPr>
            <w:tcW w:w="9580" w:type="dxa"/>
            <w:vAlign w:val="bottom"/>
          </w:tcPr>
          <w:p>
            <w:pPr>
              <w:ind w:left="560"/>
              <w:spacing w:after="0"/>
              <w:rPr>
                <w:sz w:val="20"/>
                <w:szCs w:val="20"/>
                <w:color w:val="auto"/>
              </w:rPr>
            </w:pPr>
            <w:r>
              <w:rPr>
                <w:rFonts w:ascii="Arial" w:cs="Arial" w:eastAsia="Arial" w:hAnsi="Arial"/>
                <w:sz w:val="14"/>
                <w:szCs w:val="14"/>
                <w:color w:val="auto"/>
              </w:rPr>
              <w:t>Agent and Lender Terms</w:t>
            </w:r>
          </w:p>
        </w:tc>
      </w:tr>
      <w:tr>
        <w:trPr>
          <w:trHeight w:val="293"/>
        </w:trPr>
        <w:tc>
          <w:tcPr>
            <w:tcW w:w="1700" w:type="dxa"/>
            <w:vAlign w:val="bottom"/>
          </w:tcPr>
          <w:p>
            <w:pPr>
              <w:spacing w:after="0"/>
              <w:rPr>
                <w:sz w:val="20"/>
                <w:szCs w:val="20"/>
                <w:color w:val="auto"/>
              </w:rPr>
            </w:pPr>
            <w:r>
              <w:rPr>
                <w:rFonts w:ascii="Arial" w:cs="Arial" w:eastAsia="Arial" w:hAnsi="Arial"/>
                <w:sz w:val="14"/>
                <w:szCs w:val="14"/>
                <w:color w:val="auto"/>
              </w:rPr>
              <w:t>Exhibit A:</w:t>
            </w:r>
          </w:p>
        </w:tc>
        <w:tc>
          <w:tcPr>
            <w:tcW w:w="9580" w:type="dxa"/>
            <w:vAlign w:val="bottom"/>
          </w:tcPr>
          <w:p>
            <w:pPr>
              <w:ind w:left="560"/>
              <w:spacing w:after="0"/>
              <w:rPr>
                <w:sz w:val="20"/>
                <w:szCs w:val="20"/>
                <w:color w:val="auto"/>
              </w:rPr>
            </w:pPr>
            <w:r>
              <w:rPr>
                <w:rFonts w:ascii="Arial" w:cs="Arial" w:eastAsia="Arial" w:hAnsi="Arial"/>
                <w:sz w:val="14"/>
                <w:szCs w:val="14"/>
                <w:color w:val="auto"/>
              </w:rPr>
              <w:t>Advance Request</w:t>
            </w:r>
          </w:p>
        </w:tc>
      </w:tr>
      <w:tr>
        <w:trPr>
          <w:trHeight w:val="182"/>
        </w:trPr>
        <w:tc>
          <w:tcPr>
            <w:tcW w:w="1700" w:type="dxa"/>
            <w:vAlign w:val="bottom"/>
          </w:tcPr>
          <w:p>
            <w:pPr>
              <w:spacing w:after="0"/>
              <w:rPr>
                <w:sz w:val="15"/>
                <w:szCs w:val="15"/>
                <w:color w:val="auto"/>
              </w:rPr>
            </w:pPr>
          </w:p>
        </w:tc>
        <w:tc>
          <w:tcPr>
            <w:tcW w:w="9580" w:type="dxa"/>
            <w:vAlign w:val="bottom"/>
          </w:tcPr>
          <w:p>
            <w:pPr>
              <w:ind w:left="560"/>
              <w:spacing w:after="0"/>
              <w:rPr>
                <w:sz w:val="20"/>
                <w:szCs w:val="20"/>
                <w:color w:val="auto"/>
              </w:rPr>
            </w:pPr>
            <w:r>
              <w:rPr>
                <w:rFonts w:ascii="Arial" w:cs="Arial" w:eastAsia="Arial" w:hAnsi="Arial"/>
                <w:sz w:val="14"/>
                <w:szCs w:val="14"/>
                <w:color w:val="auto"/>
              </w:rPr>
              <w:t>Attachment to Advance Request</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B:</w:t>
            </w:r>
          </w:p>
        </w:tc>
        <w:tc>
          <w:tcPr>
            <w:tcW w:w="9580" w:type="dxa"/>
            <w:vAlign w:val="bottom"/>
          </w:tcPr>
          <w:p>
            <w:pPr>
              <w:ind w:left="560"/>
              <w:spacing w:after="0"/>
              <w:rPr>
                <w:sz w:val="20"/>
                <w:szCs w:val="20"/>
                <w:color w:val="auto"/>
              </w:rPr>
            </w:pPr>
            <w:r>
              <w:rPr>
                <w:rFonts w:ascii="Arial" w:cs="Arial" w:eastAsia="Arial" w:hAnsi="Arial"/>
                <w:sz w:val="14"/>
                <w:szCs w:val="14"/>
                <w:color w:val="auto"/>
              </w:rPr>
              <w:t>Name, Locations, and Other Information for Borrower</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C:</w:t>
            </w:r>
          </w:p>
        </w:tc>
        <w:tc>
          <w:tcPr>
            <w:tcW w:w="9580" w:type="dxa"/>
            <w:vAlign w:val="bottom"/>
          </w:tcPr>
          <w:p>
            <w:pPr>
              <w:ind w:left="560"/>
              <w:spacing w:after="0"/>
              <w:rPr>
                <w:sz w:val="20"/>
                <w:szCs w:val="20"/>
                <w:color w:val="auto"/>
              </w:rPr>
            </w:pPr>
            <w:r>
              <w:rPr>
                <w:rFonts w:ascii="Arial" w:cs="Arial" w:eastAsia="Arial" w:hAnsi="Arial"/>
                <w:sz w:val="14"/>
                <w:szCs w:val="14"/>
                <w:color w:val="auto"/>
              </w:rPr>
              <w:t>Borrower’s Patents, Trademarks, Copyrights and Licenses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D:</w:t>
            </w:r>
          </w:p>
        </w:tc>
        <w:tc>
          <w:tcPr>
            <w:tcW w:w="9580" w:type="dxa"/>
            <w:vAlign w:val="bottom"/>
          </w:tcPr>
          <w:p>
            <w:pPr>
              <w:ind w:left="560"/>
              <w:spacing w:after="0"/>
              <w:rPr>
                <w:sz w:val="20"/>
                <w:szCs w:val="20"/>
                <w:color w:val="auto"/>
              </w:rPr>
            </w:pPr>
            <w:r>
              <w:rPr>
                <w:rFonts w:ascii="Arial" w:cs="Arial" w:eastAsia="Arial" w:hAnsi="Arial"/>
                <w:sz w:val="14"/>
                <w:szCs w:val="14"/>
                <w:color w:val="auto"/>
              </w:rPr>
              <w:t>Borrower’s Deposit Accounts and Investment Accounts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E:</w:t>
            </w:r>
          </w:p>
        </w:tc>
        <w:tc>
          <w:tcPr>
            <w:tcW w:w="9580" w:type="dxa"/>
            <w:vAlign w:val="bottom"/>
          </w:tcPr>
          <w:p>
            <w:pPr>
              <w:ind w:left="560"/>
              <w:spacing w:after="0"/>
              <w:rPr>
                <w:sz w:val="20"/>
                <w:szCs w:val="20"/>
                <w:color w:val="auto"/>
              </w:rPr>
            </w:pPr>
            <w:r>
              <w:rPr>
                <w:rFonts w:ascii="Arial" w:cs="Arial" w:eastAsia="Arial" w:hAnsi="Arial"/>
                <w:sz w:val="14"/>
                <w:szCs w:val="14"/>
                <w:color w:val="auto"/>
              </w:rPr>
              <w:t>Compliance Certificate</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F:</w:t>
            </w:r>
          </w:p>
        </w:tc>
        <w:tc>
          <w:tcPr>
            <w:tcW w:w="9580" w:type="dxa"/>
            <w:vAlign w:val="bottom"/>
          </w:tcPr>
          <w:p>
            <w:pPr>
              <w:ind w:left="560"/>
              <w:spacing w:after="0"/>
              <w:rPr>
                <w:sz w:val="20"/>
                <w:szCs w:val="20"/>
                <w:color w:val="auto"/>
              </w:rPr>
            </w:pPr>
            <w:r>
              <w:rPr>
                <w:rFonts w:ascii="Arial" w:cs="Arial" w:eastAsia="Arial" w:hAnsi="Arial"/>
                <w:sz w:val="14"/>
                <w:szCs w:val="14"/>
                <w:color w:val="auto"/>
              </w:rPr>
              <w:t>Joinder Agreement</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G:</w:t>
            </w:r>
          </w:p>
        </w:tc>
        <w:tc>
          <w:tcPr>
            <w:tcW w:w="9580" w:type="dxa"/>
            <w:vAlign w:val="bottom"/>
          </w:tcPr>
          <w:p>
            <w:pPr>
              <w:ind w:left="560"/>
              <w:spacing w:after="0"/>
              <w:rPr>
                <w:sz w:val="20"/>
                <w:szCs w:val="20"/>
                <w:color w:val="auto"/>
              </w:rPr>
            </w:pPr>
            <w:r>
              <w:rPr>
                <w:rFonts w:ascii="Arial" w:cs="Arial" w:eastAsia="Arial" w:hAnsi="Arial"/>
                <w:sz w:val="14"/>
                <w:szCs w:val="14"/>
                <w:color w:val="auto"/>
              </w:rPr>
              <w:t>[Reserved]</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H:</w:t>
            </w:r>
          </w:p>
        </w:tc>
        <w:tc>
          <w:tcPr>
            <w:tcW w:w="9580" w:type="dxa"/>
            <w:vAlign w:val="bottom"/>
          </w:tcPr>
          <w:p>
            <w:pPr>
              <w:ind w:left="560"/>
              <w:spacing w:after="0"/>
              <w:rPr>
                <w:sz w:val="20"/>
                <w:szCs w:val="20"/>
                <w:color w:val="auto"/>
              </w:rPr>
            </w:pPr>
            <w:r>
              <w:rPr>
                <w:rFonts w:ascii="Arial" w:cs="Arial" w:eastAsia="Arial" w:hAnsi="Arial"/>
                <w:sz w:val="14"/>
                <w:szCs w:val="14"/>
                <w:color w:val="auto"/>
              </w:rPr>
              <w:t>ACH Debit Authorization Agreement</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I:</w:t>
            </w:r>
          </w:p>
        </w:tc>
        <w:tc>
          <w:tcPr>
            <w:tcW w:w="9580" w:type="dxa"/>
            <w:vAlign w:val="bottom"/>
          </w:tcPr>
          <w:p>
            <w:pPr>
              <w:ind w:left="560"/>
              <w:spacing w:after="0"/>
              <w:rPr>
                <w:sz w:val="20"/>
                <w:szCs w:val="20"/>
                <w:color w:val="auto"/>
              </w:rPr>
            </w:pPr>
            <w:r>
              <w:rPr>
                <w:rFonts w:ascii="Arial" w:cs="Arial" w:eastAsia="Arial" w:hAnsi="Arial"/>
                <w:sz w:val="14"/>
                <w:szCs w:val="14"/>
                <w:color w:val="auto"/>
              </w:rPr>
              <w:t>[Reserved]</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J-1:</w:t>
            </w:r>
          </w:p>
        </w:tc>
        <w:tc>
          <w:tcPr>
            <w:tcW w:w="9580" w:type="dxa"/>
            <w:vAlign w:val="bottom"/>
          </w:tcPr>
          <w:p>
            <w:pPr>
              <w:ind w:left="560"/>
              <w:spacing w:after="0"/>
              <w:rPr>
                <w:sz w:val="20"/>
                <w:szCs w:val="20"/>
                <w:color w:val="auto"/>
              </w:rPr>
            </w:pPr>
            <w:r>
              <w:rPr>
                <w:rFonts w:ascii="Arial" w:cs="Arial" w:eastAsia="Arial" w:hAnsi="Arial"/>
                <w:sz w:val="14"/>
                <w:szCs w:val="14"/>
                <w:color w:val="auto"/>
              </w:rPr>
              <w:t>Form of U.S. Tax Compliance Certificate (For Foreign Lenders That Are Not Partnerships For U.S. Federal Income Tax Purposes)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J-2:</w:t>
            </w:r>
          </w:p>
        </w:tc>
        <w:tc>
          <w:tcPr>
            <w:tcW w:w="9580" w:type="dxa"/>
            <w:vAlign w:val="bottom"/>
          </w:tcPr>
          <w:p>
            <w:pPr>
              <w:ind w:left="560"/>
              <w:spacing w:after="0"/>
              <w:rPr>
                <w:sz w:val="20"/>
                <w:szCs w:val="20"/>
                <w:color w:val="auto"/>
              </w:rPr>
            </w:pPr>
            <w:r>
              <w:rPr>
                <w:rFonts w:ascii="Arial" w:cs="Arial" w:eastAsia="Arial" w:hAnsi="Arial"/>
                <w:sz w:val="14"/>
                <w:szCs w:val="14"/>
                <w:color w:val="auto"/>
              </w:rPr>
              <w:t>Form of U.S. Tax Compliance Certificate (For Foreign Participants That Are Not Partnerships For U.S. Federal Income Tax Purposes)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J-3:</w:t>
            </w:r>
          </w:p>
        </w:tc>
        <w:tc>
          <w:tcPr>
            <w:tcW w:w="9580" w:type="dxa"/>
            <w:vAlign w:val="bottom"/>
          </w:tcPr>
          <w:p>
            <w:pPr>
              <w:ind w:left="560"/>
              <w:spacing w:after="0"/>
              <w:rPr>
                <w:sz w:val="20"/>
                <w:szCs w:val="20"/>
                <w:color w:val="auto"/>
              </w:rPr>
            </w:pPr>
            <w:r>
              <w:rPr>
                <w:rFonts w:ascii="Arial" w:cs="Arial" w:eastAsia="Arial" w:hAnsi="Arial"/>
                <w:sz w:val="14"/>
                <w:szCs w:val="14"/>
                <w:color w:val="auto"/>
              </w:rPr>
              <w:t>Form of U.S. Tax Compliance Certificate (For Foreign Participants That Are Partnerships For U.S. Federal Income Tax Purposes)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Exhibit J-4:</w:t>
            </w:r>
          </w:p>
        </w:tc>
        <w:tc>
          <w:tcPr>
            <w:tcW w:w="9580" w:type="dxa"/>
            <w:vAlign w:val="bottom"/>
          </w:tcPr>
          <w:p>
            <w:pPr>
              <w:ind w:left="560"/>
              <w:spacing w:after="0"/>
              <w:rPr>
                <w:sz w:val="20"/>
                <w:szCs w:val="20"/>
                <w:color w:val="auto"/>
              </w:rPr>
            </w:pPr>
            <w:r>
              <w:rPr>
                <w:rFonts w:ascii="Arial" w:cs="Arial" w:eastAsia="Arial" w:hAnsi="Arial"/>
                <w:sz w:val="14"/>
                <w:szCs w:val="14"/>
                <w:color w:val="auto"/>
              </w:rPr>
              <w:t>Form of U.S. Tax Compliance Certificate (For Foreign Lenders That Are Partnerships For U.S. Federal Income Tax Purposes)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1.1</w:t>
            </w:r>
          </w:p>
        </w:tc>
        <w:tc>
          <w:tcPr>
            <w:tcW w:w="9580" w:type="dxa"/>
            <w:vAlign w:val="bottom"/>
          </w:tcPr>
          <w:p>
            <w:pPr>
              <w:ind w:left="560"/>
              <w:spacing w:after="0"/>
              <w:rPr>
                <w:sz w:val="20"/>
                <w:szCs w:val="20"/>
                <w:color w:val="auto"/>
              </w:rPr>
            </w:pPr>
            <w:r>
              <w:rPr>
                <w:rFonts w:ascii="Arial" w:cs="Arial" w:eastAsia="Arial" w:hAnsi="Arial"/>
                <w:sz w:val="14"/>
                <w:szCs w:val="14"/>
                <w:color w:val="auto"/>
              </w:rPr>
              <w:t>Commitments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1</w:t>
            </w:r>
          </w:p>
        </w:tc>
        <w:tc>
          <w:tcPr>
            <w:tcW w:w="9580" w:type="dxa"/>
            <w:vAlign w:val="bottom"/>
          </w:tcPr>
          <w:p>
            <w:pPr>
              <w:ind w:left="560"/>
              <w:spacing w:after="0"/>
              <w:rPr>
                <w:sz w:val="20"/>
                <w:szCs w:val="20"/>
                <w:color w:val="auto"/>
              </w:rPr>
            </w:pPr>
            <w:r>
              <w:rPr>
                <w:rFonts w:ascii="Arial" w:cs="Arial" w:eastAsia="Arial" w:hAnsi="Arial"/>
                <w:sz w:val="14"/>
                <w:szCs w:val="14"/>
                <w:color w:val="auto"/>
              </w:rPr>
              <w:t>Subsidiaries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1A</w:t>
            </w:r>
          </w:p>
        </w:tc>
        <w:tc>
          <w:tcPr>
            <w:tcW w:w="9580" w:type="dxa"/>
            <w:vAlign w:val="bottom"/>
          </w:tcPr>
          <w:p>
            <w:pPr>
              <w:ind w:left="560"/>
              <w:spacing w:after="0"/>
              <w:rPr>
                <w:sz w:val="20"/>
                <w:szCs w:val="20"/>
                <w:color w:val="auto"/>
              </w:rPr>
            </w:pPr>
            <w:r>
              <w:rPr>
                <w:rFonts w:ascii="Arial" w:cs="Arial" w:eastAsia="Arial" w:hAnsi="Arial"/>
                <w:sz w:val="14"/>
                <w:szCs w:val="14"/>
                <w:color w:val="auto"/>
              </w:rPr>
              <w:t>Existing Permitted Indebtedness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1B</w:t>
            </w:r>
          </w:p>
        </w:tc>
        <w:tc>
          <w:tcPr>
            <w:tcW w:w="9580" w:type="dxa"/>
            <w:vAlign w:val="bottom"/>
          </w:tcPr>
          <w:p>
            <w:pPr>
              <w:ind w:left="560"/>
              <w:spacing w:after="0"/>
              <w:rPr>
                <w:sz w:val="20"/>
                <w:szCs w:val="20"/>
                <w:color w:val="auto"/>
              </w:rPr>
            </w:pPr>
            <w:r>
              <w:rPr>
                <w:rFonts w:ascii="Arial" w:cs="Arial" w:eastAsia="Arial" w:hAnsi="Arial"/>
                <w:sz w:val="14"/>
                <w:szCs w:val="14"/>
                <w:color w:val="auto"/>
              </w:rPr>
              <w:t>Existing Permitted Investments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1C</w:t>
            </w:r>
          </w:p>
        </w:tc>
        <w:tc>
          <w:tcPr>
            <w:tcW w:w="9580" w:type="dxa"/>
            <w:vAlign w:val="bottom"/>
          </w:tcPr>
          <w:p>
            <w:pPr>
              <w:ind w:left="560"/>
              <w:spacing w:after="0"/>
              <w:rPr>
                <w:sz w:val="20"/>
                <w:szCs w:val="20"/>
                <w:color w:val="auto"/>
              </w:rPr>
            </w:pPr>
            <w:r>
              <w:rPr>
                <w:rFonts w:ascii="Arial" w:cs="Arial" w:eastAsia="Arial" w:hAnsi="Arial"/>
                <w:sz w:val="14"/>
                <w:szCs w:val="14"/>
                <w:color w:val="auto"/>
              </w:rPr>
              <w:t>Existing Permitted Liens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5.3</w:t>
            </w:r>
          </w:p>
        </w:tc>
        <w:tc>
          <w:tcPr>
            <w:tcW w:w="9580" w:type="dxa"/>
            <w:vAlign w:val="bottom"/>
          </w:tcPr>
          <w:p>
            <w:pPr>
              <w:ind w:left="560"/>
              <w:spacing w:after="0"/>
              <w:rPr>
                <w:sz w:val="20"/>
                <w:szCs w:val="20"/>
                <w:color w:val="auto"/>
              </w:rPr>
            </w:pPr>
            <w:r>
              <w:rPr>
                <w:rFonts w:ascii="Arial" w:cs="Arial" w:eastAsia="Arial" w:hAnsi="Arial"/>
                <w:sz w:val="14"/>
                <w:szCs w:val="14"/>
                <w:color w:val="auto"/>
              </w:rPr>
              <w:t>Consents, Etc.</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5.8</w:t>
            </w:r>
          </w:p>
        </w:tc>
        <w:tc>
          <w:tcPr>
            <w:tcW w:w="9580" w:type="dxa"/>
            <w:vAlign w:val="bottom"/>
          </w:tcPr>
          <w:p>
            <w:pPr>
              <w:ind w:left="560"/>
              <w:spacing w:after="0"/>
              <w:rPr>
                <w:sz w:val="20"/>
                <w:szCs w:val="20"/>
                <w:color w:val="auto"/>
              </w:rPr>
            </w:pPr>
            <w:r>
              <w:rPr>
                <w:rFonts w:ascii="Arial" w:cs="Arial" w:eastAsia="Arial" w:hAnsi="Arial"/>
                <w:sz w:val="14"/>
                <w:szCs w:val="14"/>
                <w:color w:val="auto"/>
              </w:rPr>
              <w:t>Tax Matters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5.9</w:t>
            </w:r>
          </w:p>
        </w:tc>
        <w:tc>
          <w:tcPr>
            <w:tcW w:w="9580" w:type="dxa"/>
            <w:vAlign w:val="bottom"/>
          </w:tcPr>
          <w:p>
            <w:pPr>
              <w:ind w:left="560"/>
              <w:spacing w:after="0"/>
              <w:rPr>
                <w:sz w:val="20"/>
                <w:szCs w:val="20"/>
                <w:color w:val="auto"/>
              </w:rPr>
            </w:pPr>
            <w:r>
              <w:rPr>
                <w:rFonts w:ascii="Arial" w:cs="Arial" w:eastAsia="Arial" w:hAnsi="Arial"/>
                <w:sz w:val="14"/>
                <w:szCs w:val="14"/>
                <w:color w:val="auto"/>
              </w:rPr>
              <w:t>Intellectual Property Claims</w:t>
            </w:r>
          </w:p>
        </w:tc>
      </w:tr>
      <w:tr>
        <w:trPr>
          <w:trHeight w:val="302"/>
        </w:trPr>
        <w:tc>
          <w:tcPr>
            <w:tcW w:w="1700" w:type="dxa"/>
            <w:vAlign w:val="bottom"/>
          </w:tcPr>
          <w:p>
            <w:pPr>
              <w:spacing w:after="0"/>
              <w:rPr>
                <w:sz w:val="20"/>
                <w:szCs w:val="20"/>
                <w:color w:val="auto"/>
              </w:rPr>
            </w:pPr>
            <w:r>
              <w:rPr>
                <w:rFonts w:ascii="Arial" w:cs="Arial" w:eastAsia="Arial" w:hAnsi="Arial"/>
                <w:sz w:val="14"/>
                <w:szCs w:val="14"/>
                <w:color w:val="auto"/>
              </w:rPr>
              <w:t>Schedule 5.10</w:t>
            </w:r>
          </w:p>
        </w:tc>
        <w:tc>
          <w:tcPr>
            <w:tcW w:w="9580" w:type="dxa"/>
            <w:vAlign w:val="bottom"/>
          </w:tcPr>
          <w:p>
            <w:pPr>
              <w:ind w:left="560"/>
              <w:spacing w:after="0"/>
              <w:rPr>
                <w:sz w:val="20"/>
                <w:szCs w:val="20"/>
                <w:color w:val="auto"/>
              </w:rPr>
            </w:pPr>
            <w:r>
              <w:rPr>
                <w:rFonts w:ascii="Arial" w:cs="Arial" w:eastAsia="Arial" w:hAnsi="Arial"/>
                <w:sz w:val="14"/>
                <w:szCs w:val="14"/>
                <w:color w:val="auto"/>
              </w:rPr>
              <w:t>Intellectual Property</w:t>
            </w:r>
          </w:p>
        </w:tc>
      </w:tr>
      <w:tr>
        <w:trPr>
          <w:trHeight w:val="545"/>
        </w:trPr>
        <w:tc>
          <w:tcPr>
            <w:tcW w:w="170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280"/>
          </w:cols>
          <w:pgMar w:left="300" w:top="690" w:right="319" w:bottom="1440" w:gutter="0" w:footer="0" w:header="0"/>
        </w:sectPr>
      </w:pPr>
    </w:p>
    <w:bookmarkStart w:id="717" w:name="page718"/>
    <w:bookmarkEnd w:id="717"/>
    <w:p>
      <w:pPr>
        <w:spacing w:after="0"/>
        <w:rPr>
          <w:sz w:val="20"/>
          <w:szCs w:val="20"/>
          <w:color w:val="auto"/>
        </w:rPr>
      </w:pPr>
      <w:r>
        <w:rPr>
          <w:rFonts w:ascii="Arial" w:cs="Arial" w:eastAsia="Arial" w:hAnsi="Arial"/>
          <w:sz w:val="12"/>
          <w:szCs w:val="12"/>
          <w:color w:val="auto"/>
        </w:rPr>
        <w:t>Schedule 5.11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Borrower Products</w:t>
      </w:r>
    </w:p>
    <w:p>
      <w:pPr>
        <w:spacing w:after="0" w:line="153" w:lineRule="exact"/>
        <w:rPr>
          <w:sz w:val="20"/>
          <w:szCs w:val="20"/>
          <w:color w:val="auto"/>
        </w:rPr>
      </w:pPr>
    </w:p>
    <w:p>
      <w:pPr>
        <w:sectPr>
          <w:pgSz w:w="11900" w:h="16838" w:orient="portrait"/>
          <w:cols w:equalWidth="0" w:num="2">
            <w:col w:w="1540" w:space="720"/>
            <w:col w:w="7899"/>
          </w:cols>
          <w:pgMar w:left="300" w:top="648" w:right="1440" w:bottom="1440" w:gutter="0" w:footer="0" w:header="0"/>
        </w:sectPr>
      </w:pPr>
    </w:p>
    <w:p>
      <w:pPr>
        <w:spacing w:after="0"/>
        <w:rPr>
          <w:sz w:val="20"/>
          <w:szCs w:val="20"/>
          <w:color w:val="auto"/>
        </w:rPr>
      </w:pPr>
      <w:r>
        <w:rPr>
          <w:rFonts w:ascii="Arial" w:cs="Arial" w:eastAsia="Arial" w:hAnsi="Arial"/>
          <w:sz w:val="12"/>
          <w:szCs w:val="12"/>
          <w:color w:val="auto"/>
        </w:rPr>
        <w:t>Schedule 5.14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Capitalization</w:t>
      </w:r>
    </w:p>
    <w:p>
      <w:pPr>
        <w:spacing w:after="0" w:line="200" w:lineRule="exact"/>
        <w:rPr>
          <w:sz w:val="20"/>
          <w:szCs w:val="20"/>
          <w:color w:val="auto"/>
        </w:rPr>
      </w:pPr>
    </w:p>
    <w:p>
      <w:pPr>
        <w:sectPr>
          <w:pgSz w:w="11900" w:h="16838" w:orient="portrait"/>
          <w:cols w:equalWidth="0" w:num="2">
            <w:col w:w="1540" w:space="720"/>
            <w:col w:w="7899"/>
          </w:cols>
          <w:pgMar w:left="300" w:top="648" w:right="1440" w:bottom="1440" w:gutter="0" w:footer="0" w:header="0"/>
          <w:type w:val="continuous"/>
        </w:sectPr>
      </w:pPr>
    </w:p>
    <w:p>
      <w:pPr>
        <w:spacing w:after="0" w:line="244"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648" w:right="1440" w:bottom="1440" w:gutter="0" w:footer="0" w:header="0"/>
          <w:type w:val="continuous"/>
        </w:sectPr>
      </w:pPr>
    </w:p>
    <w:bookmarkStart w:id="718" w:name="page719"/>
    <w:bookmarkEnd w:id="718"/>
    <w:p>
      <w:pPr>
        <w:jc w:val="center"/>
        <w:ind w:right="94"/>
        <w:spacing w:after="0"/>
        <w:rPr>
          <w:sz w:val="20"/>
          <w:szCs w:val="20"/>
          <w:color w:val="auto"/>
        </w:rPr>
      </w:pPr>
      <w:r>
        <w:rPr>
          <w:rFonts w:ascii="Arial" w:cs="Arial" w:eastAsia="Arial" w:hAnsi="Arial"/>
          <w:sz w:val="14"/>
          <w:szCs w:val="14"/>
          <w:b w:val="1"/>
          <w:bCs w:val="1"/>
          <w:color w:val="auto"/>
        </w:rPr>
        <w:t>ADDENDUM 1 to LOAN AND SECURITY AGREEMENT</w:t>
      </w:r>
    </w:p>
    <w:p>
      <w:pPr>
        <w:spacing w:after="0" w:line="25" w:lineRule="exact"/>
        <w:rPr>
          <w:sz w:val="20"/>
          <w:szCs w:val="20"/>
          <w:color w:val="auto"/>
        </w:rPr>
      </w:pPr>
    </w:p>
    <w:p>
      <w:pPr>
        <w:jc w:val="center"/>
        <w:ind w:right="94"/>
        <w:spacing w:after="0"/>
        <w:rPr>
          <w:sz w:val="20"/>
          <w:szCs w:val="20"/>
          <w:color w:val="auto"/>
        </w:rPr>
      </w:pPr>
      <w:r>
        <w:rPr>
          <w:rFonts w:ascii="Arial" w:cs="Arial" w:eastAsia="Arial" w:hAnsi="Arial"/>
          <w:sz w:val="14"/>
          <w:szCs w:val="14"/>
          <w:b w:val="1"/>
          <w:bCs w:val="1"/>
          <w:color w:val="auto"/>
        </w:rPr>
        <w:t>TAXES; INCREASED COSTS</w:t>
      </w:r>
    </w:p>
    <w:p>
      <w:pPr>
        <w:spacing w:after="0" w:line="182" w:lineRule="exact"/>
        <w:rPr>
          <w:sz w:val="20"/>
          <w:szCs w:val="20"/>
          <w:color w:val="auto"/>
        </w:rPr>
      </w:pPr>
    </w:p>
    <w:p>
      <w:pPr>
        <w:ind w:left="266" w:hanging="266"/>
        <w:spacing w:after="0"/>
        <w:tabs>
          <w:tab w:leader="none" w:pos="266" w:val="left"/>
        </w:tabs>
        <w:numPr>
          <w:ilvl w:val="0"/>
          <w:numId w:val="532"/>
        </w:numPr>
        <w:rPr>
          <w:rFonts w:ascii="Arial" w:cs="Arial" w:eastAsia="Arial" w:hAnsi="Arial"/>
          <w:sz w:val="14"/>
          <w:szCs w:val="14"/>
          <w:color w:val="auto"/>
        </w:rPr>
      </w:pPr>
      <w:r>
        <w:rPr>
          <w:rFonts w:ascii="Arial" w:cs="Arial" w:eastAsia="Arial" w:hAnsi="Arial"/>
          <w:sz w:val="14"/>
          <w:szCs w:val="14"/>
          <w:b w:val="1"/>
          <w:bCs w:val="1"/>
          <w:color w:val="auto"/>
        </w:rPr>
        <w:t>Defined Terms</w:t>
      </w:r>
      <w:r>
        <w:rPr>
          <w:rFonts w:ascii="Arial" w:cs="Arial" w:eastAsia="Arial" w:hAnsi="Arial"/>
          <w:sz w:val="14"/>
          <w:szCs w:val="14"/>
          <w:color w:val="auto"/>
        </w:rPr>
        <w:t>. For purposes of this Addendum 1:</w:t>
      </w:r>
    </w:p>
    <w:p>
      <w:pPr>
        <w:spacing w:after="0" w:line="184" w:lineRule="exact"/>
        <w:rPr>
          <w:rFonts w:ascii="Arial" w:cs="Arial" w:eastAsia="Arial" w:hAnsi="Arial"/>
          <w:sz w:val="14"/>
          <w:szCs w:val="14"/>
          <w:color w:val="auto"/>
        </w:rPr>
      </w:pPr>
    </w:p>
    <w:p>
      <w:pPr>
        <w:ind w:left="726" w:right="320" w:hanging="251"/>
        <w:spacing w:after="0" w:line="294" w:lineRule="auto"/>
        <w:tabs>
          <w:tab w:leader="none" w:pos="726" w:val="left"/>
        </w:tabs>
        <w:numPr>
          <w:ilvl w:val="1"/>
          <w:numId w:val="5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Connection Income Taxes</w:t>
      </w:r>
      <w:r>
        <w:rPr>
          <w:rFonts w:ascii="Arial" w:cs="Arial" w:eastAsia="Arial" w:hAnsi="Arial"/>
          <w:sz w:val="14"/>
          <w:szCs w:val="14"/>
          <w:color w:val="auto"/>
        </w:rPr>
        <w:t>” means Other Connection Taxes that are imposed on or measured by net income (however denominated) or that are franchise Taxes or branch profits Taxes.</w:t>
      </w:r>
    </w:p>
    <w:p>
      <w:pPr>
        <w:spacing w:after="0" w:line="134" w:lineRule="exact"/>
        <w:rPr>
          <w:rFonts w:ascii="Arial" w:cs="Arial" w:eastAsia="Arial" w:hAnsi="Arial"/>
          <w:sz w:val="14"/>
          <w:szCs w:val="14"/>
          <w:color w:val="auto"/>
        </w:rPr>
      </w:pPr>
    </w:p>
    <w:p>
      <w:pPr>
        <w:ind w:left="726" w:hanging="251"/>
        <w:spacing w:after="0" w:line="262" w:lineRule="auto"/>
        <w:tabs>
          <w:tab w:leader="none" w:pos="726" w:val="left"/>
        </w:tabs>
        <w:numPr>
          <w:ilvl w:val="1"/>
          <w:numId w:val="5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Taxes</w:t>
      </w:r>
      <w:r>
        <w:rPr>
          <w:rFonts w:ascii="Arial" w:cs="Arial" w:eastAsia="Arial" w:hAnsi="Arial"/>
          <w:sz w:val="14"/>
          <w:szCs w:val="14"/>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44" w:lineRule="exact"/>
        <w:rPr>
          <w:rFonts w:ascii="Arial" w:cs="Arial" w:eastAsia="Arial" w:hAnsi="Arial"/>
          <w:sz w:val="14"/>
          <w:szCs w:val="14"/>
          <w:color w:val="auto"/>
        </w:rPr>
      </w:pPr>
    </w:p>
    <w:p>
      <w:pPr>
        <w:ind w:left="726" w:right="80" w:hanging="251"/>
        <w:spacing w:after="0" w:line="269" w:lineRule="auto"/>
        <w:tabs>
          <w:tab w:leader="none" w:pos="726" w:val="left"/>
        </w:tabs>
        <w:numPr>
          <w:ilvl w:val="1"/>
          <w:numId w:val="5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FATCA</w:t>
      </w:r>
      <w:r>
        <w:rPr>
          <w:rFonts w:ascii="Arial" w:cs="Arial" w:eastAsia="Arial" w:hAnsi="Arial"/>
          <w:sz w:val="14"/>
          <w:szCs w:val="14"/>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2" w:lineRule="exact"/>
        <w:rPr>
          <w:rFonts w:ascii="Arial" w:cs="Arial" w:eastAsia="Arial" w:hAnsi="Arial"/>
          <w:sz w:val="14"/>
          <w:szCs w:val="14"/>
          <w:color w:val="auto"/>
        </w:rPr>
      </w:pPr>
    </w:p>
    <w:p>
      <w:pPr>
        <w:ind w:left="726" w:hanging="251"/>
        <w:spacing w:after="0"/>
        <w:tabs>
          <w:tab w:leader="none" w:pos="726" w:val="left"/>
        </w:tabs>
        <w:numPr>
          <w:ilvl w:val="1"/>
          <w:numId w:val="5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Foreign Lender</w:t>
      </w:r>
      <w:r>
        <w:rPr>
          <w:rFonts w:ascii="Arial" w:cs="Arial" w:eastAsia="Arial" w:hAnsi="Arial"/>
          <w:sz w:val="14"/>
          <w:szCs w:val="14"/>
          <w:color w:val="auto"/>
        </w:rPr>
        <w:t>” means a Lender that is not a U.S. Person.</w:t>
      </w:r>
    </w:p>
    <w:p>
      <w:pPr>
        <w:spacing w:after="0" w:line="195" w:lineRule="exact"/>
        <w:rPr>
          <w:rFonts w:ascii="Arial" w:cs="Arial" w:eastAsia="Arial" w:hAnsi="Arial"/>
          <w:sz w:val="14"/>
          <w:szCs w:val="14"/>
          <w:color w:val="auto"/>
        </w:rPr>
      </w:pPr>
    </w:p>
    <w:p>
      <w:pPr>
        <w:ind w:left="726" w:right="120" w:hanging="251"/>
        <w:spacing w:after="0" w:line="294" w:lineRule="auto"/>
        <w:tabs>
          <w:tab w:leader="none" w:pos="726" w:val="left"/>
        </w:tabs>
        <w:numPr>
          <w:ilvl w:val="1"/>
          <w:numId w:val="5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Indemnified Taxes</w:t>
      </w:r>
      <w:r>
        <w:rPr>
          <w:rFonts w:ascii="Arial" w:cs="Arial" w:eastAsia="Arial" w:hAnsi="Arial"/>
          <w:sz w:val="14"/>
          <w:szCs w:val="14"/>
          <w:color w:val="auto"/>
        </w:rPr>
        <w:t>” means (i) Taxes, other than Excluded Taxes, imposed on or with respect to any payment made by or on account of any obligation of the Borrower under any Loan Document and (ii) to the extent not otherwise described in clause (i), Other Taxes.</w:t>
      </w:r>
    </w:p>
    <w:p>
      <w:pPr>
        <w:spacing w:after="0" w:line="123" w:lineRule="exact"/>
        <w:rPr>
          <w:rFonts w:ascii="Arial" w:cs="Arial" w:eastAsia="Arial" w:hAnsi="Arial"/>
          <w:sz w:val="14"/>
          <w:szCs w:val="14"/>
          <w:color w:val="auto"/>
        </w:rPr>
      </w:pPr>
    </w:p>
    <w:p>
      <w:pPr>
        <w:ind w:left="726" w:right="100" w:hanging="251"/>
        <w:spacing w:after="0" w:line="269" w:lineRule="auto"/>
        <w:tabs>
          <w:tab w:leader="none" w:pos="726" w:val="left"/>
        </w:tabs>
        <w:numPr>
          <w:ilvl w:val="1"/>
          <w:numId w:val="5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Connection Taxes</w:t>
      </w:r>
      <w:r>
        <w:rPr>
          <w:rFonts w:ascii="Arial" w:cs="Arial" w:eastAsia="Arial" w:hAnsi="Arial"/>
          <w:sz w:val="14"/>
          <w:szCs w:val="14"/>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2" w:lineRule="exact"/>
        <w:rPr>
          <w:rFonts w:ascii="Arial" w:cs="Arial" w:eastAsia="Arial" w:hAnsi="Arial"/>
          <w:sz w:val="14"/>
          <w:szCs w:val="14"/>
          <w:color w:val="auto"/>
        </w:rPr>
      </w:pPr>
    </w:p>
    <w:p>
      <w:pPr>
        <w:ind w:left="726" w:right="500" w:hanging="251"/>
        <w:spacing w:after="0" w:line="276" w:lineRule="auto"/>
        <w:tabs>
          <w:tab w:leader="none" w:pos="726" w:val="left"/>
        </w:tabs>
        <w:numPr>
          <w:ilvl w:val="1"/>
          <w:numId w:val="5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Taxes</w:t>
      </w:r>
      <w:r>
        <w:rPr>
          <w:rFonts w:ascii="Arial" w:cs="Arial" w:eastAsia="Arial" w:hAnsi="Arial"/>
          <w:sz w:val="14"/>
          <w:szCs w:val="14"/>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39" w:lineRule="exact"/>
        <w:rPr>
          <w:sz w:val="20"/>
          <w:szCs w:val="20"/>
          <w:color w:val="auto"/>
        </w:rPr>
      </w:pPr>
    </w:p>
    <w:p>
      <w:pPr>
        <w:jc w:val="center"/>
        <w:ind w:right="13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13970</wp:posOffset>
            </wp:positionV>
            <wp:extent cx="7159625" cy="698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886"/>
          </w:cols>
          <w:pgMar w:left="554" w:top="816" w:right="459" w:bottom="1440" w:gutter="0" w:footer="0" w:header="0"/>
        </w:sectPr>
      </w:pPr>
    </w:p>
    <w:bookmarkStart w:id="719" w:name="page720"/>
    <w:bookmarkEnd w:id="719"/>
    <w:p>
      <w:pPr>
        <w:ind w:left="720"/>
        <w:spacing w:after="0"/>
        <w:rPr>
          <w:sz w:val="20"/>
          <w:szCs w:val="20"/>
          <w:color w:val="auto"/>
        </w:rPr>
      </w:pPr>
      <w:r>
        <w:rPr>
          <w:rFonts w:ascii="Arial" w:cs="Arial" w:eastAsia="Arial" w:hAnsi="Arial"/>
          <w:sz w:val="14"/>
          <w:szCs w:val="14"/>
          <w:color w:val="auto"/>
        </w:rPr>
        <w:t>except any such Taxes that are Other Connection Taxes imposed with respect to an assignment.</w:t>
      </w:r>
    </w:p>
    <w:p>
      <w:pPr>
        <w:spacing w:after="0" w:line="180" w:lineRule="exact"/>
        <w:rPr>
          <w:sz w:val="20"/>
          <w:szCs w:val="20"/>
          <w:color w:val="auto"/>
        </w:rPr>
      </w:pPr>
    </w:p>
    <w:p>
      <w:pPr>
        <w:ind w:left="720" w:hanging="251"/>
        <w:spacing w:after="0"/>
        <w:tabs>
          <w:tab w:leader="none" w:pos="720" w:val="left"/>
        </w:tabs>
        <w:numPr>
          <w:ilvl w:val="1"/>
          <w:numId w:val="53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Recipient</w:t>
      </w:r>
      <w:r>
        <w:rPr>
          <w:rFonts w:ascii="Arial" w:cs="Arial" w:eastAsia="Arial" w:hAnsi="Arial"/>
          <w:sz w:val="14"/>
          <w:szCs w:val="14"/>
          <w:color w:val="auto"/>
        </w:rPr>
        <w:t>” means the Agent or any Lender, as applicable.</w:t>
      </w:r>
    </w:p>
    <w:p>
      <w:pPr>
        <w:spacing w:after="0" w:line="195" w:lineRule="exact"/>
        <w:rPr>
          <w:rFonts w:ascii="Arial" w:cs="Arial" w:eastAsia="Arial" w:hAnsi="Arial"/>
          <w:sz w:val="14"/>
          <w:szCs w:val="14"/>
          <w:color w:val="auto"/>
        </w:rPr>
      </w:pPr>
    </w:p>
    <w:p>
      <w:pPr>
        <w:ind w:left="720" w:hanging="251"/>
        <w:spacing w:after="0"/>
        <w:tabs>
          <w:tab w:leader="none" w:pos="720" w:val="left"/>
        </w:tabs>
        <w:numPr>
          <w:ilvl w:val="1"/>
          <w:numId w:val="53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Withholding Agent</w:t>
      </w:r>
      <w:r>
        <w:rPr>
          <w:rFonts w:ascii="Arial" w:cs="Arial" w:eastAsia="Arial" w:hAnsi="Arial"/>
          <w:sz w:val="14"/>
          <w:szCs w:val="14"/>
          <w:color w:val="auto"/>
        </w:rPr>
        <w:t>” means the Borrower and the Agent.</w:t>
      </w:r>
    </w:p>
    <w:p>
      <w:pPr>
        <w:spacing w:after="0" w:line="184" w:lineRule="exact"/>
        <w:rPr>
          <w:rFonts w:ascii="Arial" w:cs="Arial" w:eastAsia="Arial" w:hAnsi="Arial"/>
          <w:sz w:val="14"/>
          <w:szCs w:val="14"/>
          <w:color w:val="auto"/>
        </w:rPr>
      </w:pPr>
    </w:p>
    <w:p>
      <w:pPr>
        <w:ind w:left="260" w:right="40" w:hanging="255"/>
        <w:spacing w:after="0" w:line="288" w:lineRule="auto"/>
        <w:tabs>
          <w:tab w:leader="none" w:pos="260" w:val="left"/>
        </w:tabs>
        <w:numPr>
          <w:ilvl w:val="0"/>
          <w:numId w:val="534"/>
        </w:numPr>
        <w:rPr>
          <w:rFonts w:ascii="Arial" w:cs="Arial" w:eastAsia="Arial" w:hAnsi="Arial"/>
          <w:sz w:val="13"/>
          <w:szCs w:val="13"/>
          <w:color w:val="auto"/>
        </w:rPr>
      </w:pPr>
      <w:r>
        <w:rPr>
          <w:rFonts w:ascii="Arial" w:cs="Arial" w:eastAsia="Arial" w:hAnsi="Arial"/>
          <w:sz w:val="13"/>
          <w:szCs w:val="13"/>
          <w:b w:val="1"/>
          <w:bCs w:val="1"/>
          <w:color w:val="auto"/>
        </w:rPr>
        <w:t>Payments Free of Taxes</w:t>
      </w:r>
      <w:r>
        <w:rPr>
          <w:rFonts w:ascii="Arial" w:cs="Arial" w:eastAsia="Arial" w:hAnsi="Arial"/>
          <w:sz w:val="13"/>
          <w:szCs w:val="13"/>
          <w:color w:val="auto"/>
        </w:rPr>
        <w:t>. Any and all payments by or on account of any obligation of the Borrower under any Loan Document shall be made without deduction or withholding for any</w:t>
      </w:r>
      <w:r>
        <w:rPr>
          <w:rFonts w:ascii="Arial" w:cs="Arial" w:eastAsia="Arial" w:hAnsi="Arial"/>
          <w:sz w:val="13"/>
          <w:szCs w:val="13"/>
          <w:b w:val="1"/>
          <w:bCs w:val="1"/>
          <w:color w:val="auto"/>
        </w:rPr>
        <w:t xml:space="preserve"> </w:t>
      </w:r>
      <w:r>
        <w:rPr>
          <w:rFonts w:ascii="Arial" w:cs="Arial" w:eastAsia="Arial" w:hAnsi="Arial"/>
          <w:sz w:val="13"/>
          <w:szCs w:val="13"/>
          <w:color w:val="auto"/>
        </w:rPr>
        <w:t>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32" w:lineRule="exact"/>
        <w:rPr>
          <w:rFonts w:ascii="Arial" w:cs="Arial" w:eastAsia="Arial" w:hAnsi="Arial"/>
          <w:sz w:val="13"/>
          <w:szCs w:val="13"/>
          <w:color w:val="auto"/>
        </w:rPr>
      </w:pPr>
    </w:p>
    <w:p>
      <w:pPr>
        <w:ind w:left="260" w:right="520" w:hanging="255"/>
        <w:spacing w:after="0" w:line="294" w:lineRule="auto"/>
        <w:tabs>
          <w:tab w:leader="none" w:pos="260" w:val="left"/>
        </w:tabs>
        <w:numPr>
          <w:ilvl w:val="0"/>
          <w:numId w:val="534"/>
        </w:numPr>
        <w:rPr>
          <w:rFonts w:ascii="Arial" w:cs="Arial" w:eastAsia="Arial" w:hAnsi="Arial"/>
          <w:sz w:val="14"/>
          <w:szCs w:val="14"/>
          <w:color w:val="auto"/>
        </w:rPr>
      </w:pPr>
      <w:r>
        <w:rPr>
          <w:rFonts w:ascii="Arial" w:cs="Arial" w:eastAsia="Arial" w:hAnsi="Arial"/>
          <w:sz w:val="14"/>
          <w:szCs w:val="14"/>
          <w:b w:val="1"/>
          <w:bCs w:val="1"/>
          <w:color w:val="auto"/>
        </w:rPr>
        <w:t>Payment of Other Taxes by Borrower</w:t>
      </w:r>
      <w:r>
        <w:rPr>
          <w:rFonts w:ascii="Arial" w:cs="Arial" w:eastAsia="Arial" w:hAnsi="Arial"/>
          <w:sz w:val="14"/>
          <w:szCs w:val="14"/>
          <w:color w:val="auto"/>
        </w:rPr>
        <w:t>. The Borrower shall timely pay to the relevant Governmental Authority in accordance with applicable law, or at the option of the Agent</w:t>
      </w:r>
      <w:r>
        <w:rPr>
          <w:rFonts w:ascii="Arial" w:cs="Arial" w:eastAsia="Arial" w:hAnsi="Arial"/>
          <w:sz w:val="14"/>
          <w:szCs w:val="14"/>
          <w:b w:val="1"/>
          <w:bCs w:val="1"/>
          <w:color w:val="auto"/>
        </w:rPr>
        <w:t xml:space="preserve"> </w:t>
      </w:r>
      <w:r>
        <w:rPr>
          <w:rFonts w:ascii="Arial" w:cs="Arial" w:eastAsia="Arial" w:hAnsi="Arial"/>
          <w:sz w:val="14"/>
          <w:szCs w:val="14"/>
          <w:color w:val="auto"/>
        </w:rPr>
        <w:t>timely reimburse it for the payment of, any Other Taxes.</w:t>
      </w:r>
    </w:p>
    <w:p>
      <w:pPr>
        <w:spacing w:after="0" w:line="134" w:lineRule="exact"/>
        <w:rPr>
          <w:rFonts w:ascii="Arial" w:cs="Arial" w:eastAsia="Arial" w:hAnsi="Arial"/>
          <w:sz w:val="14"/>
          <w:szCs w:val="14"/>
          <w:color w:val="auto"/>
        </w:rPr>
      </w:pPr>
    </w:p>
    <w:p>
      <w:pPr>
        <w:ind w:left="260" w:right="80" w:hanging="255"/>
        <w:spacing w:after="0" w:line="266" w:lineRule="auto"/>
        <w:tabs>
          <w:tab w:leader="none" w:pos="260" w:val="left"/>
        </w:tabs>
        <w:numPr>
          <w:ilvl w:val="0"/>
          <w:numId w:val="534"/>
        </w:numPr>
        <w:rPr>
          <w:rFonts w:ascii="Arial" w:cs="Arial" w:eastAsia="Arial" w:hAnsi="Arial"/>
          <w:sz w:val="14"/>
          <w:szCs w:val="14"/>
          <w:color w:val="auto"/>
        </w:rPr>
      </w:pPr>
      <w:r>
        <w:rPr>
          <w:rFonts w:ascii="Arial" w:cs="Arial" w:eastAsia="Arial" w:hAnsi="Arial"/>
          <w:sz w:val="14"/>
          <w:szCs w:val="14"/>
          <w:b w:val="1"/>
          <w:bCs w:val="1"/>
          <w:color w:val="auto"/>
        </w:rPr>
        <w:t>Indemnification by Borrower</w:t>
      </w:r>
      <w:r>
        <w:rPr>
          <w:rFonts w:ascii="Arial" w:cs="Arial" w:eastAsia="Arial" w:hAnsi="Arial"/>
          <w:sz w:val="14"/>
          <w:szCs w:val="14"/>
          <w:color w:val="auto"/>
        </w:rPr>
        <w:t>. The Borrower shall indemnify each Recipient, within 10 days after demand therefor, for the full amount of any Indemnified Taxes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43" w:lineRule="exact"/>
        <w:rPr>
          <w:rFonts w:ascii="Arial" w:cs="Arial" w:eastAsia="Arial" w:hAnsi="Arial"/>
          <w:sz w:val="14"/>
          <w:szCs w:val="14"/>
          <w:color w:val="auto"/>
        </w:rPr>
      </w:pPr>
    </w:p>
    <w:p>
      <w:pPr>
        <w:ind w:left="260" w:hanging="255"/>
        <w:spacing w:after="0" w:line="286" w:lineRule="auto"/>
        <w:tabs>
          <w:tab w:leader="none" w:pos="260" w:val="left"/>
        </w:tabs>
        <w:numPr>
          <w:ilvl w:val="0"/>
          <w:numId w:val="534"/>
        </w:numPr>
        <w:rPr>
          <w:rFonts w:ascii="Arial" w:cs="Arial" w:eastAsia="Arial" w:hAnsi="Arial"/>
          <w:sz w:val="13"/>
          <w:szCs w:val="13"/>
          <w:color w:val="auto"/>
        </w:rPr>
      </w:pPr>
      <w:r>
        <w:rPr>
          <w:rFonts w:ascii="Arial" w:cs="Arial" w:eastAsia="Arial" w:hAnsi="Arial"/>
          <w:sz w:val="13"/>
          <w:szCs w:val="13"/>
          <w:b w:val="1"/>
          <w:bCs w:val="1"/>
          <w:color w:val="auto"/>
        </w:rPr>
        <w:t>Indemnification by the Lenders</w:t>
      </w:r>
      <w:r>
        <w:rPr>
          <w:rFonts w:ascii="Arial" w:cs="Arial" w:eastAsia="Arial" w:hAnsi="Arial"/>
          <w:sz w:val="13"/>
          <w:szCs w:val="13"/>
          <w:color w:val="auto"/>
        </w:rPr>
        <w:t>. Each Lender shall severally indemnify the Agent, within 10 days after demand therefor, for (a) any Indemnified Taxes attributable to such Lender (but</w:t>
      </w:r>
      <w:r>
        <w:rPr>
          <w:rFonts w:ascii="Arial" w:cs="Arial" w:eastAsia="Arial" w:hAnsi="Arial"/>
          <w:sz w:val="13"/>
          <w:szCs w:val="13"/>
          <w:b w:val="1"/>
          <w:bCs w:val="1"/>
          <w:color w:val="auto"/>
        </w:rPr>
        <w:t xml:space="preserve"> </w:t>
      </w:r>
      <w:r>
        <w:rPr>
          <w:rFonts w:ascii="Arial" w:cs="Arial" w:eastAsia="Arial" w:hAnsi="Arial"/>
          <w:sz w:val="13"/>
          <w:szCs w:val="13"/>
          <w:color w:val="auto"/>
        </w:rPr>
        <w:t>only to the extent that the Borrower has not already indemnified the Agent for such Indemnified Taxes and without limiting the obligation of the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44" w:lineRule="exact"/>
        <w:rPr>
          <w:rFonts w:ascii="Arial" w:cs="Arial" w:eastAsia="Arial" w:hAnsi="Arial"/>
          <w:sz w:val="13"/>
          <w:szCs w:val="13"/>
          <w:color w:val="auto"/>
        </w:rPr>
      </w:pPr>
    </w:p>
    <w:p>
      <w:pPr>
        <w:ind w:left="260" w:right="120" w:hanging="255"/>
        <w:spacing w:after="0" w:line="267" w:lineRule="auto"/>
        <w:tabs>
          <w:tab w:leader="none" w:pos="260" w:val="left"/>
        </w:tabs>
        <w:numPr>
          <w:ilvl w:val="0"/>
          <w:numId w:val="534"/>
        </w:numPr>
        <w:rPr>
          <w:rFonts w:ascii="Arial" w:cs="Arial" w:eastAsia="Arial" w:hAnsi="Arial"/>
          <w:sz w:val="14"/>
          <w:szCs w:val="14"/>
          <w:color w:val="auto"/>
        </w:rPr>
      </w:pPr>
      <w:r>
        <w:rPr>
          <w:rFonts w:ascii="Arial" w:cs="Arial" w:eastAsia="Arial" w:hAnsi="Arial"/>
          <w:sz w:val="14"/>
          <w:szCs w:val="14"/>
          <w:b w:val="1"/>
          <w:bCs w:val="1"/>
          <w:color w:val="auto"/>
        </w:rPr>
        <w:t>Evidence of Payments</w:t>
      </w:r>
      <w:r>
        <w:rPr>
          <w:rFonts w:ascii="Arial" w:cs="Arial" w:eastAsia="Arial" w:hAnsi="Arial"/>
          <w:sz w:val="14"/>
          <w:szCs w:val="14"/>
          <w:color w:val="auto"/>
        </w:rPr>
        <w:t>. As soon as practicable after any payment of Taxes by the Borrower to a Governmental Authority pursuant to the provisions of this Addendum 1, the Borrower</w:t>
      </w:r>
      <w:r>
        <w:rPr>
          <w:rFonts w:ascii="Arial" w:cs="Arial" w:eastAsia="Arial" w:hAnsi="Arial"/>
          <w:sz w:val="14"/>
          <w:szCs w:val="14"/>
          <w:b w:val="1"/>
          <w:bCs w:val="1"/>
          <w:color w:val="auto"/>
        </w:rPr>
        <w:t xml:space="preserve"> </w:t>
      </w:r>
      <w:r>
        <w:rPr>
          <w:rFonts w:ascii="Arial" w:cs="Arial" w:eastAsia="Arial" w:hAnsi="Arial"/>
          <w:sz w:val="14"/>
          <w:szCs w:val="14"/>
          <w:color w:val="auto"/>
        </w:rPr>
        <w:t>shall deliver to</w:t>
      </w:r>
    </w:p>
    <w:p>
      <w:pPr>
        <w:spacing w:after="0" w:line="1"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8255</wp:posOffset>
            </wp:positionV>
            <wp:extent cx="7159625" cy="69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920"/>
          </w:cols>
          <w:pgMar w:left="560" w:top="583" w:right="419" w:bottom="1440" w:gutter="0" w:footer="0" w:header="0"/>
        </w:sectPr>
      </w:pPr>
    </w:p>
    <w:bookmarkStart w:id="720" w:name="page721"/>
    <w:bookmarkEnd w:id="720"/>
    <w:p>
      <w:pPr>
        <w:ind w:left="514"/>
        <w:spacing w:after="0" w:line="288" w:lineRule="auto"/>
        <w:rPr>
          <w:sz w:val="20"/>
          <w:szCs w:val="20"/>
          <w:color w:val="auto"/>
        </w:rPr>
      </w:pPr>
      <w:r>
        <w:rPr>
          <w:rFonts w:ascii="Arial" w:cs="Arial" w:eastAsia="Arial" w:hAnsi="Arial"/>
          <w:sz w:val="14"/>
          <w:szCs w:val="14"/>
          <w:color w:val="auto"/>
        </w:rPr>
        <w:t>the Agent the original or a certified copy of a receipt issued by such Governmental Authority evidencing such payment, a copy of the return reporting such payment or other evidence of such payment reasonably satisfactory to the Agent.</w:t>
      </w:r>
    </w:p>
    <w:p>
      <w:pPr>
        <w:spacing w:after="0" w:line="20" w:lineRule="exact"/>
        <w:rPr>
          <w:sz w:val="20"/>
          <w:szCs w:val="20"/>
          <w:color w:val="auto"/>
        </w:rPr>
      </w:pPr>
    </w:p>
    <w:p>
      <w:pPr>
        <w:ind w:left="154" w:hanging="154"/>
        <w:spacing w:after="0"/>
        <w:tabs>
          <w:tab w:leader="none" w:pos="154" w:val="left"/>
        </w:tabs>
        <w:numPr>
          <w:ilvl w:val="0"/>
          <w:numId w:val="535"/>
        </w:numPr>
        <w:rPr>
          <w:rFonts w:ascii="Arial" w:cs="Arial" w:eastAsia="Arial" w:hAnsi="Arial"/>
          <w:sz w:val="14"/>
          <w:szCs w:val="14"/>
          <w:color w:val="auto"/>
        </w:rPr>
      </w:pPr>
      <w:r>
        <w:rPr>
          <w:rFonts w:ascii="Arial" w:cs="Arial" w:eastAsia="Arial" w:hAnsi="Arial"/>
          <w:sz w:val="14"/>
          <w:szCs w:val="14"/>
          <w:b w:val="1"/>
          <w:bCs w:val="1"/>
          <w:color w:val="auto"/>
        </w:rPr>
        <w:t>Status of Lenders</w:t>
      </w:r>
    </w:p>
    <w:p>
      <w:pPr>
        <w:spacing w:after="0" w:line="188" w:lineRule="exact"/>
        <w:rPr>
          <w:rFonts w:ascii="Arial" w:cs="Arial" w:eastAsia="Arial" w:hAnsi="Arial"/>
          <w:sz w:val="14"/>
          <w:szCs w:val="14"/>
          <w:color w:val="auto"/>
        </w:rPr>
      </w:pPr>
    </w:p>
    <w:p>
      <w:pPr>
        <w:ind w:left="974" w:right="40" w:hanging="251"/>
        <w:spacing w:after="0" w:line="284" w:lineRule="auto"/>
        <w:tabs>
          <w:tab w:leader="none" w:pos="974" w:val="left"/>
        </w:tabs>
        <w:numPr>
          <w:ilvl w:val="1"/>
          <w:numId w:val="535"/>
        </w:numPr>
        <w:rPr>
          <w:rFonts w:ascii="Arial" w:cs="Arial" w:eastAsia="Arial" w:hAnsi="Arial"/>
          <w:sz w:val="13"/>
          <w:szCs w:val="13"/>
          <w:color w:val="auto"/>
        </w:rPr>
      </w:pPr>
      <w:r>
        <w:rPr>
          <w:rFonts w:ascii="Arial" w:cs="Arial" w:eastAsia="Arial" w:hAnsi="Arial"/>
          <w:sz w:val="13"/>
          <w:szCs w:val="13"/>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9" w:lineRule="exact"/>
        <w:rPr>
          <w:rFonts w:ascii="Arial" w:cs="Arial" w:eastAsia="Arial" w:hAnsi="Arial"/>
          <w:sz w:val="13"/>
          <w:szCs w:val="13"/>
          <w:color w:val="auto"/>
        </w:rPr>
      </w:pPr>
    </w:p>
    <w:p>
      <w:pPr>
        <w:ind w:left="974" w:hanging="251"/>
        <w:spacing w:after="0"/>
        <w:tabs>
          <w:tab w:leader="none" w:pos="974" w:val="left"/>
        </w:tabs>
        <w:numPr>
          <w:ilvl w:val="1"/>
          <w:numId w:val="535"/>
        </w:numPr>
        <w:rPr>
          <w:rFonts w:ascii="Arial" w:cs="Arial" w:eastAsia="Arial" w:hAnsi="Arial"/>
          <w:sz w:val="14"/>
          <w:szCs w:val="14"/>
          <w:color w:val="auto"/>
        </w:rPr>
      </w:pPr>
      <w:r>
        <w:rPr>
          <w:rFonts w:ascii="Arial" w:cs="Arial" w:eastAsia="Arial" w:hAnsi="Arial"/>
          <w:sz w:val="14"/>
          <w:szCs w:val="14"/>
          <w:color w:val="auto"/>
        </w:rPr>
        <w:t>Without limiting the generality of the foregoing, in the event that the Borrower is a U.S. Person,</w:t>
      </w:r>
    </w:p>
    <w:p>
      <w:pPr>
        <w:spacing w:after="0" w:line="195" w:lineRule="exact"/>
        <w:rPr>
          <w:rFonts w:ascii="Arial" w:cs="Arial" w:eastAsia="Arial" w:hAnsi="Arial"/>
          <w:sz w:val="14"/>
          <w:szCs w:val="14"/>
          <w:color w:val="auto"/>
        </w:rPr>
      </w:pPr>
    </w:p>
    <w:p>
      <w:pPr>
        <w:ind w:left="1494" w:right="160" w:hanging="199"/>
        <w:spacing w:after="0" w:line="273" w:lineRule="auto"/>
        <w:tabs>
          <w:tab w:leader="none" w:pos="1494" w:val="left"/>
        </w:tabs>
        <w:numPr>
          <w:ilvl w:val="3"/>
          <w:numId w:val="535"/>
        </w:numPr>
        <w:rPr>
          <w:rFonts w:ascii="Arial" w:cs="Arial" w:eastAsia="Arial" w:hAnsi="Arial"/>
          <w:sz w:val="14"/>
          <w:szCs w:val="14"/>
          <w:color w:val="auto"/>
        </w:rPr>
      </w:pPr>
      <w:r>
        <w:rPr>
          <w:rFonts w:ascii="Arial" w:cs="Arial" w:eastAsia="Arial" w:hAnsi="Arial"/>
          <w:sz w:val="14"/>
          <w:szCs w:val="14"/>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41" w:lineRule="exact"/>
        <w:rPr>
          <w:rFonts w:ascii="Arial" w:cs="Arial" w:eastAsia="Arial" w:hAnsi="Arial"/>
          <w:sz w:val="14"/>
          <w:szCs w:val="14"/>
          <w:color w:val="auto"/>
        </w:rPr>
      </w:pPr>
    </w:p>
    <w:p>
      <w:pPr>
        <w:ind w:left="1494" w:right="100" w:hanging="253"/>
        <w:spacing w:after="0" w:line="273" w:lineRule="auto"/>
        <w:tabs>
          <w:tab w:leader="none" w:pos="1494" w:val="left"/>
        </w:tabs>
        <w:numPr>
          <w:ilvl w:val="2"/>
          <w:numId w:val="535"/>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51" w:lineRule="exact"/>
        <w:rPr>
          <w:rFonts w:ascii="Arial" w:cs="Arial" w:eastAsia="Arial" w:hAnsi="Arial"/>
          <w:sz w:val="14"/>
          <w:szCs w:val="14"/>
          <w:color w:val="auto"/>
        </w:rPr>
      </w:pPr>
    </w:p>
    <w:p>
      <w:pPr>
        <w:ind w:left="2014" w:right="160" w:hanging="255"/>
        <w:spacing w:after="0" w:line="265" w:lineRule="auto"/>
        <w:tabs>
          <w:tab w:leader="none" w:pos="2014" w:val="left"/>
        </w:tabs>
        <w:numPr>
          <w:ilvl w:val="4"/>
          <w:numId w:val="535"/>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47" w:lineRule="exact"/>
        <w:rPr>
          <w:rFonts w:ascii="Arial" w:cs="Arial" w:eastAsia="Arial" w:hAnsi="Arial"/>
          <w:sz w:val="14"/>
          <w:szCs w:val="14"/>
          <w:color w:val="auto"/>
        </w:rPr>
      </w:pPr>
    </w:p>
    <w:p>
      <w:pPr>
        <w:ind w:left="2014" w:hanging="255"/>
        <w:spacing w:after="0"/>
        <w:tabs>
          <w:tab w:leader="none" w:pos="2014" w:val="left"/>
        </w:tabs>
        <w:numPr>
          <w:ilvl w:val="4"/>
          <w:numId w:val="535"/>
        </w:numPr>
        <w:rPr>
          <w:rFonts w:ascii="Arial" w:cs="Arial" w:eastAsia="Arial" w:hAnsi="Arial"/>
          <w:sz w:val="14"/>
          <w:szCs w:val="14"/>
          <w:color w:val="auto"/>
        </w:rPr>
      </w:pPr>
      <w:r>
        <w:rPr>
          <w:rFonts w:ascii="Arial" w:cs="Arial" w:eastAsia="Arial" w:hAnsi="Arial"/>
          <w:sz w:val="14"/>
          <w:szCs w:val="14"/>
          <w:color w:val="auto"/>
        </w:rPr>
        <w:t>executed copies of IRS Form W-8ECI;</w:t>
      </w:r>
    </w:p>
    <w:p>
      <w:pPr>
        <w:spacing w:after="0" w:line="184" w:lineRule="exact"/>
        <w:rPr>
          <w:rFonts w:ascii="Arial" w:cs="Arial" w:eastAsia="Arial" w:hAnsi="Arial"/>
          <w:sz w:val="14"/>
          <w:szCs w:val="14"/>
          <w:color w:val="auto"/>
        </w:rPr>
      </w:pPr>
    </w:p>
    <w:p>
      <w:pPr>
        <w:ind w:left="2014" w:hanging="255"/>
        <w:spacing w:after="0"/>
        <w:tabs>
          <w:tab w:leader="none" w:pos="2014" w:val="left"/>
        </w:tabs>
        <w:numPr>
          <w:ilvl w:val="4"/>
          <w:numId w:val="535"/>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the exemption for portfolio interest under Section 881(c) of the Code, (x) a certificate</w:t>
      </w:r>
    </w:p>
    <w:p>
      <w:pPr>
        <w:spacing w:after="0" w:line="21" w:lineRule="exact"/>
        <w:rPr>
          <w:sz w:val="20"/>
          <w:szCs w:val="20"/>
          <w:color w:val="auto"/>
        </w:rPr>
      </w:pPr>
    </w:p>
    <w:p>
      <w:pPr>
        <w:jc w:val="center"/>
        <w:ind w:right="-93"/>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9625" cy="698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54"/>
          </w:cols>
          <w:pgMar w:left="306" w:top="819" w:right="439" w:bottom="1440" w:gutter="0" w:footer="0" w:header="0"/>
        </w:sectPr>
      </w:pPr>
    </w:p>
    <w:bookmarkStart w:id="721" w:name="page722"/>
    <w:bookmarkEnd w:id="721"/>
    <w:p>
      <w:pPr>
        <w:ind w:left="1760"/>
        <w:spacing w:after="0" w:line="267" w:lineRule="auto"/>
        <w:rPr>
          <w:sz w:val="20"/>
          <w:szCs w:val="20"/>
          <w:color w:val="auto"/>
        </w:rPr>
      </w:pPr>
      <w:r>
        <w:rPr>
          <w:rFonts w:ascii="Arial" w:cs="Arial" w:eastAsia="Arial" w:hAnsi="Arial"/>
          <w:sz w:val="14"/>
          <w:szCs w:val="14"/>
          <w:color w:val="auto"/>
        </w:rPr>
        <w:t>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14"/>
          <w:szCs w:val="14"/>
          <w:b w:val="1"/>
          <w:bCs w:val="1"/>
          <w:color w:val="auto"/>
        </w:rPr>
        <w:t>U.S. Tax Compliance Certificate</w:t>
      </w:r>
      <w:r>
        <w:rPr>
          <w:rFonts w:ascii="Arial" w:cs="Arial" w:eastAsia="Arial" w:hAnsi="Arial"/>
          <w:sz w:val="14"/>
          <w:szCs w:val="14"/>
          <w:color w:val="auto"/>
        </w:rPr>
        <w:t>”) and (y) executed copies of IRS Form W-8BEN or IRS Form W-8BEN-E; or</w:t>
      </w:r>
    </w:p>
    <w:p>
      <w:pPr>
        <w:spacing w:after="0" w:line="147" w:lineRule="exact"/>
        <w:rPr>
          <w:sz w:val="20"/>
          <w:szCs w:val="20"/>
          <w:color w:val="auto"/>
        </w:rPr>
      </w:pPr>
    </w:p>
    <w:p>
      <w:pPr>
        <w:ind w:left="1760" w:right="100" w:hanging="255"/>
        <w:spacing w:after="0" w:line="265" w:lineRule="auto"/>
        <w:tabs>
          <w:tab w:leader="none" w:pos="1760" w:val="left"/>
        </w:tabs>
        <w:numPr>
          <w:ilvl w:val="3"/>
          <w:numId w:val="536"/>
        </w:numPr>
        <w:rPr>
          <w:rFonts w:ascii="Arial" w:cs="Arial" w:eastAsia="Arial" w:hAnsi="Arial"/>
          <w:sz w:val="14"/>
          <w:szCs w:val="14"/>
          <w:color w:val="auto"/>
        </w:rPr>
      </w:pPr>
      <w:r>
        <w:rPr>
          <w:rFonts w:ascii="Arial" w:cs="Arial" w:eastAsia="Arial" w:hAnsi="Arial"/>
          <w:sz w:val="14"/>
          <w:szCs w:val="14"/>
          <w:color w:val="auto"/>
        </w:rPr>
        <w:t>to the extent a Foreign Lender is not the beneficial owner, executed copies of IRS Form W-8IMY, accompanied by IRS Form W-8ECI, IRS Form W- 8BEN,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57" w:lineRule="exact"/>
        <w:rPr>
          <w:rFonts w:ascii="Arial" w:cs="Arial" w:eastAsia="Arial" w:hAnsi="Arial"/>
          <w:sz w:val="14"/>
          <w:szCs w:val="14"/>
          <w:color w:val="auto"/>
        </w:rPr>
      </w:pPr>
    </w:p>
    <w:p>
      <w:pPr>
        <w:ind w:left="1240" w:right="180" w:hanging="285"/>
        <w:spacing w:after="0" w:line="265" w:lineRule="auto"/>
        <w:tabs>
          <w:tab w:leader="none" w:pos="1240" w:val="left"/>
        </w:tabs>
        <w:numPr>
          <w:ilvl w:val="2"/>
          <w:numId w:val="537"/>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47" w:lineRule="exact"/>
        <w:rPr>
          <w:rFonts w:ascii="Arial" w:cs="Arial" w:eastAsia="Arial" w:hAnsi="Arial"/>
          <w:sz w:val="14"/>
          <w:szCs w:val="14"/>
          <w:color w:val="auto"/>
        </w:rPr>
      </w:pPr>
    </w:p>
    <w:p>
      <w:pPr>
        <w:ind w:left="1240" w:right="100" w:hanging="285"/>
        <w:spacing w:after="0" w:line="285" w:lineRule="auto"/>
        <w:tabs>
          <w:tab w:leader="none" w:pos="1240" w:val="left"/>
        </w:tabs>
        <w:numPr>
          <w:ilvl w:val="2"/>
          <w:numId w:val="537"/>
        </w:numPr>
        <w:rPr>
          <w:rFonts w:ascii="Arial" w:cs="Arial" w:eastAsia="Arial" w:hAnsi="Arial"/>
          <w:sz w:val="13"/>
          <w:szCs w:val="13"/>
          <w:color w:val="auto"/>
        </w:rPr>
      </w:pPr>
      <w:r>
        <w:rPr>
          <w:rFonts w:ascii="Arial" w:cs="Arial" w:eastAsia="Arial" w:hAnsi="Arial"/>
          <w:sz w:val="13"/>
          <w:szCs w:val="13"/>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49" w:lineRule="exact"/>
        <w:rPr>
          <w:rFonts w:ascii="Arial" w:cs="Arial" w:eastAsia="Arial" w:hAnsi="Arial"/>
          <w:sz w:val="13"/>
          <w:szCs w:val="13"/>
          <w:color w:val="auto"/>
        </w:rPr>
      </w:pPr>
    </w:p>
    <w:p>
      <w:pPr>
        <w:ind w:left="720" w:right="300" w:hanging="251"/>
        <w:spacing w:after="0" w:line="288" w:lineRule="auto"/>
        <w:tabs>
          <w:tab w:leader="none" w:pos="720" w:val="left"/>
        </w:tabs>
        <w:numPr>
          <w:ilvl w:val="1"/>
          <w:numId w:val="538"/>
        </w:numPr>
        <w:rPr>
          <w:rFonts w:ascii="Arial" w:cs="Arial" w:eastAsia="Arial" w:hAnsi="Arial"/>
          <w:sz w:val="14"/>
          <w:szCs w:val="14"/>
          <w:color w:val="auto"/>
        </w:rPr>
      </w:pPr>
      <w:r>
        <w:rPr>
          <w:rFonts w:ascii="Arial" w:cs="Arial" w:eastAsia="Arial" w:hAnsi="Arial"/>
          <w:sz w:val="14"/>
          <w:szCs w:val="14"/>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27" w:lineRule="exact"/>
        <w:rPr>
          <w:rFonts w:ascii="Arial" w:cs="Arial" w:eastAsia="Arial" w:hAnsi="Arial"/>
          <w:sz w:val="14"/>
          <w:szCs w:val="14"/>
          <w:color w:val="auto"/>
        </w:rPr>
      </w:pPr>
    </w:p>
    <w:p>
      <w:pPr>
        <w:ind w:left="260" w:right="380" w:hanging="255"/>
        <w:spacing w:after="0" w:line="267" w:lineRule="auto"/>
        <w:tabs>
          <w:tab w:leader="none" w:pos="260" w:val="left"/>
        </w:tabs>
        <w:numPr>
          <w:ilvl w:val="0"/>
          <w:numId w:val="539"/>
        </w:numPr>
        <w:rPr>
          <w:rFonts w:ascii="Arial" w:cs="Arial" w:eastAsia="Arial" w:hAnsi="Arial"/>
          <w:sz w:val="14"/>
          <w:szCs w:val="14"/>
          <w:color w:val="auto"/>
        </w:rPr>
      </w:pPr>
      <w:r>
        <w:rPr>
          <w:rFonts w:ascii="Arial" w:cs="Arial" w:eastAsia="Arial" w:hAnsi="Arial"/>
          <w:sz w:val="14"/>
          <w:szCs w:val="14"/>
          <w:b w:val="1"/>
          <w:bCs w:val="1"/>
          <w:color w:val="auto"/>
        </w:rPr>
        <w:t>Treatment of Certain Refunds</w:t>
      </w:r>
      <w:r>
        <w:rPr>
          <w:rFonts w:ascii="Arial" w:cs="Arial" w:eastAsia="Arial" w:hAnsi="Arial"/>
          <w:sz w:val="14"/>
          <w:szCs w:val="14"/>
          <w:color w:val="auto"/>
        </w:rPr>
        <w:t>. If any party determines, in its sole discretion exercised in good faith, that it has received a refund of any Taxes as to which it has been indemnified</w:t>
      </w:r>
      <w:r>
        <w:rPr>
          <w:rFonts w:ascii="Arial" w:cs="Arial" w:eastAsia="Arial" w:hAnsi="Arial"/>
          <w:sz w:val="14"/>
          <w:szCs w:val="14"/>
          <w:b w:val="1"/>
          <w:bCs w:val="1"/>
          <w:color w:val="auto"/>
        </w:rPr>
        <w:t xml:space="preserve"> </w:t>
      </w:r>
      <w:r>
        <w:rPr>
          <w:rFonts w:ascii="Arial" w:cs="Arial" w:eastAsia="Arial" w:hAnsi="Arial"/>
          <w:sz w:val="14"/>
          <w:szCs w:val="14"/>
          <w:color w:val="auto"/>
        </w:rPr>
        <w:t>pursuant to the</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8255</wp:posOffset>
            </wp:positionV>
            <wp:extent cx="7159625" cy="698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980"/>
          </w:cols>
          <w:pgMar w:left="560" w:top="583" w:right="359" w:bottom="1440" w:gutter="0" w:footer="0" w:header="0"/>
        </w:sectPr>
      </w:pPr>
    </w:p>
    <w:bookmarkStart w:id="722" w:name="page723"/>
    <w:bookmarkEnd w:id="722"/>
    <w:p>
      <w:pPr>
        <w:ind w:left="260"/>
        <w:spacing w:after="0" w:line="260" w:lineRule="auto"/>
        <w:rPr>
          <w:sz w:val="20"/>
          <w:szCs w:val="20"/>
          <w:color w:val="auto"/>
        </w:rPr>
      </w:pPr>
      <w:r>
        <w:rPr>
          <w:rFonts w:ascii="Arial" w:cs="Arial" w:eastAsia="Arial" w:hAnsi="Arial"/>
          <w:sz w:val="14"/>
          <w:szCs w:val="14"/>
          <w:color w:val="auto"/>
        </w:rPr>
        <w:t>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51" w:lineRule="exact"/>
        <w:rPr>
          <w:sz w:val="20"/>
          <w:szCs w:val="20"/>
          <w:color w:val="auto"/>
        </w:rPr>
      </w:pPr>
    </w:p>
    <w:p>
      <w:pPr>
        <w:ind w:left="260" w:right="220" w:hanging="255"/>
        <w:spacing w:after="0" w:line="291" w:lineRule="auto"/>
        <w:tabs>
          <w:tab w:leader="none" w:pos="260" w:val="left"/>
        </w:tabs>
        <w:numPr>
          <w:ilvl w:val="0"/>
          <w:numId w:val="540"/>
        </w:numPr>
        <w:rPr>
          <w:rFonts w:ascii="Arial" w:cs="Arial" w:eastAsia="Arial" w:hAnsi="Arial"/>
          <w:sz w:val="13"/>
          <w:szCs w:val="13"/>
          <w:color w:val="auto"/>
        </w:rPr>
      </w:pPr>
      <w:r>
        <w:rPr>
          <w:rFonts w:ascii="Arial" w:cs="Arial" w:eastAsia="Arial" w:hAnsi="Arial"/>
          <w:sz w:val="13"/>
          <w:szCs w:val="13"/>
          <w:b w:val="1"/>
          <w:bCs w:val="1"/>
          <w:color w:val="auto"/>
        </w:rPr>
        <w:t>Increased Costs</w:t>
      </w:r>
      <w:r>
        <w:rPr>
          <w:rFonts w:ascii="Arial" w:cs="Arial" w:eastAsia="Arial" w:hAnsi="Arial"/>
          <w:sz w:val="13"/>
          <w:szCs w:val="13"/>
          <w:color w:val="auto"/>
        </w:rPr>
        <w:t>. If any change in applicable law shall subject any Recipient to any Taxes (other than (A) Indemnified Taxes, (B) Taxes described in clauses (ii) through (iv) of the</w:t>
      </w:r>
      <w:r>
        <w:rPr>
          <w:rFonts w:ascii="Arial" w:cs="Arial" w:eastAsia="Arial" w:hAnsi="Arial"/>
          <w:sz w:val="13"/>
          <w:szCs w:val="13"/>
          <w:b w:val="1"/>
          <w:bCs w:val="1"/>
          <w:color w:val="auto"/>
        </w:rPr>
        <w:t xml:space="preserve"> </w:t>
      </w:r>
      <w:r>
        <w:rPr>
          <w:rFonts w:ascii="Arial" w:cs="Arial" w:eastAsia="Arial" w:hAnsi="Arial"/>
          <w:sz w:val="13"/>
          <w:szCs w:val="13"/>
          <w:color w:val="auto"/>
        </w:rPr>
        <w:t>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40" w:lineRule="exact"/>
        <w:rPr>
          <w:rFonts w:ascii="Arial" w:cs="Arial" w:eastAsia="Arial" w:hAnsi="Arial"/>
          <w:sz w:val="13"/>
          <w:szCs w:val="13"/>
          <w:color w:val="auto"/>
        </w:rPr>
      </w:pPr>
    </w:p>
    <w:p>
      <w:pPr>
        <w:ind w:left="260" w:right="120" w:hanging="255"/>
        <w:spacing w:after="0" w:line="267" w:lineRule="auto"/>
        <w:tabs>
          <w:tab w:leader="none" w:pos="260" w:val="left"/>
        </w:tabs>
        <w:numPr>
          <w:ilvl w:val="0"/>
          <w:numId w:val="540"/>
        </w:numPr>
        <w:rPr>
          <w:rFonts w:ascii="Arial" w:cs="Arial" w:eastAsia="Arial" w:hAnsi="Arial"/>
          <w:sz w:val="14"/>
          <w:szCs w:val="14"/>
          <w:color w:val="auto"/>
        </w:rPr>
      </w:pPr>
      <w:r>
        <w:rPr>
          <w:rFonts w:ascii="Arial" w:cs="Arial" w:eastAsia="Arial" w:hAnsi="Arial"/>
          <w:sz w:val="14"/>
          <w:szCs w:val="14"/>
          <w:b w:val="1"/>
          <w:bCs w:val="1"/>
          <w:color w:val="auto"/>
        </w:rPr>
        <w:t>Survival</w:t>
      </w:r>
      <w:r>
        <w:rPr>
          <w:rFonts w:ascii="Arial" w:cs="Arial" w:eastAsia="Arial" w:hAnsi="Arial"/>
          <w:sz w:val="14"/>
          <w:szCs w:val="14"/>
          <w:color w:val="auto"/>
        </w:rPr>
        <w:t>. Each party’s obligations under the provisions of this Addendum 1 shall survive the resignation or replacement of the Agent or any assignment of rights by, or the replacement</w:t>
      </w:r>
      <w:r>
        <w:rPr>
          <w:rFonts w:ascii="Arial" w:cs="Arial" w:eastAsia="Arial" w:hAnsi="Arial"/>
          <w:sz w:val="14"/>
          <w:szCs w:val="14"/>
          <w:b w:val="1"/>
          <w:bCs w:val="1"/>
          <w:color w:val="auto"/>
        </w:rPr>
        <w:t xml:space="preserve"> </w:t>
      </w:r>
      <w:r>
        <w:rPr>
          <w:rFonts w:ascii="Arial" w:cs="Arial" w:eastAsia="Arial" w:hAnsi="Arial"/>
          <w:sz w:val="14"/>
          <w:szCs w:val="14"/>
          <w:color w:val="auto"/>
        </w:rPr>
        <w:t>of, a Lender, the termination of the Term Commitments and the repayment, satisfaction or discharge of all obligations under any Loan Document.</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8255</wp:posOffset>
            </wp:positionV>
            <wp:extent cx="7159625" cy="698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980"/>
          </w:cols>
          <w:pgMar w:left="560" w:top="583" w:right="359" w:bottom="1440" w:gutter="0" w:footer="0" w:header="0"/>
        </w:sectPr>
      </w:pPr>
    </w:p>
    <w:bookmarkStart w:id="723" w:name="page724"/>
    <w:bookmarkEnd w:id="723"/>
    <w:p>
      <w:pPr>
        <w:jc w:val="center"/>
        <w:ind w:right="-40"/>
        <w:spacing w:after="0"/>
        <w:rPr>
          <w:sz w:val="20"/>
          <w:szCs w:val="20"/>
          <w:color w:val="auto"/>
        </w:rPr>
      </w:pPr>
      <w:r>
        <w:rPr>
          <w:rFonts w:ascii="Arial" w:cs="Arial" w:eastAsia="Arial" w:hAnsi="Arial"/>
          <w:sz w:val="14"/>
          <w:szCs w:val="14"/>
          <w:b w:val="1"/>
          <w:bCs w:val="1"/>
          <w:color w:val="auto"/>
        </w:rPr>
        <w:t>ADDENDUM 2 to LOAN AND SECURITY AGREEMENT</w:t>
      </w:r>
    </w:p>
    <w:p>
      <w:pPr>
        <w:sectPr>
          <w:pgSz w:w="11900" w:h="16838" w:orient="portrait"/>
          <w:cols w:equalWidth="0" w:num="1">
            <w:col w:w="9019"/>
          </w:cols>
          <w:pgMar w:left="1440" w:top="826"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240665</wp:posOffset>
            </wp:positionV>
            <wp:extent cx="7159625" cy="698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826" w:right="1440" w:bottom="1440" w:gutter="0" w:footer="0" w:header="0"/>
          <w:type w:val="continuous"/>
        </w:sectPr>
      </w:pPr>
    </w:p>
    <w:bookmarkStart w:id="724" w:name="page725"/>
    <w:bookmarkEnd w:id="724"/>
    <w:p>
      <w:pPr>
        <w:jc w:val="center"/>
        <w:ind w:right="460"/>
        <w:spacing w:after="0"/>
        <w:rPr>
          <w:sz w:val="20"/>
          <w:szCs w:val="20"/>
          <w:color w:val="auto"/>
        </w:rPr>
      </w:pPr>
      <w:r>
        <w:rPr>
          <w:rFonts w:ascii="Arial" w:cs="Arial" w:eastAsia="Arial" w:hAnsi="Arial"/>
          <w:sz w:val="14"/>
          <w:szCs w:val="14"/>
          <w:b w:val="1"/>
          <w:bCs w:val="1"/>
          <w:color w:val="auto"/>
        </w:rPr>
        <w:t>ADDENDUM 3 to LOAN AND SECURITY AGREEMENT</w:t>
      </w:r>
    </w:p>
    <w:p>
      <w:pPr>
        <w:spacing w:after="0" w:line="188"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Agent and Lender Terms</w:t>
      </w:r>
    </w:p>
    <w:p>
      <w:pPr>
        <w:spacing w:after="0" w:line="195" w:lineRule="exact"/>
        <w:rPr>
          <w:sz w:val="20"/>
          <w:szCs w:val="20"/>
          <w:color w:val="auto"/>
        </w:rPr>
      </w:pPr>
    </w:p>
    <w:p>
      <w:pPr>
        <w:ind w:right="440" w:firstLine="525"/>
        <w:spacing w:after="0" w:line="273" w:lineRule="auto"/>
        <w:tabs>
          <w:tab w:leader="none" w:pos="1253" w:val="left"/>
        </w:tabs>
        <w:numPr>
          <w:ilvl w:val="0"/>
          <w:numId w:val="541"/>
        </w:numPr>
        <w:rPr>
          <w:rFonts w:ascii="Arial" w:cs="Arial" w:eastAsia="Arial" w:hAnsi="Arial"/>
          <w:sz w:val="14"/>
          <w:szCs w:val="14"/>
          <w:color w:val="auto"/>
        </w:rPr>
      </w:pPr>
      <w:r>
        <w:rPr>
          <w:rFonts w:ascii="Arial" w:cs="Arial" w:eastAsia="Arial" w:hAnsi="Arial"/>
          <w:sz w:val="14"/>
          <w:szCs w:val="14"/>
          <w:color w:val="auto"/>
        </w:rPr>
        <w:t>Each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41" w:lineRule="exact"/>
        <w:rPr>
          <w:rFonts w:ascii="Arial" w:cs="Arial" w:eastAsia="Arial" w:hAnsi="Arial"/>
          <w:sz w:val="14"/>
          <w:szCs w:val="14"/>
          <w:color w:val="auto"/>
        </w:rPr>
      </w:pPr>
    </w:p>
    <w:p>
      <w:pPr>
        <w:ind w:right="60" w:firstLine="525"/>
        <w:spacing w:after="0" w:line="287" w:lineRule="auto"/>
        <w:tabs>
          <w:tab w:leader="none" w:pos="1225" w:val="left"/>
        </w:tabs>
        <w:numPr>
          <w:ilvl w:val="0"/>
          <w:numId w:val="541"/>
        </w:numPr>
        <w:rPr>
          <w:rFonts w:ascii="Arial" w:cs="Arial" w:eastAsia="Arial" w:hAnsi="Arial"/>
          <w:sz w:val="13"/>
          <w:szCs w:val="13"/>
          <w:color w:val="auto"/>
        </w:rPr>
      </w:pPr>
      <w:r>
        <w:rPr>
          <w:rFonts w:ascii="Arial" w:cs="Arial" w:eastAsia="Arial" w:hAnsi="Arial"/>
          <w:sz w:val="13"/>
          <w:szCs w:val="13"/>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Loan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46" w:lineRule="exact"/>
        <w:rPr>
          <w:rFonts w:ascii="Arial" w:cs="Arial" w:eastAsia="Arial" w:hAnsi="Arial"/>
          <w:sz w:val="13"/>
          <w:szCs w:val="13"/>
          <w:color w:val="auto"/>
        </w:rPr>
      </w:pPr>
    </w:p>
    <w:p>
      <w:pPr>
        <w:ind w:right="340" w:firstLine="525"/>
        <w:spacing w:after="0" w:line="273" w:lineRule="auto"/>
        <w:tabs>
          <w:tab w:leader="none" w:pos="1253" w:val="left"/>
        </w:tabs>
        <w:numPr>
          <w:ilvl w:val="0"/>
          <w:numId w:val="541"/>
        </w:numPr>
        <w:rPr>
          <w:rFonts w:ascii="Arial" w:cs="Arial" w:eastAsia="Arial" w:hAnsi="Arial"/>
          <w:sz w:val="14"/>
          <w:szCs w:val="14"/>
          <w:color w:val="auto"/>
        </w:rPr>
      </w:pPr>
      <w:r>
        <w:rPr>
          <w:rFonts w:ascii="Arial" w:cs="Arial" w:eastAsia="Arial" w:hAnsi="Arial"/>
          <w:sz w:val="14"/>
          <w:szCs w:val="14"/>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51" w:lineRule="exact"/>
        <w:rPr>
          <w:rFonts w:ascii="Arial" w:cs="Arial" w:eastAsia="Arial" w:hAnsi="Arial"/>
          <w:sz w:val="14"/>
          <w:szCs w:val="14"/>
          <w:color w:val="auto"/>
        </w:rPr>
      </w:pPr>
    </w:p>
    <w:p>
      <w:pPr>
        <w:ind w:firstLine="525"/>
        <w:spacing w:after="0" w:line="288" w:lineRule="auto"/>
        <w:tabs>
          <w:tab w:leader="none" w:pos="1225" w:val="left"/>
        </w:tabs>
        <w:numPr>
          <w:ilvl w:val="0"/>
          <w:numId w:val="541"/>
        </w:numPr>
        <w:rPr>
          <w:rFonts w:ascii="Arial" w:cs="Arial" w:eastAsia="Arial" w:hAnsi="Arial"/>
          <w:sz w:val="14"/>
          <w:szCs w:val="14"/>
          <w:color w:val="auto"/>
        </w:rPr>
      </w:pPr>
      <w:r>
        <w:rPr>
          <w:rFonts w:ascii="Arial" w:cs="Arial" w:eastAsia="Arial" w:hAnsi="Arial"/>
          <w:sz w:val="14"/>
          <w:szCs w:val="14"/>
          <w:color w:val="auto"/>
        </w:rPr>
        <w:t>Exculpatory Provisions. The Agent shall have no duties or obligations except those expressly set forth herein and in the other Loan Documents. Without limiting the generality of the foregoing, the Agent shall not:</w:t>
      </w:r>
    </w:p>
    <w:p>
      <w:pPr>
        <w:spacing w:after="0" w:line="131" w:lineRule="exact"/>
        <w:rPr>
          <w:rFonts w:ascii="Arial" w:cs="Arial" w:eastAsia="Arial" w:hAnsi="Arial"/>
          <w:sz w:val="14"/>
          <w:szCs w:val="14"/>
          <w:color w:val="auto"/>
        </w:rPr>
      </w:pPr>
    </w:p>
    <w:p>
      <w:pPr>
        <w:ind w:left="1300" w:hanging="260"/>
        <w:spacing w:after="0"/>
        <w:tabs>
          <w:tab w:leader="none" w:pos="1300" w:val="left"/>
        </w:tabs>
        <w:numPr>
          <w:ilvl w:val="1"/>
          <w:numId w:val="541"/>
        </w:numPr>
        <w:rPr>
          <w:rFonts w:ascii="Arial" w:cs="Arial" w:eastAsia="Arial" w:hAnsi="Arial"/>
          <w:sz w:val="14"/>
          <w:szCs w:val="14"/>
          <w:color w:val="auto"/>
        </w:rPr>
      </w:pPr>
      <w:r>
        <w:rPr>
          <w:rFonts w:ascii="Arial" w:cs="Arial" w:eastAsia="Arial" w:hAnsi="Arial"/>
          <w:sz w:val="14"/>
          <w:szCs w:val="14"/>
          <w:color w:val="auto"/>
        </w:rPr>
        <w:t>be subject to any fiduciary or other implied duties, regardless of whether any default or any Event of Default has occurred and is continuing;</w:t>
      </w:r>
    </w:p>
    <w:p>
      <w:pPr>
        <w:spacing w:after="0" w:line="184" w:lineRule="exact"/>
        <w:rPr>
          <w:rFonts w:ascii="Arial" w:cs="Arial" w:eastAsia="Arial" w:hAnsi="Arial"/>
          <w:sz w:val="14"/>
          <w:szCs w:val="14"/>
          <w:color w:val="auto"/>
        </w:rPr>
      </w:pPr>
    </w:p>
    <w:p>
      <w:pPr>
        <w:jc w:val="both"/>
        <w:ind w:left="1300" w:right="100" w:hanging="260"/>
        <w:spacing w:after="0" w:line="303" w:lineRule="auto"/>
        <w:tabs>
          <w:tab w:leader="none" w:pos="1300" w:val="left"/>
        </w:tabs>
        <w:numPr>
          <w:ilvl w:val="1"/>
          <w:numId w:val="541"/>
        </w:numPr>
        <w:rPr>
          <w:rFonts w:ascii="Arial" w:cs="Arial" w:eastAsia="Arial" w:hAnsi="Arial"/>
          <w:sz w:val="13"/>
          <w:szCs w:val="13"/>
          <w:color w:val="auto"/>
        </w:rPr>
      </w:pPr>
      <w:r>
        <w:rPr>
          <w:rFonts w:ascii="Arial" w:cs="Arial" w:eastAsia="Arial" w:hAnsi="Arial"/>
          <w:sz w:val="13"/>
          <w:szCs w:val="13"/>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35" w:lineRule="exact"/>
        <w:rPr>
          <w:rFonts w:ascii="Arial" w:cs="Arial" w:eastAsia="Arial" w:hAnsi="Arial"/>
          <w:sz w:val="13"/>
          <w:szCs w:val="13"/>
          <w:color w:val="auto"/>
        </w:rPr>
      </w:pPr>
    </w:p>
    <w:p>
      <w:pPr>
        <w:ind w:left="1300" w:hanging="260"/>
        <w:spacing w:after="0" w:line="273" w:lineRule="auto"/>
        <w:tabs>
          <w:tab w:leader="none" w:pos="1300" w:val="left"/>
        </w:tabs>
        <w:numPr>
          <w:ilvl w:val="1"/>
          <w:numId w:val="541"/>
        </w:numPr>
        <w:rPr>
          <w:rFonts w:ascii="Arial" w:cs="Arial" w:eastAsia="Arial" w:hAnsi="Arial"/>
          <w:sz w:val="14"/>
          <w:szCs w:val="14"/>
          <w:color w:val="auto"/>
        </w:rPr>
      </w:pPr>
      <w:r>
        <w:rPr>
          <w:rFonts w:ascii="Arial" w:cs="Arial" w:eastAsia="Arial" w:hAnsi="Arial"/>
          <w:sz w:val="14"/>
          <w:szCs w:val="14"/>
          <w:color w:val="auto"/>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219710</wp:posOffset>
            </wp:positionV>
            <wp:extent cx="7159625" cy="698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480"/>
          </w:cols>
          <w:pgMar w:left="960" w:top="827" w:right="459" w:bottom="1440" w:gutter="0" w:footer="0" w:header="0"/>
        </w:sectPr>
      </w:pPr>
    </w:p>
    <w:bookmarkStart w:id="725" w:name="page726"/>
    <w:bookmarkEnd w:id="725"/>
    <w:p>
      <w:pPr>
        <w:ind w:left="-7" w:right="280" w:firstLine="525"/>
        <w:spacing w:after="0" w:line="288" w:lineRule="auto"/>
        <w:tabs>
          <w:tab w:leader="none" w:pos="1245" w:val="left"/>
        </w:tabs>
        <w:numPr>
          <w:ilvl w:val="1"/>
          <w:numId w:val="542"/>
        </w:numPr>
        <w:rPr>
          <w:rFonts w:ascii="Arial" w:cs="Arial" w:eastAsia="Arial" w:hAnsi="Arial"/>
          <w:sz w:val="14"/>
          <w:szCs w:val="14"/>
          <w:color w:val="auto"/>
        </w:rPr>
      </w:pPr>
      <w:r>
        <w:rPr>
          <w:rFonts w:ascii="Arial" w:cs="Arial" w:eastAsia="Arial" w:hAnsi="Arial"/>
          <w:sz w:val="14"/>
          <w:szCs w:val="14"/>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31" w:lineRule="exact"/>
        <w:rPr>
          <w:rFonts w:ascii="Arial" w:cs="Arial" w:eastAsia="Arial" w:hAnsi="Arial"/>
          <w:sz w:val="14"/>
          <w:szCs w:val="14"/>
          <w:color w:val="auto"/>
        </w:rPr>
      </w:pPr>
    </w:p>
    <w:p>
      <w:pPr>
        <w:jc w:val="both"/>
        <w:ind w:left="-7" w:right="180" w:firstLine="525"/>
        <w:spacing w:after="0" w:line="284" w:lineRule="auto"/>
        <w:tabs>
          <w:tab w:leader="none" w:pos="1229" w:val="left"/>
        </w:tabs>
        <w:numPr>
          <w:ilvl w:val="1"/>
          <w:numId w:val="542"/>
        </w:numPr>
        <w:rPr>
          <w:rFonts w:ascii="Arial" w:cs="Arial" w:eastAsia="Arial" w:hAnsi="Arial"/>
          <w:sz w:val="13"/>
          <w:szCs w:val="13"/>
          <w:color w:val="auto"/>
        </w:rPr>
      </w:pPr>
      <w:r>
        <w:rPr>
          <w:rFonts w:ascii="Arial" w:cs="Arial" w:eastAsia="Arial" w:hAnsi="Arial"/>
          <w:sz w:val="13"/>
          <w:szCs w:val="13"/>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ind w:left="253" w:hanging="253"/>
        <w:spacing w:after="0"/>
        <w:tabs>
          <w:tab w:leader="none" w:pos="253" w:val="left"/>
        </w:tabs>
        <w:numPr>
          <w:ilvl w:val="0"/>
          <w:numId w:val="543"/>
        </w:numPr>
        <w:rPr>
          <w:rFonts w:ascii="Arial" w:cs="Arial" w:eastAsia="Arial" w:hAnsi="Arial"/>
          <w:sz w:val="13"/>
          <w:szCs w:val="13"/>
          <w:color w:val="auto"/>
        </w:rPr>
      </w:pPr>
      <w:r>
        <w:rPr>
          <w:rFonts w:ascii="Arial" w:cs="Arial" w:eastAsia="Arial" w:hAnsi="Arial"/>
          <w:sz w:val="13"/>
          <w:szCs w:val="13"/>
          <w:color w:val="auto"/>
        </w:rPr>
        <w:t>the performance or observance of any of the covenants, agreements or other terms or conditions set forth herein or therein or the occurrence of any Default or Event of Default,</w:t>
      </w:r>
    </w:p>
    <w:p>
      <w:pPr>
        <w:spacing w:after="0" w:line="23" w:lineRule="exact"/>
        <w:rPr>
          <w:rFonts w:ascii="Arial" w:cs="Arial" w:eastAsia="Arial" w:hAnsi="Arial"/>
          <w:sz w:val="13"/>
          <w:szCs w:val="13"/>
          <w:color w:val="auto"/>
        </w:rPr>
      </w:pPr>
    </w:p>
    <w:p>
      <w:pPr>
        <w:ind w:left="-7" w:firstLine="7"/>
        <w:spacing w:after="0" w:line="280" w:lineRule="auto"/>
        <w:tabs>
          <w:tab w:leader="none" w:pos="236" w:val="left"/>
        </w:tabs>
        <w:numPr>
          <w:ilvl w:val="0"/>
          <w:numId w:val="543"/>
        </w:numPr>
        <w:rPr>
          <w:rFonts w:ascii="Arial" w:cs="Arial" w:eastAsia="Arial" w:hAnsi="Arial"/>
          <w:sz w:val="13"/>
          <w:szCs w:val="13"/>
          <w:color w:val="auto"/>
        </w:rPr>
      </w:pPr>
      <w:r>
        <w:rPr>
          <w:rFonts w:ascii="Arial" w:cs="Arial" w:eastAsia="Arial" w:hAnsi="Arial"/>
          <w:sz w:val="13"/>
          <w:szCs w:val="13"/>
          <w:color w:val="auto"/>
        </w:rPr>
        <w:t>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392" w:lineRule="exact"/>
        <w:rPr>
          <w:sz w:val="20"/>
          <w:szCs w:val="20"/>
          <w:color w:val="auto"/>
        </w:rPr>
      </w:pPr>
    </w:p>
    <w:p>
      <w:pPr>
        <w:ind w:left="4933"/>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13970</wp:posOffset>
            </wp:positionV>
            <wp:extent cx="7159625" cy="698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513"/>
          </w:cols>
          <w:pgMar w:left="967" w:top="831" w:right="419" w:bottom="1440" w:gutter="0" w:footer="0" w:header="0"/>
        </w:sectPr>
      </w:pPr>
    </w:p>
    <w:bookmarkStart w:id="726" w:name="page727"/>
    <w:bookmarkEnd w:id="726"/>
    <w:p>
      <w:pPr>
        <w:jc w:val="center"/>
        <w:ind w:right="-199"/>
        <w:spacing w:after="0"/>
        <w:rPr>
          <w:sz w:val="20"/>
          <w:szCs w:val="20"/>
          <w:color w:val="auto"/>
        </w:rPr>
      </w:pPr>
      <w:r>
        <w:rPr>
          <w:rFonts w:ascii="Arial" w:cs="Arial" w:eastAsia="Arial" w:hAnsi="Arial"/>
          <w:sz w:val="14"/>
          <w:szCs w:val="14"/>
          <w:b w:val="1"/>
          <w:bCs w:val="1"/>
          <w:color w:val="auto"/>
        </w:rPr>
        <w:t>EXHIBIT A</w:t>
      </w:r>
    </w:p>
    <w:p>
      <w:pPr>
        <w:spacing w:after="0" w:line="76"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ADVANCE REQUEST</w:t>
      </w:r>
    </w:p>
    <w:p>
      <w:pPr>
        <w:spacing w:after="0" w:line="253" w:lineRule="exact"/>
        <w:rPr>
          <w:sz w:val="20"/>
          <w:szCs w:val="20"/>
          <w:color w:val="auto"/>
        </w:rPr>
      </w:pPr>
    </w:p>
    <w:p>
      <w:pPr>
        <w:spacing w:after="0"/>
        <w:tabs>
          <w:tab w:leader="none" w:pos="1020" w:val="left"/>
          <w:tab w:leader="none" w:pos="5620" w:val="left"/>
          <w:tab w:leader="none" w:pos="8440" w:val="left"/>
        </w:tabs>
        <w:rPr>
          <w:sz w:val="20"/>
          <w:szCs w:val="20"/>
          <w:color w:val="auto"/>
        </w:rPr>
      </w:pPr>
      <w:r>
        <w:rPr>
          <w:rFonts w:ascii="Arial" w:cs="Arial" w:eastAsia="Arial" w:hAnsi="Arial"/>
          <w:sz w:val="14"/>
          <w:szCs w:val="14"/>
          <w:color w:val="auto"/>
        </w:rPr>
        <w:t>To:</w:t>
      </w:r>
      <w:r>
        <w:rPr>
          <w:sz w:val="20"/>
          <w:szCs w:val="20"/>
          <w:color w:val="auto"/>
        </w:rPr>
        <w:tab/>
      </w:r>
      <w:r>
        <w:rPr>
          <w:rFonts w:ascii="Arial" w:cs="Arial" w:eastAsia="Arial" w:hAnsi="Arial"/>
          <w:sz w:val="14"/>
          <w:szCs w:val="14"/>
          <w:color w:val="auto"/>
        </w:rPr>
        <w:t>Agent:</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________,202__</w:t>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Hercules Capital, Inc. (the “Agent”)</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400 Hamilton Avenue, Suite 310</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Palo Alto, CA 94301</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mail: legal@htgc.com</w:t>
      </w:r>
    </w:p>
    <w:p>
      <w:pPr>
        <w:spacing w:after="0" w:line="1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Attn:</w:t>
      </w:r>
    </w:p>
    <w:p>
      <w:pPr>
        <w:spacing w:after="0" w:line="35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CENTURY THERAPEUTICS, LLC, a Delaware limited liability company (“Borrower”) hereby requests from Hercules Capital, Inc. (“Lender”) an Advance in the amount</w:t>
      </w:r>
    </w:p>
    <w:p>
      <w:pPr>
        <w:spacing w:after="0" w:line="21" w:lineRule="exact"/>
        <w:rPr>
          <w:sz w:val="20"/>
          <w:szCs w:val="20"/>
          <w:color w:val="auto"/>
        </w:rPr>
      </w:pPr>
    </w:p>
    <w:p>
      <w:pPr>
        <w:ind w:left="140" w:right="380"/>
        <w:spacing w:after="0" w:line="274" w:lineRule="auto"/>
        <w:rPr>
          <w:sz w:val="20"/>
          <w:szCs w:val="20"/>
          <w:color w:val="auto"/>
        </w:rPr>
      </w:pPr>
      <w:r>
        <w:rPr>
          <w:rFonts w:ascii="Arial" w:cs="Arial" w:eastAsia="Arial" w:hAnsi="Arial"/>
          <w:sz w:val="14"/>
          <w:szCs w:val="14"/>
          <w:color w:val="auto"/>
        </w:rPr>
        <w:t>of Dollars ($ ) (the “Advance Amount”) on (the “Advance Date”) pursuant to the Loan and Security Agreement among Borrower, Agent and the Lender (the “Agreement”). Capitalized words and other terms used but not otherwise defined herein are used with the same meanings as defined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-142875</wp:posOffset>
            </wp:positionV>
            <wp:extent cx="365125" cy="698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65125" cy="6985"/>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-142875</wp:posOffset>
            </wp:positionV>
            <wp:extent cx="365125" cy="69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65125" cy="698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-142875</wp:posOffset>
            </wp:positionV>
            <wp:extent cx="753110" cy="698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53110" cy="6985"/>
                    </a:xfrm>
                    <a:prstGeom prst="rect">
                      <a:avLst/>
                    </a:prstGeom>
                    <a:noFill/>
                  </pic:spPr>
                </pic:pic>
              </a:graphicData>
            </a:graphic>
          </wp:anchor>
        </w:drawing>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Please:</w:t>
      </w:r>
    </w:p>
    <w:p>
      <w:pPr>
        <w:spacing w:after="0" w:line="184" w:lineRule="exact"/>
        <w:rPr>
          <w:sz w:val="20"/>
          <w:szCs w:val="20"/>
          <w:color w:val="auto"/>
        </w:rPr>
      </w:pPr>
    </w:p>
    <w:p>
      <w:pPr>
        <w:ind w:left="1180" w:hanging="516"/>
        <w:spacing w:after="0"/>
        <w:tabs>
          <w:tab w:leader="none" w:pos="1180" w:val="left"/>
        </w:tabs>
        <w:numPr>
          <w:ilvl w:val="0"/>
          <w:numId w:val="544"/>
        </w:numPr>
        <w:rPr>
          <w:rFonts w:ascii="Arial" w:cs="Arial" w:eastAsia="Arial" w:hAnsi="Arial"/>
          <w:sz w:val="14"/>
          <w:szCs w:val="14"/>
          <w:color w:val="auto"/>
        </w:rPr>
      </w:pPr>
      <w:r>
        <w:rPr>
          <w:rFonts w:ascii="Arial" w:cs="Arial" w:eastAsia="Arial" w:hAnsi="Arial"/>
          <w:sz w:val="14"/>
          <w:szCs w:val="14"/>
          <w:color w:val="auto"/>
        </w:rPr>
        <w:t>Issue a check payable to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13970</wp:posOffset>
            </wp:positionV>
            <wp:extent cx="548005" cy="698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48005" cy="6985"/>
                    </a:xfrm>
                    <a:prstGeom prst="rect">
                      <a:avLst/>
                    </a:prstGeom>
                    <a:noFill/>
                  </pic:spPr>
                </pic:pic>
              </a:graphicData>
            </a:graphic>
          </wp:anchor>
        </w:drawing>
      </w:r>
    </w:p>
    <w:p>
      <w:pPr>
        <w:spacing w:after="0" w:line="251"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or</w:t>
      </w:r>
    </w:p>
    <w:p>
      <w:pPr>
        <w:spacing w:after="0" w:line="184" w:lineRule="exact"/>
        <w:rPr>
          <w:sz w:val="20"/>
          <w:szCs w:val="20"/>
          <w:color w:val="auto"/>
        </w:rPr>
      </w:pPr>
    </w:p>
    <w:p>
      <w:pPr>
        <w:ind w:left="1180" w:hanging="516"/>
        <w:spacing w:after="0"/>
        <w:tabs>
          <w:tab w:leader="none" w:pos="1180" w:val="left"/>
        </w:tabs>
        <w:numPr>
          <w:ilvl w:val="0"/>
          <w:numId w:val="545"/>
        </w:numPr>
        <w:rPr>
          <w:rFonts w:ascii="Arial" w:cs="Arial" w:eastAsia="Arial" w:hAnsi="Arial"/>
          <w:sz w:val="14"/>
          <w:szCs w:val="14"/>
          <w:color w:val="auto"/>
        </w:rPr>
      </w:pPr>
      <w:r>
        <w:rPr>
          <w:rFonts w:ascii="Arial" w:cs="Arial" w:eastAsia="Arial" w:hAnsi="Arial"/>
          <w:sz w:val="14"/>
          <w:szCs w:val="14"/>
          <w:color w:val="auto"/>
        </w:rPr>
        <w:t>Wire Funds to Borrower’s account</w:t>
      </w:r>
    </w:p>
    <w:p>
      <w:pPr>
        <w:spacing w:after="0" w:line="216"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Bank:</w:t>
      </w:r>
    </w:p>
    <w:p>
      <w:pPr>
        <w:spacing w:after="0" w:line="22"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Address:</w:t>
      </w:r>
    </w:p>
    <w:p>
      <w:pPr>
        <w:spacing w:after="0" w:line="205" w:lineRule="exact"/>
        <w:rPr>
          <w:rFonts w:ascii="Arial" w:cs="Arial" w:eastAsia="Arial" w:hAnsi="Arial"/>
          <w:sz w:val="14"/>
          <w:szCs w:val="14"/>
          <w:color w:val="auto"/>
        </w:rPr>
      </w:pPr>
    </w:p>
    <w:p>
      <w:pPr>
        <w:ind w:left="1180" w:right="8880"/>
        <w:spacing w:after="0" w:line="294" w:lineRule="auto"/>
        <w:rPr>
          <w:rFonts w:ascii="Arial" w:cs="Arial" w:eastAsia="Arial" w:hAnsi="Arial"/>
          <w:sz w:val="14"/>
          <w:szCs w:val="14"/>
          <w:color w:val="auto"/>
        </w:rPr>
      </w:pPr>
      <w:r>
        <w:rPr>
          <w:rFonts w:ascii="Arial" w:cs="Arial" w:eastAsia="Arial" w:hAnsi="Arial"/>
          <w:sz w:val="13"/>
          <w:szCs w:val="13"/>
          <w:color w:val="auto"/>
        </w:rPr>
        <w:t>ABA Number: Account Number: Account Name: Contact Person:</w:t>
      </w:r>
    </w:p>
    <w:p>
      <w:pPr>
        <w:spacing w:after="0" w:line="1" w:lineRule="exact"/>
        <w:rPr>
          <w:rFonts w:ascii="Arial" w:cs="Arial" w:eastAsia="Arial" w:hAnsi="Arial"/>
          <w:sz w:val="14"/>
          <w:szCs w:val="14"/>
          <w:color w:val="auto"/>
        </w:rPr>
      </w:pPr>
    </w:p>
    <w:p>
      <w:pPr>
        <w:ind w:left="1180" w:right="7820"/>
        <w:spacing w:after="0" w:line="304" w:lineRule="auto"/>
        <w:rPr>
          <w:rFonts w:ascii="Arial" w:cs="Arial" w:eastAsia="Arial" w:hAnsi="Arial"/>
          <w:sz w:val="14"/>
          <w:szCs w:val="14"/>
          <w:color w:val="auto"/>
        </w:rPr>
      </w:pPr>
      <w:r>
        <w:rPr>
          <w:rFonts w:ascii="Arial" w:cs="Arial" w:eastAsia="Arial" w:hAnsi="Arial"/>
          <w:sz w:val="14"/>
          <w:szCs w:val="14"/>
          <w:color w:val="auto"/>
        </w:rPr>
        <w:t>Phone Number To Verify Wire Info: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-1196975</wp:posOffset>
            </wp:positionV>
            <wp:extent cx="548005" cy="698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48005"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-957580</wp:posOffset>
            </wp:positionV>
            <wp:extent cx="1370330" cy="698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-840740</wp:posOffset>
            </wp:positionV>
            <wp:extent cx="1370330" cy="698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-724535</wp:posOffset>
            </wp:positionV>
            <wp:extent cx="1370330" cy="698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-607695</wp:posOffset>
            </wp:positionV>
            <wp:extent cx="1370330" cy="698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-491490</wp:posOffset>
            </wp:positionV>
            <wp:extent cx="1370330" cy="698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-374650</wp:posOffset>
            </wp:positionV>
            <wp:extent cx="1370330" cy="698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-258445</wp:posOffset>
            </wp:positionV>
            <wp:extent cx="1370330" cy="698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-142240</wp:posOffset>
            </wp:positionV>
            <wp:extent cx="1370330" cy="698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-25400</wp:posOffset>
            </wp:positionV>
            <wp:extent cx="1370330" cy="69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370330" cy="698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40" w:firstLine="518"/>
        <w:spacing w:after="0" w:line="285" w:lineRule="auto"/>
        <w:rPr>
          <w:sz w:val="20"/>
          <w:szCs w:val="20"/>
          <w:color w:val="auto"/>
        </w:rPr>
      </w:pPr>
      <w:r>
        <w:rPr>
          <w:rFonts w:ascii="Arial" w:cs="Arial" w:eastAsia="Arial" w:hAnsi="Arial"/>
          <w:sz w:val="13"/>
          <w:szCs w:val="13"/>
          <w:color w:val="auto"/>
        </w:rPr>
        <w:t>Borrower represents that the conditions precedent to the Advance set forth in the Agreement are satisfied and shall be satisfied upon the making of such Advance, including but not limited to: (i) that no event that has had or could reasonably be expected to have a Material Adverse Effect has occurred and is continuing; (ii) that the representations and warranties set forth in the Agreement and in the Warrant are and shall be true and correct in all material respects (or, in the case of any representation and warranty qualified by materiality, in all respects) on and as of the Advance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or, in the case of any representation and warranty qualified by materiality, in all respects as of such earlier date); (iii) that Borrower is in compliance with all material terms and provisions set forth in each Loan Document on its part to be observed or performed; and (iv) that as of the Advance Date, no fact or condition exists that could (or could, with the passage of time, the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7159625" cy="698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80"/>
          </w:cols>
          <w:pgMar w:left="300" w:top="827" w:right="519" w:bottom="1440" w:gutter="0" w:footer="0" w:header="0"/>
        </w:sectPr>
      </w:pPr>
    </w:p>
    <w:bookmarkStart w:id="727" w:name="page728"/>
    <w:bookmarkEnd w:id="727"/>
    <w:p>
      <w:pPr>
        <w:ind w:left="20" w:right="260"/>
        <w:spacing w:after="0" w:line="288" w:lineRule="auto"/>
        <w:rPr>
          <w:sz w:val="20"/>
          <w:szCs w:val="20"/>
          <w:color w:val="auto"/>
        </w:rPr>
      </w:pPr>
      <w:r>
        <w:rPr>
          <w:rFonts w:ascii="Arial" w:cs="Arial" w:eastAsia="Arial" w:hAnsi="Arial"/>
          <w:sz w:val="14"/>
          <w:szCs w:val="14"/>
          <w:color w:val="auto"/>
        </w:rPr>
        <w:t>notice, or both) constitute an Event of Default under the Loan Documents. Borrower understands and acknowledges that Agent has the right to review the financial information supporting this representation and, based upon such review in its sole discretion, the Lender may decline to fund the requested Advance.</w:t>
      </w:r>
    </w:p>
    <w:p>
      <w:pPr>
        <w:spacing w:after="0" w:line="132" w:lineRule="exact"/>
        <w:rPr>
          <w:sz w:val="20"/>
          <w:szCs w:val="20"/>
          <w:color w:val="auto"/>
        </w:rPr>
      </w:pPr>
    </w:p>
    <w:p>
      <w:pPr>
        <w:ind w:left="20" w:right="520" w:firstLine="518"/>
        <w:spacing w:after="0" w:line="288" w:lineRule="auto"/>
        <w:rPr>
          <w:sz w:val="20"/>
          <w:szCs w:val="20"/>
          <w:color w:val="auto"/>
        </w:rPr>
      </w:pPr>
      <w:r>
        <w:rPr>
          <w:rFonts w:ascii="Arial" w:cs="Arial" w:eastAsia="Arial" w:hAnsi="Arial"/>
          <w:sz w:val="14"/>
          <w:szCs w:val="14"/>
          <w:color w:val="auto"/>
        </w:rPr>
        <w:t>Borrower hereby represents that Borrower’s corporate status and locations have not changed since the date of the Agreement or, if the Attachment to this Advance Request is completed, are as set forth in the Attachment to this Advance Request.</w:t>
      </w:r>
    </w:p>
    <w:p>
      <w:pPr>
        <w:spacing w:after="0" w:line="142" w:lineRule="exact"/>
        <w:rPr>
          <w:sz w:val="20"/>
          <w:szCs w:val="20"/>
          <w:color w:val="auto"/>
        </w:rPr>
      </w:pPr>
    </w:p>
    <w:p>
      <w:pPr>
        <w:ind w:firstLine="518"/>
        <w:spacing w:after="0" w:line="273" w:lineRule="auto"/>
        <w:rPr>
          <w:sz w:val="20"/>
          <w:szCs w:val="20"/>
          <w:color w:val="auto"/>
        </w:rPr>
      </w:pPr>
      <w:r>
        <w:rPr>
          <w:rFonts w:ascii="Arial" w:cs="Arial" w:eastAsia="Arial" w:hAnsi="Arial"/>
          <w:sz w:val="14"/>
          <w:szCs w:val="14"/>
          <w:color w:val="auto"/>
        </w:rPr>
        <w:t>Borrower agrees to notify Agent promptly before the funding of the Loan if any of the matters which have been represented above shall not be true and correct on the Borrowing Date and if Agent has received no such notice before the Advance Date then the statements set forth above shall be deemed to have been made and shall be deemed to be true and correct as of the Advance Date.</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Executed as of [ ], 20[ ].</w:t>
      </w:r>
    </w:p>
    <w:p>
      <w:pPr>
        <w:spacing w:after="0" w:line="19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BORROWER:</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CENTURY THERAPEUTICS, LLC</w:t>
      </w:r>
    </w:p>
    <w:p>
      <w:pPr>
        <w:spacing w:after="0" w:line="175"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Signature:</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-100965</wp:posOffset>
            </wp:positionV>
            <wp:extent cx="3131185" cy="698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3131185" cy="698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20955</wp:posOffset>
            </wp:positionV>
            <wp:extent cx="3131185" cy="698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131185" cy="698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-94615</wp:posOffset>
            </wp:positionV>
            <wp:extent cx="3131185" cy="698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131185" cy="6985"/>
                    </a:xfrm>
                    <a:prstGeom prst="rect">
                      <a:avLst/>
                    </a:prstGeom>
                    <a:noFill/>
                  </pic:spPr>
                </pic:pic>
              </a:graphicData>
            </a:graphic>
          </wp:anchor>
        </w:drawing>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13970</wp:posOffset>
            </wp:positionV>
            <wp:extent cx="7159625" cy="698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20"/>
          </w:cols>
          <w:pgMar w:left="440" w:top="756" w:right="439" w:bottom="1440" w:gutter="0" w:footer="0" w:header="0"/>
        </w:sectPr>
      </w:pPr>
    </w:p>
    <w:bookmarkStart w:id="728" w:name="page729"/>
    <w:bookmarkEnd w:id="728"/>
    <w:p>
      <w:pPr>
        <w:jc w:val="center"/>
        <w:ind w:right="-59"/>
        <w:spacing w:after="0"/>
        <w:rPr>
          <w:sz w:val="20"/>
          <w:szCs w:val="20"/>
          <w:color w:val="auto"/>
        </w:rPr>
      </w:pPr>
      <w:r>
        <w:rPr>
          <w:rFonts w:ascii="Arial" w:cs="Arial" w:eastAsia="Arial" w:hAnsi="Arial"/>
          <w:sz w:val="14"/>
          <w:szCs w:val="14"/>
          <w:b w:val="1"/>
          <w:bCs w:val="1"/>
          <w:color w:val="auto"/>
        </w:rPr>
        <w:t>ATTACHMENT TO ADVANCE REQUEST</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-5715</wp:posOffset>
            </wp:positionV>
            <wp:extent cx="867410" cy="698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67410" cy="6985"/>
                    </a:xfrm>
                    <a:prstGeom prst="rect">
                      <a:avLst/>
                    </a:prstGeom>
                    <a:noFill/>
                  </pic:spPr>
                </pic:pic>
              </a:graphicData>
            </a:graphic>
          </wp:anchor>
        </w:drawing>
      </w:r>
    </w:p>
    <w:p>
      <w:pPr>
        <w:spacing w:after="0" w:line="2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Borrower hereby represents and warrants to Agent that Borrower’s current name and organizational status is as follows:</w:t>
      </w:r>
    </w:p>
    <w:p>
      <w:pPr>
        <w:spacing w:after="0" w:line="249"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1940" w:type="dxa"/>
            <w:vAlign w:val="bottom"/>
          </w:tcPr>
          <w:p>
            <w:pPr>
              <w:spacing w:after="0"/>
              <w:rPr>
                <w:sz w:val="20"/>
                <w:szCs w:val="20"/>
                <w:color w:val="auto"/>
              </w:rPr>
            </w:pPr>
            <w:r>
              <w:rPr>
                <w:rFonts w:ascii="Arial" w:cs="Arial" w:eastAsia="Arial" w:hAnsi="Arial"/>
                <w:sz w:val="14"/>
                <w:szCs w:val="14"/>
                <w:color w:val="auto"/>
              </w:rPr>
              <w:t>Name:</w:t>
            </w:r>
          </w:p>
        </w:tc>
        <w:tc>
          <w:tcPr>
            <w:tcW w:w="2540" w:type="dxa"/>
            <w:vAlign w:val="bottom"/>
            <w:gridSpan w:val="2"/>
          </w:tcPr>
          <w:p>
            <w:pPr>
              <w:ind w:left="440"/>
              <w:spacing w:after="0"/>
              <w:rPr>
                <w:sz w:val="20"/>
                <w:szCs w:val="20"/>
                <w:color w:val="auto"/>
              </w:rPr>
            </w:pPr>
            <w:r>
              <w:rPr>
                <w:rFonts w:ascii="Arial" w:cs="Arial" w:eastAsia="Arial" w:hAnsi="Arial"/>
                <w:sz w:val="14"/>
                <w:szCs w:val="14"/>
                <w:color w:val="auto"/>
                <w:w w:val="97"/>
              </w:rPr>
              <w:t>CENTURY THERAPEUTICS, LLC</w:t>
            </w:r>
          </w:p>
        </w:tc>
      </w:tr>
      <w:tr>
        <w:trPr>
          <w:trHeight w:val="302"/>
        </w:trPr>
        <w:tc>
          <w:tcPr>
            <w:tcW w:w="1940" w:type="dxa"/>
            <w:vAlign w:val="bottom"/>
          </w:tcPr>
          <w:p>
            <w:pPr>
              <w:spacing w:after="0"/>
              <w:rPr>
                <w:sz w:val="20"/>
                <w:szCs w:val="20"/>
                <w:color w:val="auto"/>
              </w:rPr>
            </w:pPr>
            <w:r>
              <w:rPr>
                <w:rFonts w:ascii="Arial" w:cs="Arial" w:eastAsia="Arial" w:hAnsi="Arial"/>
                <w:sz w:val="14"/>
                <w:szCs w:val="14"/>
                <w:color w:val="auto"/>
              </w:rPr>
              <w:t>Type of organization:</w:t>
            </w:r>
          </w:p>
        </w:tc>
        <w:tc>
          <w:tcPr>
            <w:tcW w:w="2540" w:type="dxa"/>
            <w:vAlign w:val="bottom"/>
            <w:gridSpan w:val="2"/>
          </w:tcPr>
          <w:p>
            <w:pPr>
              <w:ind w:left="440"/>
              <w:spacing w:after="0"/>
              <w:rPr>
                <w:sz w:val="20"/>
                <w:szCs w:val="20"/>
                <w:color w:val="auto"/>
              </w:rPr>
            </w:pPr>
            <w:r>
              <w:rPr>
                <w:rFonts w:ascii="Arial" w:cs="Arial" w:eastAsia="Arial" w:hAnsi="Arial"/>
                <w:sz w:val="14"/>
                <w:szCs w:val="14"/>
                <w:color w:val="auto"/>
              </w:rPr>
              <w:t>limited liability company</w:t>
            </w:r>
          </w:p>
        </w:tc>
      </w:tr>
      <w:tr>
        <w:trPr>
          <w:trHeight w:val="302"/>
        </w:trPr>
        <w:tc>
          <w:tcPr>
            <w:tcW w:w="1940" w:type="dxa"/>
            <w:vAlign w:val="bottom"/>
          </w:tcPr>
          <w:p>
            <w:pPr>
              <w:spacing w:after="0"/>
              <w:rPr>
                <w:sz w:val="20"/>
                <w:szCs w:val="20"/>
                <w:color w:val="auto"/>
              </w:rPr>
            </w:pPr>
            <w:r>
              <w:rPr>
                <w:rFonts w:ascii="Arial" w:cs="Arial" w:eastAsia="Arial" w:hAnsi="Arial"/>
                <w:sz w:val="14"/>
                <w:szCs w:val="14"/>
                <w:color w:val="auto"/>
              </w:rPr>
              <w:t>State of organization:</w:t>
            </w:r>
          </w:p>
        </w:tc>
        <w:tc>
          <w:tcPr>
            <w:tcW w:w="1220" w:type="dxa"/>
            <w:vAlign w:val="bottom"/>
          </w:tcPr>
          <w:p>
            <w:pPr>
              <w:ind w:left="440"/>
              <w:spacing w:after="0"/>
              <w:rPr>
                <w:sz w:val="20"/>
                <w:szCs w:val="20"/>
                <w:color w:val="auto"/>
              </w:rPr>
            </w:pPr>
            <w:r>
              <w:rPr>
                <w:rFonts w:ascii="Arial" w:cs="Arial" w:eastAsia="Arial" w:hAnsi="Arial"/>
                <w:sz w:val="14"/>
                <w:szCs w:val="14"/>
                <w:color w:val="auto"/>
              </w:rPr>
              <w:t>Delaware</w:t>
            </w:r>
          </w:p>
        </w:tc>
        <w:tc>
          <w:tcPr>
            <w:tcW w:w="1320" w:type="dxa"/>
            <w:vAlign w:val="bottom"/>
          </w:tcPr>
          <w:p>
            <w:pPr>
              <w:spacing w:after="0"/>
              <w:rPr>
                <w:sz w:val="24"/>
                <w:szCs w:val="24"/>
                <w:color w:val="auto"/>
              </w:rPr>
            </w:pPr>
          </w:p>
        </w:tc>
      </w:tr>
      <w:tr>
        <w:trPr>
          <w:trHeight w:val="302"/>
        </w:trPr>
        <w:tc>
          <w:tcPr>
            <w:tcW w:w="1940" w:type="dxa"/>
            <w:vAlign w:val="bottom"/>
          </w:tcPr>
          <w:p>
            <w:pPr>
              <w:spacing w:after="0"/>
              <w:rPr>
                <w:sz w:val="20"/>
                <w:szCs w:val="20"/>
                <w:color w:val="auto"/>
              </w:rPr>
            </w:pPr>
            <w:r>
              <w:rPr>
                <w:rFonts w:ascii="Arial" w:cs="Arial" w:eastAsia="Arial" w:hAnsi="Arial"/>
                <w:sz w:val="14"/>
                <w:szCs w:val="14"/>
                <w:color w:val="auto"/>
              </w:rPr>
              <w:t>Organization file number:</w:t>
            </w:r>
          </w:p>
        </w:tc>
        <w:tc>
          <w:tcPr>
            <w:tcW w:w="1220" w:type="dxa"/>
            <w:vAlign w:val="bottom"/>
          </w:tcPr>
          <w:p>
            <w:pPr>
              <w:ind w:left="4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968"/>
              <w:spacing w:after="0"/>
              <w:rPr>
                <w:sz w:val="20"/>
                <w:szCs w:val="20"/>
                <w:color w:val="auto"/>
              </w:rPr>
            </w:pPr>
            <w:r>
              <w:rPr>
                <w:rFonts w:ascii="Arial" w:cs="Arial" w:eastAsia="Arial" w:hAnsi="Arial"/>
                <w:sz w:val="14"/>
                <w:szCs w:val="14"/>
                <w:color w:val="auto"/>
              </w:rPr>
              <w:t>]</w:t>
            </w: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Borrower hereby represents and warrants to Agent that the street addresses, cities, states and postal codes of its current locations are as follows: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 ]</w:t>
      </w:r>
    </w:p>
    <w:p>
      <w:pPr>
        <w:spacing w:after="0" w:line="200" w:lineRule="exact"/>
        <w:rPr>
          <w:sz w:val="20"/>
          <w:szCs w:val="20"/>
          <w:color w:val="auto"/>
        </w:rPr>
      </w:pPr>
    </w:p>
    <w:p>
      <w:pPr>
        <w:spacing w:after="0" w:line="351" w:lineRule="exact"/>
        <w:rPr>
          <w:sz w:val="20"/>
          <w:szCs w:val="20"/>
          <w:color w:val="auto"/>
        </w:rPr>
      </w:pPr>
    </w:p>
    <w:p>
      <w:pPr>
        <w:ind w:left="660" w:hanging="513"/>
        <w:spacing w:after="0"/>
        <w:tabs>
          <w:tab w:leader="none" w:pos="660" w:val="left"/>
        </w:tabs>
        <w:numPr>
          <w:ilvl w:val="0"/>
          <w:numId w:val="546"/>
        </w:numPr>
        <w:rPr>
          <w:rFonts w:ascii="Arial" w:cs="Arial" w:eastAsia="Arial" w:hAnsi="Arial"/>
          <w:sz w:val="14"/>
          <w:szCs w:val="14"/>
          <w:color w:val="auto"/>
        </w:rPr>
      </w:pPr>
      <w:r>
        <w:rPr>
          <w:rFonts w:ascii="Arial" w:cs="Arial" w:eastAsia="Arial" w:hAnsi="Arial"/>
          <w:sz w:val="14"/>
          <w:szCs w:val="14"/>
          <w:color w:val="auto"/>
        </w:rPr>
        <w:t>Advance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-5715</wp:posOffset>
            </wp:positionV>
            <wp:extent cx="479425" cy="698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479425" cy="698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140"/>
              <w:spacing w:after="0"/>
              <w:rPr>
                <w:sz w:val="20"/>
                <w:szCs w:val="20"/>
                <w:color w:val="auto"/>
              </w:rPr>
            </w:pPr>
            <w:r>
              <w:rPr>
                <w:rFonts w:ascii="Arial" w:cs="Arial" w:eastAsia="Arial" w:hAnsi="Arial"/>
                <w:sz w:val="14"/>
                <w:szCs w:val="14"/>
                <w:color w:val="auto"/>
              </w:rPr>
              <w:t>b.</w:t>
            </w:r>
          </w:p>
        </w:tc>
        <w:tc>
          <w:tcPr>
            <w:tcW w:w="2180" w:type="dxa"/>
            <w:vAlign w:val="bottom"/>
          </w:tcPr>
          <w:p>
            <w:pPr>
              <w:ind w:left="200"/>
              <w:spacing w:after="0"/>
              <w:rPr>
                <w:sz w:val="20"/>
                <w:szCs w:val="20"/>
                <w:color w:val="auto"/>
              </w:rPr>
            </w:pPr>
            <w:r>
              <w:rPr>
                <w:rFonts w:ascii="Arial" w:cs="Arial" w:eastAsia="Arial" w:hAnsi="Arial"/>
                <w:sz w:val="14"/>
                <w:szCs w:val="14"/>
                <w:color w:val="auto"/>
                <w:w w:val="96"/>
              </w:rPr>
              <w:t>[Maximum Term Loan Amount: $</w:t>
            </w:r>
          </w:p>
        </w:tc>
        <w:tc>
          <w:tcPr>
            <w:tcW w:w="820" w:type="dxa"/>
            <w:vAlign w:val="bottom"/>
            <w:tcBorders>
              <w:bottom w:val="single" w:sz="8" w:color="auto"/>
            </w:tcBorders>
          </w:tcPr>
          <w:p>
            <w:pPr>
              <w:spacing w:after="0"/>
              <w:rPr>
                <w:sz w:val="14"/>
                <w:szCs w:val="14"/>
                <w:color w:val="auto"/>
              </w:rPr>
            </w:pPr>
          </w:p>
        </w:tc>
        <w:tc>
          <w:tcPr>
            <w:tcW w:w="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60" w:type="dxa"/>
            <w:vAlign w:val="bottom"/>
          </w:tcPr>
          <w:p>
            <w:pPr>
              <w:spacing w:after="0"/>
              <w:rPr>
                <w:sz w:val="14"/>
                <w:szCs w:val="14"/>
                <w:color w:val="auto"/>
              </w:rPr>
            </w:pPr>
          </w:p>
        </w:tc>
      </w:tr>
      <w:tr>
        <w:trPr>
          <w:trHeight w:val="325"/>
        </w:trPr>
        <w:tc>
          <w:tcPr>
            <w:tcW w:w="4300" w:type="dxa"/>
            <w:vAlign w:val="bottom"/>
            <w:gridSpan w:val="5"/>
          </w:tcPr>
          <w:p>
            <w:pPr>
              <w:ind w:left="160"/>
              <w:spacing w:after="0"/>
              <w:rPr>
                <w:sz w:val="20"/>
                <w:szCs w:val="20"/>
                <w:color w:val="auto"/>
              </w:rPr>
            </w:pPr>
            <w:r>
              <w:rPr>
                <w:rFonts w:ascii="Arial" w:cs="Arial" w:eastAsia="Arial" w:hAnsi="Arial"/>
                <w:sz w:val="14"/>
                <w:szCs w:val="14"/>
                <w:color w:val="auto"/>
              </w:rPr>
              <w:t>[c. Is clause a. less than or equal to clause b.? Yes/Compliant</w:t>
            </w:r>
          </w:p>
        </w:tc>
        <w:tc>
          <w:tcPr>
            <w:tcW w:w="1200" w:type="dxa"/>
            <w:vAlign w:val="bottom"/>
            <w:gridSpan w:val="2"/>
          </w:tcPr>
          <w:p>
            <w:pPr>
              <w:spacing w:after="0"/>
              <w:rPr>
                <w:sz w:val="20"/>
                <w:szCs w:val="20"/>
                <w:color w:val="auto"/>
              </w:rPr>
            </w:pPr>
            <w:r>
              <w:rPr>
                <w:rFonts w:ascii="Arial" w:cs="Arial" w:eastAsia="Arial" w:hAnsi="Arial"/>
                <w:sz w:val="14"/>
                <w:szCs w:val="14"/>
                <w:color w:val="auto"/>
              </w:rPr>
              <w:t>No/Non-Compliant</w:t>
            </w:r>
          </w:p>
        </w:tc>
        <w:tc>
          <w:tcPr>
            <w:tcW w:w="5780" w:type="dxa"/>
            <w:vAlign w:val="bottom"/>
            <w:gridSpan w:val="2"/>
          </w:tcPr>
          <w:p>
            <w:pPr>
              <w:jc w:val="right"/>
              <w:ind w:right="5220"/>
              <w:spacing w:after="0"/>
              <w:rPr>
                <w:sz w:val="20"/>
                <w:szCs w:val="20"/>
                <w:color w:val="auto"/>
              </w:rPr>
            </w:pPr>
            <w:r>
              <w:rPr>
                <w:rFonts w:ascii="Arial" w:cs="Arial" w:eastAsia="Arial" w:hAnsi="Arial"/>
                <w:sz w:val="14"/>
                <w:szCs w:val="14"/>
                <w:color w:val="auto"/>
              </w:rPr>
              <w:t>]</w:t>
            </w:r>
          </w:p>
        </w:tc>
      </w:tr>
      <w:tr>
        <w:trPr>
          <w:trHeight w:val="190"/>
        </w:trPr>
        <w:tc>
          <w:tcPr>
            <w:tcW w:w="4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3</w:t>
            </w:r>
          </w:p>
        </w:tc>
        <w:tc>
          <w:tcPr>
            <w:tcW w:w="5260" w:type="dxa"/>
            <w:vAlign w:val="bottom"/>
            <w:tcBorders>
              <w:bottom w:val="single" w:sz="8" w:color="auto"/>
            </w:tcBorders>
          </w:tcPr>
          <w:p>
            <w:pPr>
              <w:spacing w:after="0"/>
              <w:rPr>
                <w:sz w:val="16"/>
                <w:szCs w:val="16"/>
                <w:color w:val="auto"/>
              </w:rPr>
            </w:pPr>
          </w:p>
        </w:tc>
      </w:tr>
    </w:tbl>
    <w:p>
      <w:pPr>
        <w:sectPr>
          <w:pgSz w:w="11900" w:h="16838" w:orient="portrait"/>
          <w:cols w:equalWidth="0" w:num="1">
            <w:col w:w="11280"/>
          </w:cols>
          <w:pgMar w:left="300" w:top="816" w:right="319" w:bottom="1440" w:gutter="0" w:footer="0" w:header="0"/>
        </w:sectPr>
      </w:pPr>
    </w:p>
    <w:bookmarkStart w:id="729" w:name="page730"/>
    <w:bookmarkEnd w:id="729"/>
    <w:p>
      <w:pPr>
        <w:jc w:val="center"/>
        <w:ind w:right="-631"/>
        <w:spacing w:after="0"/>
        <w:rPr>
          <w:sz w:val="20"/>
          <w:szCs w:val="20"/>
          <w:color w:val="auto"/>
        </w:rPr>
      </w:pPr>
      <w:r>
        <w:rPr>
          <w:rFonts w:ascii="Arial" w:cs="Arial" w:eastAsia="Arial" w:hAnsi="Arial"/>
          <w:sz w:val="14"/>
          <w:szCs w:val="14"/>
          <w:b w:val="1"/>
          <w:bCs w:val="1"/>
          <w:color w:val="auto"/>
        </w:rPr>
        <w:t>EXHIBIT B</w:t>
      </w:r>
    </w:p>
    <w:p>
      <w:pPr>
        <w:spacing w:after="0" w:line="76" w:lineRule="exact"/>
        <w:rPr>
          <w:sz w:val="20"/>
          <w:szCs w:val="20"/>
          <w:color w:val="auto"/>
        </w:rPr>
      </w:pPr>
    </w:p>
    <w:p>
      <w:pPr>
        <w:jc w:val="center"/>
        <w:ind w:right="-631"/>
        <w:spacing w:after="0"/>
        <w:rPr>
          <w:sz w:val="20"/>
          <w:szCs w:val="20"/>
          <w:color w:val="auto"/>
        </w:rPr>
      </w:pPr>
      <w:r>
        <w:rPr>
          <w:rFonts w:ascii="Arial" w:cs="Arial" w:eastAsia="Arial" w:hAnsi="Arial"/>
          <w:sz w:val="14"/>
          <w:szCs w:val="14"/>
          <w:b w:val="1"/>
          <w:bCs w:val="1"/>
          <w:color w:val="auto"/>
        </w:rPr>
        <w:t>NAME, LOCATIONS, AND OTHER INFORMATION FOR BORROWER</w:t>
      </w:r>
    </w:p>
    <w:p>
      <w:pPr>
        <w:spacing w:after="0" w:line="188" w:lineRule="exact"/>
        <w:rPr>
          <w:sz w:val="20"/>
          <w:szCs w:val="20"/>
          <w:color w:val="auto"/>
        </w:rPr>
      </w:pPr>
    </w:p>
    <w:p>
      <w:pPr>
        <w:ind w:left="252"/>
        <w:spacing w:after="0"/>
        <w:tabs>
          <w:tab w:leader="none" w:pos="491"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Borrower represents and warrants to Agent that Borrower’s current name and organizational status as of the Closing Date is as follows:</w:t>
      </w:r>
    </w:p>
    <w:p>
      <w:pPr>
        <w:sectPr>
          <w:pgSz w:w="11900" w:h="16838" w:orient="portrait"/>
          <w:cols w:equalWidth="0" w:num="1">
            <w:col w:w="9892"/>
          </w:cols>
          <w:pgMar w:left="708" w:top="654" w:right="1299" w:bottom="1440" w:gutter="0" w:footer="0" w:header="0"/>
        </w:sectPr>
      </w:pPr>
    </w:p>
    <w:p>
      <w:pPr>
        <w:spacing w:after="0" w:line="271" w:lineRule="exact"/>
        <w:rPr>
          <w:sz w:val="20"/>
          <w:szCs w:val="20"/>
          <w:color w:val="auto"/>
        </w:rPr>
      </w:pPr>
    </w:p>
    <w:p>
      <w:pPr>
        <w:ind w:left="1292"/>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CENTURY THERAPEUTICS, LLC</w:t>
      </w:r>
    </w:p>
    <w:p>
      <w:pPr>
        <w:spacing w:after="0" w:line="153" w:lineRule="exact"/>
        <w:rPr>
          <w:sz w:val="20"/>
          <w:szCs w:val="20"/>
          <w:color w:val="auto"/>
        </w:rPr>
      </w:pPr>
    </w:p>
    <w:p>
      <w:pPr>
        <w:sectPr>
          <w:pgSz w:w="11900" w:h="16838" w:orient="portrait"/>
          <w:cols w:equalWidth="0" w:num="2">
            <w:col w:w="4512" w:space="720"/>
            <w:col w:w="4660"/>
          </w:cols>
          <w:pgMar w:left="708" w:top="654" w:right="1299" w:bottom="1440" w:gutter="0" w:footer="0" w:header="0"/>
          <w:type w:val="continuous"/>
        </w:sectPr>
      </w:pPr>
    </w:p>
    <w:p>
      <w:pPr>
        <w:ind w:left="1292"/>
        <w:spacing w:after="0"/>
        <w:rPr>
          <w:sz w:val="20"/>
          <w:szCs w:val="20"/>
          <w:color w:val="auto"/>
        </w:rPr>
      </w:pPr>
      <w:r>
        <w:rPr>
          <w:rFonts w:ascii="Arial" w:cs="Arial" w:eastAsia="Arial" w:hAnsi="Arial"/>
          <w:sz w:val="13"/>
          <w:szCs w:val="13"/>
          <w:color w:val="auto"/>
        </w:rPr>
        <w:t>Type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limited liability company</w:t>
      </w:r>
    </w:p>
    <w:p>
      <w:pPr>
        <w:spacing w:after="0" w:line="153" w:lineRule="exact"/>
        <w:rPr>
          <w:sz w:val="20"/>
          <w:szCs w:val="20"/>
          <w:color w:val="auto"/>
        </w:rPr>
      </w:pPr>
    </w:p>
    <w:p>
      <w:pPr>
        <w:sectPr>
          <w:pgSz w:w="11900" w:h="16838" w:orient="portrait"/>
          <w:cols w:equalWidth="0" w:num="2">
            <w:col w:w="4512" w:space="720"/>
            <w:col w:w="4660"/>
          </w:cols>
          <w:pgMar w:left="708" w:top="654" w:right="1299" w:bottom="1440" w:gutter="0" w:footer="0" w:header="0"/>
          <w:type w:val="continuous"/>
        </w:sectPr>
      </w:pPr>
    </w:p>
    <w:p>
      <w:pPr>
        <w:ind w:left="1292"/>
        <w:spacing w:after="0"/>
        <w:rPr>
          <w:sz w:val="20"/>
          <w:szCs w:val="20"/>
          <w:color w:val="auto"/>
        </w:rPr>
      </w:pPr>
      <w:r>
        <w:rPr>
          <w:rFonts w:ascii="Arial" w:cs="Arial" w:eastAsia="Arial" w:hAnsi="Arial"/>
          <w:sz w:val="13"/>
          <w:szCs w:val="13"/>
          <w:color w:val="auto"/>
        </w:rPr>
        <w:t>State of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Delaware</w:t>
      </w:r>
    </w:p>
    <w:p>
      <w:pPr>
        <w:spacing w:after="0" w:line="153" w:lineRule="exact"/>
        <w:rPr>
          <w:sz w:val="20"/>
          <w:szCs w:val="20"/>
          <w:color w:val="auto"/>
        </w:rPr>
      </w:pPr>
    </w:p>
    <w:p>
      <w:pPr>
        <w:sectPr>
          <w:pgSz w:w="11900" w:h="16838" w:orient="portrait"/>
          <w:cols w:equalWidth="0" w:num="2">
            <w:col w:w="4512" w:space="720"/>
            <w:col w:w="4660"/>
          </w:cols>
          <w:pgMar w:left="708" w:top="654" w:right="1299" w:bottom="1440" w:gutter="0" w:footer="0" w:header="0"/>
          <w:type w:val="continuous"/>
        </w:sectPr>
      </w:pPr>
    </w:p>
    <w:p>
      <w:pPr>
        <w:ind w:left="1292"/>
        <w:spacing w:after="0"/>
        <w:rPr>
          <w:sz w:val="20"/>
          <w:szCs w:val="20"/>
          <w:color w:val="auto"/>
        </w:rPr>
      </w:pPr>
      <w:r>
        <w:rPr>
          <w:rFonts w:ascii="Arial" w:cs="Arial" w:eastAsia="Arial" w:hAnsi="Arial"/>
          <w:sz w:val="13"/>
          <w:szCs w:val="13"/>
          <w:color w:val="auto"/>
        </w:rPr>
        <w:t>Organization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7453663</w:t>
      </w:r>
    </w:p>
    <w:p>
      <w:pPr>
        <w:spacing w:after="0" w:line="200" w:lineRule="exact"/>
        <w:rPr>
          <w:sz w:val="20"/>
          <w:szCs w:val="20"/>
          <w:color w:val="auto"/>
        </w:rPr>
      </w:pPr>
    </w:p>
    <w:p>
      <w:pPr>
        <w:sectPr>
          <w:pgSz w:w="11900" w:h="16838" w:orient="portrait"/>
          <w:cols w:equalWidth="0" w:num="2">
            <w:col w:w="4512" w:space="720"/>
            <w:col w:w="4660"/>
          </w:cols>
          <w:pgMar w:left="708" w:top="654" w:right="1299" w:bottom="1440" w:gutter="0" w:footer="0" w:header="0"/>
          <w:type w:val="continuous"/>
        </w:sectPr>
      </w:pPr>
    </w:p>
    <w:p>
      <w:pPr>
        <w:spacing w:after="0" w:line="233" w:lineRule="exact"/>
        <w:rPr>
          <w:sz w:val="20"/>
          <w:szCs w:val="20"/>
          <w:color w:val="auto"/>
        </w:rPr>
      </w:pPr>
    </w:p>
    <w:p>
      <w:pPr>
        <w:ind w:left="-248" w:firstLine="248"/>
        <w:spacing w:after="0" w:line="288" w:lineRule="auto"/>
        <w:tabs>
          <w:tab w:leader="none" w:pos="261" w:val="left"/>
        </w:tabs>
        <w:numPr>
          <w:ilvl w:val="0"/>
          <w:numId w:val="547"/>
        </w:numPr>
        <w:rPr>
          <w:rFonts w:ascii="Arial" w:cs="Arial" w:eastAsia="Arial" w:hAnsi="Arial"/>
          <w:sz w:val="14"/>
          <w:szCs w:val="14"/>
          <w:color w:val="auto"/>
        </w:rPr>
      </w:pPr>
      <w:r>
        <w:rPr>
          <w:rFonts w:ascii="Arial" w:cs="Arial" w:eastAsia="Arial" w:hAnsi="Arial"/>
          <w:sz w:val="14"/>
          <w:szCs w:val="14"/>
          <w:color w:val="auto"/>
        </w:rPr>
        <w:t>Borrower represents and warrants to Agent that for five (5) years prior to the Closing Date, Borrower did not do business under any other name or organization or form except the following:</w:t>
      </w:r>
    </w:p>
    <w:p>
      <w:pPr>
        <w:spacing w:after="0" w:line="142" w:lineRule="exact"/>
        <w:rPr>
          <w:sz w:val="20"/>
          <w:szCs w:val="20"/>
          <w:color w:val="auto"/>
        </w:rPr>
      </w:pPr>
    </w:p>
    <w:p>
      <w:pPr>
        <w:ind w:left="252"/>
        <w:spacing w:after="0"/>
        <w:rPr>
          <w:sz w:val="20"/>
          <w:szCs w:val="20"/>
          <w:color w:val="auto"/>
        </w:rPr>
      </w:pPr>
      <w:r>
        <w:rPr>
          <w:rFonts w:ascii="Arial" w:cs="Arial" w:eastAsia="Arial" w:hAnsi="Arial"/>
          <w:sz w:val="14"/>
          <w:szCs w:val="14"/>
          <w:color w:val="auto"/>
        </w:rPr>
        <w:t>Name: N/A</w:t>
      </w:r>
    </w:p>
    <w:p>
      <w:pPr>
        <w:spacing w:after="0" w:line="21" w:lineRule="exact"/>
        <w:rPr>
          <w:sz w:val="20"/>
          <w:szCs w:val="20"/>
          <w:color w:val="auto"/>
        </w:rPr>
      </w:pPr>
    </w:p>
    <w:p>
      <w:pPr>
        <w:ind w:left="252"/>
        <w:spacing w:after="0"/>
        <w:rPr>
          <w:sz w:val="20"/>
          <w:szCs w:val="20"/>
          <w:color w:val="auto"/>
        </w:rPr>
      </w:pPr>
      <w:r>
        <w:rPr>
          <w:rFonts w:ascii="Arial" w:cs="Arial" w:eastAsia="Arial" w:hAnsi="Arial"/>
          <w:sz w:val="14"/>
          <w:szCs w:val="14"/>
          <w:color w:val="auto"/>
        </w:rPr>
        <w:t>Used during dates of: N/A</w:t>
      </w:r>
    </w:p>
    <w:p>
      <w:pPr>
        <w:spacing w:after="0" w:line="12" w:lineRule="exact"/>
        <w:rPr>
          <w:sz w:val="20"/>
          <w:szCs w:val="20"/>
          <w:color w:val="auto"/>
        </w:rPr>
      </w:pPr>
    </w:p>
    <w:p>
      <w:pPr>
        <w:ind w:left="252"/>
        <w:spacing w:after="0"/>
        <w:rPr>
          <w:sz w:val="20"/>
          <w:szCs w:val="20"/>
          <w:color w:val="auto"/>
        </w:rPr>
      </w:pPr>
      <w:r>
        <w:rPr>
          <w:rFonts w:ascii="Arial" w:cs="Arial" w:eastAsia="Arial" w:hAnsi="Arial"/>
          <w:sz w:val="14"/>
          <w:szCs w:val="14"/>
          <w:color w:val="auto"/>
        </w:rPr>
        <w:t>Type of Organization: N/A</w:t>
      </w:r>
    </w:p>
    <w:p>
      <w:pPr>
        <w:spacing w:after="0" w:line="12" w:lineRule="exact"/>
        <w:rPr>
          <w:sz w:val="20"/>
          <w:szCs w:val="20"/>
          <w:color w:val="auto"/>
        </w:rPr>
      </w:pPr>
    </w:p>
    <w:p>
      <w:pPr>
        <w:ind w:left="252"/>
        <w:spacing w:after="0"/>
        <w:rPr>
          <w:sz w:val="20"/>
          <w:szCs w:val="20"/>
          <w:color w:val="auto"/>
        </w:rPr>
      </w:pPr>
      <w:r>
        <w:rPr>
          <w:rFonts w:ascii="Arial" w:cs="Arial" w:eastAsia="Arial" w:hAnsi="Arial"/>
          <w:sz w:val="14"/>
          <w:szCs w:val="14"/>
          <w:color w:val="auto"/>
        </w:rPr>
        <w:t>State of organization: N/A</w:t>
      </w:r>
    </w:p>
    <w:p>
      <w:pPr>
        <w:spacing w:after="0" w:line="12" w:lineRule="exact"/>
        <w:rPr>
          <w:sz w:val="20"/>
          <w:szCs w:val="20"/>
          <w:color w:val="auto"/>
        </w:rPr>
      </w:pPr>
    </w:p>
    <w:p>
      <w:pPr>
        <w:ind w:left="252"/>
        <w:spacing w:after="0"/>
        <w:rPr>
          <w:sz w:val="20"/>
          <w:szCs w:val="20"/>
          <w:color w:val="auto"/>
        </w:rPr>
      </w:pPr>
      <w:r>
        <w:rPr>
          <w:rFonts w:ascii="Arial" w:cs="Arial" w:eastAsia="Arial" w:hAnsi="Arial"/>
          <w:sz w:val="14"/>
          <w:szCs w:val="14"/>
          <w:color w:val="auto"/>
        </w:rPr>
        <w:t>Organization file Number: N/A</w:t>
      </w:r>
    </w:p>
    <w:p>
      <w:pPr>
        <w:spacing w:after="0" w:line="12" w:lineRule="exact"/>
        <w:rPr>
          <w:sz w:val="20"/>
          <w:szCs w:val="20"/>
          <w:color w:val="auto"/>
        </w:rPr>
      </w:pPr>
    </w:p>
    <w:p>
      <w:pPr>
        <w:ind w:left="252"/>
        <w:spacing w:after="0"/>
        <w:rPr>
          <w:sz w:val="20"/>
          <w:szCs w:val="20"/>
          <w:color w:val="auto"/>
        </w:rPr>
      </w:pPr>
      <w:r>
        <w:rPr>
          <w:rFonts w:ascii="Arial" w:cs="Arial" w:eastAsia="Arial" w:hAnsi="Arial"/>
          <w:sz w:val="14"/>
          <w:szCs w:val="14"/>
          <w:color w:val="auto"/>
        </w:rPr>
        <w:t>Borrower’s fiscal year ends on 12/31</w:t>
      </w:r>
    </w:p>
    <w:p>
      <w:pPr>
        <w:spacing w:after="0" w:line="12" w:lineRule="exact"/>
        <w:rPr>
          <w:sz w:val="20"/>
          <w:szCs w:val="20"/>
          <w:color w:val="auto"/>
        </w:rPr>
      </w:pPr>
    </w:p>
    <w:p>
      <w:pPr>
        <w:ind w:left="252"/>
        <w:spacing w:after="0"/>
        <w:rPr>
          <w:sz w:val="20"/>
          <w:szCs w:val="20"/>
          <w:color w:val="auto"/>
        </w:rPr>
      </w:pPr>
      <w:r>
        <w:rPr>
          <w:rFonts w:ascii="Arial" w:cs="Arial" w:eastAsia="Arial" w:hAnsi="Arial"/>
          <w:sz w:val="14"/>
          <w:szCs w:val="14"/>
          <w:color w:val="auto"/>
        </w:rPr>
        <w:t>Borrower’s federal employer tax identification number is: 84-2040295</w:t>
      </w:r>
    </w:p>
    <w:p>
      <w:pPr>
        <w:spacing w:after="0" w:line="186" w:lineRule="exact"/>
        <w:rPr>
          <w:sz w:val="20"/>
          <w:szCs w:val="20"/>
          <w:color w:val="auto"/>
        </w:rPr>
      </w:pPr>
    </w:p>
    <w:p>
      <w:pPr>
        <w:ind w:left="12"/>
        <w:spacing w:after="0"/>
        <w:tabs>
          <w:tab w:leader="none" w:pos="251"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3"/>
          <w:szCs w:val="13"/>
          <w:color w:val="auto"/>
        </w:rPr>
        <w:t>Borrower represents and warrants to Agent that its chief executive office is located at 3675 Market Street,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233680</wp:posOffset>
            </wp:positionV>
            <wp:extent cx="7159625" cy="698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892"/>
          </w:cols>
          <w:pgMar w:left="708" w:top="654" w:right="1299" w:bottom="1440" w:gutter="0" w:footer="0" w:header="0"/>
          <w:type w:val="continuous"/>
        </w:sectPr>
      </w:pPr>
    </w:p>
    <w:bookmarkStart w:id="730" w:name="page731"/>
    <w:bookmarkEnd w:id="730"/>
    <w:p>
      <w:pPr>
        <w:jc w:val="center"/>
        <w:ind w:right="60"/>
        <w:spacing w:after="0"/>
        <w:rPr>
          <w:sz w:val="20"/>
          <w:szCs w:val="20"/>
          <w:color w:val="auto"/>
        </w:rPr>
      </w:pPr>
      <w:r>
        <w:rPr>
          <w:rFonts w:ascii="Arial" w:cs="Arial" w:eastAsia="Arial" w:hAnsi="Arial"/>
          <w:sz w:val="14"/>
          <w:szCs w:val="14"/>
          <w:b w:val="1"/>
          <w:bCs w:val="1"/>
          <w:color w:val="auto"/>
        </w:rPr>
        <w:t>EXHIBIT C</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BORROWER’S PATENTS, TRADEMARKS, COPYRIGHTS AND LICENSES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Patents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None.</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Registered Trademarks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Registered Copyrights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Material Agreements under which Borrower licenses Intellectual Property from Third Parties (other than shrink-wrap software licenses)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3"/>
          <w:szCs w:val="13"/>
          <w:color w:val="auto"/>
        </w:rPr>
        <w:t>License Agreement (differentiation) by and between the Company (as assignee) and FUJIFILM Cellular Dynamics Inc., a Wisconsin corporation, signed September 18, 2018 (</w:t>
      </w:r>
      <w:r>
        <w:rPr>
          <w:rFonts w:ascii="Arial" w:cs="Arial" w:eastAsia="Arial" w:hAnsi="Arial"/>
          <w:sz w:val="13"/>
          <w:szCs w:val="13"/>
          <w:i w:val="1"/>
          <w:iCs w:val="1"/>
          <w:color w:val="auto"/>
        </w:rPr>
        <w:t>exclusive</w:t>
      </w:r>
      <w:r>
        <w:rPr>
          <w:rFonts w:ascii="Arial" w:cs="Arial" w:eastAsia="Arial" w:hAnsi="Arial"/>
          <w:sz w:val="13"/>
          <w:szCs w:val="13"/>
          <w:color w:val="auto"/>
        </w:rPr>
        <w:t>).</w:t>
      </w:r>
    </w:p>
    <w:p>
      <w:pPr>
        <w:spacing w:after="0" w:line="207" w:lineRule="exact"/>
        <w:rPr>
          <w:sz w:val="20"/>
          <w:szCs w:val="20"/>
          <w:color w:val="auto"/>
        </w:rPr>
      </w:pPr>
    </w:p>
    <w:p>
      <w:pPr>
        <w:ind w:left="20" w:right="520"/>
        <w:spacing w:after="0" w:line="288" w:lineRule="auto"/>
        <w:rPr>
          <w:sz w:val="20"/>
          <w:szCs w:val="20"/>
          <w:color w:val="auto"/>
        </w:rPr>
      </w:pPr>
      <w:r>
        <w:rPr>
          <w:rFonts w:ascii="Arial" w:cs="Arial" w:eastAsia="Arial" w:hAnsi="Arial"/>
          <w:sz w:val="14"/>
          <w:szCs w:val="14"/>
          <w:color w:val="auto"/>
        </w:rPr>
        <w:t>License Agreement (reprogramming) by and between the Company (as assignee) and FUJIFILM Cellular Dynamics Inc., a Wisconsin corporation, effective September 18, 2018 (</w:t>
      </w:r>
      <w:r>
        <w:rPr>
          <w:rFonts w:ascii="Arial" w:cs="Arial" w:eastAsia="Arial" w:hAnsi="Arial"/>
          <w:sz w:val="14"/>
          <w:szCs w:val="14"/>
          <w:i w:val="1"/>
          <w:iCs w:val="1"/>
          <w:color w:val="auto"/>
        </w:rPr>
        <w:t>non-exclusive</w:t>
      </w:r>
      <w:r>
        <w:rPr>
          <w:rFonts w:ascii="Arial" w:cs="Arial" w:eastAsia="Arial" w:hAnsi="Arial"/>
          <w:sz w:val="14"/>
          <w:szCs w:val="14"/>
          <w:color w:val="auto"/>
        </w:rPr>
        <w: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Master Collaboration Agreement by and between the Company and FUJIFILM Cellular Dynamics Inc., a Wisconsin corporation, dated as of October 21, 2019.</w:t>
      </w:r>
    </w:p>
    <w:p>
      <w:pPr>
        <w:spacing w:after="0" w:line="195" w:lineRule="exact"/>
        <w:rPr>
          <w:sz w:val="20"/>
          <w:szCs w:val="20"/>
          <w:color w:val="auto"/>
        </w:rPr>
      </w:pPr>
    </w:p>
    <w:p>
      <w:pPr>
        <w:ind w:left="20"/>
        <w:spacing w:after="0" w:line="288" w:lineRule="auto"/>
        <w:rPr>
          <w:sz w:val="20"/>
          <w:szCs w:val="20"/>
          <w:color w:val="auto"/>
        </w:rPr>
      </w:pPr>
      <w:r>
        <w:rPr>
          <w:rFonts w:ascii="Arial" w:cs="Arial" w:eastAsia="Arial" w:hAnsi="Arial"/>
          <w:sz w:val="14"/>
          <w:szCs w:val="14"/>
          <w:color w:val="auto"/>
        </w:rPr>
        <w:t>Letter Agreement regarding WARF/CDI License Agreement and CDI/Century Sublicense Agreement by and among the Company, FUJIFILM Cellular Dynamics Inc., a Wisconsin corporation and Wisconsin Alumni Research Foundation dated as of July 2, 2019.</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Sublicense Agreement by and between the Company and iCell Inc., a Japanese corporation, effective as of March 20, 2020 (</w:t>
      </w:r>
      <w:r>
        <w:rPr>
          <w:rFonts w:ascii="Arial" w:cs="Arial" w:eastAsia="Arial" w:hAnsi="Arial"/>
          <w:sz w:val="14"/>
          <w:szCs w:val="14"/>
          <w:i w:val="1"/>
          <w:iCs w:val="1"/>
          <w:color w:val="auto"/>
        </w:rPr>
        <w:t>exclusive, excluding Japan</w:t>
      </w:r>
      <w:r>
        <w:rPr>
          <w:rFonts w:ascii="Arial" w:cs="Arial" w:eastAsia="Arial" w:hAnsi="Arial"/>
          <w:sz w:val="14"/>
          <w:szCs w:val="14"/>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Master Software and Service Agreement by and between the Company, Century Therapeutics, Inc., a Delaware Corporation, and Labvantage Solutions, Inc., dated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130810</wp:posOffset>
            </wp:positionV>
            <wp:extent cx="7159625" cy="698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60"/>
          </w:cols>
          <w:pgMar w:left="440" w:top="654" w:right="399" w:bottom="1440" w:gutter="0" w:footer="0" w:header="0"/>
        </w:sectPr>
      </w:pPr>
    </w:p>
    <w:bookmarkStart w:id="731" w:name="page732"/>
    <w:bookmarkEnd w:id="731"/>
    <w:p>
      <w:pPr>
        <w:jc w:val="center"/>
        <w:ind w:right="-59"/>
        <w:spacing w:after="0"/>
        <w:rPr>
          <w:sz w:val="20"/>
          <w:szCs w:val="20"/>
          <w:color w:val="auto"/>
        </w:rPr>
      </w:pPr>
      <w:r>
        <w:rPr>
          <w:rFonts w:ascii="Arial" w:cs="Arial" w:eastAsia="Arial" w:hAnsi="Arial"/>
          <w:sz w:val="14"/>
          <w:szCs w:val="14"/>
          <w:b w:val="1"/>
          <w:bCs w:val="1"/>
          <w:color w:val="auto"/>
        </w:rPr>
        <w:t>EXHIBIT D</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BORROWER’S DEPOSIT ACCOUNTS AND INVESTMENT ACCOUNTS</w:t>
      </w:r>
    </w:p>
    <w:p>
      <w:pPr>
        <w:spacing w:after="0" w:line="200" w:lineRule="exact"/>
        <w:rPr>
          <w:sz w:val="20"/>
          <w:szCs w:val="20"/>
          <w:color w:val="auto"/>
        </w:rPr>
      </w:pP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00" w:type="dxa"/>
            <w:vAlign w:val="bottom"/>
            <w:tcBorders>
              <w:top w:val="single" w:sz="8" w:color="auto"/>
              <w:left w:val="single" w:sz="8" w:color="auto"/>
            </w:tcBorders>
          </w:tcPr>
          <w:p>
            <w:pPr>
              <w:spacing w:after="0"/>
              <w:rPr>
                <w:sz w:val="13"/>
                <w:szCs w:val="13"/>
                <w:color w:val="auto"/>
              </w:rPr>
            </w:pPr>
          </w:p>
        </w:tc>
        <w:tc>
          <w:tcPr>
            <w:tcW w:w="68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w w:val="90"/>
              </w:rPr>
              <w:t>Bank Name</w:t>
            </w:r>
          </w:p>
        </w:tc>
        <w:tc>
          <w:tcPr>
            <w:tcW w:w="106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w w:val="90"/>
              </w:rPr>
              <w:t>Account</w:t>
            </w:r>
          </w:p>
        </w:tc>
        <w:tc>
          <w:tcPr>
            <w:tcW w:w="112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w w:val="90"/>
              </w:rPr>
              <w:t>Branch Address</w:t>
            </w:r>
          </w:p>
        </w:tc>
        <w:tc>
          <w:tcPr>
            <w:tcW w:w="160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w w:val="95"/>
              </w:rPr>
              <w:t>Borrower/</w:t>
            </w:r>
          </w:p>
        </w:tc>
        <w:tc>
          <w:tcPr>
            <w:tcW w:w="1140" w:type="dxa"/>
            <w:vAlign w:val="bottom"/>
            <w:tcBorders>
              <w:top w:val="single" w:sz="8" w:color="auto"/>
              <w:right w:val="single" w:sz="8" w:color="auto"/>
            </w:tcBorders>
            <w:gridSpan w:val="2"/>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740" w:type="dxa"/>
            <w:vAlign w:val="bottom"/>
            <w:tcBorders>
              <w:top w:val="single" w:sz="8" w:color="auto"/>
              <w:right w:val="single" w:sz="8" w:color="auto"/>
            </w:tcBorders>
            <w:gridSpan w:val="3"/>
          </w:tcPr>
          <w:p>
            <w:pPr>
              <w:spacing w:after="0" w:line="151" w:lineRule="exact"/>
              <w:rPr>
                <w:sz w:val="20"/>
                <w:szCs w:val="20"/>
                <w:color w:val="auto"/>
              </w:rPr>
            </w:pPr>
            <w:r>
              <w:rPr>
                <w:rFonts w:ascii="Arial" w:cs="Arial" w:eastAsia="Arial" w:hAnsi="Arial"/>
                <w:sz w:val="14"/>
                <w:szCs w:val="14"/>
                <w:color w:val="auto"/>
              </w:rPr>
              <w:t>Purpose of</w:t>
            </w:r>
          </w:p>
        </w:tc>
        <w:tc>
          <w:tcPr>
            <w:tcW w:w="60" w:type="dxa"/>
            <w:vAlign w:val="bottom"/>
            <w:tcBorders>
              <w:top w:val="single" w:sz="8" w:color="auto"/>
            </w:tcBorders>
          </w:tcPr>
          <w:p>
            <w:pPr>
              <w:spacing w:after="0"/>
              <w:rPr>
                <w:sz w:val="13"/>
                <w:szCs w:val="13"/>
                <w:color w:val="auto"/>
              </w:rPr>
            </w:pPr>
          </w:p>
        </w:tc>
        <w:tc>
          <w:tcPr>
            <w:tcW w:w="1520" w:type="dxa"/>
            <w:vAlign w:val="bottom"/>
            <w:tcBorders>
              <w:top w:val="single" w:sz="8" w:color="auto"/>
              <w:right w:val="single" w:sz="8" w:color="auto"/>
            </w:tcBorders>
            <w:gridSpan w:val="3"/>
          </w:tcPr>
          <w:p>
            <w:pPr>
              <w:spacing w:after="0" w:line="151" w:lineRule="exact"/>
              <w:rPr>
                <w:sz w:val="20"/>
                <w:szCs w:val="20"/>
                <w:color w:val="auto"/>
              </w:rPr>
            </w:pPr>
            <w:r>
              <w:rPr>
                <w:rFonts w:ascii="Arial" w:cs="Arial" w:eastAsia="Arial" w:hAnsi="Arial"/>
                <w:sz w:val="14"/>
                <w:szCs w:val="14"/>
                <w:color w:val="auto"/>
              </w:rPr>
              <w:t>Avg.</w:t>
            </w: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0" w:type="dxa"/>
            <w:vAlign w:val="bottom"/>
            <w:tcBorders>
              <w:lef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line="153" w:lineRule="exact"/>
              <w:rPr>
                <w:sz w:val="20"/>
                <w:szCs w:val="20"/>
                <w:color w:val="auto"/>
              </w:rPr>
            </w:pPr>
            <w:r>
              <w:rPr>
                <w:rFonts w:ascii="Arial" w:cs="Arial" w:eastAsia="Arial" w:hAnsi="Arial"/>
                <w:sz w:val="14"/>
                <w:szCs w:val="14"/>
                <w:color w:val="auto"/>
                <w:w w:val="92"/>
              </w:rPr>
              <w:t>Number</w:t>
            </w:r>
          </w:p>
        </w:tc>
        <w:tc>
          <w:tcPr>
            <w:tcW w:w="1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Borders>
              <w:right w:val="single" w:sz="8" w:color="auto"/>
            </w:tcBorders>
            <w:gridSpan w:val="3"/>
          </w:tcPr>
          <w:p>
            <w:pPr>
              <w:spacing w:after="0" w:line="153" w:lineRule="exact"/>
              <w:rPr>
                <w:sz w:val="20"/>
                <w:szCs w:val="20"/>
                <w:color w:val="auto"/>
              </w:rPr>
            </w:pPr>
            <w:r>
              <w:rPr>
                <w:rFonts w:ascii="Arial" w:cs="Arial" w:eastAsia="Arial" w:hAnsi="Arial"/>
                <w:sz w:val="14"/>
                <w:szCs w:val="14"/>
                <w:color w:val="auto"/>
              </w:rPr>
              <w:t>Subsidiary</w:t>
            </w:r>
          </w:p>
        </w:tc>
        <w:tc>
          <w:tcPr>
            <w:tcW w:w="1800" w:type="dxa"/>
            <w:vAlign w:val="bottom"/>
            <w:tcBorders>
              <w:right w:val="single" w:sz="8" w:color="auto"/>
            </w:tcBorders>
            <w:gridSpan w:val="4"/>
          </w:tcPr>
          <w:p>
            <w:pPr>
              <w:ind w:left="60"/>
              <w:spacing w:after="0" w:line="153" w:lineRule="exact"/>
              <w:rPr>
                <w:sz w:val="20"/>
                <w:szCs w:val="20"/>
                <w:color w:val="auto"/>
              </w:rPr>
            </w:pPr>
            <w:r>
              <w:rPr>
                <w:rFonts w:ascii="Arial" w:cs="Arial" w:eastAsia="Arial" w:hAnsi="Arial"/>
                <w:sz w:val="14"/>
                <w:szCs w:val="14"/>
                <w:color w:val="auto"/>
              </w:rPr>
              <w:t>Account</w:t>
            </w:r>
          </w:p>
        </w:tc>
        <w:tc>
          <w:tcPr>
            <w:tcW w:w="60" w:type="dxa"/>
            <w:vAlign w:val="bottom"/>
          </w:tcPr>
          <w:p>
            <w:pPr>
              <w:spacing w:after="0"/>
              <w:rPr>
                <w:sz w:val="13"/>
                <w:szCs w:val="13"/>
                <w:color w:val="auto"/>
              </w:rPr>
            </w:pPr>
          </w:p>
        </w:tc>
        <w:tc>
          <w:tcPr>
            <w:tcW w:w="1520" w:type="dxa"/>
            <w:vAlign w:val="bottom"/>
            <w:tcBorders>
              <w:right w:val="single" w:sz="8" w:color="auto"/>
            </w:tcBorders>
            <w:gridSpan w:val="3"/>
          </w:tcPr>
          <w:p>
            <w:pPr>
              <w:spacing w:after="0" w:line="153" w:lineRule="exact"/>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3003 Tasman Drive Santa Clara, CA</w:t>
            </w:r>
          </w:p>
        </w:tc>
        <w:tc>
          <w:tcPr>
            <w:tcW w:w="60" w:type="dxa"/>
            <w:vAlign w:val="bottom"/>
          </w:tcPr>
          <w:p>
            <w:pPr>
              <w:spacing w:after="0"/>
              <w:rPr>
                <w:sz w:val="24"/>
                <w:szCs w:val="24"/>
                <w:color w:val="auto"/>
              </w:rPr>
            </w:pPr>
          </w:p>
        </w:tc>
        <w:tc>
          <w:tcPr>
            <w:tcW w:w="17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rPr>
              <w:t>Borrower</w:t>
            </w:r>
          </w:p>
        </w:tc>
        <w:tc>
          <w:tcPr>
            <w:tcW w:w="1800" w:type="dxa"/>
            <w:vAlign w:val="bottom"/>
            <w:tcBorders>
              <w:right w:val="single" w:sz="8" w:color="auto"/>
            </w:tcBorders>
            <w:gridSpan w:val="4"/>
          </w:tcPr>
          <w:p>
            <w:pPr>
              <w:ind w:left="60"/>
              <w:spacing w:after="0"/>
              <w:rPr>
                <w:sz w:val="20"/>
                <w:szCs w:val="20"/>
                <w:color w:val="auto"/>
              </w:rPr>
            </w:pPr>
            <w:r>
              <w:rPr>
                <w:rFonts w:ascii="Arial" w:cs="Arial" w:eastAsia="Arial" w:hAnsi="Arial"/>
                <w:sz w:val="14"/>
                <w:szCs w:val="14"/>
                <w:color w:val="auto"/>
              </w:rPr>
              <w:t>Primary operating account</w:t>
            </w:r>
          </w:p>
        </w:tc>
        <w:tc>
          <w:tcPr>
            <w:tcW w:w="158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86"/>
        </w:trPr>
        <w:tc>
          <w:tcPr>
            <w:tcW w:w="100" w:type="dxa"/>
            <w:vAlign w:val="bottom"/>
            <w:tcBorders>
              <w:left w:val="single" w:sz="8" w:color="auto"/>
            </w:tcBorders>
          </w:tcPr>
          <w:p>
            <w:pPr>
              <w:spacing w:after="0"/>
              <w:rPr>
                <w:sz w:val="7"/>
                <w:szCs w:val="7"/>
                <w:color w:val="auto"/>
              </w:rPr>
            </w:pPr>
          </w:p>
        </w:tc>
        <w:tc>
          <w:tcPr>
            <w:tcW w:w="1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Silicon Valley Bank</w:t>
            </w: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tcBorders>
              <w:right w:val="single" w:sz="8" w:color="auto"/>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Borders>
              <w:right w:val="single" w:sz="8" w:color="auto"/>
            </w:tcBorders>
            <w:gridSpan w:val="3"/>
            <w:vMerge w:val="continue"/>
          </w:tcPr>
          <w:p>
            <w:pPr>
              <w:spacing w:after="0"/>
              <w:rPr>
                <w:sz w:val="7"/>
                <w:szCs w:val="7"/>
                <w:color w:val="auto"/>
              </w:rPr>
            </w:pPr>
          </w:p>
        </w:tc>
        <w:tc>
          <w:tcPr>
            <w:tcW w:w="180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4"/>
                <w:szCs w:val="14"/>
                <w:color w:val="auto"/>
              </w:rPr>
              <w:t>for all business operations</w:t>
            </w:r>
          </w:p>
        </w:tc>
        <w:tc>
          <w:tcPr>
            <w:tcW w:w="158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continue"/>
          </w:tcPr>
          <w:p>
            <w:pPr>
              <w:spacing w:after="0"/>
              <w:rPr>
                <w:sz w:val="8"/>
                <w:szCs w:val="8"/>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8"/>
                <w:szCs w:val="8"/>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color w:val="auto"/>
              </w:rPr>
              <w:t>95054</w:t>
            </w:r>
          </w:p>
        </w:tc>
        <w:tc>
          <w:tcPr>
            <w:tcW w:w="16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6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0" w:type="dxa"/>
            <w:vAlign w:val="bottom"/>
            <w:tcBorders>
              <w:left w:val="single" w:sz="8" w:color="auto"/>
            </w:tcBorders>
          </w:tcPr>
          <w:p>
            <w:pPr>
              <w:spacing w:after="0"/>
              <w:rPr>
                <w:sz w:val="13"/>
                <w:szCs w:val="13"/>
                <w:color w:val="auto"/>
              </w:rPr>
            </w:pPr>
          </w:p>
        </w:tc>
        <w:tc>
          <w:tcPr>
            <w:tcW w:w="1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Silicon Valley Bank</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4"/>
                <w:szCs w:val="14"/>
                <w:color w:val="auto"/>
              </w:rPr>
              <w:t>3003 Tasman Drive Santa Clara, CA</w:t>
            </w:r>
          </w:p>
        </w:tc>
        <w:tc>
          <w:tcPr>
            <w:tcW w:w="60" w:type="dxa"/>
            <w:vAlign w:val="bottom"/>
          </w:tcPr>
          <w:p>
            <w:pPr>
              <w:spacing w:after="0"/>
              <w:rPr>
                <w:sz w:val="13"/>
                <w:szCs w:val="13"/>
                <w:color w:val="auto"/>
              </w:rPr>
            </w:pPr>
          </w:p>
        </w:tc>
        <w:tc>
          <w:tcPr>
            <w:tcW w:w="17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rPr>
              <w:t>Borrower</w:t>
            </w:r>
          </w:p>
        </w:tc>
        <w:tc>
          <w:tcPr>
            <w:tcW w:w="1800" w:type="dxa"/>
            <w:vAlign w:val="bottom"/>
            <w:tcBorders>
              <w:right w:val="single" w:sz="8" w:color="auto"/>
            </w:tcBorders>
            <w:gridSpan w:val="4"/>
          </w:tcPr>
          <w:p>
            <w:pPr>
              <w:ind w:left="60"/>
              <w:spacing w:after="0" w:line="153" w:lineRule="exact"/>
              <w:rPr>
                <w:sz w:val="20"/>
                <w:szCs w:val="20"/>
                <w:color w:val="auto"/>
              </w:rPr>
            </w:pPr>
            <w:r>
              <w:rPr>
                <w:rFonts w:ascii="Arial" w:cs="Arial" w:eastAsia="Arial" w:hAnsi="Arial"/>
                <w:sz w:val="14"/>
                <w:szCs w:val="14"/>
                <w:color w:val="auto"/>
              </w:rPr>
              <w:t>Asset Management</w:t>
            </w:r>
          </w:p>
        </w:tc>
        <w:tc>
          <w:tcPr>
            <w:tcW w:w="158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4"/>
                <w:szCs w:val="14"/>
                <w:color w:val="auto"/>
              </w:rPr>
              <w:t>$42,000,000</w:t>
            </w:r>
          </w:p>
        </w:tc>
        <w:tc>
          <w:tcPr>
            <w:tcW w:w="0" w:type="dxa"/>
            <w:vAlign w:val="bottom"/>
          </w:tcPr>
          <w:p>
            <w:pPr>
              <w:spacing w:after="0"/>
              <w:rPr>
                <w:sz w:val="1"/>
                <w:szCs w:val="1"/>
                <w:color w:val="auto"/>
              </w:rPr>
            </w:pPr>
          </w:p>
        </w:tc>
      </w:tr>
      <w:tr>
        <w:trPr>
          <w:trHeight w:val="96"/>
        </w:trPr>
        <w:tc>
          <w:tcPr>
            <w:tcW w:w="10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continue"/>
          </w:tcPr>
          <w:p>
            <w:pPr>
              <w:spacing w:after="0"/>
              <w:rPr>
                <w:sz w:val="8"/>
                <w:szCs w:val="8"/>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8"/>
                <w:szCs w:val="8"/>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color w:val="auto"/>
              </w:rPr>
              <w:t>95054</w:t>
            </w:r>
          </w:p>
        </w:tc>
        <w:tc>
          <w:tcPr>
            <w:tcW w:w="16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tcBorders>
              <w:right w:val="single" w:sz="8" w:color="auto"/>
            </w:tcBorders>
            <w:gridSpan w:val="3"/>
            <w:vMerge w:val="continue"/>
          </w:tcPr>
          <w:p>
            <w:pPr>
              <w:spacing w:after="0"/>
              <w:rPr>
                <w:sz w:val="8"/>
                <w:szCs w:val="8"/>
                <w:color w:val="auto"/>
              </w:rPr>
            </w:pPr>
          </w:p>
        </w:tc>
        <w:tc>
          <w:tcPr>
            <w:tcW w:w="180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4"/>
                <w:szCs w:val="14"/>
                <w:color w:val="auto"/>
              </w:rPr>
              <w:t>Account</w:t>
            </w:r>
          </w:p>
        </w:tc>
        <w:tc>
          <w:tcPr>
            <w:tcW w:w="158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00" w:type="dxa"/>
            <w:vAlign w:val="bottom"/>
            <w:tcBorders>
              <w:left w:val="single" w:sz="8" w:color="auto"/>
              <w:bottom w:val="single" w:sz="8" w:color="auto"/>
            </w:tcBorders>
          </w:tcPr>
          <w:p>
            <w:pPr>
              <w:spacing w:after="0"/>
              <w:rPr>
                <w:sz w:val="8"/>
                <w:szCs w:val="8"/>
                <w:color w:val="auto"/>
              </w:rPr>
            </w:pPr>
          </w:p>
        </w:tc>
        <w:tc>
          <w:tcPr>
            <w:tcW w:w="1740" w:type="dxa"/>
            <w:vAlign w:val="bottom"/>
            <w:tcBorders>
              <w:bottom w:val="single" w:sz="8" w:color="auto"/>
              <w:right w:val="single" w:sz="8" w:color="auto"/>
            </w:tcBorders>
            <w:gridSpan w:val="2"/>
            <w:vMerge w:val="continue"/>
          </w:tcPr>
          <w:p>
            <w:pPr>
              <w:spacing w:after="0"/>
              <w:rPr>
                <w:sz w:val="8"/>
                <w:szCs w:val="8"/>
                <w:color w:val="auto"/>
              </w:rPr>
            </w:pPr>
          </w:p>
        </w:tc>
        <w:tc>
          <w:tcPr>
            <w:tcW w:w="560" w:type="dxa"/>
            <w:vAlign w:val="bottom"/>
            <w:tcBorders>
              <w:bottom w:val="single" w:sz="8" w:color="auto"/>
            </w:tcBorders>
            <w:gridSpan w:val="2"/>
            <w:vMerge w:val="continue"/>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tcBorders>
            <w:gridSpan w:val="2"/>
            <w:vMerge w:val="continue"/>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gridSpan w:val="4"/>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0" w:type="dxa"/>
            <w:vAlign w:val="bottom"/>
            <w:tcBorders>
              <w:lef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4"/>
          </w:tcPr>
          <w:p>
            <w:pPr>
              <w:ind w:left="60"/>
              <w:spacing w:after="0" w:line="153" w:lineRule="exact"/>
              <w:rPr>
                <w:sz w:val="20"/>
                <w:szCs w:val="20"/>
                <w:color w:val="auto"/>
              </w:rPr>
            </w:pPr>
            <w:r>
              <w:rPr>
                <w:rFonts w:ascii="Arial" w:cs="Arial" w:eastAsia="Arial" w:hAnsi="Arial"/>
                <w:sz w:val="14"/>
                <w:szCs w:val="14"/>
                <w:color w:val="auto"/>
              </w:rPr>
              <w:t>Invest Excess cash,</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4"/>
                <w:szCs w:val="14"/>
                <w:color w:val="auto"/>
              </w:rPr>
              <w:t>JP Morgan</w:t>
            </w: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rPr>
              <w:t>Borrower</w:t>
            </w:r>
          </w:p>
        </w:tc>
        <w:tc>
          <w:tcPr>
            <w:tcW w:w="1800" w:type="dxa"/>
            <w:vAlign w:val="bottom"/>
            <w:tcBorders>
              <w:right w:val="single" w:sz="8" w:color="auto"/>
            </w:tcBorders>
            <w:gridSpan w:val="4"/>
          </w:tcPr>
          <w:p>
            <w:pPr>
              <w:ind w:left="60"/>
              <w:spacing w:after="0"/>
              <w:rPr>
                <w:sz w:val="20"/>
                <w:szCs w:val="20"/>
                <w:color w:val="auto"/>
              </w:rPr>
            </w:pPr>
            <w:r>
              <w:rPr>
                <w:rFonts w:ascii="Arial" w:cs="Arial" w:eastAsia="Arial" w:hAnsi="Arial"/>
                <w:sz w:val="14"/>
                <w:szCs w:val="14"/>
                <w:color w:val="auto"/>
              </w:rPr>
              <w:t>transferred to SVB</w:t>
            </w:r>
          </w:p>
        </w:tc>
        <w:tc>
          <w:tcPr>
            <w:tcW w:w="158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4"/>
                <w:szCs w:val="14"/>
                <w:color w:val="auto"/>
              </w:rPr>
              <w:t>$7,000,000</w:t>
            </w: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Borders>
              <w:right w:val="single" w:sz="8" w:color="auto"/>
            </w:tcBorders>
            <w:gridSpan w:val="3"/>
            <w:vMerge w:val="continue"/>
          </w:tcPr>
          <w:p>
            <w:pPr>
              <w:spacing w:after="0"/>
              <w:rPr>
                <w:sz w:val="15"/>
                <w:szCs w:val="15"/>
                <w:color w:val="auto"/>
              </w:rPr>
            </w:pPr>
          </w:p>
        </w:tc>
        <w:tc>
          <w:tcPr>
            <w:tcW w:w="1800" w:type="dxa"/>
            <w:vAlign w:val="bottom"/>
            <w:tcBorders>
              <w:right w:val="single" w:sz="8" w:color="auto"/>
            </w:tcBorders>
            <w:gridSpan w:val="4"/>
          </w:tcPr>
          <w:p>
            <w:pPr>
              <w:ind w:left="60"/>
              <w:spacing w:after="0"/>
              <w:rPr>
                <w:sz w:val="20"/>
                <w:szCs w:val="20"/>
                <w:color w:val="auto"/>
              </w:rPr>
            </w:pPr>
            <w:r>
              <w:rPr>
                <w:rFonts w:ascii="Arial" w:cs="Arial" w:eastAsia="Arial" w:hAnsi="Arial"/>
                <w:sz w:val="14"/>
                <w:szCs w:val="14"/>
                <w:color w:val="auto"/>
              </w:rPr>
              <w:t>Operating account as</w:t>
            </w:r>
          </w:p>
        </w:tc>
        <w:tc>
          <w:tcPr>
            <w:tcW w:w="158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left w:val="single" w:sz="8" w:color="auto"/>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gridSpan w:val="4"/>
          </w:tcPr>
          <w:p>
            <w:pPr>
              <w:ind w:left="60"/>
              <w:spacing w:after="0"/>
              <w:rPr>
                <w:sz w:val="20"/>
                <w:szCs w:val="20"/>
                <w:color w:val="auto"/>
              </w:rPr>
            </w:pPr>
            <w:r>
              <w:rPr>
                <w:rFonts w:ascii="Arial" w:cs="Arial" w:eastAsia="Arial" w:hAnsi="Arial"/>
                <w:sz w:val="14"/>
                <w:szCs w:val="14"/>
                <w:color w:val="auto"/>
              </w:rPr>
              <w:t>needed</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654" w:right="319" w:bottom="1440" w:gutter="0" w:footer="0" w:header="0"/>
        </w:sectPr>
      </w:pPr>
    </w:p>
    <w:bookmarkStart w:id="732" w:name="page733"/>
    <w:bookmarkEnd w:id="732"/>
    <w:p>
      <w:pPr>
        <w:jc w:val="center"/>
        <w:ind w:right="-19"/>
        <w:spacing w:after="0"/>
        <w:rPr>
          <w:sz w:val="20"/>
          <w:szCs w:val="20"/>
          <w:color w:val="auto"/>
        </w:rPr>
      </w:pPr>
      <w:r>
        <w:rPr>
          <w:rFonts w:ascii="Arial" w:cs="Arial" w:eastAsia="Arial" w:hAnsi="Arial"/>
          <w:sz w:val="14"/>
          <w:szCs w:val="14"/>
          <w:b w:val="1"/>
          <w:bCs w:val="1"/>
          <w:color w:val="auto"/>
        </w:rPr>
        <w:t>EXHIBIT 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COMPLIANCE CERTIFICATE</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Hercules Capital, Inc. (as “Agent”)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400 Hamilton Avenue, Suite 310</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Palo Alto, CA 94301</w:t>
      </w:r>
    </w:p>
    <w:p>
      <w:pPr>
        <w:spacing w:after="0" w:line="175" w:lineRule="exact"/>
        <w:rPr>
          <w:sz w:val="20"/>
          <w:szCs w:val="20"/>
          <w:color w:val="auto"/>
        </w:rPr>
      </w:pPr>
    </w:p>
    <w:p>
      <w:pPr>
        <w:ind w:left="140" w:right="100" w:firstLine="518"/>
        <w:spacing w:after="0" w:line="267" w:lineRule="auto"/>
        <w:rPr>
          <w:sz w:val="20"/>
          <w:szCs w:val="20"/>
          <w:color w:val="auto"/>
        </w:rPr>
      </w:pPr>
      <w:r>
        <w:rPr>
          <w:rFonts w:ascii="Arial" w:cs="Arial" w:eastAsia="Arial" w:hAnsi="Arial"/>
          <w:sz w:val="14"/>
          <w:szCs w:val="14"/>
          <w:color w:val="auto"/>
        </w:rPr>
        <w:t>Reference is made to that certain Loan and Security Agreement dated September 14, 2020 and the Loan Documents (as defined therein) entered into in connection with such Loan and Security Agreement all as may be amended from time to time (hereinafter referred to collectively as the “Loan Agreement”) by and among Hercules Capital, Inc. (the “Agent”), the several banks and other financial institutions or entities from time to time party thereto (collectively, the “Lender”) and CENTURY THERAPEUTICS, LLC (the “Company”) as Borrower. All capitalized terms not defined herein shall have the same meaning as defined in the Loan Agreement.</w:t>
      </w:r>
    </w:p>
    <w:p>
      <w:pPr>
        <w:spacing w:after="0" w:line="147" w:lineRule="exact"/>
        <w:rPr>
          <w:sz w:val="20"/>
          <w:szCs w:val="20"/>
          <w:color w:val="auto"/>
        </w:rPr>
      </w:pPr>
    </w:p>
    <w:p>
      <w:pPr>
        <w:ind w:left="140" w:right="280" w:firstLine="518"/>
        <w:spacing w:after="0" w:line="284" w:lineRule="auto"/>
        <w:rPr>
          <w:sz w:val="20"/>
          <w:szCs w:val="20"/>
          <w:color w:val="auto"/>
        </w:rPr>
      </w:pPr>
      <w:r>
        <w:rPr>
          <w:rFonts w:ascii="Arial" w:cs="Arial" w:eastAsia="Arial" w:hAnsi="Arial"/>
          <w:sz w:val="13"/>
          <w:szCs w:val="13"/>
          <w:color w:val="auto"/>
        </w:rPr>
        <w:t>The undersigned is an Officer of the Company, knowledgeable of all Company financial matters, and is authorized to provide certification of information regarding the Company; hereby certifies, in such capacity (and not in his or her personal capacity), that in accordance with the terms and conditions of the Loan Agreement, to the knowledge of the undersigned, the</w:t>
      </w:r>
    </w:p>
    <w:p>
      <w:pPr>
        <w:spacing w:after="0" w:line="1" w:lineRule="exact"/>
        <w:rPr>
          <w:sz w:val="20"/>
          <w:szCs w:val="20"/>
          <w:color w:val="auto"/>
        </w:rPr>
      </w:pPr>
    </w:p>
    <w:p>
      <w:pPr>
        <w:ind w:left="140" w:right="20"/>
        <w:spacing w:after="0" w:line="284" w:lineRule="auto"/>
        <w:rPr>
          <w:sz w:val="20"/>
          <w:szCs w:val="20"/>
          <w:color w:val="auto"/>
        </w:rPr>
      </w:pPr>
      <w:r>
        <w:rPr>
          <w:rFonts w:ascii="Arial" w:cs="Arial" w:eastAsia="Arial" w:hAnsi="Arial"/>
          <w:sz w:val="13"/>
          <w:szCs w:val="13"/>
          <w:color w:val="auto"/>
        </w:rPr>
        <w:t>Company is in compliance for the period ending of all covenants, conditions and terms and hereby reaffirms that, except as noted below,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provided that the exceptions noted below shall not apply to an earlier date and shall not cure any default arising from any false or incorrect misrepresentations and warranties previously made. Attached are the required documents supporting the above certification. The undersigned further certifies that these are prepared in accordance with GAAP (except for the absence of footnotes with respect to unaudited financial statement and subject to normal year-end adjustments) and are consistent from one period to the next except as explained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-583565</wp:posOffset>
            </wp:positionV>
            <wp:extent cx="387985" cy="698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387985" cy="6985"/>
                    </a:xfrm>
                    <a:prstGeom prst="rect">
                      <a:avLst/>
                    </a:prstGeom>
                    <a:noFill/>
                  </pic:spPr>
                </pic:pic>
              </a:graphicData>
            </a:graphic>
          </wp:anchor>
        </w:drawing>
      </w:r>
    </w:p>
    <w:p>
      <w:pPr>
        <w:spacing w:after="0" w:line="118"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CHECK IF ATTACHED</w:t>
      </w:r>
    </w:p>
    <w:p>
      <w:pPr>
        <w:sectPr>
          <w:pgSz w:w="11900" w:h="16838" w:orient="portrait"/>
          <w:cols w:equalWidth="0" w:num="1">
            <w:col w:w="11280"/>
          </w:cols>
          <w:pgMar w:left="300" w:top="589" w:right="319" w:bottom="1440" w:gutter="0" w:footer="0" w:header="0"/>
        </w:sectPr>
      </w:pP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REPORTING REQUIREMENT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REQUIRED</w:t>
      </w:r>
    </w:p>
    <w:p>
      <w:pPr>
        <w:spacing w:after="0" w:line="89" w:lineRule="exact"/>
        <w:rPr>
          <w:sz w:val="20"/>
          <w:szCs w:val="20"/>
          <w:color w:val="auto"/>
        </w:rPr>
      </w:pPr>
    </w:p>
    <w:p>
      <w:pPr>
        <w:sectPr>
          <w:pgSz w:w="11900" w:h="16838" w:orient="portrait"/>
          <w:cols w:equalWidth="0" w:num="2">
            <w:col w:w="4920" w:space="720"/>
            <w:col w:w="5640"/>
          </w:cols>
          <w:pgMar w:left="300" w:top="589" w:right="319" w:bottom="1440" w:gutter="0" w:footer="0" w:header="0"/>
          <w:type w:val="continuous"/>
        </w:sectPr>
      </w:pPr>
    </w:p>
    <w:p>
      <w:pPr>
        <w:ind w:left="160"/>
        <w:spacing w:after="0"/>
        <w:rPr>
          <w:sz w:val="20"/>
          <w:szCs w:val="20"/>
          <w:color w:val="auto"/>
        </w:rPr>
      </w:pPr>
      <w:r>
        <w:rPr>
          <w:rFonts w:ascii="Arial" w:cs="Arial" w:eastAsia="Arial" w:hAnsi="Arial"/>
          <w:sz w:val="13"/>
          <w:szCs w:val="13"/>
          <w:color w:val="auto"/>
        </w:rPr>
        <w:t>Interim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Monthly within 30 days</w:t>
      </w:r>
    </w:p>
    <w:p>
      <w:pPr>
        <w:spacing w:after="0" w:line="99" w:lineRule="exact"/>
        <w:rPr>
          <w:sz w:val="20"/>
          <w:szCs w:val="20"/>
          <w:color w:val="auto"/>
        </w:rPr>
      </w:pPr>
    </w:p>
    <w:p>
      <w:pPr>
        <w:sectPr>
          <w:pgSz w:w="11900" w:h="16838" w:orient="portrait"/>
          <w:cols w:equalWidth="0" w:num="2">
            <w:col w:w="4920" w:space="720"/>
            <w:col w:w="5640"/>
          </w:cols>
          <w:pgMar w:left="300" w:top="589" w:right="319" w:bottom="1440" w:gutter="0" w:footer="0" w:header="0"/>
          <w:type w:val="continuous"/>
        </w:sectPr>
      </w:pPr>
    </w:p>
    <w:p>
      <w:pPr>
        <w:ind w:left="160"/>
        <w:spacing w:after="0"/>
        <w:rPr>
          <w:sz w:val="20"/>
          <w:szCs w:val="20"/>
          <w:color w:val="auto"/>
        </w:rPr>
      </w:pPr>
      <w:r>
        <w:rPr>
          <w:rFonts w:ascii="Arial" w:cs="Arial" w:eastAsia="Arial" w:hAnsi="Arial"/>
          <w:sz w:val="13"/>
          <w:szCs w:val="13"/>
          <w:color w:val="auto"/>
        </w:rPr>
        <w:t>Interim Financial Statements</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Arial" w:cs="Arial" w:eastAsia="Arial" w:hAnsi="Arial"/>
          <w:sz w:val="13"/>
          <w:szCs w:val="13"/>
          <w:color w:val="auto"/>
        </w:rPr>
        <w:t>Quarterly within 45 days</w:t>
      </w:r>
    </w:p>
    <w:p>
      <w:pPr>
        <w:spacing w:after="0" w:line="99" w:lineRule="exact"/>
        <w:rPr>
          <w:sz w:val="20"/>
          <w:szCs w:val="20"/>
          <w:color w:val="auto"/>
        </w:rPr>
      </w:pPr>
    </w:p>
    <w:p>
      <w:pPr>
        <w:sectPr>
          <w:pgSz w:w="11900" w:h="16838" w:orient="portrait"/>
          <w:cols w:equalWidth="0" w:num="2">
            <w:col w:w="4920" w:space="720"/>
            <w:col w:w="5640"/>
          </w:cols>
          <w:pgMar w:left="300" w:top="589" w:right="319" w:bottom="1440" w:gutter="0" w:footer="0" w:header="0"/>
          <w:type w:val="continuous"/>
        </w:sectPr>
      </w:pPr>
    </w:p>
    <w:p>
      <w:pPr>
        <w:ind w:left="160"/>
        <w:spacing w:after="0"/>
        <w:rPr>
          <w:sz w:val="20"/>
          <w:szCs w:val="20"/>
          <w:color w:val="auto"/>
        </w:rPr>
      </w:pPr>
      <w:r>
        <w:rPr>
          <w:rFonts w:ascii="Arial" w:cs="Arial" w:eastAsia="Arial" w:hAnsi="Arial"/>
          <w:sz w:val="13"/>
          <w:szCs w:val="13"/>
          <w:color w:val="auto"/>
        </w:rPr>
        <w:t>Audited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FYE within 180 days</w:t>
      </w:r>
    </w:p>
    <w:p>
      <w:pPr>
        <w:spacing w:after="0" w:line="200" w:lineRule="exact"/>
        <w:rPr>
          <w:sz w:val="20"/>
          <w:szCs w:val="20"/>
          <w:color w:val="auto"/>
        </w:rPr>
      </w:pPr>
    </w:p>
    <w:p>
      <w:pPr>
        <w:sectPr>
          <w:pgSz w:w="11900" w:h="16838" w:orient="portrait"/>
          <w:cols w:equalWidth="0" w:num="2">
            <w:col w:w="4920" w:space="720"/>
            <w:col w:w="5640"/>
          </w:cols>
          <w:pgMar w:left="300" w:top="589" w:right="319" w:bottom="1440" w:gutter="0" w:footer="0" w:header="0"/>
          <w:type w:val="continuous"/>
        </w:sect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ACCOUNTS OF BORROWER AND ITS SUBSIDIARIES AND AFFILIATES</w:t>
      </w:r>
    </w:p>
    <w:p>
      <w:pPr>
        <w:spacing w:after="0" w:line="184" w:lineRule="exact"/>
        <w:rPr>
          <w:sz w:val="20"/>
          <w:szCs w:val="20"/>
          <w:color w:val="auto"/>
        </w:rPr>
      </w:pPr>
    </w:p>
    <w:p>
      <w:pPr>
        <w:ind w:left="160" w:right="460"/>
        <w:spacing w:after="0" w:line="288" w:lineRule="auto"/>
        <w:rPr>
          <w:sz w:val="20"/>
          <w:szCs w:val="20"/>
          <w:color w:val="auto"/>
        </w:rPr>
      </w:pPr>
      <w:r>
        <w:rPr>
          <w:rFonts w:ascii="Arial" w:cs="Arial" w:eastAsia="Arial" w:hAnsi="Arial"/>
          <w:sz w:val="14"/>
          <w:szCs w:val="14"/>
          <w:color w:val="auto"/>
        </w:rPr>
        <w:t>The undersigned hereby also confirms the below disclosed accounts represent all depository accounts and securities accounts presently open in the name of each Borrower or Borrower’s Subsidiary/Affiliate, as applicable.</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Each new account that has been opened since delivery of the previous Compliance Certificate is designated below with a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4920" w:type="dxa"/>
            <w:vAlign w:val="bottom"/>
            <w:tcBorders>
              <w:top w:val="single" w:sz="8" w:color="auto"/>
              <w:left w:val="single" w:sz="8" w:color="auto"/>
            </w:tcBorders>
          </w:tcPr>
          <w:p>
            <w:pPr>
              <w:ind w:left="3620"/>
              <w:spacing w:after="0"/>
              <w:rPr>
                <w:sz w:val="20"/>
                <w:szCs w:val="20"/>
                <w:color w:val="auto"/>
              </w:rPr>
            </w:pPr>
            <w:r>
              <w:rPr>
                <w:rFonts w:ascii="Arial" w:cs="Arial" w:eastAsia="Arial" w:hAnsi="Arial"/>
                <w:sz w:val="14"/>
                <w:szCs w:val="14"/>
                <w:b w:val="1"/>
                <w:bCs w:val="1"/>
                <w:color w:val="auto"/>
              </w:rPr>
              <w:t>Depository AC #</w:t>
            </w:r>
          </w:p>
        </w:tc>
        <w:tc>
          <w:tcPr>
            <w:tcW w:w="188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Financial Institution</w:t>
            </w:r>
          </w:p>
        </w:tc>
        <w:tc>
          <w:tcPr>
            <w:tcW w:w="1560" w:type="dxa"/>
            <w:vAlign w:val="bottom"/>
            <w:tcBorders>
              <w:top w:val="single" w:sz="8" w:color="auto"/>
            </w:tcBorders>
          </w:tcPr>
          <w:p>
            <w:pPr>
              <w:ind w:left="340"/>
              <w:spacing w:after="0"/>
              <w:rPr>
                <w:sz w:val="20"/>
                <w:szCs w:val="20"/>
                <w:color w:val="auto"/>
              </w:rPr>
            </w:pPr>
            <w:r>
              <w:rPr>
                <w:rFonts w:ascii="Arial" w:cs="Arial" w:eastAsia="Arial" w:hAnsi="Arial"/>
                <w:sz w:val="14"/>
                <w:szCs w:val="14"/>
                <w:b w:val="1"/>
                <w:bCs w:val="1"/>
                <w:color w:val="auto"/>
              </w:rPr>
              <w:t>Account Type</w:t>
            </w:r>
          </w:p>
        </w:tc>
        <w:tc>
          <w:tcPr>
            <w:tcW w:w="134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Last Month</w:t>
            </w:r>
          </w:p>
        </w:tc>
        <w:tc>
          <w:tcPr>
            <w:tcW w:w="160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w w:val="99"/>
              </w:rPr>
              <w:t>Purpose of Account</w:t>
            </w:r>
          </w:p>
        </w:tc>
      </w:tr>
      <w:tr>
        <w:trPr>
          <w:trHeight w:val="187"/>
        </w:trPr>
        <w:tc>
          <w:tcPr>
            <w:tcW w:w="4920" w:type="dxa"/>
            <w:vAlign w:val="bottom"/>
            <w:tcBorders>
              <w:left w:val="single" w:sz="8" w:color="auto"/>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2"/>
              </w:rPr>
              <w:t>Ending</w:t>
            </w:r>
          </w:p>
        </w:tc>
        <w:tc>
          <w:tcPr>
            <w:tcW w:w="1600" w:type="dxa"/>
            <w:vAlign w:val="bottom"/>
            <w:tcBorders>
              <w:bottom w:val="single" w:sz="8" w:color="auto"/>
              <w:right w:val="single" w:sz="8" w:color="auto"/>
            </w:tcBorders>
          </w:tcPr>
          <w:p>
            <w:pPr>
              <w:spacing w:after="0"/>
              <w:rPr>
                <w:sz w:val="16"/>
                <w:szCs w:val="16"/>
                <w:color w:val="auto"/>
              </w:rPr>
            </w:pPr>
          </w:p>
        </w:tc>
      </w:tr>
      <w:tr>
        <w:trPr>
          <w:trHeight w:val="347"/>
        </w:trPr>
        <w:tc>
          <w:tcPr>
            <w:tcW w:w="49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89" w:right="319" w:bottom="1440" w:gutter="0" w:footer="0" w:header="0"/>
          <w:type w:val="continuous"/>
        </w:sectPr>
      </w:pPr>
    </w:p>
    <w:bookmarkStart w:id="733" w:name="page734"/>
    <w:bookmarkEnd w:id="733"/>
    <w:p>
      <w:pPr>
        <w:ind w:left="6680"/>
        <w:spacing w:after="0"/>
        <w:tabs>
          <w:tab w:leader="none" w:pos="8400" w:val="left"/>
        </w:tabs>
        <w:rPr>
          <w:sz w:val="20"/>
          <w:szCs w:val="20"/>
          <w:color w:val="auto"/>
        </w:rPr>
      </w:pPr>
      <w:r>
        <w:rPr>
          <w:rFonts w:ascii="Arial" w:cs="Arial" w:eastAsia="Arial" w:hAnsi="Arial"/>
          <w:sz w:val="14"/>
          <w:szCs w:val="14"/>
          <w:b w:val="1"/>
          <w:bCs w:val="1"/>
          <w:color w:val="auto"/>
        </w:rPr>
        <w:t>(Depository / Securities)</w:t>
      </w:r>
      <w:r>
        <w:rPr>
          <w:sz w:val="20"/>
          <w:szCs w:val="20"/>
          <w:color w:val="auto"/>
        </w:rPr>
        <w:tab/>
      </w:r>
      <w:r>
        <w:rPr>
          <w:rFonts w:ascii="Arial" w:cs="Arial" w:eastAsia="Arial" w:hAnsi="Arial"/>
          <w:sz w:val="12"/>
          <w:szCs w:val="12"/>
          <w:b w:val="1"/>
          <w:bCs w:val="1"/>
          <w:color w:val="auto"/>
        </w:rPr>
        <w:t>Account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-99060</wp:posOffset>
            </wp:positionV>
            <wp:extent cx="7159625" cy="24390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59625" cy="243903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BORROWER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Name/Address:</w:t>
      </w:r>
    </w:p>
    <w:p>
      <w:pPr>
        <w:spacing w:after="0" w:line="1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1</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2</w:t>
      </w:r>
    </w:p>
    <w:p>
      <w:pPr>
        <w:spacing w:after="0" w:line="1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3</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4</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5</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6</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7</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 / AFFILIATE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Name/Address</w:t>
      </w:r>
    </w:p>
    <w:p>
      <w:pPr>
        <w:spacing w:after="0" w:line="1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1</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2</w:t>
      </w:r>
    </w:p>
    <w:p>
      <w:pPr>
        <w:spacing w:after="0" w:line="1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3</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4</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5</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6</w:t>
      </w:r>
    </w:p>
    <w:p>
      <w:pPr>
        <w:spacing w:after="0" w:line="2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7</w:t>
      </w: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40" w:type="dxa"/>
            <w:vAlign w:val="bottom"/>
            <w:gridSpan w:val="2"/>
          </w:tcPr>
          <w:p>
            <w:pPr>
              <w:spacing w:after="0"/>
              <w:rPr>
                <w:sz w:val="20"/>
                <w:szCs w:val="20"/>
                <w:color w:val="auto"/>
              </w:rPr>
            </w:pPr>
            <w:r>
              <w:rPr>
                <w:rFonts w:ascii="Arial" w:cs="Arial" w:eastAsia="Arial" w:hAnsi="Arial"/>
                <w:sz w:val="14"/>
                <w:szCs w:val="14"/>
                <w:color w:val="auto"/>
              </w:rPr>
              <w:t>Name of Test</w:t>
            </w:r>
          </w:p>
        </w:tc>
        <w:tc>
          <w:tcPr>
            <w:tcW w:w="1620" w:type="dxa"/>
            <w:vAlign w:val="bottom"/>
            <w:gridSpan w:val="2"/>
          </w:tcPr>
          <w:p>
            <w:pPr>
              <w:spacing w:after="0"/>
              <w:rPr>
                <w:sz w:val="20"/>
                <w:szCs w:val="20"/>
                <w:color w:val="auto"/>
              </w:rPr>
            </w:pPr>
            <w:r>
              <w:rPr>
                <w:rFonts w:ascii="Arial" w:cs="Arial" w:eastAsia="Arial" w:hAnsi="Arial"/>
                <w:sz w:val="14"/>
                <w:szCs w:val="14"/>
                <w:color w:val="auto"/>
              </w:rPr>
              <w:t>Required Level</w:t>
            </w:r>
          </w:p>
        </w:tc>
        <w:tc>
          <w:tcPr>
            <w:tcW w:w="1160" w:type="dxa"/>
            <w:vAlign w:val="bottom"/>
            <w:gridSpan w:val="2"/>
          </w:tcPr>
          <w:p>
            <w:pPr>
              <w:spacing w:after="0"/>
              <w:rPr>
                <w:sz w:val="20"/>
                <w:szCs w:val="20"/>
                <w:color w:val="auto"/>
              </w:rPr>
            </w:pPr>
            <w:r>
              <w:rPr>
                <w:rFonts w:ascii="Arial" w:cs="Arial" w:eastAsia="Arial" w:hAnsi="Arial"/>
                <w:sz w:val="14"/>
                <w:szCs w:val="14"/>
                <w:color w:val="auto"/>
              </w:rPr>
              <w:t>Actual Level</w:t>
            </w:r>
          </w:p>
        </w:tc>
        <w:tc>
          <w:tcPr>
            <w:tcW w:w="1600" w:type="dxa"/>
            <w:vAlign w:val="bottom"/>
            <w:gridSpan w:val="2"/>
          </w:tcPr>
          <w:p>
            <w:pPr>
              <w:ind w:left="400"/>
              <w:spacing w:after="0"/>
              <w:rPr>
                <w:sz w:val="20"/>
                <w:szCs w:val="20"/>
                <w:color w:val="auto"/>
              </w:rPr>
            </w:pPr>
            <w:r>
              <w:rPr>
                <w:rFonts w:ascii="Arial" w:cs="Arial" w:eastAsia="Arial" w:hAnsi="Arial"/>
                <w:sz w:val="14"/>
                <w:szCs w:val="14"/>
                <w:color w:val="auto"/>
                <w:w w:val="94"/>
              </w:rPr>
              <w:t>In Compliance Y/N?</w:t>
            </w:r>
          </w:p>
        </w:tc>
      </w:tr>
      <w:tr>
        <w:trPr>
          <w:trHeight w:val="20"/>
        </w:trPr>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421"/>
        </w:trPr>
        <w:tc>
          <w:tcPr>
            <w:tcW w:w="1440" w:type="dxa"/>
            <w:vAlign w:val="bottom"/>
            <w:gridSpan w:val="2"/>
          </w:tcPr>
          <w:p>
            <w:pPr>
              <w:spacing w:after="0"/>
              <w:rPr>
                <w:sz w:val="20"/>
                <w:szCs w:val="20"/>
                <w:color w:val="auto"/>
              </w:rPr>
            </w:pPr>
            <w:r>
              <w:rPr>
                <w:rFonts w:ascii="Arial" w:cs="Arial" w:eastAsia="Arial" w:hAnsi="Arial"/>
                <w:sz w:val="14"/>
                <w:szCs w:val="14"/>
                <w:color w:val="auto"/>
              </w:rPr>
              <w:t>Minimum Cash*</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74" w:lineRule="exact"/>
        <w:rPr>
          <w:sz w:val="20"/>
          <w:szCs w:val="20"/>
          <w:color w:val="auto"/>
        </w:rPr>
      </w:pPr>
    </w:p>
    <w:p>
      <w:pPr>
        <w:ind w:left="60"/>
        <w:spacing w:after="0"/>
        <w:rPr>
          <w:sz w:val="20"/>
          <w:szCs w:val="20"/>
          <w:color w:val="auto"/>
        </w:rPr>
      </w:pPr>
      <w:r>
        <w:rPr>
          <w:rFonts w:ascii="Arial" w:cs="Arial" w:eastAsia="Arial" w:hAnsi="Arial"/>
          <w:sz w:val="13"/>
          <w:szCs w:val="13"/>
          <w:color w:val="auto"/>
        </w:rPr>
        <w:t>[Effective if and only if Borrower has both: (a) drawn the Tranche 2 Advance and (b) not achieved Performance Milestone II by September 30, 2021. See Section 7.20.]</w:t>
      </w:r>
    </w:p>
    <w:p>
      <w:pPr>
        <w:spacing w:after="0" w:line="207" w:lineRule="exact"/>
        <w:rPr>
          <w:sz w:val="20"/>
          <w:szCs w:val="20"/>
          <w:color w:val="auto"/>
        </w:rPr>
      </w:pPr>
    </w:p>
    <w:p>
      <w:pPr>
        <w:ind w:left="300" w:hanging="253"/>
        <w:spacing w:after="0"/>
        <w:tabs>
          <w:tab w:leader="none" w:pos="300" w:val="left"/>
        </w:tabs>
        <w:numPr>
          <w:ilvl w:val="0"/>
          <w:numId w:val="548"/>
        </w:numPr>
        <w:rPr>
          <w:rFonts w:ascii="Arial" w:cs="Arial" w:eastAsia="Arial" w:hAnsi="Arial"/>
          <w:sz w:val="14"/>
          <w:szCs w:val="14"/>
          <w:color w:val="auto"/>
        </w:rPr>
      </w:pPr>
      <w:r>
        <w:rPr>
          <w:rFonts w:ascii="Arial" w:cs="Arial" w:eastAsia="Arial" w:hAnsi="Arial"/>
          <w:sz w:val="14"/>
          <w:szCs w:val="14"/>
          <w:color w:val="auto"/>
        </w:rPr>
        <w:t>The amount of unrestricted Cash as of the date hereof: $</w:t>
      </w:r>
    </w:p>
    <w:p>
      <w:pPr>
        <w:spacing w:after="0" w:line="249" w:lineRule="exact"/>
        <w:rPr>
          <w:rFonts w:ascii="Arial" w:cs="Arial" w:eastAsia="Arial" w:hAnsi="Arial"/>
          <w:sz w:val="14"/>
          <w:szCs w:val="14"/>
          <w:color w:val="auto"/>
        </w:rPr>
      </w:pPr>
    </w:p>
    <w:p>
      <w:pPr>
        <w:ind w:left="360" w:hanging="310"/>
        <w:spacing w:after="0"/>
        <w:tabs>
          <w:tab w:leader="none" w:pos="360" w:val="left"/>
        </w:tabs>
        <w:numPr>
          <w:ilvl w:val="0"/>
          <w:numId w:val="548"/>
        </w:numPr>
        <w:rPr>
          <w:rFonts w:ascii="Arial" w:cs="Arial" w:eastAsia="Arial" w:hAnsi="Arial"/>
          <w:sz w:val="14"/>
          <w:szCs w:val="14"/>
          <w:color w:val="auto"/>
        </w:rPr>
      </w:pPr>
      <w:r>
        <w:rPr>
          <w:rFonts w:ascii="Arial" w:cs="Arial" w:eastAsia="Arial" w:hAnsi="Arial"/>
          <w:sz w:val="14"/>
          <w:szCs w:val="14"/>
          <w:color w:val="auto"/>
        </w:rPr>
        <w:t>The amount of the Borrower’s accounts payable not paid after the 90th day following the invoice date for such accounts payable: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123825</wp:posOffset>
            </wp:positionV>
            <wp:extent cx="7159625" cy="698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2263775</wp:posOffset>
            </wp:positionH>
            <wp:positionV relativeFrom="paragraph">
              <wp:posOffset>-266065</wp:posOffset>
            </wp:positionV>
            <wp:extent cx="433705" cy="698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433705" cy="698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-5715</wp:posOffset>
            </wp:positionV>
            <wp:extent cx="410845" cy="698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410845" cy="6985"/>
                    </a:xfrm>
                    <a:prstGeom prst="rect">
                      <a:avLst/>
                    </a:prstGeom>
                    <a:noFill/>
                  </pic:spPr>
                </pic:pic>
              </a:graphicData>
            </a:graphic>
          </wp:anchor>
        </w:drawing>
      </w:r>
    </w:p>
    <w:p>
      <w:pPr>
        <w:sectPr>
          <w:pgSz w:w="11900" w:h="16838" w:orient="portrait"/>
          <w:cols w:equalWidth="0" w:num="1">
            <w:col w:w="10059"/>
          </w:cols>
          <w:pgMar w:left="400" w:top="590" w:right="1440" w:bottom="1440" w:gutter="0" w:footer="0" w:header="0"/>
        </w:sectPr>
      </w:pPr>
    </w:p>
    <w:bookmarkStart w:id="734" w:name="page735"/>
    <w:bookmarkEnd w:id="734"/>
    <w:p>
      <w:pPr>
        <w:spacing w:after="0"/>
        <w:rPr>
          <w:sz w:val="20"/>
          <w:szCs w:val="20"/>
          <w:color w:val="auto"/>
        </w:rPr>
      </w:pPr>
      <w:r>
        <w:rPr>
          <w:rFonts w:ascii="Arial" w:cs="Arial" w:eastAsia="Arial" w:hAnsi="Arial"/>
          <w:sz w:val="14"/>
          <w:szCs w:val="14"/>
          <w:color w:val="auto"/>
        </w:rPr>
        <w:t xml:space="preserve">(c) Clause (a) </w:t>
      </w:r>
      <w:r>
        <w:rPr>
          <w:rFonts w:ascii="Arial" w:cs="Arial" w:eastAsia="Arial" w:hAnsi="Arial"/>
          <w:sz w:val="14"/>
          <w:szCs w:val="14"/>
          <w:i w:val="1"/>
          <w:iCs w:val="1"/>
          <w:color w:val="auto"/>
        </w:rPr>
        <w:t>minus</w:t>
      </w:r>
      <w:r>
        <w:rPr>
          <w:rFonts w:ascii="Arial" w:cs="Arial" w:eastAsia="Arial" w:hAnsi="Arial"/>
          <w:sz w:val="14"/>
          <w:szCs w:val="14"/>
          <w:color w:val="auto"/>
        </w:rPr>
        <w:t xml:space="preserve"> clause (b) is: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-5715</wp:posOffset>
            </wp:positionV>
            <wp:extent cx="753110" cy="698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53110" cy="698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Is the amount reported in clause (c) equal to or greater than $8,500,000?</w:t>
      </w:r>
    </w:p>
    <w:p>
      <w:pPr>
        <w:spacing w:after="0" w:line="249" w:lineRule="exact"/>
        <w:rPr>
          <w:sz w:val="20"/>
          <w:szCs w:val="20"/>
          <w:color w:val="auto"/>
        </w:rPr>
      </w:pPr>
    </w:p>
    <w:p>
      <w:pPr>
        <w:ind w:left="940"/>
        <w:spacing w:after="0"/>
        <w:tabs>
          <w:tab w:leader="none" w:pos="1400" w:val="left"/>
        </w:tabs>
        <w:rPr>
          <w:sz w:val="20"/>
          <w:szCs w:val="20"/>
          <w:color w:val="auto"/>
        </w:rPr>
      </w:pPr>
      <w:r>
        <w:rPr>
          <w:rFonts w:ascii="Arial" w:cs="Arial" w:eastAsia="Arial" w:hAnsi="Arial"/>
          <w:sz w:val="14"/>
          <w:szCs w:val="14"/>
          <w:color w:val="auto"/>
        </w:rPr>
        <w:t>Yes;</w:t>
        <w:tab/>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-5715</wp:posOffset>
            </wp:positionV>
            <wp:extent cx="114300" cy="698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-5715</wp:posOffset>
            </wp:positionV>
            <wp:extent cx="114300" cy="698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14300" cy="6985"/>
                    </a:xfrm>
                    <a:prstGeom prst="rect">
                      <a:avLst/>
                    </a:prstGeom>
                    <a:noFill/>
                  </pic:spPr>
                </pic:pic>
              </a:graphicData>
            </a:graphic>
          </wp:anchor>
        </w:drawing>
      </w:r>
    </w:p>
    <w:p>
      <w:pPr>
        <w:spacing w:after="0" w:line="240"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If No: not in compliance</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 if the Tranche 2 Advance is not drawn or Borrower has achieved Performance Milestone II by September 30, 2021, then there shall be no minimum cash requirement</w:t>
      </w:r>
      <w:r>
        <w:rPr>
          <w:rFonts w:ascii="Arial" w:cs="Arial" w:eastAsia="Arial" w:hAnsi="Arial"/>
          <w:sz w:val="13"/>
          <w:szCs w:val="13"/>
          <w:b w:val="1"/>
          <w:bCs w:val="1"/>
          <w:color w:val="auto"/>
        </w:rPr>
        <w:t>.</w:t>
      </w:r>
    </w:p>
    <w:p>
      <w:pPr>
        <w:spacing w:after="0" w:line="38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Very Truly Yours,</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CENTURY THERAPEUTICS, LLC</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-100965</wp:posOffset>
            </wp:positionV>
            <wp:extent cx="3213100" cy="698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3213100" cy="698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4"/>
          <w:szCs w:val="14"/>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137795</wp:posOffset>
            </wp:positionV>
            <wp:extent cx="7159625" cy="698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20955</wp:posOffset>
            </wp:positionV>
            <wp:extent cx="3213100" cy="698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213100" cy="6985"/>
                    </a:xfrm>
                    <a:prstGeom prst="rect">
                      <a:avLst/>
                    </a:prstGeom>
                    <a:noFill/>
                  </pic:spPr>
                </pic:pic>
              </a:graphicData>
            </a:graphic>
          </wp:anchor>
        </w:drawing>
        <w:drawing>
          <wp:anchor simplePos="0" relativeHeight="251657728" behindDoc="1" locked="0" layoutInCell="0" allowOverlap="1">
            <wp:simplePos x="0" y="0"/>
            <wp:positionH relativeFrom="column">
              <wp:posOffset>3848735</wp:posOffset>
            </wp:positionH>
            <wp:positionV relativeFrom="paragraph">
              <wp:posOffset>-94615</wp:posOffset>
            </wp:positionV>
            <wp:extent cx="3213100" cy="698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213100" cy="6985"/>
                    </a:xfrm>
                    <a:prstGeom prst="rect">
                      <a:avLst/>
                    </a:prstGeom>
                    <a:noFill/>
                  </pic:spPr>
                </pic:pic>
              </a:graphicData>
            </a:graphic>
          </wp:anchor>
        </w:drawing>
      </w:r>
    </w:p>
    <w:p>
      <w:pPr>
        <w:sectPr>
          <w:pgSz w:w="11900" w:h="16838" w:orient="portrait"/>
          <w:cols w:equalWidth="0" w:num="1">
            <w:col w:w="9999"/>
          </w:cols>
          <w:pgMar w:left="460" w:top="680" w:right="1440" w:bottom="1440" w:gutter="0" w:footer="0" w:header="0"/>
        </w:sectPr>
      </w:pPr>
    </w:p>
    <w:bookmarkStart w:id="735" w:name="page736"/>
    <w:bookmarkEnd w:id="735"/>
    <w:tbl>
      <w:tblPr>
        <w:tblLayout w:type="fixed"/>
        <w:tblInd w:w="20" w:type="dxa"/>
        <w:tblCellMar>
          <w:top w:w="0" w:type="dxa"/>
          <w:left w:w="0" w:type="dxa"/>
          <w:bottom w:w="0" w:type="dxa"/>
          <w:right w:w="0" w:type="dxa"/>
        </w:tblCellMar>
      </w:tblPr>
      <w:tr>
        <w:trPr>
          <w:trHeight w:val="186"/>
        </w:trPr>
        <w:tc>
          <w:tcPr>
            <w:tcW w:w="7800" w:type="dxa"/>
            <w:vAlign w:val="bottom"/>
          </w:tcPr>
          <w:p>
            <w:pPr>
              <w:jc w:val="center"/>
              <w:ind w:left="3108"/>
              <w:spacing w:after="0"/>
              <w:rPr>
                <w:sz w:val="20"/>
                <w:szCs w:val="20"/>
                <w:color w:val="auto"/>
              </w:rPr>
            </w:pPr>
            <w:r>
              <w:rPr>
                <w:rFonts w:ascii="Arial" w:cs="Arial" w:eastAsia="Arial" w:hAnsi="Arial"/>
                <w:sz w:val="14"/>
                <w:szCs w:val="14"/>
                <w:b w:val="1"/>
                <w:bCs w:val="1"/>
                <w:color w:val="auto"/>
              </w:rPr>
              <w:t>EXHIBIT F</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56"/>
        </w:trPr>
        <w:tc>
          <w:tcPr>
            <w:tcW w:w="7800" w:type="dxa"/>
            <w:vAlign w:val="bottom"/>
          </w:tcPr>
          <w:p>
            <w:pPr>
              <w:jc w:val="center"/>
              <w:ind w:left="3108"/>
              <w:spacing w:after="0"/>
              <w:rPr>
                <w:sz w:val="20"/>
                <w:szCs w:val="20"/>
                <w:color w:val="auto"/>
              </w:rPr>
            </w:pPr>
            <w:r>
              <w:rPr>
                <w:rFonts w:ascii="Arial" w:cs="Arial" w:eastAsia="Arial" w:hAnsi="Arial"/>
                <w:sz w:val="14"/>
                <w:szCs w:val="14"/>
                <w:b w:val="1"/>
                <w:bCs w:val="1"/>
                <w:color w:val="auto"/>
              </w:rPr>
              <w:t>FORM OF JOINDER AGREEMENT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9"/>
        </w:trPr>
        <w:tc>
          <w:tcPr>
            <w:tcW w:w="7800" w:type="dxa"/>
            <w:vAlign w:val="bottom"/>
          </w:tcPr>
          <w:p>
            <w:pPr>
              <w:ind w:left="500"/>
              <w:spacing w:after="0"/>
              <w:rPr>
                <w:sz w:val="20"/>
                <w:szCs w:val="20"/>
                <w:color w:val="auto"/>
              </w:rPr>
            </w:pPr>
            <w:r>
              <w:rPr>
                <w:rFonts w:ascii="Arial" w:cs="Arial" w:eastAsia="Arial" w:hAnsi="Arial"/>
                <w:sz w:val="14"/>
                <w:szCs w:val="14"/>
                <w:color w:val="auto"/>
                <w:w w:val="96"/>
              </w:rPr>
              <w:t>This Joinder Agreement (the “Joinder Agreement”) is made and dated as of [   ], 20[   ], and is entered into by and between</w:t>
            </w:r>
          </w:p>
        </w:tc>
        <w:tc>
          <w:tcPr>
            <w:tcW w:w="3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rPr>
              <w:t>., a</w:t>
            </w:r>
          </w:p>
        </w:tc>
        <w:tc>
          <w:tcPr>
            <w:tcW w:w="1820" w:type="dxa"/>
            <w:vAlign w:val="bottom"/>
          </w:tcPr>
          <w:p>
            <w:pPr>
              <w:spacing w:after="0"/>
              <w:rPr>
                <w:sz w:val="20"/>
                <w:szCs w:val="20"/>
                <w:color w:val="auto"/>
              </w:rPr>
            </w:pPr>
            <w:r>
              <w:rPr>
                <w:rFonts w:ascii="Arial" w:cs="Arial" w:eastAsia="Arial" w:hAnsi="Arial"/>
                <w:sz w:val="14"/>
                <w:szCs w:val="14"/>
                <w:color w:val="auto"/>
                <w:w w:val="95"/>
              </w:rPr>
              <w:t>corporation (“Subsidiary”), and</w:t>
            </w:r>
          </w:p>
        </w:tc>
      </w:tr>
      <w:tr>
        <w:trPr>
          <w:trHeight w:val="184"/>
        </w:trPr>
        <w:tc>
          <w:tcPr>
            <w:tcW w:w="7800" w:type="dxa"/>
            <w:vAlign w:val="bottom"/>
          </w:tcPr>
          <w:p>
            <w:pPr>
              <w:spacing w:after="0"/>
              <w:rPr>
                <w:sz w:val="20"/>
                <w:szCs w:val="20"/>
                <w:color w:val="auto"/>
              </w:rPr>
            </w:pPr>
            <w:r>
              <w:rPr>
                <w:rFonts w:ascii="Arial" w:cs="Arial" w:eastAsia="Arial" w:hAnsi="Arial"/>
                <w:sz w:val="14"/>
                <w:szCs w:val="14"/>
                <w:color w:val="auto"/>
              </w:rPr>
              <w:t>HERCULES CAPITAL, INC., a Maryland corporation (as “Agent”).</w:t>
            </w:r>
          </w:p>
        </w:tc>
        <w:tc>
          <w:tcPr>
            <w:tcW w:w="3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820" w:type="dxa"/>
            <w:vAlign w:val="bottom"/>
          </w:tcPr>
          <w:p>
            <w:pPr>
              <w:spacing w:after="0"/>
              <w:rPr>
                <w:sz w:val="15"/>
                <w:szCs w:val="15"/>
                <w:color w:val="auto"/>
              </w:rPr>
            </w:pPr>
          </w:p>
        </w:tc>
      </w:tr>
      <w:tr>
        <w:trPr>
          <w:trHeight w:val="345"/>
        </w:trPr>
        <w:tc>
          <w:tcPr>
            <w:tcW w:w="7800" w:type="dxa"/>
            <w:vAlign w:val="bottom"/>
          </w:tcPr>
          <w:p>
            <w:pPr>
              <w:ind w:left="5140"/>
              <w:spacing w:after="0"/>
              <w:rPr>
                <w:sz w:val="20"/>
                <w:szCs w:val="20"/>
                <w:color w:val="auto"/>
              </w:rPr>
            </w:pPr>
            <w:r>
              <w:rPr>
                <w:rFonts w:ascii="Arial" w:cs="Arial" w:eastAsia="Arial" w:hAnsi="Arial"/>
                <w:sz w:val="14"/>
                <w:szCs w:val="14"/>
                <w:b w:val="1"/>
                <w:bCs w:val="1"/>
                <w:color w:val="auto"/>
              </w:rPr>
              <w:t>RECITALS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74" w:lineRule="exact"/>
        <w:rPr>
          <w:sz w:val="20"/>
          <w:szCs w:val="20"/>
          <w:color w:val="auto"/>
        </w:rPr>
      </w:pPr>
    </w:p>
    <w:p>
      <w:pPr>
        <w:ind w:left="20" w:right="40" w:firstLine="508"/>
        <w:spacing w:after="0" w:line="273" w:lineRule="auto"/>
        <w:tabs>
          <w:tab w:leader="none" w:pos="821" w:val="left"/>
        </w:tabs>
        <w:numPr>
          <w:ilvl w:val="0"/>
          <w:numId w:val="549"/>
        </w:numPr>
        <w:rPr>
          <w:rFonts w:ascii="Arial" w:cs="Arial" w:eastAsia="Arial" w:hAnsi="Arial"/>
          <w:sz w:val="14"/>
          <w:szCs w:val="14"/>
          <w:color w:val="auto"/>
        </w:rPr>
      </w:pPr>
      <w:r>
        <w:rPr>
          <w:rFonts w:ascii="Arial" w:cs="Arial" w:eastAsia="Arial" w:hAnsi="Arial"/>
          <w:sz w:val="14"/>
          <w:szCs w:val="14"/>
          <w:color w:val="auto"/>
        </w:rPr>
        <w:t>Subsidiary’s Affiliate, CENTURY THERAPEUTICS, LLC (“Company”) [has entered/desires to enter] into that certain Loan and Security Agreement dated September 14, 2020, with the several banks and other financial institutions or entities from time to time party thereto as lender (collectively, the “Lenders”) and the Agent, as such agreement may be amended (the “Loan Agreement”), together with the other agreements executed and delivered in connection therewith;</w:t>
      </w:r>
    </w:p>
    <w:p>
      <w:pPr>
        <w:spacing w:after="0" w:line="141" w:lineRule="exact"/>
        <w:rPr>
          <w:rFonts w:ascii="Arial" w:cs="Arial" w:eastAsia="Arial" w:hAnsi="Arial"/>
          <w:sz w:val="14"/>
          <w:szCs w:val="14"/>
          <w:color w:val="auto"/>
        </w:rPr>
      </w:pPr>
    </w:p>
    <w:p>
      <w:pPr>
        <w:ind w:left="800" w:hanging="273"/>
        <w:spacing w:after="0"/>
        <w:tabs>
          <w:tab w:leader="none" w:pos="800" w:val="left"/>
        </w:tabs>
        <w:numPr>
          <w:ilvl w:val="0"/>
          <w:numId w:val="549"/>
        </w:numPr>
        <w:rPr>
          <w:rFonts w:ascii="Arial" w:cs="Arial" w:eastAsia="Arial" w:hAnsi="Arial"/>
          <w:sz w:val="13"/>
          <w:szCs w:val="13"/>
          <w:color w:val="auto"/>
        </w:rPr>
      </w:pPr>
      <w:r>
        <w:rPr>
          <w:rFonts w:ascii="Arial" w:cs="Arial" w:eastAsia="Arial" w:hAnsi="Arial"/>
          <w:sz w:val="13"/>
          <w:szCs w:val="13"/>
          <w:color w:val="auto"/>
        </w:rPr>
        <w:t>Subsidiary acknowledges and agrees that it will benefit both directly and indirectly from Company’s execution of the Loan Agreement and the other agreements executed</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and delivered in connection therewith;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AGREEMENT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Subsidiary and Agent agree as follows:</w:t>
      </w:r>
    </w:p>
    <w:p>
      <w:pPr>
        <w:spacing w:after="0" w:line="184" w:lineRule="exact"/>
        <w:rPr>
          <w:sz w:val="20"/>
          <w:szCs w:val="20"/>
          <w:color w:val="auto"/>
        </w:rPr>
      </w:pPr>
    </w:p>
    <w:p>
      <w:pPr>
        <w:ind w:left="260" w:hanging="253"/>
        <w:spacing w:after="0"/>
        <w:tabs>
          <w:tab w:leader="none" w:pos="260" w:val="left"/>
        </w:tabs>
        <w:numPr>
          <w:ilvl w:val="0"/>
          <w:numId w:val="550"/>
        </w:numPr>
        <w:rPr>
          <w:rFonts w:ascii="Arial" w:cs="Arial" w:eastAsia="Arial" w:hAnsi="Arial"/>
          <w:sz w:val="13"/>
          <w:szCs w:val="13"/>
          <w:color w:val="auto"/>
        </w:rPr>
      </w:pPr>
      <w:r>
        <w:rPr>
          <w:rFonts w:ascii="Arial" w:cs="Arial" w:eastAsia="Arial" w:hAnsi="Arial"/>
          <w:sz w:val="13"/>
          <w:szCs w:val="13"/>
          <w:color w:val="auto"/>
        </w:rPr>
        <w:t>The recitals set forth above are incorporated into and made part of this Joinder Agreement. Capitalized terms not defined herein shall have the meaning provided in the Loan Agreement.</w:t>
      </w:r>
    </w:p>
    <w:p>
      <w:pPr>
        <w:spacing w:after="0" w:line="206" w:lineRule="exact"/>
        <w:rPr>
          <w:rFonts w:ascii="Arial" w:cs="Arial" w:eastAsia="Arial" w:hAnsi="Arial"/>
          <w:sz w:val="13"/>
          <w:szCs w:val="13"/>
          <w:color w:val="auto"/>
        </w:rPr>
      </w:pPr>
    </w:p>
    <w:p>
      <w:pPr>
        <w:jc w:val="both"/>
        <w:ind w:left="260" w:hanging="253"/>
        <w:spacing w:after="0" w:line="260" w:lineRule="auto"/>
        <w:tabs>
          <w:tab w:leader="none" w:pos="260" w:val="left"/>
        </w:tabs>
        <w:numPr>
          <w:ilvl w:val="0"/>
          <w:numId w:val="550"/>
        </w:numPr>
        <w:rPr>
          <w:rFonts w:ascii="Arial" w:cs="Arial" w:eastAsia="Arial" w:hAnsi="Arial"/>
          <w:sz w:val="14"/>
          <w:szCs w:val="14"/>
          <w:color w:val="auto"/>
        </w:rPr>
      </w:pPr>
      <w:r>
        <w:rPr>
          <w:rFonts w:ascii="Arial" w:cs="Arial" w:eastAsia="Arial" w:hAnsi="Arial"/>
          <w:sz w:val="14"/>
          <w:szCs w:val="14"/>
          <w:color w:val="auto"/>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spacing w:after="0" w:line="100" w:lineRule="exact"/>
        <w:rPr>
          <w:rFonts w:ascii="Arial" w:cs="Arial" w:eastAsia="Arial" w:hAnsi="Arial"/>
          <w:sz w:val="14"/>
          <w:szCs w:val="14"/>
          <w:color w:val="auto"/>
        </w:rPr>
      </w:pPr>
    </w:p>
    <w:p>
      <w:pPr>
        <w:ind w:left="260" w:hanging="253"/>
        <w:spacing w:after="0" w:line="288" w:lineRule="auto"/>
        <w:tabs>
          <w:tab w:leader="none" w:pos="260" w:val="left"/>
        </w:tabs>
        <w:numPr>
          <w:ilvl w:val="0"/>
          <w:numId w:val="550"/>
        </w:numPr>
        <w:rPr>
          <w:rFonts w:ascii="Arial" w:cs="Arial" w:eastAsia="Arial" w:hAnsi="Arial"/>
          <w:sz w:val="14"/>
          <w:szCs w:val="14"/>
          <w:color w:val="auto"/>
        </w:rPr>
      </w:pPr>
      <w:r>
        <w:rPr>
          <w:rFonts w:ascii="Arial" w:cs="Arial" w:eastAsia="Arial" w:hAnsi="Arial"/>
          <w:sz w:val="14"/>
          <w:szCs w:val="14"/>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88" w:lineRule="exact"/>
        <w:rPr>
          <w:rFonts w:ascii="Arial" w:cs="Arial" w:eastAsia="Arial" w:hAnsi="Arial"/>
          <w:sz w:val="14"/>
          <w:szCs w:val="14"/>
          <w:color w:val="auto"/>
        </w:rPr>
      </w:pPr>
    </w:p>
    <w:p>
      <w:pPr>
        <w:jc w:val="both"/>
        <w:ind w:left="260" w:hanging="253"/>
        <w:spacing w:after="0" w:line="267" w:lineRule="auto"/>
        <w:tabs>
          <w:tab w:leader="none" w:pos="260" w:val="left"/>
        </w:tabs>
        <w:numPr>
          <w:ilvl w:val="0"/>
          <w:numId w:val="550"/>
        </w:numPr>
        <w:rPr>
          <w:rFonts w:ascii="Arial" w:cs="Arial" w:eastAsia="Arial" w:hAnsi="Arial"/>
          <w:sz w:val="14"/>
          <w:szCs w:val="14"/>
          <w:color w:val="auto"/>
        </w:rPr>
      </w:pPr>
      <w:r>
        <w:rPr>
          <w:rFonts w:ascii="Arial" w:cs="Arial" w:eastAsia="Arial" w:hAnsi="Arial"/>
          <w:sz w:val="14"/>
          <w:szCs w:val="14"/>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216535</wp:posOffset>
            </wp:positionV>
            <wp:extent cx="7159625" cy="698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60"/>
          </w:cols>
          <w:pgMar w:left="440" w:top="622" w:right="399" w:bottom="1440" w:gutter="0" w:footer="0" w:header="0"/>
        </w:sectPr>
      </w:pPr>
    </w:p>
    <w:bookmarkStart w:id="736" w:name="page737"/>
    <w:bookmarkEnd w:id="736"/>
    <w:p>
      <w:pPr>
        <w:ind w:left="253" w:hanging="253"/>
        <w:spacing w:after="0" w:line="288" w:lineRule="auto"/>
        <w:tabs>
          <w:tab w:leader="none" w:pos="253" w:val="left"/>
        </w:tabs>
        <w:numPr>
          <w:ilvl w:val="0"/>
          <w:numId w:val="551"/>
        </w:numPr>
        <w:rPr>
          <w:rFonts w:ascii="Arial" w:cs="Arial" w:eastAsia="Arial" w:hAnsi="Arial"/>
          <w:sz w:val="14"/>
          <w:szCs w:val="14"/>
          <w:color w:val="auto"/>
        </w:rPr>
      </w:pPr>
      <w:r>
        <w:rPr>
          <w:rFonts w:ascii="Arial" w:cs="Arial" w:eastAsia="Arial" w:hAnsi="Arial"/>
          <w:sz w:val="14"/>
          <w:szCs w:val="14"/>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88" w:lineRule="exact"/>
        <w:rPr>
          <w:sz w:val="20"/>
          <w:szCs w:val="20"/>
          <w:color w:val="auto"/>
        </w:rPr>
      </w:pPr>
    </w:p>
    <w:p>
      <w:pPr>
        <w:jc w:val="center"/>
        <w:ind w:right="-32"/>
        <w:spacing w:after="0"/>
        <w:rPr>
          <w:sz w:val="20"/>
          <w:szCs w:val="20"/>
          <w:color w:val="auto"/>
        </w:rPr>
      </w:pPr>
      <w:r>
        <w:rPr>
          <w:rFonts w:ascii="Arial" w:cs="Arial" w:eastAsia="Arial" w:hAnsi="Arial"/>
          <w:sz w:val="14"/>
          <w:szCs w:val="14"/>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315595</wp:posOffset>
            </wp:positionV>
            <wp:extent cx="7159625" cy="698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53"/>
          </w:cols>
          <w:pgMar w:left="447" w:top="885" w:right="399" w:bottom="1440" w:gutter="0" w:footer="0" w:header="0"/>
        </w:sectPr>
      </w:pPr>
    </w:p>
    <w:bookmarkStart w:id="737" w:name="page738"/>
    <w:bookmarkEnd w:id="737"/>
    <w:p>
      <w:pPr>
        <w:jc w:val="right"/>
        <w:ind w:right="2979"/>
        <w:spacing w:after="0"/>
        <w:rPr>
          <w:sz w:val="20"/>
          <w:szCs w:val="20"/>
          <w:color w:val="auto"/>
        </w:rPr>
      </w:pPr>
      <w:r>
        <w:rPr>
          <w:rFonts w:ascii="Arial" w:cs="Arial" w:eastAsia="Arial" w:hAnsi="Arial"/>
          <w:sz w:val="14"/>
          <w:szCs w:val="14"/>
          <w:color w:val="auto"/>
        </w:rPr>
        <w:t>[SIGNATURE PAGE TO JOINDER AGREEMENT]</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123825</wp:posOffset>
            </wp:positionV>
            <wp:extent cx="2301875" cy="698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2301875"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13970</wp:posOffset>
            </wp:positionV>
            <wp:extent cx="1712595" cy="69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712595" cy="698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13970</wp:posOffset>
            </wp:positionV>
            <wp:extent cx="1712595" cy="69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712595" cy="698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13970</wp:posOffset>
            </wp:positionV>
            <wp:extent cx="1712595" cy="698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712595" cy="698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130810</wp:posOffset>
            </wp:positionV>
            <wp:extent cx="1712595" cy="698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712595" cy="6985"/>
                    </a:xfrm>
                    <a:prstGeom prst="rect">
                      <a:avLst/>
                    </a:prstGeom>
                    <a:noFill/>
                  </pic:spPr>
                </pic:pic>
              </a:graphicData>
            </a:graphic>
          </wp:anchor>
        </w:drawing>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13970</wp:posOffset>
            </wp:positionV>
            <wp:extent cx="1712595" cy="698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712595" cy="698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130810</wp:posOffset>
            </wp:positionV>
            <wp:extent cx="1712595" cy="69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712595" cy="6985"/>
                    </a:xfrm>
                    <a:prstGeom prst="rect">
                      <a:avLst/>
                    </a:prstGeom>
                    <a:noFill/>
                  </pic:spPr>
                </pic:pic>
              </a:graphicData>
            </a:graphic>
          </wp:anchor>
        </w:drawing>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13970</wp:posOffset>
            </wp:positionV>
            <wp:extent cx="1712595" cy="69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712595" cy="698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13970</wp:posOffset>
            </wp:positionV>
            <wp:extent cx="1712595" cy="698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712595" cy="698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AGENT:</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HERCULES CAPITAL,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13970</wp:posOffset>
            </wp:positionV>
            <wp:extent cx="2075815" cy="698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075815" cy="698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13970</wp:posOffset>
            </wp:positionV>
            <wp:extent cx="2075815" cy="698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2075815" cy="698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13970</wp:posOffset>
            </wp:positionV>
            <wp:extent cx="2075815" cy="698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2075815" cy="6985"/>
                    </a:xfrm>
                    <a:prstGeom prst="rect">
                      <a:avLst/>
                    </a:prstGeom>
                    <a:noFill/>
                  </pic:spPr>
                </pic:pic>
              </a:graphicData>
            </a:graphic>
          </wp:anchor>
        </w:drawing>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Address: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400 Hamilton Ave., Suite 310</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Palo Alto, CA 94301</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email: legal@htgc.com</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Telephone: 650-289-3060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227330</wp:posOffset>
            </wp:positionV>
            <wp:extent cx="7159625" cy="69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939"/>
          </w:cols>
          <w:pgMar w:left="520" w:top="540" w:right="1440" w:bottom="1440" w:gutter="0" w:footer="0" w:header="0"/>
        </w:sectPr>
      </w:pPr>
    </w:p>
    <w:bookmarkStart w:id="738" w:name="page739"/>
    <w:bookmarkEnd w:id="738"/>
    <w:p>
      <w:pPr>
        <w:jc w:val="center"/>
        <w:ind w:right="-40"/>
        <w:spacing w:after="0"/>
        <w:rPr>
          <w:sz w:val="20"/>
          <w:szCs w:val="20"/>
          <w:color w:val="auto"/>
        </w:rPr>
      </w:pPr>
      <w:r>
        <w:rPr>
          <w:rFonts w:ascii="Arial" w:cs="Arial" w:eastAsia="Arial" w:hAnsi="Arial"/>
          <w:sz w:val="14"/>
          <w:szCs w:val="14"/>
          <w:b w:val="1"/>
          <w:bCs w:val="1"/>
          <w:color w:val="auto"/>
        </w:rPr>
        <w:t>EXHIBIT G</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284480</wp:posOffset>
            </wp:positionV>
            <wp:extent cx="7159625" cy="69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739" w:name="page740"/>
    <w:bookmarkEnd w:id="739"/>
    <w:p>
      <w:pPr>
        <w:jc w:val="center"/>
        <w:ind w:right="-59"/>
        <w:spacing w:after="0"/>
        <w:rPr>
          <w:sz w:val="20"/>
          <w:szCs w:val="20"/>
          <w:color w:val="auto"/>
        </w:rPr>
      </w:pPr>
      <w:r>
        <w:rPr>
          <w:rFonts w:ascii="Arial" w:cs="Arial" w:eastAsia="Arial" w:hAnsi="Arial"/>
          <w:sz w:val="14"/>
          <w:szCs w:val="14"/>
          <w:b w:val="1"/>
          <w:bCs w:val="1"/>
          <w:color w:val="auto"/>
        </w:rPr>
        <w:t>EXHIBIT I</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ACH DEBIT AUTHORIZATION AGREEMENT</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Hercules Capital, Inc.</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400 Hamilton Avenue, Suite 310</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Palo Alto, CA 94301</w:t>
      </w:r>
    </w:p>
    <w:p>
      <w:pPr>
        <w:spacing w:after="0" w:line="195" w:lineRule="exact"/>
        <w:rPr>
          <w:sz w:val="20"/>
          <w:szCs w:val="20"/>
          <w:color w:val="auto"/>
        </w:rPr>
      </w:pPr>
    </w:p>
    <w:p>
      <w:pPr>
        <w:ind w:left="660" w:right="120"/>
        <w:spacing w:after="0" w:line="288" w:lineRule="auto"/>
        <w:rPr>
          <w:sz w:val="20"/>
          <w:szCs w:val="20"/>
          <w:color w:val="auto"/>
        </w:rPr>
      </w:pPr>
      <w:r>
        <w:rPr>
          <w:rFonts w:ascii="Arial" w:cs="Arial" w:eastAsia="Arial" w:hAnsi="Arial"/>
          <w:sz w:val="14"/>
          <w:szCs w:val="14"/>
          <w:color w:val="auto"/>
        </w:rPr>
        <w:t>Re: Loan and Security Agreement dated September 14, 2020 (the “Agreement”) by and among CENTURY THERAPEUTICS, LLC (“Borrower”) and Hercules Capital, Inc., as agent (“Company”) and the lenders party thereto (collectively, the “Lenders”)</w:t>
      </w:r>
    </w:p>
    <w:p>
      <w:pPr>
        <w:spacing w:after="0" w:line="132" w:lineRule="exact"/>
        <w:rPr>
          <w:sz w:val="20"/>
          <w:szCs w:val="20"/>
          <w:color w:val="auto"/>
        </w:rPr>
      </w:pPr>
    </w:p>
    <w:p>
      <w:pPr>
        <w:jc w:val="both"/>
        <w:ind w:left="160" w:right="80"/>
        <w:spacing w:after="0" w:line="273" w:lineRule="auto"/>
        <w:rPr>
          <w:sz w:val="20"/>
          <w:szCs w:val="20"/>
          <w:color w:val="auto"/>
        </w:rPr>
      </w:pPr>
      <w:r>
        <w:rPr>
          <w:rFonts w:ascii="Arial" w:cs="Arial" w:eastAsia="Arial" w:hAnsi="Arial"/>
          <w:sz w:val="14"/>
          <w:szCs w:val="14"/>
          <w:color w:val="auto"/>
        </w:rPr>
        <w:t>In connection with the above referenced Agreement, the Borrower hereby authorizes the Company to initiate debit entries for (i) the periodic payments due under the Agreement and (ii) out-of-pocket legal fees and costs incurred by Agent or the Lenders pursuant to Section 11.12 of the Agreement to the Borrower’s account indicated below. The Borrower authorizes the depository institution named below to debit to such account.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[IF FILED PUBLICLY, ACCOUNT INFO REDACTED FOR SECURITY PURPOSES]</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78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color w:val="auto"/>
              </w:rPr>
              <w:t>DEPOSITORY NAME</w:t>
            </w:r>
          </w:p>
        </w:tc>
        <w:tc>
          <w:tcPr>
            <w:tcW w:w="5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BRANCH</w:t>
            </w:r>
          </w:p>
        </w:tc>
        <w:tc>
          <w:tcPr>
            <w:tcW w:w="0" w:type="dxa"/>
            <w:vAlign w:val="bottom"/>
          </w:tcPr>
          <w:p>
            <w:pPr>
              <w:spacing w:after="0"/>
              <w:rPr>
                <w:sz w:val="1"/>
                <w:szCs w:val="1"/>
                <w:color w:val="auto"/>
              </w:rPr>
            </w:pPr>
          </w:p>
        </w:tc>
      </w:tr>
      <w:tr>
        <w:trPr>
          <w:trHeight w:val="86"/>
        </w:trPr>
        <w:tc>
          <w:tcPr>
            <w:tcW w:w="5780" w:type="dxa"/>
            <w:vAlign w:val="bottom"/>
            <w:tcBorders>
              <w:left w:val="single" w:sz="8" w:color="auto"/>
              <w:right w:val="single" w:sz="8" w:color="auto"/>
            </w:tcBorders>
            <w:vMerge w:val="continue"/>
          </w:tcPr>
          <w:p>
            <w:pPr>
              <w:spacing w:after="0"/>
              <w:rPr>
                <w:sz w:val="7"/>
                <w:szCs w:val="7"/>
                <w:color w:val="auto"/>
              </w:rPr>
            </w:pPr>
          </w:p>
        </w:tc>
        <w:tc>
          <w:tcPr>
            <w:tcW w:w="5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780" w:type="dxa"/>
            <w:vAlign w:val="bottom"/>
            <w:tcBorders>
              <w:left w:val="single" w:sz="8" w:color="auto"/>
              <w:bottom w:val="single" w:sz="8" w:color="auto"/>
              <w:right w:val="single" w:sz="8" w:color="auto"/>
            </w:tcBorders>
          </w:tcPr>
          <w:p>
            <w:pPr>
              <w:spacing w:after="0"/>
              <w:rPr>
                <w:sz w:val="8"/>
                <w:szCs w:val="8"/>
                <w:color w:val="auto"/>
              </w:rPr>
            </w:pPr>
          </w:p>
        </w:tc>
        <w:tc>
          <w:tcPr>
            <w:tcW w:w="5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7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color w:val="auto"/>
              </w:rPr>
              <w:t>CITY</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STATE AND ZIP CODE</w:t>
            </w:r>
          </w:p>
        </w:tc>
        <w:tc>
          <w:tcPr>
            <w:tcW w:w="0" w:type="dxa"/>
            <w:vAlign w:val="bottom"/>
          </w:tcPr>
          <w:p>
            <w:pPr>
              <w:spacing w:after="0"/>
              <w:rPr>
                <w:sz w:val="1"/>
                <w:szCs w:val="1"/>
                <w:color w:val="auto"/>
              </w:rPr>
            </w:pPr>
          </w:p>
        </w:tc>
      </w:tr>
      <w:tr>
        <w:trPr>
          <w:trHeight w:val="86"/>
        </w:trPr>
        <w:tc>
          <w:tcPr>
            <w:tcW w:w="5780" w:type="dxa"/>
            <w:vAlign w:val="bottom"/>
            <w:tcBorders>
              <w:left w:val="single" w:sz="8" w:color="auto"/>
              <w:right w:val="single" w:sz="8" w:color="auto"/>
            </w:tcBorders>
            <w:vMerge w:val="continue"/>
          </w:tcPr>
          <w:p>
            <w:pPr>
              <w:spacing w:after="0"/>
              <w:rPr>
                <w:sz w:val="7"/>
                <w:szCs w:val="7"/>
                <w:color w:val="auto"/>
              </w:rPr>
            </w:pPr>
          </w:p>
        </w:tc>
        <w:tc>
          <w:tcPr>
            <w:tcW w:w="5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780" w:type="dxa"/>
            <w:vAlign w:val="bottom"/>
            <w:tcBorders>
              <w:left w:val="single" w:sz="8" w:color="auto"/>
              <w:bottom w:val="single" w:sz="8" w:color="auto"/>
              <w:right w:val="single" w:sz="8" w:color="auto"/>
            </w:tcBorders>
          </w:tcPr>
          <w:p>
            <w:pPr>
              <w:spacing w:after="0"/>
              <w:rPr>
                <w:sz w:val="8"/>
                <w:szCs w:val="8"/>
                <w:color w:val="auto"/>
              </w:rPr>
            </w:pPr>
          </w:p>
        </w:tc>
        <w:tc>
          <w:tcPr>
            <w:tcW w:w="5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57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4"/>
                <w:szCs w:val="14"/>
                <w:color w:val="auto"/>
              </w:rPr>
              <w:t>TRANSIT/ABA NUMBER</w:t>
            </w:r>
          </w:p>
        </w:tc>
        <w:tc>
          <w:tcPr>
            <w:tcW w:w="55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ACCOUNT NUMBER</w:t>
            </w:r>
          </w:p>
        </w:tc>
        <w:tc>
          <w:tcPr>
            <w:tcW w:w="0" w:type="dxa"/>
            <w:vAlign w:val="bottom"/>
          </w:tcPr>
          <w:p>
            <w:pPr>
              <w:spacing w:after="0"/>
              <w:rPr>
                <w:sz w:val="1"/>
                <w:szCs w:val="1"/>
                <w:color w:val="auto"/>
              </w:rPr>
            </w:pPr>
          </w:p>
        </w:tc>
      </w:tr>
      <w:tr>
        <w:trPr>
          <w:trHeight w:val="86"/>
        </w:trPr>
        <w:tc>
          <w:tcPr>
            <w:tcW w:w="5780" w:type="dxa"/>
            <w:vAlign w:val="bottom"/>
            <w:tcBorders>
              <w:left w:val="single" w:sz="8" w:color="auto"/>
              <w:right w:val="single" w:sz="8" w:color="auto"/>
            </w:tcBorders>
            <w:vMerge w:val="continue"/>
          </w:tcPr>
          <w:p>
            <w:pPr>
              <w:spacing w:after="0"/>
              <w:rPr>
                <w:sz w:val="7"/>
                <w:szCs w:val="7"/>
                <w:color w:val="auto"/>
              </w:rPr>
            </w:pPr>
          </w:p>
        </w:tc>
        <w:tc>
          <w:tcPr>
            <w:tcW w:w="5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780" w:type="dxa"/>
            <w:vAlign w:val="bottom"/>
            <w:tcBorders>
              <w:left w:val="single" w:sz="8" w:color="auto"/>
              <w:bottom w:val="single" w:sz="8" w:color="auto"/>
              <w:right w:val="single" w:sz="8" w:color="auto"/>
            </w:tcBorders>
          </w:tcPr>
          <w:p>
            <w:pPr>
              <w:spacing w:after="0"/>
              <w:rPr>
                <w:sz w:val="8"/>
                <w:szCs w:val="8"/>
                <w:color w:val="auto"/>
              </w:rPr>
            </w:pPr>
          </w:p>
        </w:tc>
        <w:tc>
          <w:tcPr>
            <w:tcW w:w="5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This authority will remain in full force and effect so long as any amounts are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LLC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(Borrower)</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2583180" cy="698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583180" cy="698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2583180" cy="698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2583180" cy="698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2583180" cy="698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58318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548640</wp:posOffset>
            </wp:positionV>
            <wp:extent cx="7159625" cy="698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654" w:right="319" w:bottom="1440" w:gutter="0" w:footer="0" w:header="0"/>
        </w:sectPr>
      </w:pPr>
    </w:p>
    <w:bookmarkStart w:id="740" w:name="page741"/>
    <w:bookmarkEnd w:id="740"/>
    <w:p>
      <w:pPr>
        <w:jc w:val="center"/>
        <w:ind w:right="-40"/>
        <w:spacing w:after="0"/>
        <w:rPr>
          <w:sz w:val="20"/>
          <w:szCs w:val="20"/>
          <w:color w:val="auto"/>
        </w:rPr>
      </w:pPr>
      <w:r>
        <w:rPr>
          <w:rFonts w:ascii="Arial" w:cs="Arial" w:eastAsia="Arial" w:hAnsi="Arial"/>
          <w:sz w:val="14"/>
          <w:szCs w:val="14"/>
          <w:b w:val="1"/>
          <w:bCs w:val="1"/>
          <w:color w:val="auto"/>
        </w:rPr>
        <w:t>EXHIBIT I</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284480</wp:posOffset>
            </wp:positionV>
            <wp:extent cx="7159625" cy="698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741" w:name="page742"/>
    <w:bookmarkEnd w:id="741"/>
    <w:p>
      <w:pPr>
        <w:jc w:val="center"/>
        <w:ind w:right="-219"/>
        <w:spacing w:after="0"/>
        <w:rPr>
          <w:sz w:val="20"/>
          <w:szCs w:val="20"/>
          <w:color w:val="auto"/>
        </w:rPr>
      </w:pPr>
      <w:r>
        <w:rPr>
          <w:rFonts w:ascii="Arial" w:cs="Arial" w:eastAsia="Arial" w:hAnsi="Arial"/>
          <w:sz w:val="14"/>
          <w:szCs w:val="14"/>
          <w:b w:val="1"/>
          <w:bCs w:val="1"/>
          <w:color w:val="auto"/>
        </w:rPr>
        <w:t>EXHIBIT J-1</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(For Foreign Lenders That Are Not Partnerships For U.S. Federal Income Tax Purposes)</w:t>
      </w:r>
    </w:p>
    <w:p>
      <w:pPr>
        <w:spacing w:after="0" w:line="199" w:lineRule="exact"/>
        <w:rPr>
          <w:sz w:val="20"/>
          <w:szCs w:val="20"/>
          <w:color w:val="auto"/>
        </w:rPr>
      </w:pPr>
    </w:p>
    <w:p>
      <w:pPr>
        <w:ind w:left="140" w:right="220" w:firstLine="518"/>
        <w:spacing w:after="0" w:line="294" w:lineRule="auto"/>
        <w:rPr>
          <w:sz w:val="20"/>
          <w:szCs w:val="20"/>
          <w:color w:val="auto"/>
        </w:rPr>
      </w:pPr>
      <w:r>
        <w:rPr>
          <w:rFonts w:ascii="Arial" w:cs="Arial" w:eastAsia="Arial" w:hAnsi="Arial"/>
          <w:sz w:val="13"/>
          <w:szCs w:val="13"/>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31" w:lineRule="exact"/>
        <w:rPr>
          <w:sz w:val="20"/>
          <w:szCs w:val="20"/>
          <w:color w:val="auto"/>
        </w:rPr>
      </w:pPr>
    </w:p>
    <w:p>
      <w:pPr>
        <w:ind w:left="140" w:right="160" w:firstLine="518"/>
        <w:spacing w:after="0" w:line="267" w:lineRule="auto"/>
        <w:rPr>
          <w:sz w:val="20"/>
          <w:szCs w:val="20"/>
          <w:color w:val="auto"/>
        </w:rPr>
      </w:pPr>
      <w:r>
        <w:rPr>
          <w:rFonts w:ascii="Arial" w:cs="Arial" w:eastAsia="Arial" w:hAnsi="Arial"/>
          <w:sz w:val="14"/>
          <w:szCs w:val="14"/>
          <w:color w:val="auto"/>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58" w:lineRule="exact"/>
        <w:rPr>
          <w:sz w:val="20"/>
          <w:szCs w:val="20"/>
          <w:color w:val="auto"/>
        </w:rPr>
      </w:pPr>
    </w:p>
    <w:p>
      <w:pPr>
        <w:ind w:left="140" w:firstLine="518"/>
        <w:spacing w:after="0" w:line="267" w:lineRule="auto"/>
        <w:rPr>
          <w:sz w:val="20"/>
          <w:szCs w:val="20"/>
          <w:color w:val="auto"/>
        </w:rPr>
      </w:pPr>
      <w:r>
        <w:rPr>
          <w:rFonts w:ascii="Arial" w:cs="Arial" w:eastAsia="Arial" w:hAnsi="Arial"/>
          <w:sz w:val="14"/>
          <w:szCs w:val="14"/>
          <w:color w:val="auto"/>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330" w:lineRule="exact"/>
        <w:rPr>
          <w:sz w:val="20"/>
          <w:szCs w:val="20"/>
          <w:color w:val="auto"/>
        </w:rPr>
      </w:pPr>
    </w:p>
    <w:p>
      <w:pPr>
        <w:spacing w:after="0"/>
        <w:tabs>
          <w:tab w:leader="none" w:pos="900" w:val="left"/>
          <w:tab w:leader="none" w:pos="36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 20_</w:t>
      </w:r>
      <w:r>
        <w:rPr>
          <w:sz w:val="20"/>
          <w:szCs w:val="20"/>
          <w:color w:val="auto"/>
        </w:rPr>
        <w:tab/>
      </w:r>
      <w:r>
        <w:rPr>
          <w:rFonts w:ascii="Arial" w:cs="Arial" w:eastAsia="Arial" w:hAnsi="Arial"/>
          <w:sz w:val="14"/>
          <w:szCs w:val="14"/>
          <w:color w:val="auto"/>
        </w:rPr>
        <w:t>[NAME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-5715</wp:posOffset>
            </wp:positionV>
            <wp:extent cx="387985" cy="698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387985" cy="6985"/>
                    </a:xfrm>
                    <a:prstGeom prst="rect">
                      <a:avLst/>
                    </a:prstGeom>
                    <a:noFill/>
                  </pic:spPr>
                </pic:pic>
              </a:graphicData>
            </a:graphic>
          </wp:anchor>
        </w:drawing>
      </w:r>
    </w:p>
    <w:p>
      <w:pPr>
        <w:spacing w:after="0" w:line="164"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13970</wp:posOffset>
            </wp:positionV>
            <wp:extent cx="2740660" cy="698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274066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13970</wp:posOffset>
            </wp:positionV>
            <wp:extent cx="2740660" cy="698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274066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13970</wp:posOffset>
            </wp:positionV>
            <wp:extent cx="2740660" cy="698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27406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349885</wp:posOffset>
            </wp:positionV>
            <wp:extent cx="7159625" cy="698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00"/>
          </w:cols>
          <w:pgMar w:left="300" w:top="655" w:right="399" w:bottom="1440" w:gutter="0" w:footer="0" w:header="0"/>
        </w:sectPr>
      </w:pPr>
    </w:p>
    <w:bookmarkStart w:id="742" w:name="page743"/>
    <w:bookmarkEnd w:id="742"/>
    <w:p>
      <w:pPr>
        <w:jc w:val="center"/>
        <w:ind w:right="-259"/>
        <w:spacing w:after="0"/>
        <w:rPr>
          <w:sz w:val="20"/>
          <w:szCs w:val="20"/>
          <w:color w:val="auto"/>
        </w:rPr>
      </w:pPr>
      <w:r>
        <w:rPr>
          <w:rFonts w:ascii="Arial" w:cs="Arial" w:eastAsia="Arial" w:hAnsi="Arial"/>
          <w:sz w:val="14"/>
          <w:szCs w:val="14"/>
          <w:b w:val="1"/>
          <w:bCs w:val="1"/>
          <w:color w:val="auto"/>
        </w:rPr>
        <w:t>EXHIBIT J-2</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 Foreign Participants That Are Not Partnerships For U.S. Federal Income Tax Purposes)</w:t>
      </w:r>
    </w:p>
    <w:p>
      <w:pPr>
        <w:spacing w:after="0" w:line="199" w:lineRule="exact"/>
        <w:rPr>
          <w:sz w:val="20"/>
          <w:szCs w:val="20"/>
          <w:color w:val="auto"/>
        </w:rPr>
      </w:pPr>
    </w:p>
    <w:p>
      <w:pPr>
        <w:ind w:left="140" w:right="180" w:firstLine="518"/>
        <w:spacing w:after="0" w:line="294" w:lineRule="auto"/>
        <w:rPr>
          <w:sz w:val="20"/>
          <w:szCs w:val="20"/>
          <w:color w:val="auto"/>
        </w:rPr>
      </w:pPr>
      <w:r>
        <w:rPr>
          <w:rFonts w:ascii="Arial" w:cs="Arial" w:eastAsia="Arial" w:hAnsi="Arial"/>
          <w:sz w:val="13"/>
          <w:szCs w:val="13"/>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31" w:lineRule="exact"/>
        <w:rPr>
          <w:sz w:val="20"/>
          <w:szCs w:val="20"/>
          <w:color w:val="auto"/>
        </w:rPr>
      </w:pPr>
    </w:p>
    <w:p>
      <w:pPr>
        <w:ind w:left="140" w:right="100" w:firstLine="518"/>
        <w:spacing w:after="0" w:line="264" w:lineRule="auto"/>
        <w:rPr>
          <w:sz w:val="20"/>
          <w:szCs w:val="20"/>
          <w:color w:val="auto"/>
        </w:rPr>
      </w:pPr>
      <w:r>
        <w:rPr>
          <w:rFonts w:ascii="Arial" w:cs="Arial" w:eastAsia="Arial" w:hAnsi="Arial"/>
          <w:sz w:val="14"/>
          <w:szCs w:val="14"/>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w:t>
      </w:r>
    </w:p>
    <w:p>
      <w:pPr>
        <w:spacing w:after="0" w:line="1" w:lineRule="exact"/>
        <w:rPr>
          <w:sz w:val="20"/>
          <w:szCs w:val="20"/>
          <w:color w:val="auto"/>
        </w:rPr>
      </w:pPr>
    </w:p>
    <w:p>
      <w:pPr>
        <w:ind w:left="140" w:firstLine="9"/>
        <w:spacing w:after="0" w:line="274" w:lineRule="auto"/>
        <w:tabs>
          <w:tab w:leader="none" w:pos="427" w:val="left"/>
        </w:tabs>
        <w:numPr>
          <w:ilvl w:val="0"/>
          <w:numId w:val="552"/>
        </w:numPr>
        <w:rPr>
          <w:rFonts w:ascii="Arial" w:cs="Arial" w:eastAsia="Arial" w:hAnsi="Arial"/>
          <w:sz w:val="14"/>
          <w:szCs w:val="14"/>
          <w:color w:val="auto"/>
        </w:rPr>
      </w:pPr>
      <w:r>
        <w:rPr>
          <w:rFonts w:ascii="Arial" w:cs="Arial" w:eastAsia="Arial" w:hAnsi="Arial"/>
          <w:sz w:val="14"/>
          <w:szCs w:val="14"/>
          <w:color w:val="auto"/>
        </w:rPr>
        <w:t>it is not a “ten percent shareholder” of the Borrower within the meaning of Section 871(h)(3)(B) of the Code and (iv) it is not a “controlled foreign corporation” related to the Borrower as described in Section 881(c)(3)(C) of the Code.</w:t>
      </w:r>
    </w:p>
    <w:p>
      <w:pPr>
        <w:spacing w:after="0" w:line="152" w:lineRule="exact"/>
        <w:rPr>
          <w:sz w:val="20"/>
          <w:szCs w:val="20"/>
          <w:color w:val="auto"/>
        </w:rPr>
      </w:pPr>
    </w:p>
    <w:p>
      <w:pPr>
        <w:ind w:left="140" w:right="60" w:firstLine="518"/>
        <w:spacing w:after="0" w:line="267" w:lineRule="auto"/>
        <w:rPr>
          <w:sz w:val="20"/>
          <w:szCs w:val="20"/>
          <w:color w:val="auto"/>
        </w:rPr>
      </w:pPr>
      <w:r>
        <w:rPr>
          <w:rFonts w:ascii="Arial" w:cs="Arial" w:eastAsia="Arial" w:hAnsi="Arial"/>
          <w:sz w:val="14"/>
          <w:szCs w:val="14"/>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330" w:lineRule="exact"/>
        <w:rPr>
          <w:sz w:val="20"/>
          <w:szCs w:val="20"/>
          <w:color w:val="auto"/>
        </w:rPr>
      </w:pPr>
    </w:p>
    <w:p>
      <w:pPr>
        <w:spacing w:after="0"/>
        <w:tabs>
          <w:tab w:leader="none" w:pos="900" w:val="left"/>
          <w:tab w:leader="none" w:pos="36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 20_</w:t>
      </w:r>
      <w:r>
        <w:rPr>
          <w:sz w:val="20"/>
          <w:szCs w:val="20"/>
          <w:color w:val="auto"/>
        </w:rPr>
        <w:tab/>
      </w:r>
      <w:r>
        <w:rPr>
          <w:rFonts w:ascii="Arial" w:cs="Arial" w:eastAsia="Arial" w:hAnsi="Arial"/>
          <w:sz w:val="13"/>
          <w:szCs w:val="13"/>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123825</wp:posOffset>
            </wp:positionV>
            <wp:extent cx="2569210" cy="698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2569210" cy="698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-5715</wp:posOffset>
            </wp:positionV>
            <wp:extent cx="387985" cy="698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87985" cy="6985"/>
                    </a:xfrm>
                    <a:prstGeom prst="rect">
                      <a:avLst/>
                    </a:prstGeom>
                    <a:noFill/>
                  </pic:spPr>
                </pic:pic>
              </a:graphicData>
            </a:graphic>
          </wp:anchor>
        </w:drawing>
      </w:r>
    </w:p>
    <w:p>
      <w:pPr>
        <w:spacing w:after="0" w:line="175"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2569210" cy="698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256921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2569210" cy="698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256921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2569210" cy="698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256921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480060</wp:posOffset>
            </wp:positionV>
            <wp:extent cx="7159625" cy="698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160"/>
          </w:cols>
          <w:pgMar w:left="300" w:top="826" w:right="439" w:bottom="1440" w:gutter="0" w:footer="0" w:header="0"/>
        </w:sectPr>
      </w:pPr>
    </w:p>
    <w:bookmarkStart w:id="743" w:name="page744"/>
    <w:bookmarkEnd w:id="743"/>
    <w:p>
      <w:pPr>
        <w:jc w:val="center"/>
        <w:ind w:right="-359"/>
        <w:spacing w:after="0"/>
        <w:rPr>
          <w:sz w:val="20"/>
          <w:szCs w:val="20"/>
          <w:color w:val="auto"/>
        </w:rPr>
      </w:pPr>
      <w:r>
        <w:rPr>
          <w:rFonts w:ascii="Arial" w:cs="Arial" w:eastAsia="Arial" w:hAnsi="Arial"/>
          <w:sz w:val="14"/>
          <w:szCs w:val="14"/>
          <w:b w:val="1"/>
          <w:bCs w:val="1"/>
          <w:color w:val="auto"/>
        </w:rPr>
        <w:t>EXHIBIT J-3</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(For Foreign Participants That Are Partnerships For U.S. Federal Income Tax Purposes)</w:t>
      </w:r>
    </w:p>
    <w:p>
      <w:pPr>
        <w:spacing w:after="0" w:line="199" w:lineRule="exact"/>
        <w:rPr>
          <w:sz w:val="20"/>
          <w:szCs w:val="20"/>
          <w:color w:val="auto"/>
        </w:rPr>
      </w:pPr>
    </w:p>
    <w:p>
      <w:pPr>
        <w:ind w:left="140" w:right="80" w:firstLine="518"/>
        <w:spacing w:after="0" w:line="294" w:lineRule="auto"/>
        <w:rPr>
          <w:sz w:val="20"/>
          <w:szCs w:val="20"/>
          <w:color w:val="auto"/>
        </w:rPr>
      </w:pPr>
      <w:r>
        <w:rPr>
          <w:rFonts w:ascii="Arial" w:cs="Arial" w:eastAsia="Arial" w:hAnsi="Arial"/>
          <w:sz w:val="13"/>
          <w:szCs w:val="13"/>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31" w:lineRule="exact"/>
        <w:rPr>
          <w:sz w:val="20"/>
          <w:szCs w:val="20"/>
          <w:color w:val="auto"/>
        </w:rPr>
      </w:pPr>
    </w:p>
    <w:p>
      <w:pPr>
        <w:ind w:left="140" w:right="200" w:firstLine="518"/>
        <w:spacing w:after="0" w:line="264" w:lineRule="auto"/>
        <w:rPr>
          <w:sz w:val="20"/>
          <w:szCs w:val="20"/>
          <w:color w:val="auto"/>
        </w:rPr>
      </w:pPr>
      <w:r>
        <w:rPr>
          <w:rFonts w:ascii="Arial" w:cs="Arial" w:eastAsia="Arial" w:hAnsi="Arial"/>
          <w:sz w:val="14"/>
          <w:szCs w:val="14"/>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w:t>
      </w:r>
    </w:p>
    <w:p>
      <w:pPr>
        <w:spacing w:after="0" w:line="1" w:lineRule="exact"/>
        <w:rPr>
          <w:sz w:val="20"/>
          <w:szCs w:val="20"/>
          <w:color w:val="auto"/>
        </w:rPr>
      </w:pPr>
    </w:p>
    <w:p>
      <w:pPr>
        <w:ind w:left="140" w:right="60" w:firstLine="9"/>
        <w:spacing w:after="0" w:line="263" w:lineRule="auto"/>
        <w:tabs>
          <w:tab w:leader="none" w:pos="392" w:val="left"/>
        </w:tabs>
        <w:numPr>
          <w:ilvl w:val="0"/>
          <w:numId w:val="553"/>
        </w:numPr>
        <w:rPr>
          <w:rFonts w:ascii="Arial" w:cs="Arial" w:eastAsia="Arial" w:hAnsi="Arial"/>
          <w:sz w:val="14"/>
          <w:szCs w:val="14"/>
          <w:color w:val="auto"/>
        </w:rPr>
      </w:pPr>
      <w:r>
        <w:rPr>
          <w:rFonts w:ascii="Arial" w:cs="Arial" w:eastAsia="Arial" w:hAnsi="Arial"/>
          <w:sz w:val="14"/>
          <w:szCs w:val="14"/>
          <w:color w:val="auto"/>
        </w:rPr>
        <w:t>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59" w:lineRule="exact"/>
        <w:rPr>
          <w:sz w:val="20"/>
          <w:szCs w:val="20"/>
          <w:color w:val="auto"/>
        </w:rPr>
      </w:pPr>
    </w:p>
    <w:p>
      <w:pPr>
        <w:ind w:left="140" w:firstLine="518"/>
        <w:spacing w:after="0" w:line="290" w:lineRule="auto"/>
        <w:rPr>
          <w:sz w:val="20"/>
          <w:szCs w:val="20"/>
          <w:color w:val="auto"/>
        </w:rPr>
      </w:pPr>
      <w:r>
        <w:rPr>
          <w:rFonts w:ascii="Arial" w:cs="Arial" w:eastAsia="Arial" w:hAnsi="Arial"/>
          <w:sz w:val="13"/>
          <w:szCs w:val="13"/>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357" w:lineRule="exact"/>
        <w:rPr>
          <w:sz w:val="20"/>
          <w:szCs w:val="20"/>
          <w:color w:val="auto"/>
        </w:rPr>
      </w:pPr>
    </w:p>
    <w:p>
      <w:pPr>
        <w:spacing w:after="0"/>
        <w:tabs>
          <w:tab w:leader="none" w:pos="900" w:val="left"/>
          <w:tab w:leader="none" w:pos="36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 20_</w:t>
      </w:r>
      <w:r>
        <w:rPr>
          <w:sz w:val="20"/>
          <w:szCs w:val="20"/>
          <w:color w:val="auto"/>
        </w:rPr>
        <w:tab/>
      </w:r>
      <w:r>
        <w:rPr>
          <w:rFonts w:ascii="Arial" w:cs="Arial" w:eastAsia="Arial" w:hAnsi="Arial"/>
          <w:sz w:val="13"/>
          <w:szCs w:val="13"/>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123825</wp:posOffset>
            </wp:positionV>
            <wp:extent cx="2569210" cy="698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2569210" cy="698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-5715</wp:posOffset>
            </wp:positionV>
            <wp:extent cx="387985" cy="698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87985" cy="6985"/>
                    </a:xfrm>
                    <a:prstGeom prst="rect">
                      <a:avLst/>
                    </a:prstGeom>
                    <a:noFill/>
                  </pic:spPr>
                </pic:pic>
              </a:graphicData>
            </a:graphic>
          </wp:anchor>
        </w:drawing>
      </w:r>
    </w:p>
    <w:p>
      <w:pPr>
        <w:spacing w:after="0" w:line="175"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2569210" cy="698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256921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2569210" cy="698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256921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13970</wp:posOffset>
            </wp:positionV>
            <wp:extent cx="2569210" cy="698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256921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60"/>
          </w:cols>
          <w:pgMar w:left="300" w:top="827" w:right="539" w:bottom="1440" w:gutter="0" w:footer="0" w:header="0"/>
        </w:sectPr>
      </w:pPr>
    </w:p>
    <w:bookmarkStart w:id="744" w:name="page745"/>
    <w:bookmarkEnd w:id="744"/>
    <w:p>
      <w:pPr>
        <w:jc w:val="center"/>
        <w:ind w:right="-179"/>
        <w:spacing w:after="0"/>
        <w:rPr>
          <w:sz w:val="20"/>
          <w:szCs w:val="20"/>
          <w:color w:val="auto"/>
        </w:rPr>
      </w:pPr>
      <w:r>
        <w:rPr>
          <w:rFonts w:ascii="Arial" w:cs="Arial" w:eastAsia="Arial" w:hAnsi="Arial"/>
          <w:sz w:val="14"/>
          <w:szCs w:val="14"/>
          <w:b w:val="1"/>
          <w:bCs w:val="1"/>
          <w:color w:val="auto"/>
        </w:rPr>
        <w:t>EXHIBIT J-4</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FORM OF U.S. TAX COMPLIANCE CERTIFICATE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(For Foreign Lenders That Are Partnerships For U.S. Federal Income Tax Purposes)</w:t>
      </w:r>
    </w:p>
    <w:p>
      <w:pPr>
        <w:spacing w:after="0" w:line="199" w:lineRule="exact"/>
        <w:rPr>
          <w:sz w:val="20"/>
          <w:szCs w:val="20"/>
          <w:color w:val="auto"/>
        </w:rPr>
      </w:pPr>
    </w:p>
    <w:p>
      <w:pPr>
        <w:ind w:left="140" w:right="240" w:firstLine="518"/>
        <w:spacing w:after="0" w:line="294" w:lineRule="auto"/>
        <w:rPr>
          <w:sz w:val="20"/>
          <w:szCs w:val="20"/>
          <w:color w:val="auto"/>
        </w:rPr>
      </w:pPr>
      <w:r>
        <w:rPr>
          <w:rFonts w:ascii="Arial" w:cs="Arial" w:eastAsia="Arial" w:hAnsi="Arial"/>
          <w:sz w:val="13"/>
          <w:szCs w:val="13"/>
          <w:color w:val="auto"/>
        </w:rPr>
        <w:t>Reference is hereby made to the Loan and Security Agreement dated as of September 14, 2020 (as amended, supplemented or otherwise modified from time to time, the “Loan Agreement”) by and among CENTURY THERAPEUTICS, LLC, a Delaware limited liability company, and each of its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31" w:lineRule="exact"/>
        <w:rPr>
          <w:sz w:val="20"/>
          <w:szCs w:val="20"/>
          <w:color w:val="auto"/>
        </w:rPr>
      </w:pPr>
    </w:p>
    <w:p>
      <w:pPr>
        <w:jc w:val="both"/>
        <w:ind w:left="140" w:right="20" w:firstLine="518"/>
        <w:spacing w:after="0" w:line="262" w:lineRule="auto"/>
        <w:rPr>
          <w:sz w:val="20"/>
          <w:szCs w:val="20"/>
          <w:color w:val="auto"/>
        </w:rPr>
      </w:pPr>
      <w:r>
        <w:rPr>
          <w:rFonts w:ascii="Arial" w:cs="Arial" w:eastAsia="Arial" w:hAnsi="Arial"/>
          <w:sz w:val="14"/>
          <w:szCs w:val="14"/>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w:t>
      </w:r>
    </w:p>
    <w:p>
      <w:pPr>
        <w:ind w:left="140" w:right="80" w:firstLine="9"/>
        <w:spacing w:after="0" w:line="263" w:lineRule="auto"/>
        <w:tabs>
          <w:tab w:leader="none" w:pos="392" w:val="left"/>
        </w:tabs>
        <w:numPr>
          <w:ilvl w:val="0"/>
          <w:numId w:val="554"/>
        </w:numPr>
        <w:rPr>
          <w:rFonts w:ascii="Arial" w:cs="Arial" w:eastAsia="Arial" w:hAnsi="Arial"/>
          <w:sz w:val="14"/>
          <w:szCs w:val="14"/>
          <w:color w:val="auto"/>
        </w:rPr>
      </w:pPr>
      <w:r>
        <w:rPr>
          <w:rFonts w:ascii="Arial" w:cs="Arial" w:eastAsia="Arial" w:hAnsi="Arial"/>
          <w:sz w:val="14"/>
          <w:szCs w:val="14"/>
          <w:color w:val="auto"/>
        </w:rPr>
        <w:t>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59" w:lineRule="exact"/>
        <w:rPr>
          <w:sz w:val="20"/>
          <w:szCs w:val="20"/>
          <w:color w:val="auto"/>
        </w:rPr>
      </w:pPr>
    </w:p>
    <w:p>
      <w:pPr>
        <w:ind w:left="140" w:firstLine="518"/>
        <w:spacing w:after="0" w:line="290" w:lineRule="auto"/>
        <w:rPr>
          <w:sz w:val="20"/>
          <w:szCs w:val="20"/>
          <w:color w:val="auto"/>
        </w:rPr>
      </w:pPr>
      <w:r>
        <w:rPr>
          <w:rFonts w:ascii="Arial" w:cs="Arial" w:eastAsia="Arial" w:hAnsi="Arial"/>
          <w:sz w:val="13"/>
          <w:szCs w:val="13"/>
          <w:color w:val="auto"/>
        </w:rPr>
        <w:t>The undersigned has furnished the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Unless otherwise defined herein, terms defined in the Loan Agreement and used herein shall have the meanings given to them in the Loan Agreement.</w:t>
      </w:r>
    </w:p>
    <w:p>
      <w:pPr>
        <w:spacing w:after="0" w:line="357" w:lineRule="exact"/>
        <w:rPr>
          <w:sz w:val="20"/>
          <w:szCs w:val="20"/>
          <w:color w:val="auto"/>
        </w:rPr>
      </w:pPr>
    </w:p>
    <w:p>
      <w:pPr>
        <w:spacing w:after="0"/>
        <w:tabs>
          <w:tab w:leader="none" w:pos="900" w:val="left"/>
          <w:tab w:leader="none" w:pos="360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 20_</w:t>
      </w:r>
      <w:r>
        <w:rPr>
          <w:sz w:val="20"/>
          <w:szCs w:val="20"/>
          <w:color w:val="auto"/>
        </w:rPr>
        <w:tab/>
      </w:r>
      <w:r>
        <w:rPr>
          <w:rFonts w:ascii="Arial" w:cs="Arial" w:eastAsia="Arial" w:hAnsi="Arial"/>
          <w:sz w:val="14"/>
          <w:szCs w:val="14"/>
          <w:color w:val="auto"/>
        </w:rPr>
        <w:t>[NAME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123825</wp:posOffset>
            </wp:positionV>
            <wp:extent cx="2740660" cy="698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2740660" cy="6985"/>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-5715</wp:posOffset>
            </wp:positionV>
            <wp:extent cx="387985" cy="698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87985" cy="6985"/>
                    </a:xfrm>
                    <a:prstGeom prst="rect">
                      <a:avLst/>
                    </a:prstGeom>
                    <a:noFill/>
                  </pic:spPr>
                </pic:pic>
              </a:graphicData>
            </a:graphic>
          </wp:anchor>
        </w:drawing>
      </w:r>
    </w:p>
    <w:p>
      <w:pPr>
        <w:spacing w:after="0" w:line="175"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13970</wp:posOffset>
            </wp:positionV>
            <wp:extent cx="2740660" cy="698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274066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13970</wp:posOffset>
            </wp:positionV>
            <wp:extent cx="2740660" cy="698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2740660" cy="6985"/>
                    </a:xfrm>
                    <a:prstGeom prst="rect">
                      <a:avLst/>
                    </a:prstGeom>
                    <a:noFill/>
                  </pic:spPr>
                </pic:pic>
              </a:graphicData>
            </a:graphic>
          </wp:anchor>
        </w:drawing>
      </w:r>
    </w:p>
    <w:p>
      <w:pPr>
        <w:spacing w:after="0" w:line="2"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13970</wp:posOffset>
            </wp:positionV>
            <wp:extent cx="2740660" cy="698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27406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466090</wp:posOffset>
            </wp:positionV>
            <wp:extent cx="7159625" cy="698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20"/>
          </w:cols>
          <w:pgMar w:left="300" w:top="828" w:right="379" w:bottom="1440" w:gutter="0" w:footer="0" w:header="0"/>
        </w:sectPr>
      </w:pPr>
    </w:p>
    <w:bookmarkStart w:id="745" w:name="page746"/>
    <w:bookmarkEnd w:id="745"/>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SCHEDULE 1.1</w:t>
            </w:r>
          </w:p>
        </w:tc>
        <w:tc>
          <w:tcPr>
            <w:tcW w:w="282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6"/>
        </w:trPr>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gridSpan w:val="4"/>
          </w:tcPr>
          <w:p>
            <w:pPr>
              <w:jc w:val="center"/>
              <w:ind w:right="2388"/>
              <w:spacing w:after="0"/>
              <w:rPr>
                <w:sz w:val="20"/>
                <w:szCs w:val="20"/>
                <w:color w:val="auto"/>
              </w:rPr>
            </w:pPr>
            <w:r>
              <w:rPr>
                <w:rFonts w:ascii="Arial" w:cs="Arial" w:eastAsia="Arial" w:hAnsi="Arial"/>
                <w:sz w:val="14"/>
                <w:szCs w:val="14"/>
                <w:b w:val="1"/>
                <w:bCs w:val="1"/>
                <w:color w:val="auto"/>
              </w:rPr>
              <w:t>COMMITMENTS</w:t>
            </w:r>
          </w:p>
        </w:tc>
        <w:tc>
          <w:tcPr>
            <w:tcW w:w="2240" w:type="dxa"/>
            <w:vAlign w:val="bottom"/>
          </w:tcPr>
          <w:p>
            <w:pPr>
              <w:spacing w:after="0"/>
              <w:rPr>
                <w:sz w:val="24"/>
                <w:szCs w:val="24"/>
                <w:color w:val="auto"/>
              </w:rPr>
            </w:pPr>
          </w:p>
        </w:tc>
      </w:tr>
      <w:tr>
        <w:trPr>
          <w:trHeight w:val="356"/>
        </w:trPr>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gridSpan w:val="4"/>
          </w:tcPr>
          <w:p>
            <w:pPr>
              <w:jc w:val="center"/>
              <w:ind w:right="2388"/>
              <w:spacing w:after="0"/>
              <w:rPr>
                <w:sz w:val="20"/>
                <w:szCs w:val="20"/>
                <w:color w:val="auto"/>
              </w:rPr>
            </w:pPr>
            <w:r>
              <w:rPr>
                <w:rFonts w:ascii="Arial" w:cs="Arial" w:eastAsia="Arial" w:hAnsi="Arial"/>
                <w:sz w:val="14"/>
                <w:szCs w:val="14"/>
                <w:b w:val="1"/>
                <w:bCs w:val="1"/>
                <w:color w:val="auto"/>
                <w:w w:val="91"/>
              </w:rPr>
              <w:t>Tranche 1 Advance</w:t>
            </w:r>
          </w:p>
        </w:tc>
        <w:tc>
          <w:tcPr>
            <w:tcW w:w="2240" w:type="dxa"/>
            <w:vAlign w:val="bottom"/>
          </w:tcPr>
          <w:p>
            <w:pPr>
              <w:spacing w:after="0"/>
              <w:rPr>
                <w:sz w:val="24"/>
                <w:szCs w:val="24"/>
                <w:color w:val="auto"/>
              </w:rPr>
            </w:pPr>
          </w:p>
        </w:tc>
      </w:tr>
      <w:tr>
        <w:trPr>
          <w:trHeight w:val="185"/>
        </w:trPr>
        <w:tc>
          <w:tcPr>
            <w:tcW w:w="228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rPr>
              <w:t>LENDER</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TERM COMMITMENT</w:t>
            </w:r>
          </w:p>
        </w:tc>
        <w:tc>
          <w:tcPr>
            <w:tcW w:w="2240" w:type="dxa"/>
            <w:vAlign w:val="bottom"/>
          </w:tcPr>
          <w:p>
            <w:pPr>
              <w:spacing w:after="0"/>
              <w:rPr>
                <w:sz w:val="14"/>
                <w:szCs w:val="14"/>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w w:val="94"/>
              </w:rPr>
              <w:t>Hercules Capital, Inc.</w:t>
            </w: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auto"/>
            </w:tcBorders>
            <w:shd w:val="clear" w:color="auto" w:fill="CCEEFF"/>
          </w:tcPr>
          <w:p>
            <w:pPr>
              <w:spacing w:after="0"/>
              <w:rPr>
                <w:sz w:val="14"/>
                <w:szCs w:val="14"/>
                <w:color w:val="auto"/>
              </w:rPr>
            </w:pPr>
          </w:p>
        </w:tc>
        <w:tc>
          <w:tcPr>
            <w:tcW w:w="33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$10,000,000</w:t>
            </w:r>
          </w:p>
        </w:tc>
        <w:tc>
          <w:tcPr>
            <w:tcW w:w="2240" w:type="dxa"/>
            <w:vAlign w:val="bottom"/>
          </w:tcPr>
          <w:p>
            <w:pPr>
              <w:spacing w:after="0"/>
              <w:rPr>
                <w:sz w:val="14"/>
                <w:szCs w:val="14"/>
                <w:color w:val="auto"/>
              </w:rPr>
            </w:pPr>
          </w:p>
        </w:tc>
      </w:tr>
      <w:tr>
        <w:trPr>
          <w:trHeight w:val="486"/>
        </w:trPr>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gridSpan w:val="4"/>
          </w:tcPr>
          <w:p>
            <w:pPr>
              <w:jc w:val="center"/>
              <w:ind w:right="2388"/>
              <w:spacing w:after="0"/>
              <w:rPr>
                <w:sz w:val="20"/>
                <w:szCs w:val="20"/>
                <w:color w:val="auto"/>
              </w:rPr>
            </w:pPr>
            <w:r>
              <w:rPr>
                <w:rFonts w:ascii="Arial" w:cs="Arial" w:eastAsia="Arial" w:hAnsi="Arial"/>
                <w:sz w:val="14"/>
                <w:szCs w:val="14"/>
                <w:b w:val="1"/>
                <w:bCs w:val="1"/>
                <w:color w:val="auto"/>
                <w:w w:val="91"/>
              </w:rPr>
              <w:t>Tranche 2 Advance</w:t>
            </w:r>
          </w:p>
        </w:tc>
        <w:tc>
          <w:tcPr>
            <w:tcW w:w="2240" w:type="dxa"/>
            <w:vAlign w:val="bottom"/>
          </w:tcPr>
          <w:p>
            <w:pPr>
              <w:spacing w:after="0"/>
              <w:rPr>
                <w:sz w:val="24"/>
                <w:szCs w:val="24"/>
                <w:color w:val="auto"/>
              </w:rPr>
            </w:pPr>
          </w:p>
        </w:tc>
      </w:tr>
      <w:tr>
        <w:trPr>
          <w:trHeight w:val="185"/>
        </w:trPr>
        <w:tc>
          <w:tcPr>
            <w:tcW w:w="228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rPr>
              <w:t>LENDER</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TERM COMMITMENT</w:t>
            </w:r>
          </w:p>
        </w:tc>
        <w:tc>
          <w:tcPr>
            <w:tcW w:w="2240" w:type="dxa"/>
            <w:vAlign w:val="bottom"/>
          </w:tcPr>
          <w:p>
            <w:pPr>
              <w:spacing w:after="0"/>
              <w:rPr>
                <w:sz w:val="14"/>
                <w:szCs w:val="14"/>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w w:val="94"/>
              </w:rPr>
              <w:t>Hercules Capital, Inc.</w:t>
            </w: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auto"/>
            </w:tcBorders>
            <w:shd w:val="clear" w:color="auto" w:fill="CCEEFF"/>
          </w:tcPr>
          <w:p>
            <w:pPr>
              <w:spacing w:after="0"/>
              <w:rPr>
                <w:sz w:val="14"/>
                <w:szCs w:val="14"/>
                <w:color w:val="auto"/>
              </w:rPr>
            </w:pPr>
          </w:p>
        </w:tc>
        <w:tc>
          <w:tcPr>
            <w:tcW w:w="33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$10,000,000</w:t>
            </w:r>
          </w:p>
        </w:tc>
        <w:tc>
          <w:tcPr>
            <w:tcW w:w="2240" w:type="dxa"/>
            <w:vAlign w:val="bottom"/>
          </w:tcPr>
          <w:p>
            <w:pPr>
              <w:spacing w:after="0"/>
              <w:rPr>
                <w:sz w:val="14"/>
                <w:szCs w:val="14"/>
                <w:color w:val="auto"/>
              </w:rPr>
            </w:pPr>
          </w:p>
        </w:tc>
      </w:tr>
      <w:tr>
        <w:trPr>
          <w:trHeight w:val="486"/>
        </w:trPr>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gridSpan w:val="4"/>
          </w:tcPr>
          <w:p>
            <w:pPr>
              <w:jc w:val="center"/>
              <w:ind w:right="2388"/>
              <w:spacing w:after="0"/>
              <w:rPr>
                <w:sz w:val="20"/>
                <w:szCs w:val="20"/>
                <w:color w:val="auto"/>
              </w:rPr>
            </w:pPr>
            <w:r>
              <w:rPr>
                <w:rFonts w:ascii="Arial" w:cs="Arial" w:eastAsia="Arial" w:hAnsi="Arial"/>
                <w:sz w:val="14"/>
                <w:szCs w:val="14"/>
                <w:b w:val="1"/>
                <w:bCs w:val="1"/>
                <w:color w:val="auto"/>
                <w:w w:val="91"/>
              </w:rPr>
              <w:t>Tranche 3 Advance</w:t>
            </w:r>
          </w:p>
        </w:tc>
        <w:tc>
          <w:tcPr>
            <w:tcW w:w="2240" w:type="dxa"/>
            <w:vAlign w:val="bottom"/>
          </w:tcPr>
          <w:p>
            <w:pPr>
              <w:spacing w:after="0"/>
              <w:rPr>
                <w:sz w:val="24"/>
                <w:szCs w:val="24"/>
                <w:color w:val="auto"/>
              </w:rPr>
            </w:pPr>
          </w:p>
        </w:tc>
      </w:tr>
      <w:tr>
        <w:trPr>
          <w:trHeight w:val="185"/>
        </w:trPr>
        <w:tc>
          <w:tcPr>
            <w:tcW w:w="228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rPr>
              <w:t>LENDER</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TERM COMMITMENT</w:t>
            </w:r>
          </w:p>
        </w:tc>
        <w:tc>
          <w:tcPr>
            <w:tcW w:w="2240" w:type="dxa"/>
            <w:vAlign w:val="bottom"/>
          </w:tcPr>
          <w:p>
            <w:pPr>
              <w:spacing w:after="0"/>
              <w:rPr>
                <w:sz w:val="14"/>
                <w:szCs w:val="14"/>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w w:val="94"/>
              </w:rPr>
              <w:t>Hercules Capital, Inc.</w:t>
            </w: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auto"/>
            </w:tcBorders>
            <w:shd w:val="clear" w:color="auto" w:fill="CCEEFF"/>
          </w:tcPr>
          <w:p>
            <w:pPr>
              <w:spacing w:after="0"/>
              <w:rPr>
                <w:sz w:val="14"/>
                <w:szCs w:val="14"/>
                <w:color w:val="auto"/>
              </w:rPr>
            </w:pPr>
          </w:p>
        </w:tc>
        <w:tc>
          <w:tcPr>
            <w:tcW w:w="33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3"/>
              </w:rPr>
              <w:t>$10,000,000*</w:t>
            </w:r>
          </w:p>
        </w:tc>
        <w:tc>
          <w:tcPr>
            <w:tcW w:w="2240" w:type="dxa"/>
            <w:vAlign w:val="bottom"/>
          </w:tcPr>
          <w:p>
            <w:pPr>
              <w:spacing w:after="0"/>
              <w:rPr>
                <w:sz w:val="14"/>
                <w:szCs w:val="14"/>
                <w:color w:val="auto"/>
              </w:rPr>
            </w:pPr>
          </w:p>
        </w:tc>
      </w:tr>
      <w:tr>
        <w:trPr>
          <w:trHeight w:val="173"/>
        </w:trPr>
        <w:tc>
          <w:tcPr>
            <w:tcW w:w="2280" w:type="dxa"/>
            <w:vAlign w:val="bottom"/>
          </w:tcPr>
          <w:p>
            <w:pPr>
              <w:spacing w:after="0"/>
              <w:rPr>
                <w:sz w:val="15"/>
                <w:szCs w:val="15"/>
                <w:color w:val="auto"/>
              </w:rPr>
            </w:pPr>
          </w:p>
        </w:tc>
        <w:tc>
          <w:tcPr>
            <w:tcW w:w="6760" w:type="dxa"/>
            <w:vAlign w:val="bottom"/>
            <w:gridSpan w:val="5"/>
          </w:tcPr>
          <w:p>
            <w:pPr>
              <w:jc w:val="center"/>
              <w:spacing w:after="0"/>
              <w:rPr>
                <w:sz w:val="20"/>
                <w:szCs w:val="20"/>
                <w:color w:val="auto"/>
              </w:rPr>
            </w:pPr>
            <w:r>
              <w:rPr>
                <w:rFonts w:ascii="Arial" w:cs="Arial" w:eastAsia="Arial" w:hAnsi="Arial"/>
                <w:sz w:val="14"/>
                <w:szCs w:val="14"/>
                <w:color w:val="auto"/>
                <w:w w:val="94"/>
              </w:rPr>
              <w:t>*Subject to approval by Lender’s investment committee in its sole discretion</w:t>
            </w:r>
          </w:p>
        </w:tc>
        <w:tc>
          <w:tcPr>
            <w:tcW w:w="2240" w:type="dxa"/>
            <w:vAlign w:val="bottom"/>
          </w:tcPr>
          <w:p>
            <w:pPr>
              <w:spacing w:after="0"/>
              <w:rPr>
                <w:sz w:val="15"/>
                <w:szCs w:val="15"/>
                <w:color w:val="auto"/>
              </w:rPr>
            </w:pPr>
          </w:p>
        </w:tc>
      </w:tr>
      <w:tr>
        <w:trPr>
          <w:trHeight w:val="615"/>
        </w:trPr>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gridSpan w:val="4"/>
          </w:tcPr>
          <w:p>
            <w:pPr>
              <w:jc w:val="center"/>
              <w:ind w:right="2388"/>
              <w:spacing w:after="0"/>
              <w:rPr>
                <w:sz w:val="20"/>
                <w:szCs w:val="20"/>
                <w:color w:val="auto"/>
              </w:rPr>
            </w:pPr>
            <w:r>
              <w:rPr>
                <w:rFonts w:ascii="Arial" w:cs="Arial" w:eastAsia="Arial" w:hAnsi="Arial"/>
                <w:sz w:val="14"/>
                <w:szCs w:val="14"/>
                <w:b w:val="1"/>
                <w:bCs w:val="1"/>
                <w:color w:val="auto"/>
                <w:w w:val="95"/>
              </w:rPr>
              <w:t>Total Term Commitment</w:t>
            </w:r>
          </w:p>
        </w:tc>
        <w:tc>
          <w:tcPr>
            <w:tcW w:w="2240" w:type="dxa"/>
            <w:vAlign w:val="bottom"/>
          </w:tcPr>
          <w:p>
            <w:pPr>
              <w:spacing w:after="0"/>
              <w:rPr>
                <w:sz w:val="24"/>
                <w:szCs w:val="24"/>
                <w:color w:val="auto"/>
              </w:rPr>
            </w:pPr>
          </w:p>
        </w:tc>
      </w:tr>
      <w:tr>
        <w:trPr>
          <w:trHeight w:val="185"/>
        </w:trPr>
        <w:tc>
          <w:tcPr>
            <w:tcW w:w="2280" w:type="dxa"/>
            <w:vAlign w:val="bottom"/>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2240" w:type="dxa"/>
            <w:vAlign w:val="bottom"/>
          </w:tcPr>
          <w:p>
            <w:pPr>
              <w:spacing w:after="0"/>
              <w:rPr>
                <w:sz w:val="16"/>
                <w:szCs w:val="16"/>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rPr>
              <w:t>LENDER</w:t>
            </w: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4"/>
                <w:szCs w:val="14"/>
                <w:b w:val="1"/>
                <w:bCs w:val="1"/>
                <w:color w:val="auto"/>
              </w:rPr>
              <w:t>TERM COMMITMENT</w:t>
            </w:r>
          </w:p>
        </w:tc>
        <w:tc>
          <w:tcPr>
            <w:tcW w:w="2240" w:type="dxa"/>
            <w:vAlign w:val="bottom"/>
          </w:tcPr>
          <w:p>
            <w:pPr>
              <w:spacing w:after="0"/>
              <w:rPr>
                <w:sz w:val="14"/>
                <w:szCs w:val="14"/>
                <w:color w:val="auto"/>
              </w:rPr>
            </w:pPr>
          </w:p>
        </w:tc>
      </w:tr>
      <w:tr>
        <w:trPr>
          <w:trHeight w:val="163"/>
        </w:trPr>
        <w:tc>
          <w:tcPr>
            <w:tcW w:w="2280" w:type="dxa"/>
            <w:vAlign w:val="bottom"/>
            <w:tcBorders>
              <w:right w:val="single" w:sz="8" w:color="auto"/>
            </w:tcBorders>
          </w:tcPr>
          <w:p>
            <w:pPr>
              <w:spacing w:after="0"/>
              <w:rPr>
                <w:sz w:val="14"/>
                <w:szCs w:val="14"/>
                <w:color w:val="auto"/>
              </w:rPr>
            </w:pPr>
          </w:p>
        </w:tc>
        <w:tc>
          <w:tcPr>
            <w:tcW w:w="2480" w:type="dxa"/>
            <w:vAlign w:val="bottom"/>
            <w:tcBorders>
              <w:bottom w:val="single" w:sz="8" w:color="auto"/>
            </w:tcBorders>
            <w:shd w:val="clear" w:color="auto" w:fill="CCEEFF"/>
          </w:tcPr>
          <w:p>
            <w:pPr>
              <w:jc w:val="center"/>
              <w:ind w:left="868"/>
              <w:spacing w:after="0"/>
              <w:rPr>
                <w:sz w:val="20"/>
                <w:szCs w:val="20"/>
                <w:color w:val="auto"/>
              </w:rPr>
            </w:pPr>
            <w:r>
              <w:rPr>
                <w:rFonts w:ascii="Arial" w:cs="Arial" w:eastAsia="Arial" w:hAnsi="Arial"/>
                <w:sz w:val="14"/>
                <w:szCs w:val="14"/>
                <w:color w:val="auto"/>
                <w:w w:val="94"/>
              </w:rPr>
              <w:t>Hercules Capital, Inc.</w:t>
            </w:r>
          </w:p>
        </w:tc>
        <w:tc>
          <w:tcPr>
            <w:tcW w:w="4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auto"/>
            </w:tcBorders>
            <w:shd w:val="clear" w:color="auto" w:fill="CCEEFF"/>
          </w:tcPr>
          <w:p>
            <w:pPr>
              <w:spacing w:after="0"/>
              <w:rPr>
                <w:sz w:val="14"/>
                <w:szCs w:val="14"/>
                <w:color w:val="auto"/>
              </w:rPr>
            </w:pPr>
          </w:p>
        </w:tc>
        <w:tc>
          <w:tcPr>
            <w:tcW w:w="33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3"/>
              </w:rPr>
              <w:t>$30,000,000*</w:t>
            </w:r>
          </w:p>
        </w:tc>
        <w:tc>
          <w:tcPr>
            <w:tcW w:w="2240" w:type="dxa"/>
            <w:vAlign w:val="bottom"/>
          </w:tcPr>
          <w:p>
            <w:pPr>
              <w:spacing w:after="0"/>
              <w:rPr>
                <w:sz w:val="14"/>
                <w:szCs w:val="14"/>
                <w:color w:val="auto"/>
              </w:rPr>
            </w:pPr>
          </w:p>
        </w:tc>
      </w:tr>
      <w:tr>
        <w:trPr>
          <w:trHeight w:val="174"/>
        </w:trPr>
        <w:tc>
          <w:tcPr>
            <w:tcW w:w="2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r>
    </w:tbl>
    <w:p>
      <w:pPr>
        <w:sectPr>
          <w:pgSz w:w="11900" w:h="16838" w:orient="portrait"/>
          <w:cols w:equalWidth="0" w:num="1">
            <w:col w:w="11280"/>
          </w:cols>
          <w:pgMar w:left="300" w:top="821" w:right="319" w:bottom="1440" w:gutter="0" w:footer="0" w:header="0"/>
        </w:sectPr>
      </w:pPr>
    </w:p>
    <w:bookmarkStart w:id="746" w:name="page747"/>
    <w:bookmarkEnd w:id="746"/>
    <w:p>
      <w:pPr>
        <w:ind w:left="5180"/>
        <w:spacing w:after="0"/>
        <w:rPr>
          <w:sz w:val="20"/>
          <w:szCs w:val="20"/>
          <w:color w:val="auto"/>
        </w:rPr>
      </w:pPr>
      <w:r>
        <w:rPr>
          <w:rFonts w:ascii="Arial" w:cs="Arial" w:eastAsia="Arial" w:hAnsi="Arial"/>
          <w:sz w:val="13"/>
          <w:szCs w:val="13"/>
          <w:b w:val="1"/>
          <w:bCs w:val="1"/>
          <w:color w:val="auto"/>
        </w:rPr>
        <w:t>Schedule 1</w:t>
      </w:r>
    </w:p>
    <w:p>
      <w:pPr>
        <w:spacing w:after="0" w:line="37" w:lineRule="exact"/>
        <w:rPr>
          <w:sz w:val="20"/>
          <w:szCs w:val="20"/>
          <w:color w:val="auto"/>
        </w:rPr>
      </w:pPr>
    </w:p>
    <w:p>
      <w:pPr>
        <w:ind w:left="5160"/>
        <w:spacing w:after="0"/>
        <w:rPr>
          <w:sz w:val="20"/>
          <w:szCs w:val="20"/>
          <w:color w:val="auto"/>
        </w:rPr>
      </w:pPr>
      <w:r>
        <w:rPr>
          <w:rFonts w:ascii="Arial" w:cs="Arial" w:eastAsia="Arial" w:hAnsi="Arial"/>
          <w:sz w:val="12"/>
          <w:szCs w:val="12"/>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Canada 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274320</wp:posOffset>
            </wp:positionV>
            <wp:extent cx="7159625" cy="698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19"/>
          </w:cols>
          <w:pgMar w:left="440" w:top="815" w:right="1440" w:bottom="1440" w:gutter="0" w:footer="0" w:header="0"/>
        </w:sectPr>
      </w:pPr>
    </w:p>
    <w:bookmarkStart w:id="747" w:name="page748"/>
    <w:bookmarkEnd w:id="747"/>
    <w:p>
      <w:pPr>
        <w:jc w:val="center"/>
        <w:ind w:right="-1040"/>
        <w:spacing w:after="0"/>
        <w:rPr>
          <w:sz w:val="20"/>
          <w:szCs w:val="20"/>
          <w:color w:val="auto"/>
        </w:rPr>
      </w:pPr>
      <w:r>
        <w:rPr>
          <w:rFonts w:ascii="Arial" w:cs="Arial" w:eastAsia="Arial" w:hAnsi="Arial"/>
          <w:sz w:val="14"/>
          <w:szCs w:val="14"/>
          <w:b w:val="1"/>
          <w:bCs w:val="1"/>
          <w:color w:val="auto"/>
        </w:rPr>
        <w:t>Schedule 1A</w:t>
      </w:r>
    </w:p>
    <w:p>
      <w:pPr>
        <w:spacing w:after="0" w:line="25"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Existing Permitted Indebtedness</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Promissory Note dated as of June 9, 2020, issued by Century Therapeutics Canada ULC in favor of Empirica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240665</wp:posOffset>
            </wp:positionV>
            <wp:extent cx="7159625" cy="698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19"/>
          </w:cols>
          <w:pgMar w:left="440" w:top="816" w:right="1440" w:bottom="1440" w:gutter="0" w:footer="0" w:header="0"/>
        </w:sectPr>
      </w:pPr>
    </w:p>
    <w:bookmarkStart w:id="748" w:name="page749"/>
    <w:bookmarkEnd w:id="748"/>
    <w:p>
      <w:pPr>
        <w:jc w:val="center"/>
        <w:ind w:right="-1020"/>
        <w:spacing w:after="0"/>
        <w:rPr>
          <w:sz w:val="20"/>
          <w:szCs w:val="20"/>
          <w:color w:val="auto"/>
        </w:rPr>
      </w:pPr>
      <w:r>
        <w:rPr>
          <w:rFonts w:ascii="Arial" w:cs="Arial" w:eastAsia="Arial" w:hAnsi="Arial"/>
          <w:sz w:val="14"/>
          <w:szCs w:val="14"/>
          <w:b w:val="1"/>
          <w:bCs w:val="1"/>
          <w:color w:val="auto"/>
        </w:rPr>
        <w:t>Schedule 1B</w:t>
      </w:r>
    </w:p>
    <w:p>
      <w:pPr>
        <w:spacing w:after="0" w:line="25" w:lineRule="exact"/>
        <w:rPr>
          <w:sz w:val="20"/>
          <w:szCs w:val="20"/>
          <w:color w:val="auto"/>
        </w:rPr>
      </w:pPr>
    </w:p>
    <w:p>
      <w:pPr>
        <w:jc w:val="center"/>
        <w:ind w:right="-1020"/>
        <w:spacing w:after="0"/>
        <w:rPr>
          <w:sz w:val="20"/>
          <w:szCs w:val="20"/>
          <w:color w:val="auto"/>
        </w:rPr>
      </w:pPr>
      <w:r>
        <w:rPr>
          <w:rFonts w:ascii="Arial" w:cs="Arial" w:eastAsia="Arial" w:hAnsi="Arial"/>
          <w:sz w:val="13"/>
          <w:szCs w:val="13"/>
          <w:b w:val="1"/>
          <w:bCs w:val="1"/>
          <w:color w:val="auto"/>
        </w:rPr>
        <w:t>Existing Permitted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274320</wp:posOffset>
            </wp:positionV>
            <wp:extent cx="7159625" cy="698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999"/>
          </w:cols>
          <w:pgMar w:left="460" w:top="817" w:right="1440" w:bottom="1440" w:gutter="0" w:footer="0" w:header="0"/>
        </w:sectPr>
      </w:pPr>
    </w:p>
    <w:bookmarkStart w:id="749" w:name="page750"/>
    <w:bookmarkEnd w:id="749"/>
    <w:p>
      <w:pPr>
        <w:jc w:val="center"/>
        <w:ind w:right="-920"/>
        <w:spacing w:after="0"/>
        <w:rPr>
          <w:sz w:val="20"/>
          <w:szCs w:val="20"/>
          <w:color w:val="auto"/>
        </w:rPr>
      </w:pPr>
      <w:r>
        <w:rPr>
          <w:rFonts w:ascii="Arial" w:cs="Arial" w:eastAsia="Arial" w:hAnsi="Arial"/>
          <w:sz w:val="14"/>
          <w:szCs w:val="14"/>
          <w:b w:val="1"/>
          <w:bCs w:val="1"/>
          <w:color w:val="auto"/>
        </w:rPr>
        <w:t>Schedule 1C</w:t>
      </w:r>
    </w:p>
    <w:p>
      <w:pPr>
        <w:spacing w:after="0" w:line="25" w:lineRule="exact"/>
        <w:rPr>
          <w:sz w:val="20"/>
          <w:szCs w:val="20"/>
          <w:color w:val="auto"/>
        </w:rPr>
      </w:pPr>
    </w:p>
    <w:p>
      <w:pPr>
        <w:jc w:val="center"/>
        <w:ind w:right="-960"/>
        <w:spacing w:after="0"/>
        <w:rPr>
          <w:sz w:val="20"/>
          <w:szCs w:val="20"/>
          <w:color w:val="auto"/>
        </w:rPr>
      </w:pPr>
      <w:r>
        <w:rPr>
          <w:rFonts w:ascii="Arial" w:cs="Arial" w:eastAsia="Arial" w:hAnsi="Arial"/>
          <w:sz w:val="13"/>
          <w:szCs w:val="13"/>
          <w:b w:val="1"/>
          <w:bCs w:val="1"/>
          <w:color w:val="auto"/>
        </w:rPr>
        <w:t>Existing Permitted Liens</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274320</wp:posOffset>
            </wp:positionV>
            <wp:extent cx="7159625" cy="698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999"/>
          </w:cols>
          <w:pgMar w:left="460" w:top="816" w:right="1440" w:bottom="1440" w:gutter="0" w:footer="0" w:header="0"/>
        </w:sectPr>
      </w:pPr>
    </w:p>
    <w:bookmarkStart w:id="750" w:name="page751"/>
    <w:bookmarkEnd w:id="750"/>
    <w:p>
      <w:pPr>
        <w:ind w:left="5120"/>
        <w:spacing w:after="0"/>
        <w:rPr>
          <w:sz w:val="20"/>
          <w:szCs w:val="20"/>
          <w:color w:val="auto"/>
        </w:rPr>
      </w:pPr>
      <w:r>
        <w:rPr>
          <w:rFonts w:ascii="Arial" w:cs="Arial" w:eastAsia="Arial" w:hAnsi="Arial"/>
          <w:sz w:val="13"/>
          <w:szCs w:val="13"/>
          <w:b w:val="1"/>
          <w:bCs w:val="1"/>
          <w:color w:val="auto"/>
        </w:rPr>
        <w:t>Schedule 5.3</w:t>
      </w:r>
    </w:p>
    <w:p>
      <w:pPr>
        <w:spacing w:after="0" w:line="37" w:lineRule="exact"/>
        <w:rPr>
          <w:sz w:val="20"/>
          <w:szCs w:val="20"/>
          <w:color w:val="auto"/>
        </w:rPr>
      </w:pPr>
    </w:p>
    <w:p>
      <w:pPr>
        <w:ind w:left="5080"/>
        <w:spacing w:after="0"/>
        <w:rPr>
          <w:sz w:val="20"/>
          <w:szCs w:val="20"/>
          <w:color w:val="auto"/>
        </w:rPr>
      </w:pPr>
      <w:r>
        <w:rPr>
          <w:rFonts w:ascii="Arial" w:cs="Arial" w:eastAsia="Arial" w:hAnsi="Arial"/>
          <w:sz w:val="12"/>
          <w:szCs w:val="12"/>
          <w:b w:val="1"/>
          <w:bCs w:val="1"/>
          <w:color w:val="auto"/>
        </w:rPr>
        <w:t>Consents, Etc.</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274320</wp:posOffset>
            </wp:positionV>
            <wp:extent cx="7159625" cy="698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999"/>
          </w:cols>
          <w:pgMar w:left="460" w:top="815" w:right="1440" w:bottom="1440" w:gutter="0" w:footer="0" w:header="0"/>
        </w:sectPr>
      </w:pPr>
    </w:p>
    <w:bookmarkStart w:id="751" w:name="page752"/>
    <w:bookmarkEnd w:id="751"/>
    <w:p>
      <w:pPr>
        <w:jc w:val="right"/>
        <w:ind w:right="4119"/>
        <w:spacing w:after="0"/>
        <w:rPr>
          <w:sz w:val="20"/>
          <w:szCs w:val="20"/>
          <w:color w:val="auto"/>
        </w:rPr>
      </w:pPr>
      <w:r>
        <w:rPr>
          <w:rFonts w:ascii="Arial" w:cs="Arial" w:eastAsia="Arial" w:hAnsi="Arial"/>
          <w:sz w:val="14"/>
          <w:szCs w:val="14"/>
          <w:b w:val="1"/>
          <w:bCs w:val="1"/>
          <w:color w:val="auto"/>
        </w:rPr>
        <w:t>Schedule 5.8</w:t>
      </w:r>
    </w:p>
    <w:p>
      <w:pPr>
        <w:spacing w:after="0" w:line="25" w:lineRule="exact"/>
        <w:rPr>
          <w:sz w:val="20"/>
          <w:szCs w:val="20"/>
          <w:color w:val="auto"/>
        </w:rPr>
      </w:pPr>
    </w:p>
    <w:p>
      <w:pPr>
        <w:jc w:val="right"/>
        <w:ind w:right="4119"/>
        <w:spacing w:after="0"/>
        <w:rPr>
          <w:sz w:val="20"/>
          <w:szCs w:val="20"/>
          <w:color w:val="auto"/>
        </w:rPr>
      </w:pPr>
      <w:r>
        <w:rPr>
          <w:rFonts w:ascii="Arial" w:cs="Arial" w:eastAsia="Arial" w:hAnsi="Arial"/>
          <w:sz w:val="14"/>
          <w:szCs w:val="14"/>
          <w:b w:val="1"/>
          <w:bCs w:val="1"/>
          <w:color w:val="auto"/>
        </w:rPr>
        <w:t>Tax Matters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274320</wp:posOffset>
            </wp:positionV>
            <wp:extent cx="7159625" cy="698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999"/>
          </w:cols>
          <w:pgMar w:left="460" w:top="816" w:right="1440" w:bottom="1440" w:gutter="0" w:footer="0" w:header="0"/>
        </w:sectPr>
      </w:pPr>
    </w:p>
    <w:bookmarkStart w:id="752" w:name="page753"/>
    <w:bookmarkEnd w:id="752"/>
    <w:p>
      <w:pPr>
        <w:jc w:val="center"/>
        <w:ind w:right="-940"/>
        <w:spacing w:after="0"/>
        <w:rPr>
          <w:sz w:val="20"/>
          <w:szCs w:val="20"/>
          <w:color w:val="auto"/>
        </w:rPr>
      </w:pPr>
      <w:r>
        <w:rPr>
          <w:rFonts w:ascii="Arial" w:cs="Arial" w:eastAsia="Arial" w:hAnsi="Arial"/>
          <w:sz w:val="14"/>
          <w:szCs w:val="14"/>
          <w:b w:val="1"/>
          <w:bCs w:val="1"/>
          <w:color w:val="auto"/>
        </w:rPr>
        <w:t>Schedule 5.9</w:t>
      </w:r>
    </w:p>
    <w:p>
      <w:pPr>
        <w:spacing w:after="0" w:line="25" w:lineRule="exact"/>
        <w:rPr>
          <w:sz w:val="20"/>
          <w:szCs w:val="20"/>
          <w:color w:val="auto"/>
        </w:rPr>
      </w:pPr>
    </w:p>
    <w:p>
      <w:pPr>
        <w:jc w:val="center"/>
        <w:ind w:right="-980"/>
        <w:spacing w:after="0"/>
        <w:rPr>
          <w:sz w:val="20"/>
          <w:szCs w:val="20"/>
          <w:color w:val="auto"/>
        </w:rPr>
      </w:pPr>
      <w:r>
        <w:rPr>
          <w:rFonts w:ascii="Arial" w:cs="Arial" w:eastAsia="Arial" w:hAnsi="Arial"/>
          <w:sz w:val="13"/>
          <w:szCs w:val="13"/>
          <w:b w:val="1"/>
          <w:bCs w:val="1"/>
          <w:color w:val="auto"/>
        </w:rPr>
        <w:t>Intellectual Property Claims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274320</wp:posOffset>
            </wp:positionV>
            <wp:extent cx="7159625" cy="698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999"/>
          </w:cols>
          <w:pgMar w:left="460" w:top="817" w:right="1440" w:bottom="1440" w:gutter="0" w:footer="0" w:header="0"/>
        </w:sectPr>
      </w:pPr>
    </w:p>
    <w:bookmarkStart w:id="753" w:name="page754"/>
    <w:bookmarkEnd w:id="753"/>
    <w:p>
      <w:pPr>
        <w:jc w:val="center"/>
        <w:ind w:right="40"/>
        <w:spacing w:after="0"/>
        <w:rPr>
          <w:sz w:val="20"/>
          <w:szCs w:val="20"/>
          <w:color w:val="auto"/>
        </w:rPr>
      </w:pPr>
      <w:r>
        <w:rPr>
          <w:rFonts w:ascii="Arial" w:cs="Arial" w:eastAsia="Arial" w:hAnsi="Arial"/>
          <w:sz w:val="14"/>
          <w:szCs w:val="14"/>
          <w:b w:val="1"/>
          <w:bCs w:val="1"/>
          <w:color w:val="auto"/>
        </w:rPr>
        <w:t>Schedule 5.10</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Intellectual Property</w:t>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License Agreement (differentiation) by and between the Borrower (as assignee) and FUJIFILM Cellular Dynamics Inc., a Wisconsin corporation, signed September 18, 2018 (</w:t>
      </w:r>
      <w:r>
        <w:rPr>
          <w:rFonts w:ascii="Arial" w:cs="Arial" w:eastAsia="Arial" w:hAnsi="Arial"/>
          <w:sz w:val="13"/>
          <w:szCs w:val="13"/>
          <w:i w:val="1"/>
          <w:iCs w:val="1"/>
          <w:color w:val="auto"/>
        </w:rPr>
        <w:t>exclusive</w:t>
      </w:r>
      <w:r>
        <w:rPr>
          <w:rFonts w:ascii="Arial" w:cs="Arial" w:eastAsia="Arial" w:hAnsi="Arial"/>
          <w:sz w:val="13"/>
          <w:szCs w:val="13"/>
          <w:color w:val="auto"/>
        </w:rPr>
        <w:t>).</w:t>
      </w:r>
    </w:p>
    <w:p>
      <w:pPr>
        <w:spacing w:after="0" w:line="196"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License Agreement (reprogramming) by and between the Borrower (as assignee) and FUJIFILM Cellular Dynamics Inc., a Wisconsin corporation, effective September 18, 2018 (</w:t>
      </w:r>
      <w:r>
        <w:rPr>
          <w:rFonts w:ascii="Arial" w:cs="Arial" w:eastAsia="Arial" w:hAnsi="Arial"/>
          <w:sz w:val="14"/>
          <w:szCs w:val="14"/>
          <w:i w:val="1"/>
          <w:iCs w:val="1"/>
          <w:color w:val="auto"/>
        </w:rPr>
        <w:t>non-exclusive</w:t>
      </w:r>
      <w:r>
        <w:rPr>
          <w:rFonts w:ascii="Arial" w:cs="Arial" w:eastAsia="Arial" w:hAnsi="Arial"/>
          <w:sz w:val="14"/>
          <w:szCs w:val="14"/>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Master Collaboration Agreement by and between the Borrower and FUJIFILM Cellular Dynamics Inc., a Wisconsin corporation, dated as of October 21, 2019.</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Letter Agreement regarding WARF/CDI License Agreement and CDI/Century Sublicense Agreement by and among the Borrower, FUJIFILM Cellular Dynamics Inc., a Wisconsin corporation and Wisconsin Alumni Research Foundation dated as of July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200025</wp:posOffset>
            </wp:positionV>
            <wp:extent cx="7159625" cy="698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040"/>
          </w:cols>
          <w:pgMar w:left="460" w:top="815" w:right="399" w:bottom="1440" w:gutter="0" w:footer="0" w:header="0"/>
        </w:sectPr>
      </w:pPr>
    </w:p>
    <w:bookmarkStart w:id="754" w:name="page755"/>
    <w:bookmarkEnd w:id="754"/>
    <w:p>
      <w:pPr>
        <w:ind w:left="5100"/>
        <w:spacing w:after="0"/>
        <w:rPr>
          <w:sz w:val="20"/>
          <w:szCs w:val="20"/>
          <w:color w:val="auto"/>
        </w:rPr>
      </w:pPr>
      <w:r>
        <w:rPr>
          <w:rFonts w:ascii="Arial" w:cs="Arial" w:eastAsia="Arial" w:hAnsi="Arial"/>
          <w:sz w:val="14"/>
          <w:szCs w:val="14"/>
          <w:b w:val="1"/>
          <w:bCs w:val="1"/>
          <w:color w:val="auto"/>
        </w:rPr>
        <w:t>Schedule 5.11</w:t>
      </w:r>
    </w:p>
    <w:p>
      <w:pPr>
        <w:spacing w:after="0" w:line="25" w:lineRule="exact"/>
        <w:rPr>
          <w:sz w:val="20"/>
          <w:szCs w:val="20"/>
          <w:color w:val="auto"/>
        </w:rPr>
      </w:pPr>
    </w:p>
    <w:p>
      <w:pPr>
        <w:jc w:val="right"/>
        <w:ind w:right="3899"/>
        <w:spacing w:after="0"/>
        <w:rPr>
          <w:sz w:val="20"/>
          <w:szCs w:val="20"/>
          <w:color w:val="auto"/>
        </w:rPr>
      </w:pPr>
      <w:r>
        <w:rPr>
          <w:rFonts w:ascii="Arial" w:cs="Arial" w:eastAsia="Arial" w:hAnsi="Arial"/>
          <w:sz w:val="14"/>
          <w:szCs w:val="14"/>
          <w:b w:val="1"/>
          <w:bCs w:val="1"/>
          <w:color w:val="auto"/>
        </w:rPr>
        <w:t>Borrower Products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274320</wp:posOffset>
            </wp:positionV>
            <wp:extent cx="7159625" cy="698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19"/>
          </w:cols>
          <w:pgMar w:left="440" w:top="817" w:right="1440" w:bottom="1440" w:gutter="0" w:footer="0" w:header="0"/>
        </w:sectPr>
      </w:pPr>
    </w:p>
    <w:bookmarkStart w:id="755" w:name="page756"/>
    <w:bookmarkEnd w:id="755"/>
    <w:p>
      <w:pPr>
        <w:ind w:left="5100"/>
        <w:spacing w:after="0"/>
        <w:rPr>
          <w:sz w:val="20"/>
          <w:szCs w:val="20"/>
          <w:color w:val="auto"/>
        </w:rPr>
      </w:pPr>
      <w:r>
        <w:rPr>
          <w:rFonts w:ascii="Arial" w:cs="Arial" w:eastAsia="Arial" w:hAnsi="Arial"/>
          <w:sz w:val="14"/>
          <w:szCs w:val="14"/>
          <w:b w:val="1"/>
          <w:bCs w:val="1"/>
          <w:color w:val="auto"/>
        </w:rPr>
        <w:t>Schedule 5.13</w:t>
      </w:r>
    </w:p>
    <w:p>
      <w:pPr>
        <w:spacing w:after="0" w:line="25" w:lineRule="exact"/>
        <w:rPr>
          <w:sz w:val="20"/>
          <w:szCs w:val="20"/>
          <w:color w:val="auto"/>
        </w:rPr>
      </w:pPr>
    </w:p>
    <w:p>
      <w:pPr>
        <w:jc w:val="right"/>
        <w:ind w:right="3979"/>
        <w:spacing w:after="0"/>
        <w:rPr>
          <w:sz w:val="20"/>
          <w:szCs w:val="20"/>
          <w:color w:val="auto"/>
        </w:rPr>
      </w:pPr>
      <w:r>
        <w:rPr>
          <w:rFonts w:ascii="Arial" w:cs="Arial" w:eastAsia="Arial" w:hAnsi="Arial"/>
          <w:sz w:val="14"/>
          <w:szCs w:val="14"/>
          <w:b w:val="1"/>
          <w:bCs w:val="1"/>
          <w:color w:val="auto"/>
        </w:rPr>
        <w:t>Employee Loans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274320</wp:posOffset>
            </wp:positionV>
            <wp:extent cx="7159625" cy="698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019"/>
          </w:cols>
          <w:pgMar w:left="440" w:top="816" w:right="1440" w:bottom="1440" w:gutter="0" w:footer="0" w:header="0"/>
        </w:sectPr>
      </w:pPr>
    </w:p>
    <w:bookmarkStart w:id="756" w:name="page757"/>
    <w:bookmarkEnd w:id="756"/>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600" w:type="dxa"/>
            <w:vAlign w:val="bottom"/>
            <w:gridSpan w:val="4"/>
          </w:tcPr>
          <w:p>
            <w:pPr>
              <w:ind w:left="1600"/>
              <w:spacing w:after="0"/>
              <w:rPr>
                <w:sz w:val="20"/>
                <w:szCs w:val="20"/>
                <w:color w:val="auto"/>
              </w:rPr>
            </w:pPr>
            <w:r>
              <w:rPr>
                <w:rFonts w:ascii="Arial" w:cs="Arial" w:eastAsia="Arial" w:hAnsi="Arial"/>
                <w:sz w:val="14"/>
                <w:szCs w:val="14"/>
                <w:b w:val="1"/>
                <w:bCs w:val="1"/>
                <w:color w:val="auto"/>
              </w:rPr>
              <w:t>Schedule 5.14 Capitalization</w:t>
            </w: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90"/>
        </w:trPr>
        <w:tc>
          <w:tcPr>
            <w:tcW w:w="160" w:type="dxa"/>
            <w:vAlign w:val="bottom"/>
          </w:tcPr>
          <w:p>
            <w:pPr>
              <w:spacing w:after="0"/>
              <w:rPr>
                <w:sz w:val="24"/>
                <w:szCs w:val="2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Borrower</w:t>
            </w: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3"/>
        </w:trPr>
        <w:tc>
          <w:tcPr>
            <w:tcW w:w="1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Number of Unit</w:t>
            </w:r>
          </w:p>
        </w:tc>
        <w:tc>
          <w:tcPr>
            <w:tcW w:w="1460" w:type="dxa"/>
            <w:vAlign w:val="bottom"/>
          </w:tcPr>
          <w:p>
            <w:pPr>
              <w:spacing w:after="0"/>
              <w:rPr>
                <w:sz w:val="24"/>
                <w:szCs w:val="24"/>
                <w:color w:val="auto"/>
              </w:rPr>
            </w:pPr>
          </w:p>
        </w:tc>
      </w:tr>
      <w:tr>
        <w:trPr>
          <w:trHeight w:val="187"/>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Record Owners</w:t>
            </w:r>
          </w:p>
        </w:tc>
        <w:tc>
          <w:tcPr>
            <w:tcW w:w="2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4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 of Units</w:t>
            </w: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Equivalents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Ownership</w:t>
            </w:r>
          </w:p>
        </w:tc>
      </w:tr>
      <w:tr>
        <w:trPr>
          <w:trHeight w:val="164"/>
        </w:trPr>
        <w:tc>
          <w:tcPr>
            <w:tcW w:w="320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4"/>
                <w:szCs w:val="14"/>
                <w:color w:val="auto"/>
              </w:rPr>
              <w:t>Century Therapeutics, Inc.</w:t>
            </w:r>
          </w:p>
        </w:tc>
        <w:tc>
          <w:tcPr>
            <w:tcW w:w="20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67,226,891</w:t>
            </w:r>
          </w:p>
        </w:tc>
        <w:tc>
          <w:tcPr>
            <w:tcW w:w="5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73"/>
        </w:trPr>
        <w:tc>
          <w:tcPr>
            <w:tcW w:w="3200" w:type="dxa"/>
            <w:vAlign w:val="bottom"/>
            <w:gridSpan w:val="3"/>
          </w:tcPr>
          <w:p>
            <w:pPr>
              <w:ind w:left="80"/>
              <w:spacing w:after="0"/>
              <w:rPr>
                <w:sz w:val="20"/>
                <w:szCs w:val="20"/>
                <w:color w:val="auto"/>
              </w:rPr>
            </w:pPr>
            <w:r>
              <w:rPr>
                <w:rFonts w:ascii="Arial" w:cs="Arial" w:eastAsia="Arial" w:hAnsi="Arial"/>
                <w:sz w:val="14"/>
                <w:szCs w:val="14"/>
                <w:color w:val="auto"/>
              </w:rPr>
              <w:t>Bayer Healthcare, LLC</w:t>
            </w:r>
          </w:p>
        </w:tc>
        <w:tc>
          <w:tcPr>
            <w:tcW w:w="4040" w:type="dxa"/>
            <w:vAlign w:val="bottom"/>
            <w:gridSpan w:val="3"/>
          </w:tcPr>
          <w:p>
            <w:pPr>
              <w:jc w:val="right"/>
              <w:ind w:right="48"/>
              <w:spacing w:after="0"/>
              <w:rPr>
                <w:sz w:val="20"/>
                <w:szCs w:val="20"/>
                <w:color w:val="auto"/>
              </w:rPr>
            </w:pPr>
            <w:r>
              <w:rPr>
                <w:rFonts w:ascii="Arial" w:cs="Arial" w:eastAsia="Arial" w:hAnsi="Arial"/>
                <w:sz w:val="14"/>
                <w:szCs w:val="14"/>
                <w:color w:val="auto"/>
              </w:rPr>
              <w:t>26,143,790</w:t>
            </w:r>
          </w:p>
        </w:tc>
        <w:tc>
          <w:tcPr>
            <w:tcW w:w="560" w:type="dxa"/>
            <w:vAlign w:val="bottom"/>
          </w:tcPr>
          <w:p>
            <w:pPr>
              <w:spacing w:after="0"/>
              <w:rPr>
                <w:sz w:val="15"/>
                <w:szCs w:val="15"/>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73"/>
        </w:trPr>
        <w:tc>
          <w:tcPr>
            <w:tcW w:w="3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Reserved</w:t>
            </w:r>
          </w:p>
        </w:tc>
        <w:tc>
          <w:tcPr>
            <w:tcW w:w="40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15,598,186</w:t>
            </w:r>
          </w:p>
        </w:tc>
        <w:tc>
          <w:tcPr>
            <w:tcW w:w="5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121,620</w:t>
            </w:r>
          </w:p>
        </w:tc>
        <w:tc>
          <w:tcPr>
            <w:tcW w:w="56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186"/>
        </w:trPr>
        <w:tc>
          <w:tcPr>
            <w:tcW w:w="320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40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108,968,867</w:t>
            </w:r>
          </w:p>
        </w:tc>
        <w:tc>
          <w:tcPr>
            <w:tcW w:w="560" w:type="dxa"/>
            <w:vAlign w:val="bottom"/>
          </w:tcPr>
          <w:p>
            <w:pPr>
              <w:spacing w:after="0"/>
              <w:rPr>
                <w:sz w:val="16"/>
                <w:szCs w:val="16"/>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121,620</w:t>
            </w:r>
          </w:p>
        </w:tc>
        <w:tc>
          <w:tcPr>
            <w:tcW w:w="56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620" w:type="dxa"/>
            <w:vAlign w:val="bottom"/>
            <w:gridSpan w:val="2"/>
          </w:tcPr>
          <w:p>
            <w:pPr>
              <w:spacing w:after="0"/>
              <w:rPr>
                <w:sz w:val="20"/>
                <w:szCs w:val="20"/>
                <w:color w:val="auto"/>
              </w:rPr>
            </w:pPr>
            <w:r>
              <w:rPr>
                <w:rFonts w:ascii="Arial" w:cs="Arial" w:eastAsia="Arial" w:hAnsi="Arial"/>
                <w:sz w:val="14"/>
                <w:szCs w:val="14"/>
                <w:color w:val="auto"/>
              </w:rPr>
              <w:t>Subsidiaries</w:t>
            </w:r>
          </w:p>
        </w:tc>
        <w:tc>
          <w:tcPr>
            <w:tcW w:w="2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79"/>
        </w:trPr>
        <w:tc>
          <w:tcPr>
            <w:tcW w:w="16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592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Subsidiary</w:t>
            </w:r>
          </w:p>
        </w:tc>
        <w:tc>
          <w:tcPr>
            <w:tcW w:w="2480" w:type="dxa"/>
            <w:vAlign w:val="bottom"/>
            <w:tcBorders>
              <w:bottom w:val="single" w:sz="8" w:color="CCEEFF"/>
            </w:tcBorders>
          </w:tcPr>
          <w:p>
            <w:pPr>
              <w:ind w:left="580"/>
              <w:spacing w:after="0"/>
              <w:rPr>
                <w:sz w:val="20"/>
                <w:szCs w:val="20"/>
                <w:color w:val="auto"/>
              </w:rPr>
            </w:pPr>
            <w:r>
              <w:rPr>
                <w:rFonts w:ascii="Arial" w:cs="Arial" w:eastAsia="Arial" w:hAnsi="Arial"/>
                <w:sz w:val="14"/>
                <w:szCs w:val="14"/>
                <w:b w:val="1"/>
                <w:bCs w:val="1"/>
                <w:color w:val="auto"/>
              </w:rPr>
              <w:t>Number of Shares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 Ownership</w:t>
            </w:r>
          </w:p>
        </w:tc>
      </w:tr>
      <w:tr>
        <w:trPr>
          <w:trHeight w:val="175"/>
        </w:trPr>
        <w:tc>
          <w:tcPr>
            <w:tcW w:w="678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Century Therapeutics Canada ULC</w:t>
            </w:r>
          </w:p>
        </w:tc>
        <w:tc>
          <w:tcPr>
            <w:tcW w:w="2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100 shares of common stock</w:t>
            </w:r>
          </w:p>
        </w:tc>
        <w:tc>
          <w:tcPr>
            <w:tcW w:w="202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100%</w:t>
            </w:r>
          </w:p>
        </w:tc>
      </w:tr>
      <w:tr>
        <w:trPr>
          <w:trHeight w:val="529"/>
        </w:trPr>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817" w:right="319" w:bottom="1440" w:gutter="0" w:footer="0" w:header="0"/>
        </w:sectPr>
      </w:pPr>
    </w:p>
    <w:bookmarkStart w:id="757" w:name="page758"/>
    <w:bookmarkEnd w:id="757"/>
    <w:p>
      <w:pPr>
        <w:jc w:val="center"/>
        <w:ind w:right="-960"/>
        <w:spacing w:after="0"/>
        <w:rPr>
          <w:sz w:val="20"/>
          <w:szCs w:val="20"/>
          <w:color w:val="auto"/>
        </w:rPr>
      </w:pPr>
      <w:r>
        <w:rPr>
          <w:rFonts w:ascii="Arial" w:cs="Arial" w:eastAsia="Arial" w:hAnsi="Arial"/>
          <w:sz w:val="14"/>
          <w:szCs w:val="14"/>
          <w:b w:val="1"/>
          <w:bCs w:val="1"/>
          <w:color w:val="auto"/>
        </w:rPr>
        <w:t>Schedule 7.22</w:t>
      </w:r>
    </w:p>
    <w:p>
      <w:pPr>
        <w:spacing w:after="0" w:line="76" w:lineRule="exact"/>
        <w:rPr>
          <w:sz w:val="20"/>
          <w:szCs w:val="20"/>
          <w:color w:val="auto"/>
        </w:rPr>
      </w:pPr>
    </w:p>
    <w:p>
      <w:pPr>
        <w:jc w:val="center"/>
        <w:ind w:right="-960"/>
        <w:spacing w:after="0"/>
        <w:rPr>
          <w:sz w:val="20"/>
          <w:szCs w:val="20"/>
          <w:color w:val="auto"/>
        </w:rPr>
      </w:pPr>
      <w:r>
        <w:rPr>
          <w:rFonts w:ascii="Arial" w:cs="Arial" w:eastAsia="Arial" w:hAnsi="Arial"/>
          <w:sz w:val="12"/>
          <w:szCs w:val="12"/>
          <w:b w:val="1"/>
          <w:bCs w:val="1"/>
          <w:color w:val="auto"/>
        </w:rPr>
        <w:t>Transactions with Affiliates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Shared Services Agreement, to be entered into between the Borrower and Century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123825</wp:posOffset>
            </wp:positionV>
            <wp:extent cx="7159625" cy="698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999"/>
          </w:cols>
          <w:pgMar w:left="460" w:top="815" w:right="1440" w:bottom="1440" w:gutter="0" w:footer="0" w:header="0"/>
        </w:sectPr>
      </w:pPr>
    </w:p>
    <w:bookmarkStart w:id="758" w:name="page759"/>
    <w:bookmarkEnd w:id="758"/>
    <w:p>
      <w:pPr>
        <w:jc w:val="right"/>
        <w:spacing w:after="0"/>
        <w:rPr>
          <w:sz w:val="20"/>
          <w:szCs w:val="20"/>
          <w:color w:val="auto"/>
        </w:rPr>
      </w:pPr>
      <w:r>
        <w:rPr>
          <w:rFonts w:ascii="Arial" w:cs="Arial" w:eastAsia="Arial" w:hAnsi="Arial"/>
          <w:sz w:val="14"/>
          <w:szCs w:val="14"/>
          <w:b w:val="1"/>
          <w:bCs w:val="1"/>
          <w:color w:val="auto"/>
        </w:rPr>
        <w:t>Exhibit 10.27</w:t>
      </w:r>
    </w:p>
    <w:p>
      <w:pPr>
        <w:spacing w:after="0" w:line="188" w:lineRule="exact"/>
        <w:rPr>
          <w:sz w:val="20"/>
          <w:szCs w:val="20"/>
          <w:color w:val="auto"/>
        </w:rPr>
      </w:pPr>
    </w:p>
    <w:p>
      <w:pPr>
        <w:jc w:val="center"/>
        <w:ind w:left="4700" w:right="60" w:hanging="4631"/>
        <w:spacing w:after="0" w:line="288" w:lineRule="auto"/>
        <w:tabs>
          <w:tab w:leader="none" w:pos="425" w:val="left"/>
        </w:tabs>
        <w:numPr>
          <w:ilvl w:val="0"/>
          <w:numId w:val="555"/>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SUBLICENSE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This Sublicense Agreement (together with all exhibits and attachments hereto, this “</w:t>
      </w:r>
      <w:r>
        <w:rPr>
          <w:rFonts w:ascii="Arial" w:cs="Arial" w:eastAsia="Arial" w:hAnsi="Arial"/>
          <w:sz w:val="13"/>
          <w:szCs w:val="13"/>
          <w:b w:val="1"/>
          <w:bCs w:val="1"/>
          <w:color w:val="auto"/>
        </w:rPr>
        <w:t>Agreement</w:t>
      </w:r>
      <w:r>
        <w:rPr>
          <w:rFonts w:ascii="Arial" w:cs="Arial" w:eastAsia="Arial" w:hAnsi="Arial"/>
          <w:sz w:val="13"/>
          <w:szCs w:val="13"/>
          <w:color w:val="auto"/>
        </w:rPr>
        <w:t>”) is made and entered into by and between iCELL Inc. (“</w:t>
      </w:r>
      <w:r>
        <w:rPr>
          <w:rFonts w:ascii="Arial" w:cs="Arial" w:eastAsia="Arial" w:hAnsi="Arial"/>
          <w:sz w:val="13"/>
          <w:szCs w:val="13"/>
          <w:b w:val="1"/>
          <w:bCs w:val="1"/>
          <w:color w:val="auto"/>
        </w:rPr>
        <w:t>Sublicensor</w:t>
      </w:r>
      <w:r>
        <w:rPr>
          <w:rFonts w:ascii="Arial" w:cs="Arial" w:eastAsia="Arial" w:hAnsi="Arial"/>
          <w:sz w:val="13"/>
          <w:szCs w:val="13"/>
          <w:color w:val="auto"/>
        </w:rPr>
        <w:t>”), a Japanese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corporation having a principal place of business at Tokyo Twin Parks 25-26 FL (2505), Higashi Shinbashi 1-10-2, Minato-ku, Tokyo 105-0021 Japan, and Century Therapeutics, LLC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Sublicensee</w:t>
      </w:r>
      <w:r>
        <w:rPr>
          <w:rFonts w:ascii="Arial" w:cs="Arial" w:eastAsia="Arial" w:hAnsi="Arial"/>
          <w:sz w:val="13"/>
          <w:szCs w:val="13"/>
          <w:color w:val="auto"/>
        </w:rPr>
        <w:t>”), a Delaware limited liability company having a principal place of business at 3675 Market St., Philadelphia, PA 19104, effective as of March 20, 2020 (“</w:t>
      </w:r>
      <w:r>
        <w:rPr>
          <w:rFonts w:ascii="Arial" w:cs="Arial" w:eastAsia="Arial" w:hAnsi="Arial"/>
          <w:sz w:val="13"/>
          <w:szCs w:val="13"/>
          <w:b w:val="1"/>
          <w:bCs w:val="1"/>
          <w:color w:val="auto"/>
        </w:rPr>
        <w:t>Effective Date</w:t>
      </w:r>
      <w:r>
        <w:rPr>
          <w:rFonts w:ascii="Arial" w:cs="Arial" w:eastAsia="Arial" w:hAnsi="Arial"/>
          <w:sz w:val="13"/>
          <w:szCs w:val="13"/>
          <w:color w:val="auto"/>
        </w:rPr>
        <w:t>”).</w:t>
      </w:r>
    </w:p>
    <w:p>
      <w:pPr>
        <w:spacing w:after="0" w:line="186" w:lineRule="exact"/>
        <w:rPr>
          <w:sz w:val="20"/>
          <w:szCs w:val="20"/>
          <w:color w:val="auto"/>
        </w:rPr>
      </w:pPr>
    </w:p>
    <w:p>
      <w:pPr>
        <w:ind w:firstLine="518"/>
        <w:spacing w:after="0" w:line="264" w:lineRule="auto"/>
        <w:rPr>
          <w:sz w:val="20"/>
          <w:szCs w:val="20"/>
          <w:color w:val="auto"/>
        </w:rPr>
      </w:pPr>
      <w:r>
        <w:rPr>
          <w:rFonts w:ascii="Arial" w:cs="Arial" w:eastAsia="Arial" w:hAnsi="Arial"/>
          <w:sz w:val="14"/>
          <w:szCs w:val="14"/>
          <w:color w:val="auto"/>
        </w:rPr>
        <w:t>WHEREAS, Sublicensor is party to that Exclusive Licensing Agreement concluded on 08/01/2018 and as amended by that certain Amendment No. I to Exclusive Licensing Agreement concluded as of even date herewith, between Sublicensor and The University of Tokyo</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4"/>
          <w:szCs w:val="14"/>
          <w:b w:val="1"/>
          <w:bCs w:val="1"/>
          <w:color w:val="auto"/>
        </w:rPr>
        <w:t xml:space="preserve">(“UTokyo”) </w:t>
      </w:r>
      <w:r>
        <w:rPr>
          <w:rFonts w:ascii="Arial" w:cs="Arial" w:eastAsia="Arial" w:hAnsi="Arial"/>
          <w:sz w:val="14"/>
          <w:szCs w:val="14"/>
          <w:color w:val="auto"/>
        </w:rPr>
        <w:t>and Todai TLO, Ltd., as may be further amended from time to time</w:t>
      </w:r>
      <w:r>
        <w:rPr>
          <w:rFonts w:ascii="Arial" w:cs="Arial" w:eastAsia="Arial" w:hAnsi="Arial"/>
          <w:sz w:val="14"/>
          <w:szCs w:val="14"/>
          <w:b w:val="1"/>
          <w:bCs w:val="1"/>
          <w:color w:val="auto"/>
        </w:rPr>
        <w:t xml:space="preserve"> (“UTokyo License”), </w:t>
      </w:r>
      <w:r>
        <w:rPr>
          <w:rFonts w:ascii="Arial" w:cs="Arial" w:eastAsia="Arial" w:hAnsi="Arial"/>
          <w:sz w:val="14"/>
          <w:szCs w:val="14"/>
          <w:color w:val="auto"/>
        </w:rPr>
        <w:t>under which Sublicensor was granted a license to certain patents, technology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information; and</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Sublicensor desires to grant to the Sublicensee a sublicense to such patents and technology, subject to the terms of this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and in consideration of the mutual covenants and agreements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contained herein, the parties hereto agree as follows:</w:t>
      </w:r>
    </w:p>
    <w:p>
      <w:pPr>
        <w:spacing w:after="0" w:line="171" w:lineRule="exact"/>
        <w:rPr>
          <w:sz w:val="20"/>
          <w:szCs w:val="20"/>
          <w:color w:val="auto"/>
        </w:rPr>
      </w:pPr>
    </w:p>
    <w:p>
      <w:pPr>
        <w:ind w:left="520" w:hanging="514"/>
        <w:spacing w:after="0"/>
        <w:tabs>
          <w:tab w:leader="none" w:pos="520" w:val="left"/>
        </w:tabs>
        <w:numPr>
          <w:ilvl w:val="0"/>
          <w:numId w:val="556"/>
        </w:numPr>
        <w:rPr>
          <w:rFonts w:ascii="Arial" w:cs="Arial" w:eastAsia="Arial" w:hAnsi="Arial"/>
          <w:sz w:val="14"/>
          <w:szCs w:val="14"/>
          <w:color w:val="auto"/>
        </w:rPr>
      </w:pPr>
      <w:r>
        <w:rPr>
          <w:rFonts w:ascii="Arial" w:cs="Arial" w:eastAsia="Arial" w:hAnsi="Arial"/>
          <w:sz w:val="14"/>
          <w:szCs w:val="14"/>
          <w:b w:val="1"/>
          <w:bCs w:val="1"/>
          <w:color w:val="auto"/>
        </w:rPr>
        <w:t>Definitions</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1.1.</w:t>
      </w:r>
      <w:r>
        <w:rPr>
          <w:rFonts w:ascii="Arial" w:cs="Arial" w:eastAsia="Arial" w:hAnsi="Arial"/>
          <w:sz w:val="13"/>
          <w:szCs w:val="13"/>
          <w:b w:val="1"/>
          <w:bCs w:val="1"/>
          <w:color w:val="auto"/>
        </w:rPr>
        <w:t xml:space="preserve">“Field of Use” </w:t>
      </w:r>
      <w:r>
        <w:rPr>
          <w:rFonts w:ascii="Arial" w:cs="Arial" w:eastAsia="Arial" w:hAnsi="Arial"/>
          <w:sz w:val="13"/>
          <w:szCs w:val="13"/>
          <w:color w:val="auto"/>
        </w:rPr>
        <w:t>shall mean all fields of use.</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1.2.</w:t>
      </w:r>
      <w:r>
        <w:rPr>
          <w:rFonts w:ascii="Arial" w:cs="Arial" w:eastAsia="Arial" w:hAnsi="Arial"/>
          <w:sz w:val="13"/>
          <w:szCs w:val="13"/>
          <w:b w:val="1"/>
          <w:bCs w:val="1"/>
          <w:color w:val="auto"/>
        </w:rPr>
        <w:t xml:space="preserve">“Initiation” </w:t>
      </w:r>
      <w:r>
        <w:rPr>
          <w:rFonts w:ascii="Arial" w:cs="Arial" w:eastAsia="Arial" w:hAnsi="Arial"/>
          <w:sz w:val="13"/>
          <w:szCs w:val="13"/>
          <w:color w:val="auto"/>
        </w:rPr>
        <w:t>shall mean the dosing of the first human subject participating in a clinical trial.</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1.3.</w:t>
      </w:r>
      <w:r>
        <w:rPr>
          <w:rFonts w:ascii="Arial" w:cs="Arial" w:eastAsia="Arial" w:hAnsi="Arial"/>
          <w:sz w:val="13"/>
          <w:szCs w:val="13"/>
          <w:b w:val="1"/>
          <w:bCs w:val="1"/>
          <w:color w:val="auto"/>
        </w:rPr>
        <w:t xml:space="preserve">“Inventors” </w:t>
      </w:r>
      <w:r>
        <w:rPr>
          <w:rFonts w:ascii="Arial" w:cs="Arial" w:eastAsia="Arial" w:hAnsi="Arial"/>
          <w:sz w:val="13"/>
          <w:szCs w:val="13"/>
          <w:color w:val="auto"/>
        </w:rPr>
        <w:t>shall mean the inventors of the Technology Information.</w:t>
      </w:r>
    </w:p>
    <w:p>
      <w:pPr>
        <w:spacing w:after="0" w:line="184" w:lineRule="exact"/>
        <w:rPr>
          <w:rFonts w:ascii="Arial" w:cs="Arial" w:eastAsia="Arial" w:hAnsi="Arial"/>
          <w:sz w:val="14"/>
          <w:szCs w:val="14"/>
          <w:color w:val="auto"/>
        </w:rPr>
      </w:pPr>
    </w:p>
    <w:p>
      <w:pPr>
        <w:ind w:left="1040" w:hanging="518"/>
        <w:spacing w:after="0" w:line="294" w:lineRule="auto"/>
        <w:rPr>
          <w:rFonts w:ascii="Arial" w:cs="Arial" w:eastAsia="Arial" w:hAnsi="Arial"/>
          <w:sz w:val="14"/>
          <w:szCs w:val="14"/>
          <w:color w:val="auto"/>
        </w:rPr>
      </w:pPr>
      <w:r>
        <w:rPr>
          <w:rFonts w:ascii="Arial" w:cs="Arial" w:eastAsia="Arial" w:hAnsi="Arial"/>
          <w:sz w:val="14"/>
          <w:szCs w:val="14"/>
          <w:color w:val="auto"/>
        </w:rPr>
        <w:t>1.4.</w:t>
      </w:r>
      <w:r>
        <w:rPr>
          <w:rFonts w:ascii="Arial" w:cs="Arial" w:eastAsia="Arial" w:hAnsi="Arial"/>
          <w:sz w:val="14"/>
          <w:szCs w:val="14"/>
          <w:b w:val="1"/>
          <w:bCs w:val="1"/>
          <w:color w:val="auto"/>
        </w:rPr>
        <w:t xml:space="preserve">“Licensed Patents” </w:t>
      </w:r>
      <w:r>
        <w:rPr>
          <w:rFonts w:ascii="Arial" w:cs="Arial" w:eastAsia="Arial" w:hAnsi="Arial"/>
          <w:sz w:val="14"/>
          <w:szCs w:val="14"/>
          <w:color w:val="auto"/>
        </w:rPr>
        <w:t>shall mean the patents and applications listed in Exhibit A hereto and any related patents and applications sharing the same priority date as those listed in</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w:t>
      </w:r>
    </w:p>
    <w:p>
      <w:pPr>
        <w:spacing w:after="0" w:line="123" w:lineRule="exact"/>
        <w:rPr>
          <w:rFonts w:ascii="Arial" w:cs="Arial" w:eastAsia="Arial" w:hAnsi="Arial"/>
          <w:sz w:val="14"/>
          <w:szCs w:val="14"/>
          <w:color w:val="auto"/>
        </w:rPr>
      </w:pPr>
    </w:p>
    <w:p>
      <w:pPr>
        <w:ind w:left="1040" w:hanging="518"/>
        <w:spacing w:after="0" w:line="276" w:lineRule="auto"/>
        <w:rPr>
          <w:rFonts w:ascii="Arial" w:cs="Arial" w:eastAsia="Arial" w:hAnsi="Arial"/>
          <w:sz w:val="14"/>
          <w:szCs w:val="14"/>
          <w:color w:val="auto"/>
        </w:rPr>
      </w:pPr>
      <w:r>
        <w:rPr>
          <w:rFonts w:ascii="Arial" w:cs="Arial" w:eastAsia="Arial" w:hAnsi="Arial"/>
          <w:sz w:val="14"/>
          <w:szCs w:val="14"/>
          <w:color w:val="auto"/>
        </w:rPr>
        <w:t>1.5.</w:t>
      </w:r>
      <w:r>
        <w:rPr>
          <w:rFonts w:ascii="Arial" w:cs="Arial" w:eastAsia="Arial" w:hAnsi="Arial"/>
          <w:sz w:val="14"/>
          <w:szCs w:val="14"/>
          <w:b w:val="1"/>
          <w:bCs w:val="1"/>
          <w:color w:val="auto"/>
        </w:rPr>
        <w:t xml:space="preserve">“Licensed Products” </w:t>
      </w:r>
      <w:r>
        <w:rPr>
          <w:rFonts w:ascii="Arial" w:cs="Arial" w:eastAsia="Arial" w:hAnsi="Arial"/>
          <w:sz w:val="14"/>
          <w:szCs w:val="14"/>
          <w:color w:val="auto"/>
        </w:rPr>
        <w:t>shall mean on a country-by-country basis, any product whose manufacture, use, sale, offer for sale, or import which, but for the licenses granted herein,</w:t>
      </w:r>
      <w:r>
        <w:rPr>
          <w:rFonts w:ascii="Arial" w:cs="Arial" w:eastAsia="Arial" w:hAnsi="Arial"/>
          <w:sz w:val="14"/>
          <w:szCs w:val="14"/>
          <w:b w:val="1"/>
          <w:bCs w:val="1"/>
          <w:color w:val="auto"/>
        </w:rPr>
        <w:t xml:space="preserve"> </w:t>
      </w:r>
      <w:r>
        <w:rPr>
          <w:rFonts w:ascii="Arial" w:cs="Arial" w:eastAsia="Arial" w:hAnsi="Arial"/>
          <w:sz w:val="14"/>
          <w:szCs w:val="14"/>
          <w:color w:val="auto"/>
        </w:rPr>
        <w:t>would infringe a Valid Claim of a pending Licensed Patent, were such Licensed Patent to have issued, or a Valid Claim of an issued Licensed Patent in such country in which such product is manufactured, used, sold, offered for sale, or imported.</w:t>
      </w:r>
    </w:p>
    <w:p>
      <w:pPr>
        <w:spacing w:after="0" w:line="135" w:lineRule="exact"/>
        <w:rPr>
          <w:rFonts w:ascii="Arial" w:cs="Arial" w:eastAsia="Arial" w:hAnsi="Arial"/>
          <w:sz w:val="14"/>
          <w:szCs w:val="14"/>
          <w:color w:val="auto"/>
        </w:rPr>
      </w:pPr>
    </w:p>
    <w:p>
      <w:pPr>
        <w:ind w:left="1040" w:hanging="518"/>
        <w:spacing w:after="0" w:line="276" w:lineRule="auto"/>
        <w:rPr>
          <w:rFonts w:ascii="Arial" w:cs="Arial" w:eastAsia="Arial" w:hAnsi="Arial"/>
          <w:sz w:val="14"/>
          <w:szCs w:val="14"/>
          <w:color w:val="auto"/>
        </w:rPr>
      </w:pPr>
      <w:r>
        <w:rPr>
          <w:rFonts w:ascii="Arial" w:cs="Arial" w:eastAsia="Arial" w:hAnsi="Arial"/>
          <w:sz w:val="14"/>
          <w:szCs w:val="14"/>
          <w:color w:val="auto"/>
        </w:rPr>
        <w:t>1.6.</w:t>
      </w:r>
      <w:r>
        <w:rPr>
          <w:rFonts w:ascii="Arial" w:cs="Arial" w:eastAsia="Arial" w:hAnsi="Arial"/>
          <w:sz w:val="14"/>
          <w:szCs w:val="14"/>
          <w:b w:val="1"/>
          <w:bCs w:val="1"/>
          <w:color w:val="auto"/>
        </w:rPr>
        <w:t xml:space="preserve">“Technology Information” </w:t>
      </w:r>
      <w:r>
        <w:rPr>
          <w:rFonts w:ascii="Arial" w:cs="Arial" w:eastAsia="Arial" w:hAnsi="Arial"/>
          <w:sz w:val="14"/>
          <w:szCs w:val="14"/>
          <w:color w:val="auto"/>
        </w:rPr>
        <w:t>shall mean confidential, non-public technology information, technical data, know-how and other information or materials controlled by Sublicensor</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term of this Agreement that is necessary for the development and/or use of the Licensed Products which is provided to Sublicensee by or at the direction of Sublicensor.</w:t>
      </w:r>
    </w:p>
    <w:p>
      <w:pPr>
        <w:spacing w:after="0" w:line="135" w:lineRule="exact"/>
        <w:rPr>
          <w:rFonts w:ascii="Arial" w:cs="Arial" w:eastAsia="Arial" w:hAnsi="Arial"/>
          <w:sz w:val="14"/>
          <w:szCs w:val="14"/>
          <w:color w:val="auto"/>
        </w:rPr>
      </w:pPr>
    </w:p>
    <w:p>
      <w:pPr>
        <w:ind w:left="1040" w:hanging="518"/>
        <w:spacing w:after="0" w:line="294" w:lineRule="auto"/>
        <w:rPr>
          <w:rFonts w:ascii="Arial" w:cs="Arial" w:eastAsia="Arial" w:hAnsi="Arial"/>
          <w:sz w:val="14"/>
          <w:szCs w:val="14"/>
          <w:color w:val="auto"/>
        </w:rPr>
      </w:pPr>
      <w:r>
        <w:rPr>
          <w:rFonts w:ascii="Arial" w:cs="Arial" w:eastAsia="Arial" w:hAnsi="Arial"/>
          <w:sz w:val="14"/>
          <w:szCs w:val="14"/>
          <w:color w:val="auto"/>
        </w:rPr>
        <w:t>1.7.</w:t>
      </w:r>
      <w:r>
        <w:rPr>
          <w:rFonts w:ascii="Arial" w:cs="Arial" w:eastAsia="Arial" w:hAnsi="Arial"/>
          <w:sz w:val="14"/>
          <w:szCs w:val="14"/>
          <w:b w:val="1"/>
          <w:bCs w:val="1"/>
          <w:color w:val="auto"/>
        </w:rPr>
        <w:t xml:space="preserve">“Licensed Territories” </w:t>
      </w:r>
      <w:r>
        <w:rPr>
          <w:rFonts w:ascii="Arial" w:cs="Arial" w:eastAsia="Arial" w:hAnsi="Arial"/>
          <w:sz w:val="14"/>
          <w:szCs w:val="14"/>
          <w:color w:val="auto"/>
        </w:rPr>
        <w:t>shall mean France, Germany, Italy, Japan, Lichtenstein, the Netherlands, Switzerland, the United States, the United Kingdom and any other countries</w:t>
      </w:r>
      <w:r>
        <w:rPr>
          <w:rFonts w:ascii="Arial" w:cs="Arial" w:eastAsia="Arial" w:hAnsi="Arial"/>
          <w:sz w:val="14"/>
          <w:szCs w:val="14"/>
          <w:b w:val="1"/>
          <w:bCs w:val="1"/>
          <w:color w:val="auto"/>
        </w:rPr>
        <w:t xml:space="preserve"> </w:t>
      </w:r>
      <w:r>
        <w:rPr>
          <w:rFonts w:ascii="Arial" w:cs="Arial" w:eastAsia="Arial" w:hAnsi="Arial"/>
          <w:sz w:val="14"/>
          <w:szCs w:val="14"/>
          <w:color w:val="auto"/>
        </w:rPr>
        <w:t>where Valid Claims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7159625" cy="698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759" w:name="page760"/>
    <w:bookmarkEnd w:id="759"/>
    <w:p>
      <w:pPr>
        <w:jc w:val="both"/>
        <w:ind w:left="1034" w:hanging="517"/>
        <w:spacing w:after="0" w:line="269" w:lineRule="auto"/>
        <w:tabs>
          <w:tab w:leader="none" w:pos="1013"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b w:val="1"/>
          <w:bCs w:val="1"/>
          <w:color w:val="auto"/>
        </w:rPr>
        <w:t xml:space="preserve">“Net Sales” </w:t>
      </w:r>
      <w:r>
        <w:rPr>
          <w:rFonts w:ascii="Arial" w:cs="Arial" w:eastAsia="Arial" w:hAnsi="Arial"/>
          <w:sz w:val="14"/>
          <w:szCs w:val="14"/>
          <w:color w:val="auto"/>
        </w:rPr>
        <w:t>shall mean the gross amount actually received by Sublicensee for sales by Sublicensee, its affiliates and sublicensees of a Licensed Product to a third party, less the</w:t>
      </w:r>
      <w:r>
        <w:rPr>
          <w:rFonts w:ascii="Arial" w:cs="Arial" w:eastAsia="Arial" w:hAnsi="Arial"/>
          <w:sz w:val="14"/>
          <w:szCs w:val="14"/>
          <w:b w:val="1"/>
          <w:bCs w:val="1"/>
          <w:color w:val="auto"/>
        </w:rPr>
        <w:t xml:space="preserve"> </w:t>
      </w:r>
      <w:r>
        <w:rPr>
          <w:rFonts w:ascii="Arial" w:cs="Arial" w:eastAsia="Arial" w:hAnsi="Arial"/>
          <w:sz w:val="14"/>
          <w:szCs w:val="14"/>
          <w:color w:val="auto"/>
        </w:rPr>
        <w:t>sum of the following actual and customary deductions where applicable cash, trade or quantity discounts; sales, use, tariff, import/export duties or other excise taxes when included in gross sales; transportation charges; and allowances or credits to customers because of rejections or returns; retroactive price reductions; rebates; and government discounts.</w:t>
      </w:r>
    </w:p>
    <w:p>
      <w:pPr>
        <w:spacing w:after="0" w:line="141" w:lineRule="exact"/>
        <w:rPr>
          <w:sz w:val="20"/>
          <w:szCs w:val="20"/>
          <w:color w:val="auto"/>
        </w:rPr>
      </w:pPr>
    </w:p>
    <w:p>
      <w:pPr>
        <w:jc w:val="both"/>
        <w:ind w:left="1034" w:hanging="517"/>
        <w:spacing w:after="0" w:line="276" w:lineRule="auto"/>
        <w:tabs>
          <w:tab w:leader="none" w:pos="1013"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b w:val="1"/>
          <w:bCs w:val="1"/>
          <w:color w:val="auto"/>
        </w:rPr>
        <w:t xml:space="preserve">“Valid Claim” </w:t>
      </w:r>
      <w:r>
        <w:rPr>
          <w:rFonts w:ascii="Arial" w:cs="Arial" w:eastAsia="Arial" w:hAnsi="Arial"/>
          <w:sz w:val="14"/>
          <w:szCs w:val="14"/>
          <w:color w:val="auto"/>
        </w:rPr>
        <w:t>shall mean, with respect to the patent rights within the Licensed Patents: (a) a claim in an issued patent which has not (i) expired, (ii) been finally adjudicated or</w:t>
      </w:r>
      <w:r>
        <w:rPr>
          <w:rFonts w:ascii="Arial" w:cs="Arial" w:eastAsia="Arial" w:hAnsi="Arial"/>
          <w:sz w:val="14"/>
          <w:szCs w:val="14"/>
          <w:b w:val="1"/>
          <w:bCs w:val="1"/>
          <w:color w:val="auto"/>
        </w:rPr>
        <w:t xml:space="preserve"> </w:t>
      </w:r>
      <w:r>
        <w:rPr>
          <w:rFonts w:ascii="Arial" w:cs="Arial" w:eastAsia="Arial" w:hAnsi="Arial"/>
          <w:sz w:val="14"/>
          <w:szCs w:val="14"/>
          <w:color w:val="auto"/>
        </w:rPr>
        <w:t>admitted as invalid or unenforceable, or (iii) been abandoned; or (b) a claim in a pending application that has not been pending for more than eight (8) years and which is actively being prosecuted.</w:t>
      </w:r>
    </w:p>
    <w:p>
      <w:pPr>
        <w:spacing w:after="0" w:line="135" w:lineRule="exact"/>
        <w:rPr>
          <w:sz w:val="20"/>
          <w:szCs w:val="20"/>
          <w:color w:val="auto"/>
        </w:rPr>
      </w:pPr>
    </w:p>
    <w:p>
      <w:pPr>
        <w:ind w:left="514" w:hanging="514"/>
        <w:spacing w:after="0"/>
        <w:tabs>
          <w:tab w:leader="none" w:pos="514" w:val="left"/>
        </w:tabs>
        <w:numPr>
          <w:ilvl w:val="0"/>
          <w:numId w:val="557"/>
        </w:numPr>
        <w:rPr>
          <w:rFonts w:ascii="Arial" w:cs="Arial" w:eastAsia="Arial" w:hAnsi="Arial"/>
          <w:sz w:val="14"/>
          <w:szCs w:val="14"/>
          <w:color w:val="auto"/>
        </w:rPr>
      </w:pPr>
      <w:r>
        <w:rPr>
          <w:rFonts w:ascii="Arial" w:cs="Arial" w:eastAsia="Arial" w:hAnsi="Arial"/>
          <w:sz w:val="14"/>
          <w:szCs w:val="14"/>
          <w:b w:val="1"/>
          <w:bCs w:val="1"/>
          <w:color w:val="auto"/>
        </w:rPr>
        <w:t>Grant.</w:t>
      </w:r>
    </w:p>
    <w:p>
      <w:pPr>
        <w:spacing w:after="0" w:line="188"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2.1.</w:t>
      </w:r>
      <w:r>
        <w:rPr>
          <w:rFonts w:ascii="Arial" w:cs="Arial" w:eastAsia="Arial" w:hAnsi="Arial"/>
          <w:sz w:val="14"/>
          <w:szCs w:val="14"/>
          <w:u w:val="single" w:color="auto"/>
          <w:color w:val="auto"/>
        </w:rPr>
        <w:t>University of Tokyo License</w:t>
      </w:r>
      <w:r>
        <w:rPr>
          <w:rFonts w:ascii="Arial" w:cs="Arial" w:eastAsia="Arial" w:hAnsi="Arial"/>
          <w:sz w:val="14"/>
          <w:szCs w:val="14"/>
          <w:color w:val="auto"/>
        </w:rPr>
        <w:t>. A copy of the redacted UTokyo License is attached hereto as</w:t>
      </w:r>
      <w:r>
        <w:rPr>
          <w:rFonts w:ascii="Arial" w:cs="Arial" w:eastAsia="Arial" w:hAnsi="Arial"/>
          <w:sz w:val="14"/>
          <w:szCs w:val="14"/>
          <w:u w:val="single" w:color="auto"/>
          <w:color w:val="auto"/>
        </w:rPr>
        <w:t xml:space="preserve"> Schedule 1</w:t>
      </w:r>
      <w:r>
        <w:rPr>
          <w:rFonts w:ascii="Arial" w:cs="Arial" w:eastAsia="Arial" w:hAnsi="Arial"/>
          <w:sz w:val="14"/>
          <w:szCs w:val="14"/>
          <w:color w:val="auto"/>
        </w:rPr>
        <w:t>. Sublicensee acknowledges and agrees that the sublicense granted herein is</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subject to all restrictions, limitations, terms and conditions of the UTokyo License applicable to a sublicensee, including without limitation, Articles 5, 7, 8, 9, 11 and 13 to 16 of the UTokyo License,.</w:t>
      </w:r>
    </w:p>
    <w:p>
      <w:pPr>
        <w:spacing w:after="0" w:line="141" w:lineRule="exact"/>
        <w:rPr>
          <w:rFonts w:ascii="Arial" w:cs="Arial" w:eastAsia="Arial" w:hAnsi="Arial"/>
          <w:sz w:val="14"/>
          <w:szCs w:val="14"/>
          <w:color w:val="auto"/>
        </w:rPr>
      </w:pPr>
    </w:p>
    <w:p>
      <w:pPr>
        <w:ind w:left="1034" w:hanging="518"/>
        <w:spacing w:after="0" w:line="303" w:lineRule="auto"/>
        <w:rPr>
          <w:rFonts w:ascii="Arial" w:cs="Arial" w:eastAsia="Arial" w:hAnsi="Arial"/>
          <w:sz w:val="14"/>
          <w:szCs w:val="14"/>
          <w:color w:val="auto"/>
        </w:rPr>
      </w:pPr>
      <w:r>
        <w:rPr>
          <w:rFonts w:ascii="Arial" w:cs="Arial" w:eastAsia="Arial" w:hAnsi="Arial"/>
          <w:sz w:val="14"/>
          <w:szCs w:val="14"/>
          <w:color w:val="auto"/>
        </w:rPr>
        <w:t>2.2.</w:t>
      </w:r>
      <w:r>
        <w:rPr>
          <w:rFonts w:ascii="Arial" w:cs="Arial" w:eastAsia="Arial" w:hAnsi="Arial"/>
          <w:sz w:val="13"/>
          <w:szCs w:val="13"/>
          <w:u w:val="single" w:color="auto"/>
          <w:color w:val="auto"/>
        </w:rPr>
        <w:t>Sublicense to Licensed Patents</w:t>
      </w:r>
      <w:r>
        <w:rPr>
          <w:rFonts w:ascii="Arial" w:cs="Arial" w:eastAsia="Arial" w:hAnsi="Arial"/>
          <w:sz w:val="13"/>
          <w:szCs w:val="13"/>
          <w:color w:val="auto"/>
        </w:rPr>
        <w:t>. Sublicensor shall, and hereby does, grant to the Sublicensee an exclusive, royalty bearing license under the Licensed Patents (collectively, the</w:t>
      </w:r>
      <w:r>
        <w:rPr>
          <w:rFonts w:ascii="Arial" w:cs="Arial" w:eastAsia="Arial" w:hAnsi="Arial"/>
          <w:sz w:val="13"/>
          <w:szCs w:val="13"/>
          <w:u w:val="single" w:color="auto"/>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Licensed Rights</w:t>
      </w:r>
      <w:r>
        <w:rPr>
          <w:rFonts w:ascii="Arial" w:cs="Arial" w:eastAsia="Arial" w:hAnsi="Arial"/>
          <w:sz w:val="13"/>
          <w:szCs w:val="13"/>
          <w:color w:val="auto"/>
        </w:rPr>
        <w:t>”), with the right to grant sublicenses through multiple tiers, to research, develop, commercialize, make, have made, use, import, offer for sale, and sell Licensed Products in the Licensed Territories during the term of this Agreement in the Field of Use provided, however, that in Japan such license shall be non-exclusive.</w:t>
      </w:r>
    </w:p>
    <w:p>
      <w:pPr>
        <w:spacing w:after="0" w:line="124" w:lineRule="exact"/>
        <w:rPr>
          <w:rFonts w:ascii="Arial" w:cs="Arial" w:eastAsia="Arial" w:hAnsi="Arial"/>
          <w:sz w:val="14"/>
          <w:szCs w:val="14"/>
          <w:color w:val="auto"/>
        </w:rPr>
      </w:pPr>
    </w:p>
    <w:p>
      <w:pPr>
        <w:ind w:left="1034" w:hanging="518"/>
        <w:spacing w:after="0" w:line="294" w:lineRule="auto"/>
        <w:rPr>
          <w:rFonts w:ascii="Arial" w:cs="Arial" w:eastAsia="Arial" w:hAnsi="Arial"/>
          <w:sz w:val="14"/>
          <w:szCs w:val="14"/>
          <w:color w:val="auto"/>
        </w:rPr>
      </w:pPr>
      <w:r>
        <w:rPr>
          <w:rFonts w:ascii="Arial" w:cs="Arial" w:eastAsia="Arial" w:hAnsi="Arial"/>
          <w:sz w:val="14"/>
          <w:szCs w:val="14"/>
          <w:color w:val="auto"/>
        </w:rPr>
        <w:t>2.3.</w:t>
      </w:r>
      <w:r>
        <w:rPr>
          <w:rFonts w:ascii="Arial" w:cs="Arial" w:eastAsia="Arial" w:hAnsi="Arial"/>
          <w:sz w:val="13"/>
          <w:szCs w:val="13"/>
          <w:u w:val="single" w:color="auto"/>
          <w:color w:val="auto"/>
        </w:rPr>
        <w:t xml:space="preserve">Retained Rights. </w:t>
      </w:r>
      <w:r>
        <w:rPr>
          <w:rFonts w:ascii="Arial" w:cs="Arial" w:eastAsia="Arial" w:hAnsi="Arial"/>
          <w:sz w:val="13"/>
          <w:szCs w:val="13"/>
          <w:color w:val="auto"/>
        </w:rPr>
        <w:t>Any provision of this Agreement to the contrary notwithstanding, Sublicensor reserves for itself and UTokyo an irrevocable, nonexclusive, royalty free, license</w:t>
      </w:r>
      <w:r>
        <w:rPr>
          <w:rFonts w:ascii="Arial" w:cs="Arial" w:eastAsia="Arial" w:hAnsi="Arial"/>
          <w:sz w:val="13"/>
          <w:szCs w:val="13"/>
          <w:u w:val="single" w:color="auto"/>
          <w:color w:val="auto"/>
        </w:rPr>
        <w:t xml:space="preserve"> </w:t>
      </w:r>
      <w:r>
        <w:rPr>
          <w:rFonts w:ascii="Arial" w:cs="Arial" w:eastAsia="Arial" w:hAnsi="Arial"/>
          <w:sz w:val="13"/>
          <w:szCs w:val="13"/>
          <w:color w:val="auto"/>
        </w:rPr>
        <w:t>to make and use the Technology Information for their own internal educational and research activities practiced in non-profit research and as part of training and research activities conducted by the Inventors and research collaborators (limited to those belonging to non-profit research institutions) of laboratories that the Inventors may belong to in the future if they are no longer affiliated with UTokyo. Sublicensee shall include such retained rights in any sublicenses it grants in accordance with this Agreement.</w:t>
      </w:r>
    </w:p>
    <w:p>
      <w:pPr>
        <w:spacing w:after="0" w:line="130"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2.4.</w:t>
      </w:r>
      <w:r>
        <w:rPr>
          <w:rFonts w:ascii="Arial" w:cs="Arial" w:eastAsia="Arial" w:hAnsi="Arial"/>
          <w:sz w:val="14"/>
          <w:szCs w:val="14"/>
          <w:u w:val="single" w:color="auto"/>
          <w:color w:val="auto"/>
        </w:rPr>
        <w:t xml:space="preserve">Technical Assistance. </w:t>
      </w:r>
      <w:r>
        <w:rPr>
          <w:rFonts w:ascii="Arial" w:cs="Arial" w:eastAsia="Arial" w:hAnsi="Arial"/>
          <w:sz w:val="14"/>
          <w:szCs w:val="14"/>
          <w:color w:val="auto"/>
        </w:rPr>
        <w:t>Sublicensor shall provide Sublicensee with access (by teleconference or in person at Sublicensor’s facilities) as reasonably requested by Sublicensee to</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Sublicensor’s personnel involved in the research and development of Licensed Products.</w:t>
      </w:r>
    </w:p>
    <w:p>
      <w:pPr>
        <w:spacing w:after="0" w:line="131" w:lineRule="exact"/>
        <w:rPr>
          <w:rFonts w:ascii="Arial" w:cs="Arial" w:eastAsia="Arial" w:hAnsi="Arial"/>
          <w:sz w:val="14"/>
          <w:szCs w:val="14"/>
          <w:color w:val="auto"/>
        </w:rPr>
      </w:pPr>
    </w:p>
    <w:p>
      <w:pPr>
        <w:ind w:left="1034" w:hanging="518"/>
        <w:spacing w:after="0" w:line="267" w:lineRule="auto"/>
        <w:rPr>
          <w:rFonts w:ascii="Arial" w:cs="Arial" w:eastAsia="Arial" w:hAnsi="Arial"/>
          <w:sz w:val="14"/>
          <w:szCs w:val="14"/>
          <w:color w:val="auto"/>
        </w:rPr>
      </w:pPr>
      <w:r>
        <w:rPr>
          <w:rFonts w:ascii="Arial" w:cs="Arial" w:eastAsia="Arial" w:hAnsi="Arial"/>
          <w:sz w:val="14"/>
          <w:szCs w:val="14"/>
          <w:color w:val="auto"/>
        </w:rPr>
        <w:t>2.5.</w:t>
      </w:r>
      <w:r>
        <w:rPr>
          <w:rFonts w:ascii="Arial" w:cs="Arial" w:eastAsia="Arial" w:hAnsi="Arial"/>
          <w:sz w:val="14"/>
          <w:szCs w:val="14"/>
          <w:u w:val="single" w:color="auto"/>
          <w:color w:val="auto"/>
        </w:rPr>
        <w:t>No Sublicense Without Compliance with UTokyo License</w:t>
      </w:r>
      <w:r>
        <w:rPr>
          <w:rFonts w:ascii="Arial" w:cs="Arial" w:eastAsia="Arial" w:hAnsi="Arial"/>
          <w:sz w:val="14"/>
          <w:szCs w:val="14"/>
          <w:color w:val="auto"/>
        </w:rPr>
        <w:t>. Sublicensee may grant sublicenses through multiple tiers under this Agreement, with (i) prior written notice to</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Sublicensor, (ii) the inclusion in such sublicense of all restrictions, limitations, terms and conditions of the UTokyo License applicable to a sublicensee, including without limitation, Articles 5, 7, 8, 9, 11 and 13 to 16 of the UTokyo License, and (iii) UTokyo’s right to confer with Sublicensor if UTokyo determines it has any concerns regarding such sublicensing.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59625" cy="698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1" w:right="319" w:bottom="1440" w:gutter="0" w:footer="0" w:header="0"/>
        </w:sectPr>
      </w:pPr>
    </w:p>
    <w:bookmarkStart w:id="760" w:name="page761"/>
    <w:bookmarkEnd w:id="760"/>
    <w:p>
      <w:pPr>
        <w:ind w:left="514" w:hanging="514"/>
        <w:spacing w:after="0"/>
        <w:tabs>
          <w:tab w:leader="none" w:pos="514" w:val="left"/>
        </w:tabs>
        <w:numPr>
          <w:ilvl w:val="0"/>
          <w:numId w:val="558"/>
        </w:numPr>
        <w:rPr>
          <w:rFonts w:ascii="Arial" w:cs="Arial" w:eastAsia="Arial" w:hAnsi="Arial"/>
          <w:sz w:val="14"/>
          <w:szCs w:val="14"/>
          <w:color w:val="auto"/>
        </w:rPr>
      </w:pPr>
      <w:r>
        <w:rPr>
          <w:rFonts w:ascii="Arial" w:cs="Arial" w:eastAsia="Arial" w:hAnsi="Arial"/>
          <w:sz w:val="14"/>
          <w:szCs w:val="14"/>
          <w:b w:val="1"/>
          <w:bCs w:val="1"/>
          <w:color w:val="auto"/>
        </w:rPr>
        <w:t>Payments.</w:t>
      </w:r>
    </w:p>
    <w:p>
      <w:pPr>
        <w:spacing w:after="0" w:line="184" w:lineRule="exact"/>
        <w:rPr>
          <w:rFonts w:ascii="Arial" w:cs="Arial" w:eastAsia="Arial" w:hAnsi="Arial"/>
          <w:sz w:val="14"/>
          <w:szCs w:val="14"/>
          <w:color w:val="auto"/>
        </w:rPr>
      </w:pPr>
    </w:p>
    <w:p>
      <w:pPr>
        <w:ind w:left="1034" w:hanging="518"/>
        <w:spacing w:after="0" w:line="294" w:lineRule="auto"/>
        <w:rPr>
          <w:rFonts w:ascii="Arial" w:cs="Arial" w:eastAsia="Arial" w:hAnsi="Arial"/>
          <w:sz w:val="14"/>
          <w:szCs w:val="14"/>
          <w:color w:val="auto"/>
        </w:rPr>
      </w:pPr>
      <w:r>
        <w:rPr>
          <w:rFonts w:ascii="Arial" w:cs="Arial" w:eastAsia="Arial" w:hAnsi="Arial"/>
          <w:sz w:val="14"/>
          <w:szCs w:val="14"/>
          <w:color w:val="auto"/>
        </w:rPr>
        <w:t>3.1.</w:t>
      </w:r>
      <w:r>
        <w:rPr>
          <w:rFonts w:ascii="Arial" w:cs="Arial" w:eastAsia="Arial" w:hAnsi="Arial"/>
          <w:sz w:val="14"/>
          <w:szCs w:val="14"/>
          <w:u w:val="single" w:color="auto"/>
          <w:color w:val="auto"/>
        </w:rPr>
        <w:t>License Issue Fee</w:t>
      </w:r>
      <w:r>
        <w:rPr>
          <w:rFonts w:ascii="Arial" w:cs="Arial" w:eastAsia="Arial" w:hAnsi="Arial"/>
          <w:sz w:val="14"/>
          <w:szCs w:val="14"/>
          <w:color w:val="auto"/>
        </w:rPr>
        <w:t>. Sublicensee shall pay Sublicensor a one- time, non-creditable, and non-refundable license issue fee (“</w:t>
      </w:r>
      <w:r>
        <w:rPr>
          <w:rFonts w:ascii="Arial" w:cs="Arial" w:eastAsia="Arial" w:hAnsi="Arial"/>
          <w:sz w:val="14"/>
          <w:szCs w:val="14"/>
          <w:b w:val="1"/>
          <w:bCs w:val="1"/>
          <w:color w:val="auto"/>
        </w:rPr>
        <w:t>License Issue Fee</w:t>
      </w:r>
      <w:r>
        <w:rPr>
          <w:rFonts w:ascii="Arial" w:cs="Arial" w:eastAsia="Arial" w:hAnsi="Arial"/>
          <w:sz w:val="14"/>
          <w:szCs w:val="14"/>
          <w:color w:val="auto"/>
        </w:rPr>
        <w:t>”) of US$100,000, due and payable</w:t>
      </w:r>
      <w:r>
        <w:rPr>
          <w:rFonts w:ascii="Arial" w:cs="Arial" w:eastAsia="Arial" w:hAnsi="Arial"/>
          <w:sz w:val="14"/>
          <w:szCs w:val="14"/>
          <w:u w:val="single" w:color="auto"/>
          <w:color w:val="auto"/>
        </w:rPr>
        <w:t xml:space="preserve"> </w:t>
      </w:r>
      <w:r>
        <w:rPr>
          <w:rFonts w:ascii="Arial" w:cs="Arial" w:eastAsia="Arial" w:hAnsi="Arial"/>
          <w:sz w:val="14"/>
          <w:szCs w:val="14"/>
          <w:color w:val="auto"/>
        </w:rPr>
        <w:t>within five (5) days of the Effective Date.</w:t>
      </w:r>
    </w:p>
    <w:p>
      <w:pPr>
        <w:spacing w:after="0" w:line="123" w:lineRule="exact"/>
        <w:rPr>
          <w:rFonts w:ascii="Arial" w:cs="Arial" w:eastAsia="Arial" w:hAnsi="Arial"/>
          <w:sz w:val="14"/>
          <w:szCs w:val="14"/>
          <w:color w:val="auto"/>
        </w:rPr>
      </w:pPr>
    </w:p>
    <w:p>
      <w:pPr>
        <w:ind w:left="1034" w:hanging="518"/>
        <w:spacing w:after="0" w:line="269" w:lineRule="auto"/>
        <w:rPr>
          <w:rFonts w:ascii="Arial" w:cs="Arial" w:eastAsia="Arial" w:hAnsi="Arial"/>
          <w:sz w:val="14"/>
          <w:szCs w:val="14"/>
          <w:color w:val="auto"/>
        </w:rPr>
      </w:pPr>
      <w:r>
        <w:rPr>
          <w:rFonts w:ascii="Arial" w:cs="Arial" w:eastAsia="Arial" w:hAnsi="Arial"/>
          <w:sz w:val="14"/>
          <w:szCs w:val="14"/>
          <w:color w:val="auto"/>
        </w:rPr>
        <w:t>3.2.</w:t>
      </w:r>
      <w:r>
        <w:rPr>
          <w:rFonts w:ascii="Arial" w:cs="Arial" w:eastAsia="Arial" w:hAnsi="Arial"/>
          <w:sz w:val="14"/>
          <w:szCs w:val="14"/>
          <w:u w:val="single" w:color="auto"/>
          <w:color w:val="auto"/>
        </w:rPr>
        <w:t xml:space="preserve">Earned Royalties. </w:t>
      </w:r>
      <w:r>
        <w:rPr>
          <w:rFonts w:ascii="Arial" w:cs="Arial" w:eastAsia="Arial" w:hAnsi="Arial"/>
          <w:sz w:val="14"/>
          <w:szCs w:val="14"/>
          <w:color w:val="auto"/>
        </w:rPr>
        <w:t>Sublicensee shall pay Sublicensor earned royalties (“</w:t>
      </w:r>
      <w:r>
        <w:rPr>
          <w:rFonts w:ascii="Arial" w:cs="Arial" w:eastAsia="Arial" w:hAnsi="Arial"/>
          <w:sz w:val="14"/>
          <w:szCs w:val="14"/>
          <w:b w:val="1"/>
          <w:bCs w:val="1"/>
          <w:color w:val="auto"/>
        </w:rPr>
        <w:t>Earned Royalties</w:t>
      </w:r>
      <w:r>
        <w:rPr>
          <w:rFonts w:ascii="Arial" w:cs="Arial" w:eastAsia="Arial" w:hAnsi="Arial"/>
          <w:sz w:val="14"/>
          <w:szCs w:val="14"/>
          <w:color w:val="auto"/>
        </w:rPr>
        <w:t>”) on a country-by-country, Licensed Product-by-Licensed Product basis, beginning on</w:t>
      </w:r>
      <w:r>
        <w:rPr>
          <w:rFonts w:ascii="Arial" w:cs="Arial" w:eastAsia="Arial" w:hAnsi="Arial"/>
          <w:sz w:val="14"/>
          <w:szCs w:val="14"/>
          <w:u w:val="single" w:color="auto"/>
          <w:color w:val="auto"/>
        </w:rPr>
        <w:t xml:space="preserve"> </w:t>
      </w:r>
      <w:r>
        <w:rPr>
          <w:rFonts w:ascii="Arial" w:cs="Arial" w:eastAsia="Arial" w:hAnsi="Arial"/>
          <w:sz w:val="14"/>
          <w:szCs w:val="14"/>
          <w:color w:val="auto"/>
        </w:rPr>
        <w:t>the first commercial sale of the first Licensed Product and continuing until the last-to-expire Valid Claim under the Licensed Patents claiming or covering such Licensed Product in such country, in an amount equal to [***] of the Net Sales of such Licensed Product (“</w:t>
      </w:r>
      <w:r>
        <w:rPr>
          <w:rFonts w:ascii="Arial" w:cs="Arial" w:eastAsia="Arial" w:hAnsi="Arial"/>
          <w:sz w:val="14"/>
          <w:szCs w:val="14"/>
          <w:b w:val="1"/>
          <w:bCs w:val="1"/>
          <w:color w:val="auto"/>
        </w:rPr>
        <w:t>Earned Royalty Rate</w:t>
      </w:r>
      <w:r>
        <w:rPr>
          <w:rFonts w:ascii="Arial" w:cs="Arial" w:eastAsia="Arial" w:hAnsi="Arial"/>
          <w:sz w:val="14"/>
          <w:szCs w:val="14"/>
          <w:color w:val="auto"/>
        </w:rPr>
        <w:t>”) in the Field of Use by Sublicensee and its affiliates and sublicensees.</w:t>
      </w:r>
    </w:p>
    <w:p>
      <w:pPr>
        <w:spacing w:after="0" w:line="145"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3.3.</w:t>
      </w:r>
      <w:r>
        <w:rPr>
          <w:rFonts w:ascii="Arial" w:cs="Arial" w:eastAsia="Arial" w:hAnsi="Arial"/>
          <w:sz w:val="14"/>
          <w:szCs w:val="14"/>
          <w:u w:val="single" w:color="auto"/>
          <w:color w:val="auto"/>
        </w:rPr>
        <w:t>Additional Earned Royalties</w:t>
      </w:r>
      <w:r>
        <w:rPr>
          <w:rFonts w:ascii="Arial" w:cs="Arial" w:eastAsia="Arial" w:hAnsi="Arial"/>
          <w:sz w:val="14"/>
          <w:szCs w:val="14"/>
          <w:color w:val="auto"/>
        </w:rPr>
        <w:t>. In addition to the Earned Royalties to be paid in accordance with Section 3.2 above, Sublicensee shall pay Sublicensor additional sales milestone</w:t>
      </w:r>
      <w:r>
        <w:rPr>
          <w:rFonts w:ascii="Arial" w:cs="Arial" w:eastAsia="Arial" w:hAnsi="Arial"/>
          <w:sz w:val="14"/>
          <w:szCs w:val="14"/>
          <w:u w:val="single" w:color="auto"/>
          <w:color w:val="auto"/>
        </w:rPr>
        <w:t xml:space="preserve"> </w:t>
      </w:r>
      <w:r>
        <w:rPr>
          <w:rFonts w:ascii="Arial" w:cs="Arial" w:eastAsia="Arial" w:hAnsi="Arial"/>
          <w:sz w:val="14"/>
          <w:szCs w:val="14"/>
          <w:color w:val="auto"/>
        </w:rPr>
        <w:t>achievement payments (“</w:t>
      </w:r>
      <w:r>
        <w:rPr>
          <w:rFonts w:ascii="Arial" w:cs="Arial" w:eastAsia="Arial" w:hAnsi="Arial"/>
          <w:sz w:val="14"/>
          <w:szCs w:val="14"/>
          <w:b w:val="1"/>
          <w:bCs w:val="1"/>
          <w:color w:val="auto"/>
        </w:rPr>
        <w:t>Additional Earned Royalties</w:t>
      </w:r>
      <w:r>
        <w:rPr>
          <w:rFonts w:ascii="Arial" w:cs="Arial" w:eastAsia="Arial" w:hAnsi="Arial"/>
          <w:sz w:val="14"/>
          <w:szCs w:val="14"/>
          <w:color w:val="auto"/>
        </w:rPr>
        <w:t>”) on a country-by-country basis until the last-to-expire Valid Claim under the Licensed Patents claiming or covering Licensed Products, in the below amounts as additional one time payments based on achievement of Net Sales of Licensed Products as follows:</w:t>
      </w:r>
    </w:p>
    <w:p>
      <w:pPr>
        <w:spacing w:after="0" w:line="141"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3.3.1. If aggregate single calendar year Net Sales of all Licensed Products by Sublicensee and its affiliates and sublicensees in the Licensed Territories exceed [***] for the first time, Sublicensee will make a one-time payment to Sublicensor of an Additional Earned Royalty equal to [***] (solely for purposes of the UTokyo License, calculated at [***].</w:t>
      </w:r>
    </w:p>
    <w:p>
      <w:pPr>
        <w:spacing w:after="0" w:line="141"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3.3.2. If aggregate single calendar year Net Sales of all Licensed Products by Sublicensee and its affiliates and sublicensees in the Licensed Territories exceed [***] for the first time, Sublicensee will make a one-time payment to Sublicensor of an Additional Earned Royalty equal to [***] (solely for purposes of the UTokyo License, calculated at [***]).</w:t>
      </w:r>
    </w:p>
    <w:p>
      <w:pPr>
        <w:spacing w:after="0" w:line="141"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3.3.3. If aggregate single calendar year Net Sales of all Licensed Products by Sublicensee and its affiliates and sublicensees in the Licensed Territories exceed [***] for the first time, Sublicensee will make a one-time payment to Sublicensor of an Additional Earned Royalty equal to [***] (solely for purposes of the UTokyo License, calculated at [***]).</w:t>
      </w:r>
    </w:p>
    <w:p>
      <w:pPr>
        <w:spacing w:after="0" w:line="141" w:lineRule="exact"/>
        <w:rPr>
          <w:sz w:val="20"/>
          <w:szCs w:val="20"/>
          <w:color w:val="auto"/>
        </w:rPr>
      </w:pPr>
    </w:p>
    <w:p>
      <w:pPr>
        <w:jc w:val="both"/>
        <w:ind w:left="1034"/>
        <w:spacing w:after="0" w:line="267" w:lineRule="auto"/>
        <w:rPr>
          <w:sz w:val="20"/>
          <w:szCs w:val="20"/>
          <w:color w:val="auto"/>
        </w:rPr>
      </w:pPr>
      <w:r>
        <w:rPr>
          <w:rFonts w:ascii="Arial" w:cs="Arial" w:eastAsia="Arial" w:hAnsi="Arial"/>
          <w:sz w:val="14"/>
          <w:szCs w:val="14"/>
          <w:color w:val="auto"/>
        </w:rPr>
        <w:t>3.3.4. Each of the royalty payments set forth above in subsections 3.3.1, 3.3.2, 3.3.3 is payable only once and only upon the first achievement of the applicable sales event for aggregate Net Sales of all Licensed Products as set forth above in subsections 3.3.1, 3.3.2, and 3.3.3 in the Licensed Territories, with no amounts due for subsequent or repeated achievements of such sales. For clarity, in no event shall Sublicensee be required to pay Sublicensor more than an aggregate of Seventy Million U.S. Dollars ($70,000,000) as Additional Earned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59625" cy="698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2" w:right="319" w:bottom="1440" w:gutter="0" w:footer="0" w:header="0"/>
        </w:sectPr>
      </w:pPr>
    </w:p>
    <w:bookmarkStart w:id="761" w:name="page762"/>
    <w:bookmarkEnd w:id="761"/>
    <w:p>
      <w:pPr>
        <w:ind w:left="1040" w:hanging="517"/>
        <w:spacing w:after="0" w:line="288" w:lineRule="auto"/>
        <w:tabs>
          <w:tab w:leader="none" w:pos="10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u w:val="single" w:color="auto"/>
          <w:color w:val="auto"/>
        </w:rPr>
        <w:t xml:space="preserve">Late Payments. </w:t>
      </w:r>
      <w:r>
        <w:rPr>
          <w:rFonts w:ascii="Arial" w:cs="Arial" w:eastAsia="Arial" w:hAnsi="Arial"/>
          <w:sz w:val="14"/>
          <w:szCs w:val="14"/>
          <w:color w:val="auto"/>
        </w:rPr>
        <w:t>If any payment due hereunder that is not subject to a good faith dispute is not paid when due for reasons attributable to Sublicensee and/or its affiliates and</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sublicensees such payment shall be subject to a late charge from the date due until paid calculated at the rate of [***] per year.</w:t>
      </w:r>
    </w:p>
    <w:p>
      <w:pPr>
        <w:spacing w:after="0" w:line="13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2"/>
          <w:szCs w:val="12"/>
          <w:u w:val="single" w:color="auto"/>
          <w:color w:val="auto"/>
        </w:rPr>
        <w:t>Earned Royalties in Case of Challenge of the Licensed Patents</w:t>
      </w:r>
      <w:r>
        <w:rPr>
          <w:rFonts w:ascii="Arial" w:cs="Arial" w:eastAsia="Arial" w:hAnsi="Arial"/>
          <w:sz w:val="12"/>
          <w:szCs w:val="12"/>
          <w:color w:val="auto"/>
        </w:rPr>
        <w:t>. Should the Sublicensee challenge the validity of any of the Licensed Patents:</w:t>
      </w:r>
    </w:p>
    <w:p>
      <w:pPr>
        <w:spacing w:after="0" w:line="184" w:lineRule="exact"/>
        <w:rPr>
          <w:sz w:val="20"/>
          <w:szCs w:val="20"/>
          <w:color w:val="auto"/>
        </w:rPr>
      </w:pPr>
    </w:p>
    <w:p>
      <w:pPr>
        <w:ind w:left="1040"/>
        <w:spacing w:after="0" w:line="288" w:lineRule="auto"/>
        <w:rPr>
          <w:sz w:val="20"/>
          <w:szCs w:val="20"/>
          <w:color w:val="auto"/>
        </w:rPr>
      </w:pPr>
      <w:r>
        <w:rPr>
          <w:rFonts w:ascii="Arial" w:cs="Arial" w:eastAsia="Arial" w:hAnsi="Arial"/>
          <w:sz w:val="14"/>
          <w:szCs w:val="14"/>
          <w:color w:val="auto"/>
        </w:rPr>
        <w:t>3.5.1. Provided that the outcome of such action be that any claim of a Patent Right challenged by Sublicensee is both valid and infringed by a Licensed Product, Sublicensee will pay Earned Royalties to the Sublicensor at the rate of 3x the then current Earned Royalty Rate of the Net Sales of all such Licensed Products sold;</w:t>
      </w:r>
    </w:p>
    <w:p>
      <w:pPr>
        <w:spacing w:after="0" w:line="132" w:lineRule="exact"/>
        <w:rPr>
          <w:sz w:val="20"/>
          <w:szCs w:val="20"/>
          <w:color w:val="auto"/>
        </w:rPr>
      </w:pPr>
    </w:p>
    <w:p>
      <w:pPr>
        <w:ind w:left="1040"/>
        <w:spacing w:after="0"/>
        <w:tabs>
          <w:tab w:leader="none" w:pos="1520" w:val="left"/>
        </w:tabs>
        <w:rPr>
          <w:sz w:val="20"/>
          <w:szCs w:val="20"/>
          <w:color w:val="auto"/>
        </w:rPr>
      </w:pPr>
      <w:r>
        <w:rPr>
          <w:rFonts w:ascii="Arial" w:cs="Arial" w:eastAsia="Arial" w:hAnsi="Arial"/>
          <w:sz w:val="14"/>
          <w:szCs w:val="14"/>
          <w:color w:val="auto"/>
        </w:rPr>
        <w:t>3.5.2.</w:t>
      </w:r>
      <w:r>
        <w:rPr>
          <w:sz w:val="20"/>
          <w:szCs w:val="20"/>
          <w:color w:val="auto"/>
        </w:rPr>
        <w:tab/>
      </w:r>
      <w:r>
        <w:rPr>
          <w:rFonts w:ascii="Arial" w:cs="Arial" w:eastAsia="Arial" w:hAnsi="Arial"/>
          <w:sz w:val="13"/>
          <w:szCs w:val="13"/>
          <w:color w:val="auto"/>
        </w:rPr>
        <w:t>Sublicensee will have no right to recoup expenses paid before or during the challenge; and</w:t>
      </w:r>
    </w:p>
    <w:p>
      <w:pPr>
        <w:spacing w:after="0" w:line="184" w:lineRule="exact"/>
        <w:rPr>
          <w:sz w:val="20"/>
          <w:szCs w:val="20"/>
          <w:color w:val="auto"/>
        </w:rPr>
      </w:pPr>
    </w:p>
    <w:p>
      <w:pPr>
        <w:ind w:left="1040"/>
        <w:spacing w:after="0" w:line="288" w:lineRule="auto"/>
        <w:rPr>
          <w:sz w:val="20"/>
          <w:szCs w:val="20"/>
          <w:color w:val="auto"/>
        </w:rPr>
      </w:pPr>
      <w:r>
        <w:rPr>
          <w:rFonts w:ascii="Arial" w:cs="Arial" w:eastAsia="Arial" w:hAnsi="Arial"/>
          <w:sz w:val="14"/>
          <w:szCs w:val="14"/>
          <w:color w:val="auto"/>
        </w:rPr>
        <w:t>3.5.3. Any dispute over the validity of the Sublicensor’s (or its licensor’s) Licensed Patents will be litigated in the courts located in California. The parties agree not to challenge personal jurisdiction in that forum.</w:t>
      </w:r>
    </w:p>
    <w:p>
      <w:pPr>
        <w:spacing w:after="0" w:line="128" w:lineRule="exact"/>
        <w:rPr>
          <w:sz w:val="20"/>
          <w:szCs w:val="20"/>
          <w:color w:val="auto"/>
        </w:rPr>
      </w:pPr>
    </w:p>
    <w:p>
      <w:pPr>
        <w:ind w:left="520" w:hanging="514"/>
        <w:spacing w:after="0"/>
        <w:tabs>
          <w:tab w:leader="none" w:pos="520" w:val="left"/>
        </w:tabs>
        <w:numPr>
          <w:ilvl w:val="0"/>
          <w:numId w:val="559"/>
        </w:numPr>
        <w:rPr>
          <w:rFonts w:ascii="Arial" w:cs="Arial" w:eastAsia="Arial" w:hAnsi="Arial"/>
          <w:sz w:val="14"/>
          <w:szCs w:val="14"/>
          <w:color w:val="auto"/>
        </w:rPr>
      </w:pPr>
      <w:r>
        <w:rPr>
          <w:rFonts w:ascii="Arial" w:cs="Arial" w:eastAsia="Arial" w:hAnsi="Arial"/>
          <w:sz w:val="14"/>
          <w:szCs w:val="14"/>
          <w:b w:val="1"/>
          <w:bCs w:val="1"/>
          <w:color w:val="auto"/>
        </w:rPr>
        <w:t>Development and Regulatory Approval Milestones and find other Obligations.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Sublicensee shall pay Sublicensor the applicable milestone achievement payment set forth below within thirty (30) days after the first achievement of: each development and regulatory approval milestone event described below by or on behalf of Sublicensee or its affiliates or sublicensees.</w:t>
      </w:r>
    </w:p>
    <w:p>
      <w:pPr>
        <w:spacing w:after="0" w:line="122" w:lineRule="exact"/>
        <w:rPr>
          <w:sz w:val="20"/>
          <w:szCs w:val="20"/>
          <w:color w:val="auto"/>
        </w:rPr>
      </w:pPr>
    </w:p>
    <w:tbl>
      <w:tblPr>
        <w:tblLayout w:type="fixed"/>
        <w:tblInd w:w="2270" w:type="dxa"/>
        <w:tblCellMar>
          <w:top w:w="0" w:type="dxa"/>
          <w:left w:w="0" w:type="dxa"/>
          <w:bottom w:w="0" w:type="dxa"/>
          <w:right w:w="0" w:type="dxa"/>
        </w:tblCellMar>
      </w:tblPr>
      <w:tr>
        <w:trPr>
          <w:trHeight w:val="151"/>
        </w:trPr>
        <w:tc>
          <w:tcPr>
            <w:tcW w:w="80" w:type="dxa"/>
            <w:vAlign w:val="bottom"/>
            <w:tcBorders>
              <w:top w:val="single" w:sz="8" w:color="auto"/>
              <w:left w:val="single" w:sz="8" w:color="auto"/>
            </w:tcBorders>
          </w:tcPr>
          <w:p>
            <w:pPr>
              <w:spacing w:after="0"/>
              <w:rPr>
                <w:sz w:val="13"/>
                <w:szCs w:val="13"/>
                <w:color w:val="auto"/>
              </w:rPr>
            </w:pPr>
          </w:p>
        </w:tc>
        <w:tc>
          <w:tcPr>
            <w:tcW w:w="4000" w:type="dxa"/>
            <w:vAlign w:val="bottom"/>
            <w:tcBorders>
              <w:top w:val="single" w:sz="8" w:color="auto"/>
              <w:right w:val="single" w:sz="8" w:color="auto"/>
            </w:tcBorders>
            <w:gridSpan w:val="3"/>
          </w:tcPr>
          <w:p>
            <w:pPr>
              <w:spacing w:after="0" w:line="151" w:lineRule="exact"/>
              <w:rPr>
                <w:sz w:val="20"/>
                <w:szCs w:val="20"/>
                <w:color w:val="auto"/>
              </w:rPr>
            </w:pPr>
            <w:r>
              <w:rPr>
                <w:rFonts w:ascii="Arial" w:cs="Arial" w:eastAsia="Arial" w:hAnsi="Arial"/>
                <w:sz w:val="14"/>
                <w:szCs w:val="14"/>
                <w:color w:val="auto"/>
              </w:rPr>
              <w:t>Development and Regulatory Approval</w:t>
            </w:r>
          </w:p>
        </w:tc>
        <w:tc>
          <w:tcPr>
            <w:tcW w:w="60" w:type="dxa"/>
            <w:vAlign w:val="bottom"/>
            <w:tcBorders>
              <w:top w:val="single" w:sz="8" w:color="auto"/>
            </w:tcBorders>
          </w:tcPr>
          <w:p>
            <w:pPr>
              <w:spacing w:after="0"/>
              <w:rPr>
                <w:sz w:val="13"/>
                <w:szCs w:val="13"/>
                <w:color w:val="auto"/>
              </w:rPr>
            </w:pPr>
          </w:p>
        </w:tc>
        <w:tc>
          <w:tcPr>
            <w:tcW w:w="2640" w:type="dxa"/>
            <w:vAlign w:val="bottom"/>
            <w:tcBorders>
              <w:top w:val="single" w:sz="8" w:color="auto"/>
              <w:right w:val="single" w:sz="8" w:color="auto"/>
            </w:tcBorders>
            <w:gridSpan w:val="2"/>
          </w:tcPr>
          <w:p>
            <w:pPr>
              <w:spacing w:after="0" w:line="151" w:lineRule="exact"/>
              <w:rPr>
                <w:sz w:val="20"/>
                <w:szCs w:val="20"/>
                <w:color w:val="auto"/>
              </w:rPr>
            </w:pPr>
            <w:r>
              <w:rPr>
                <w:rFonts w:ascii="Arial" w:cs="Arial" w:eastAsia="Arial" w:hAnsi="Arial"/>
                <w:sz w:val="14"/>
                <w:szCs w:val="14"/>
                <w:color w:val="auto"/>
              </w:rPr>
              <w:t>Milestone Payment</w:t>
            </w:r>
          </w:p>
        </w:tc>
      </w:tr>
      <w:tr>
        <w:trPr>
          <w:trHeight w:val="153"/>
        </w:trPr>
        <w:tc>
          <w:tcPr>
            <w:tcW w:w="80" w:type="dxa"/>
            <w:vAlign w:val="bottom"/>
            <w:tcBorders>
              <w:left w:val="single" w:sz="8" w:color="auto"/>
            </w:tcBorders>
          </w:tcPr>
          <w:p>
            <w:pPr>
              <w:spacing w:after="0"/>
              <w:rPr>
                <w:sz w:val="13"/>
                <w:szCs w:val="13"/>
                <w:color w:val="auto"/>
              </w:rPr>
            </w:pPr>
          </w:p>
        </w:tc>
        <w:tc>
          <w:tcPr>
            <w:tcW w:w="228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color w:val="auto"/>
              </w:rPr>
              <w:t>Milestone Event</w:t>
            </w:r>
          </w:p>
        </w:tc>
        <w:tc>
          <w:tcPr>
            <w:tcW w:w="17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r>
      <w:tr>
        <w:trPr>
          <w:trHeight w:val="156"/>
        </w:trPr>
        <w:tc>
          <w:tcPr>
            <w:tcW w:w="1040" w:type="dxa"/>
            <w:vAlign w:val="bottom"/>
            <w:tcBorders>
              <w:left w:val="single" w:sz="8" w:color="auto"/>
              <w:bottom w:val="single" w:sz="8" w:color="auto"/>
            </w:tcBorders>
            <w:gridSpan w:val="2"/>
          </w:tcPr>
          <w:p>
            <w:pPr>
              <w:ind w:left="80"/>
              <w:spacing w:after="0" w:line="156"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gridSpan w:val="2"/>
          </w:tcPr>
          <w:p>
            <w:pPr>
              <w:ind w:left="60"/>
              <w:spacing w:after="0" w:line="156"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3"/>
                <w:szCs w:val="13"/>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bl>
    <w:p>
      <w:pPr>
        <w:spacing w:after="0" w:line="1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Each of the milestone payments set forth above will be payable only once under this Agreement regardless of how many times the corresponding milestone event is achieved by or on behalf of Sublicensee or its affiliates or sublicensees, with respect to one or more Licensed Products. For the avoidance of doubt, in no event would Sublicensee be required to pay Sublicensor more than an aggregate of [***] in development and regulatory approval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59625" cy="698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62" w:name="page763"/>
    <w:bookmarkEnd w:id="762"/>
    <w:p>
      <w:pPr>
        <w:ind w:left="514" w:hanging="514"/>
        <w:spacing w:after="0"/>
        <w:tabs>
          <w:tab w:leader="none" w:pos="514" w:val="left"/>
        </w:tabs>
        <w:numPr>
          <w:ilvl w:val="0"/>
          <w:numId w:val="560"/>
        </w:numPr>
        <w:rPr>
          <w:rFonts w:ascii="Arial" w:cs="Arial" w:eastAsia="Arial" w:hAnsi="Arial"/>
          <w:sz w:val="14"/>
          <w:szCs w:val="14"/>
          <w:color w:val="auto"/>
        </w:rPr>
      </w:pPr>
      <w:r>
        <w:rPr>
          <w:rFonts w:ascii="Arial" w:cs="Arial" w:eastAsia="Arial" w:hAnsi="Arial"/>
          <w:sz w:val="14"/>
          <w:szCs w:val="14"/>
          <w:b w:val="1"/>
          <w:bCs w:val="1"/>
          <w:color w:val="auto"/>
        </w:rPr>
        <w:t>Records.</w:t>
      </w:r>
    </w:p>
    <w:p>
      <w:pPr>
        <w:spacing w:after="0" w:line="188"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5.1.</w:t>
      </w:r>
      <w:r>
        <w:rPr>
          <w:rFonts w:ascii="Arial" w:cs="Arial" w:eastAsia="Arial" w:hAnsi="Arial"/>
          <w:sz w:val="14"/>
          <w:szCs w:val="14"/>
          <w:u w:val="single" w:color="auto"/>
          <w:color w:val="auto"/>
        </w:rPr>
        <w:t>Maintenance of Records</w:t>
      </w:r>
      <w:r>
        <w:rPr>
          <w:rFonts w:ascii="Arial" w:cs="Arial" w:eastAsia="Arial" w:hAnsi="Arial"/>
          <w:sz w:val="14"/>
          <w:szCs w:val="14"/>
          <w:color w:val="auto"/>
        </w:rPr>
        <w:t>. During the term of this Agreement, Sublicensee shall maintain, and require its affiliates and sublicensees to maintain, complete and accurate records of</w:t>
      </w:r>
      <w:r>
        <w:rPr>
          <w:rFonts w:ascii="Arial" w:cs="Arial" w:eastAsia="Arial" w:hAnsi="Arial"/>
          <w:sz w:val="14"/>
          <w:szCs w:val="14"/>
          <w:u w:val="single" w:color="auto"/>
          <w:color w:val="auto"/>
        </w:rPr>
        <w:t xml:space="preserve"> </w:t>
      </w:r>
      <w:r>
        <w:rPr>
          <w:rFonts w:ascii="Arial" w:cs="Arial" w:eastAsia="Arial" w:hAnsi="Arial"/>
          <w:sz w:val="14"/>
          <w:szCs w:val="14"/>
          <w:color w:val="auto"/>
        </w:rPr>
        <w:t>Licensed Products made, had made, used, offered for sale, imported, or sold under this Agreement, and any amounts payable to Sublicensor in relation to such Licensed Products.</w:t>
      </w:r>
    </w:p>
    <w:p>
      <w:pPr>
        <w:spacing w:after="0" w:line="141"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5.2.</w:t>
      </w:r>
      <w:r>
        <w:rPr>
          <w:rFonts w:ascii="Arial" w:cs="Arial" w:eastAsia="Arial" w:hAnsi="Arial"/>
          <w:sz w:val="14"/>
          <w:szCs w:val="14"/>
          <w:u w:val="single" w:color="auto"/>
          <w:color w:val="auto"/>
        </w:rPr>
        <w:t>Annual Statement</w:t>
      </w:r>
      <w:r>
        <w:rPr>
          <w:rFonts w:ascii="Arial" w:cs="Arial" w:eastAsia="Arial" w:hAnsi="Arial"/>
          <w:sz w:val="14"/>
          <w:szCs w:val="14"/>
          <w:color w:val="auto"/>
        </w:rPr>
        <w:t>. Not later than March 1 of each calendar year, Sublicensee shall furnish to Sublicensor a statement showing the Net Sales for each Licensed Product by</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Sublicensee and/or its affiliates and sublicensees during the immediate preceding calendar year or portion thereof, and the Earned Royalties payable thereon calculated in such manner.</w:t>
      </w:r>
    </w:p>
    <w:p>
      <w:pPr>
        <w:spacing w:after="0" w:line="141" w:lineRule="exact"/>
        <w:rPr>
          <w:rFonts w:ascii="Arial" w:cs="Arial" w:eastAsia="Arial" w:hAnsi="Arial"/>
          <w:sz w:val="14"/>
          <w:szCs w:val="14"/>
          <w:color w:val="auto"/>
        </w:rPr>
      </w:pPr>
    </w:p>
    <w:p>
      <w:pPr>
        <w:ind w:left="1034" w:hanging="518"/>
        <w:spacing w:after="0" w:line="262" w:lineRule="auto"/>
        <w:rPr>
          <w:rFonts w:ascii="Arial" w:cs="Arial" w:eastAsia="Arial" w:hAnsi="Arial"/>
          <w:sz w:val="14"/>
          <w:szCs w:val="14"/>
          <w:color w:val="auto"/>
        </w:rPr>
      </w:pPr>
      <w:r>
        <w:rPr>
          <w:rFonts w:ascii="Arial" w:cs="Arial" w:eastAsia="Arial" w:hAnsi="Arial"/>
          <w:sz w:val="14"/>
          <w:szCs w:val="14"/>
          <w:color w:val="auto"/>
        </w:rPr>
        <w:t>5.3.</w:t>
      </w:r>
      <w:r>
        <w:rPr>
          <w:rFonts w:ascii="Arial" w:cs="Arial" w:eastAsia="Arial" w:hAnsi="Arial"/>
          <w:sz w:val="14"/>
          <w:szCs w:val="14"/>
          <w:u w:val="single" w:color="auto"/>
          <w:color w:val="auto"/>
        </w:rPr>
        <w:t>Retention of Records and Audit Rights</w:t>
      </w:r>
      <w:r>
        <w:rPr>
          <w:rFonts w:ascii="Arial" w:cs="Arial" w:eastAsia="Arial" w:hAnsi="Arial"/>
          <w:sz w:val="14"/>
          <w:szCs w:val="14"/>
          <w:color w:val="auto"/>
        </w:rPr>
        <w:t>. Sublicensee shall retain such records relating to a given calendar year for at least five (5) years after the conclusion of that calendar year,</w:t>
      </w:r>
      <w:r>
        <w:rPr>
          <w:rFonts w:ascii="Arial" w:cs="Arial" w:eastAsia="Arial" w:hAnsi="Arial"/>
          <w:sz w:val="14"/>
          <w:szCs w:val="14"/>
          <w:u w:val="single" w:color="auto"/>
          <w:color w:val="auto"/>
        </w:rPr>
        <w:t xml:space="preserve"> </w:t>
      </w:r>
      <w:r>
        <w:rPr>
          <w:rFonts w:ascii="Arial" w:cs="Arial" w:eastAsia="Arial" w:hAnsi="Arial"/>
          <w:sz w:val="14"/>
          <w:szCs w:val="14"/>
          <w:color w:val="auto"/>
        </w:rPr>
        <w:t>during which time Sublicensor shall have the right, at its expense, to cause an independent, certified public accountant to inspect and audit such records during normal business hours and upon fourteen (14) business days</w:t>
      </w:r>
    </w:p>
    <w:p>
      <w:pPr>
        <w:jc w:val="both"/>
        <w:ind w:left="1034"/>
        <w:spacing w:after="0" w:line="277" w:lineRule="auto"/>
        <w:rPr>
          <w:rFonts w:ascii="Arial" w:cs="Arial" w:eastAsia="Arial" w:hAnsi="Arial"/>
          <w:sz w:val="14"/>
          <w:szCs w:val="14"/>
          <w:color w:val="auto"/>
        </w:rPr>
      </w:pPr>
      <w:r>
        <w:rPr>
          <w:rFonts w:ascii="Arial" w:cs="Arial" w:eastAsia="Arial" w:hAnsi="Arial"/>
          <w:sz w:val="13"/>
          <w:szCs w:val="13"/>
          <w:color w:val="auto"/>
        </w:rPr>
        <w:t>prior written notice to Sublicensee for the sole purpose of verifying any reports and payments delivered under this Agreement. Such accountant shall not disclose to Sublicensor any information other than information relating to the accuracy of reports and payments delivered under this Agreement. The parties shall reconcile any underpayment within</w:t>
      </w:r>
    </w:p>
    <w:p>
      <w:pPr>
        <w:jc w:val="both"/>
        <w:ind w:left="1034" w:firstLine="2"/>
        <w:spacing w:after="0" w:line="263" w:lineRule="auto"/>
        <w:tabs>
          <w:tab w:leader="none" w:pos="1385" w:val="left"/>
        </w:tabs>
        <w:numPr>
          <w:ilvl w:val="1"/>
          <w:numId w:val="560"/>
        </w:numPr>
        <w:rPr>
          <w:rFonts w:ascii="Arial" w:cs="Arial" w:eastAsia="Arial" w:hAnsi="Arial"/>
          <w:sz w:val="14"/>
          <w:szCs w:val="14"/>
          <w:color w:val="auto"/>
        </w:rPr>
      </w:pPr>
      <w:r>
        <w:rPr>
          <w:rFonts w:ascii="Arial" w:cs="Arial" w:eastAsia="Arial" w:hAnsi="Arial"/>
          <w:sz w:val="14"/>
          <w:szCs w:val="14"/>
          <w:color w:val="auto"/>
        </w:rPr>
        <w:t>after such accountant delivers the results of the audit. Sublicensee shall also immediately pay to Sublicensor a late payment charge calculated at an annual rate of [***] of the unpaid total for the number of days from the date following the payment deadline to the date of payment. In the event that any audit performed under this Article 5 reveals an underpayment in excess of [***] in any calendar year, Sublicensee shall bear the full cost of such audit. In the event that any audit performed under this Article 5 reveals an overpayment in excess of [***] in any calendar year, Sublicensor shall bear the full cost of such audit.</w:t>
      </w:r>
    </w:p>
    <w:p>
      <w:pPr>
        <w:spacing w:after="0" w:line="143" w:lineRule="exact"/>
        <w:rPr>
          <w:rFonts w:ascii="Arial" w:cs="Arial" w:eastAsia="Arial" w:hAnsi="Arial"/>
          <w:sz w:val="14"/>
          <w:szCs w:val="14"/>
          <w:color w:val="auto"/>
        </w:rPr>
      </w:pPr>
    </w:p>
    <w:p>
      <w:pPr>
        <w:ind w:left="514" w:hanging="514"/>
        <w:spacing w:after="0"/>
        <w:tabs>
          <w:tab w:leader="none" w:pos="514" w:val="left"/>
        </w:tabs>
        <w:numPr>
          <w:ilvl w:val="0"/>
          <w:numId w:val="560"/>
        </w:numPr>
        <w:rPr>
          <w:rFonts w:ascii="Arial" w:cs="Arial" w:eastAsia="Arial" w:hAnsi="Arial"/>
          <w:sz w:val="14"/>
          <w:szCs w:val="14"/>
          <w:color w:val="auto"/>
        </w:rPr>
      </w:pPr>
      <w:r>
        <w:rPr>
          <w:rFonts w:ascii="Arial" w:cs="Arial" w:eastAsia="Arial" w:hAnsi="Arial"/>
          <w:sz w:val="14"/>
          <w:szCs w:val="14"/>
          <w:b w:val="1"/>
          <w:bCs w:val="1"/>
          <w:color w:val="auto"/>
        </w:rPr>
        <w:t>Instituting Infringement Actions.</w:t>
      </w:r>
    </w:p>
    <w:p>
      <w:pPr>
        <w:spacing w:after="0" w:line="188"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6.1.</w:t>
      </w:r>
      <w:r>
        <w:rPr>
          <w:rFonts w:ascii="Arial" w:cs="Arial" w:eastAsia="Arial" w:hAnsi="Arial"/>
          <w:sz w:val="14"/>
          <w:szCs w:val="14"/>
          <w:u w:val="single" w:color="auto"/>
          <w:color w:val="auto"/>
        </w:rPr>
        <w:t>Duty to Notify</w:t>
      </w:r>
      <w:r>
        <w:rPr>
          <w:rFonts w:ascii="Arial" w:cs="Arial" w:eastAsia="Arial" w:hAnsi="Arial"/>
          <w:sz w:val="14"/>
          <w:szCs w:val="14"/>
          <w:color w:val="auto"/>
        </w:rPr>
        <w:t>. Sublicensee shall promptly notify Sublicensor of any alleged infringement of the Licensed Patents by a third party and of any available evidence of such</w:t>
      </w:r>
      <w:r>
        <w:rPr>
          <w:rFonts w:ascii="Arial" w:cs="Arial" w:eastAsia="Arial" w:hAnsi="Arial"/>
          <w:sz w:val="14"/>
          <w:szCs w:val="14"/>
          <w:u w:val="single" w:color="auto"/>
          <w:color w:val="auto"/>
        </w:rPr>
        <w:t xml:space="preserve"> </w:t>
      </w:r>
      <w:r>
        <w:rPr>
          <w:rFonts w:ascii="Arial" w:cs="Arial" w:eastAsia="Arial" w:hAnsi="Arial"/>
          <w:sz w:val="14"/>
          <w:szCs w:val="14"/>
          <w:color w:val="auto"/>
        </w:rPr>
        <w:t>infringement.</w:t>
      </w:r>
    </w:p>
    <w:p>
      <w:pPr>
        <w:spacing w:after="0" w:line="131" w:lineRule="exact"/>
        <w:rPr>
          <w:rFonts w:ascii="Arial" w:cs="Arial" w:eastAsia="Arial" w:hAnsi="Arial"/>
          <w:sz w:val="14"/>
          <w:szCs w:val="14"/>
          <w:color w:val="auto"/>
        </w:rPr>
      </w:pPr>
    </w:p>
    <w:p>
      <w:pPr>
        <w:ind w:left="1034" w:hanging="518"/>
        <w:spacing w:after="0" w:line="263" w:lineRule="auto"/>
        <w:rPr>
          <w:rFonts w:ascii="Arial" w:cs="Arial" w:eastAsia="Arial" w:hAnsi="Arial"/>
          <w:sz w:val="14"/>
          <w:szCs w:val="14"/>
          <w:color w:val="auto"/>
        </w:rPr>
      </w:pPr>
      <w:r>
        <w:rPr>
          <w:rFonts w:ascii="Arial" w:cs="Arial" w:eastAsia="Arial" w:hAnsi="Arial"/>
          <w:sz w:val="14"/>
          <w:szCs w:val="14"/>
          <w:color w:val="auto"/>
        </w:rPr>
        <w:t>6.2.</w:t>
      </w:r>
      <w:r>
        <w:rPr>
          <w:rFonts w:ascii="Arial" w:cs="Arial" w:eastAsia="Arial" w:hAnsi="Arial"/>
          <w:sz w:val="14"/>
          <w:szCs w:val="14"/>
          <w:u w:val="single" w:color="auto"/>
          <w:color w:val="auto"/>
        </w:rPr>
        <w:t>Sublicensee’s Right to Institute Infringement Suit</w:t>
      </w:r>
      <w:r>
        <w:rPr>
          <w:rFonts w:ascii="Arial" w:cs="Arial" w:eastAsia="Arial" w:hAnsi="Arial"/>
          <w:sz w:val="14"/>
          <w:szCs w:val="14"/>
          <w:color w:val="auto"/>
        </w:rPr>
        <w:t>. If the infringing activity has not be abated or terminated without litigation within sixty (60) days following the effective date</w:t>
      </w:r>
      <w:r>
        <w:rPr>
          <w:rFonts w:ascii="Arial" w:cs="Arial" w:eastAsia="Arial" w:hAnsi="Arial"/>
          <w:sz w:val="14"/>
          <w:szCs w:val="14"/>
          <w:u w:val="single" w:color="auto"/>
          <w:color w:val="auto"/>
        </w:rPr>
        <w:t xml:space="preserve"> </w:t>
      </w:r>
      <w:r>
        <w:rPr>
          <w:rFonts w:ascii="Arial" w:cs="Arial" w:eastAsia="Arial" w:hAnsi="Arial"/>
          <w:sz w:val="14"/>
          <w:szCs w:val="14"/>
          <w:color w:val="auto"/>
        </w:rPr>
        <w:t>of the infringement notice, Sublicensee shall have the right, but shall not be obligated, to institute suit for any infringement of the Licensed Patents, and Sublicensor agrees to cooperate with Sublicensee in any such suit. Sublicensor further agrees to join as a party to any such suit if Sublicensee reasonably deems the joinder to be necessary or appropriate. The total cost of any such infringement action (including, any costs incurred by the Sublicensor arising out of such suit that Sublicensee requested Sublicensor join, including but not limited to, any legal fees of counsel that the Sublicensor selects and retains to represent it in the suit) instituted by Sublicensee shall be borne by Sublicensee, and Sublicensee shall retain any recovery or damages awarded in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59625" cy="698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2" w:right="319" w:bottom="1440" w:gutter="0" w:footer="0" w:header="0"/>
        </w:sectPr>
      </w:pPr>
    </w:p>
    <w:bookmarkStart w:id="763" w:name="page764"/>
    <w:bookmarkEnd w:id="763"/>
    <w:p>
      <w:pPr>
        <w:jc w:val="both"/>
        <w:ind w:left="1034" w:hanging="517"/>
        <w:spacing w:after="0" w:line="261" w:lineRule="auto"/>
        <w:tabs>
          <w:tab w:leader="none" w:pos="1013"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u w:val="single" w:color="auto"/>
          <w:color w:val="auto"/>
        </w:rPr>
        <w:t>Sublicensor’s and UTokvo Right to Institute Suit</w:t>
      </w:r>
      <w:r>
        <w:rPr>
          <w:rFonts w:ascii="Arial" w:cs="Arial" w:eastAsia="Arial" w:hAnsi="Arial"/>
          <w:sz w:val="14"/>
          <w:szCs w:val="14"/>
          <w:color w:val="auto"/>
        </w:rPr>
        <w:t>. If, within one hundred and eighty (180) days following the effective date of the infringement notice delivered pursuant to</w:t>
      </w:r>
      <w:r>
        <w:rPr>
          <w:rFonts w:ascii="Arial" w:cs="Arial" w:eastAsia="Arial" w:hAnsi="Arial"/>
          <w:sz w:val="14"/>
          <w:szCs w:val="14"/>
          <w:u w:val="single" w:color="auto"/>
          <w:color w:val="auto"/>
        </w:rPr>
        <w:t xml:space="preserve"> </w:t>
      </w:r>
      <w:r>
        <w:rPr>
          <w:rFonts w:ascii="Arial" w:cs="Arial" w:eastAsia="Arial" w:hAnsi="Arial"/>
          <w:sz w:val="14"/>
          <w:szCs w:val="14"/>
          <w:color w:val="auto"/>
        </w:rPr>
        <w:t>Section 6.1 above, the infringing activity and misappropriation has not been abated and if Sublicensee has not brought suit addressing the infringement or misappropriation pursuant to Section 6.2 above, Sublicensor or UTokyo under the UTokyo License, or both, shall have the right, but shall not be obligated, to institute suit for any infringement of the Licensed Patents, and Sublicensee agrees to cooperate with Sublicensor, or UTokyo, or both, in any such suit. Sublicensee further agrees to join as a party to any such suit if Sublicensor, or UTokyo, deems the joinder to be necessary or appropriate. As between the Sublicensor and the Sublicensee, the total cost of any such infringement action. (including, any costs incurred by the Sublicensee arising out of such suit, including but not limited to, any legal fees of counsel that the Sublicensee selects and retains to represent it in the suit) instituted by Sublicensor and/or UTokyo, shall be borne by Sublicensor and/or UTokyo, as applicable, and Sublicensor and/or UTokyo, as applicable, shall retain any recovery or damages awarded in such action.</w:t>
      </w:r>
    </w:p>
    <w:p>
      <w:pPr>
        <w:spacing w:after="0" w:line="149" w:lineRule="exact"/>
        <w:rPr>
          <w:sz w:val="20"/>
          <w:szCs w:val="20"/>
          <w:color w:val="auto"/>
        </w:rPr>
      </w:pPr>
    </w:p>
    <w:p>
      <w:pPr>
        <w:ind w:left="514" w:hanging="514"/>
        <w:spacing w:after="0"/>
        <w:tabs>
          <w:tab w:leader="none" w:pos="514" w:val="left"/>
        </w:tabs>
        <w:numPr>
          <w:ilvl w:val="0"/>
          <w:numId w:val="561"/>
        </w:numPr>
        <w:rPr>
          <w:rFonts w:ascii="Arial" w:cs="Arial" w:eastAsia="Arial" w:hAnsi="Arial"/>
          <w:sz w:val="14"/>
          <w:szCs w:val="14"/>
          <w:color w:val="auto"/>
        </w:rPr>
      </w:pPr>
      <w:r>
        <w:rPr>
          <w:rFonts w:ascii="Arial" w:cs="Arial" w:eastAsia="Arial" w:hAnsi="Arial"/>
          <w:sz w:val="14"/>
          <w:szCs w:val="14"/>
          <w:b w:val="1"/>
          <w:bCs w:val="1"/>
          <w:color w:val="auto"/>
        </w:rPr>
        <w:t>Warranties; Defending Infringement Actions; Indemnification; Covenants.</w:t>
      </w:r>
    </w:p>
    <w:p>
      <w:pPr>
        <w:spacing w:after="0" w:line="188"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2"/>
          <w:szCs w:val="12"/>
          <w:u w:val="single" w:color="auto"/>
          <w:color w:val="auto"/>
        </w:rPr>
        <w:t>Warranties</w:t>
      </w:r>
      <w:r>
        <w:rPr>
          <w:rFonts w:ascii="Arial" w:cs="Arial" w:eastAsia="Arial" w:hAnsi="Arial"/>
          <w:sz w:val="12"/>
          <w:szCs w:val="12"/>
          <w:color w:val="auto"/>
        </w:rPr>
        <w:t>.</w:t>
      </w:r>
    </w:p>
    <w:p>
      <w:pPr>
        <w:spacing w:after="0" w:line="184" w:lineRule="exact"/>
        <w:rPr>
          <w:sz w:val="20"/>
          <w:szCs w:val="20"/>
          <w:color w:val="auto"/>
        </w:rPr>
      </w:pPr>
    </w:p>
    <w:p>
      <w:pPr>
        <w:jc w:val="both"/>
        <w:ind w:left="1034"/>
        <w:spacing w:after="0" w:line="294" w:lineRule="auto"/>
        <w:rPr>
          <w:sz w:val="20"/>
          <w:szCs w:val="20"/>
          <w:color w:val="auto"/>
        </w:rPr>
      </w:pPr>
      <w:r>
        <w:rPr>
          <w:rFonts w:ascii="Arial" w:cs="Arial" w:eastAsia="Arial" w:hAnsi="Arial"/>
          <w:sz w:val="13"/>
          <w:szCs w:val="13"/>
          <w:color w:val="auto"/>
        </w:rPr>
        <w:t>7.1.1. Each party represents and warrants to the other that as of the Effective Date it has full right, power and authority to enter into this Agreement and to perform its respective obligations under this Agreement. Each party further represents and warrants that, as of the Effective Date, the execution and delivery of this Agreement and the performance of such party’s obligations hereunder (a) do not conflict with or violate any requirement of applicable laws and (b) do not conflict with, violate or breach or constitute a default of, or require any consent under, any contractual obligations of such party, except such consents as have been obtained as of the Effective Date.</w:t>
      </w:r>
    </w:p>
    <w:p>
      <w:pPr>
        <w:spacing w:after="0" w:line="131" w:lineRule="exact"/>
        <w:rPr>
          <w:sz w:val="20"/>
          <w:szCs w:val="20"/>
          <w:color w:val="auto"/>
        </w:rPr>
      </w:pPr>
    </w:p>
    <w:p>
      <w:pPr>
        <w:jc w:val="both"/>
        <w:ind w:left="1034"/>
        <w:spacing w:after="0" w:line="288" w:lineRule="auto"/>
        <w:rPr>
          <w:sz w:val="20"/>
          <w:szCs w:val="20"/>
          <w:color w:val="auto"/>
        </w:rPr>
      </w:pPr>
      <w:r>
        <w:rPr>
          <w:rFonts w:ascii="Arial" w:cs="Arial" w:eastAsia="Arial" w:hAnsi="Arial"/>
          <w:sz w:val="14"/>
          <w:szCs w:val="14"/>
          <w:color w:val="auto"/>
        </w:rPr>
        <w:t>7.1.2. Sublicensor represents and warrants to Sublicensee that it is the licensee of the Licensed Patents and has the right to grant the Licensed Rights as set forth in this Agreement.</w:t>
      </w:r>
    </w:p>
    <w:p>
      <w:pPr>
        <w:spacing w:after="0" w:line="132" w:lineRule="exact"/>
        <w:rPr>
          <w:sz w:val="20"/>
          <w:szCs w:val="20"/>
          <w:color w:val="auto"/>
        </w:rPr>
      </w:pPr>
    </w:p>
    <w:p>
      <w:pPr>
        <w:jc w:val="both"/>
        <w:ind w:left="1034"/>
        <w:spacing w:after="0" w:line="329" w:lineRule="auto"/>
        <w:rPr>
          <w:sz w:val="20"/>
          <w:szCs w:val="20"/>
          <w:color w:val="auto"/>
        </w:rPr>
      </w:pPr>
      <w:r>
        <w:rPr>
          <w:rFonts w:ascii="Arial" w:cs="Arial" w:eastAsia="Arial" w:hAnsi="Arial"/>
          <w:sz w:val="13"/>
          <w:szCs w:val="13"/>
          <w:color w:val="auto"/>
        </w:rPr>
        <w:t>7.1.3. Sublicensee represents and warrants that any Licensed Products made or sold pursuant to this Agreement shall be made or sold in compliance with all applicable federal and state law regulations, including but not limited to regulations of the Food and Drug Administration, the Environmental Protection Agency and their state equivalents.</w:t>
      </w:r>
    </w:p>
    <w:p>
      <w:pPr>
        <w:spacing w:after="0" w:line="108"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u w:val="single" w:color="auto"/>
          <w:color w:val="auto"/>
        </w:rPr>
        <w:t xml:space="preserve">Defending Infringement Actions. </w:t>
      </w:r>
      <w:r>
        <w:rPr>
          <w:rFonts w:ascii="Arial" w:cs="Arial" w:eastAsia="Arial" w:hAnsi="Arial"/>
          <w:sz w:val="14"/>
          <w:szCs w:val="14"/>
          <w:color w:val="auto"/>
        </w:rPr>
        <w:t>If either party hereto or any affiliate, sublicensee or customer thereof shall be charged with or sued for infringement of patent or other rights of</w:t>
      </w:r>
      <w:r>
        <w:rPr>
          <w:rFonts w:ascii="Arial" w:cs="Arial" w:eastAsia="Arial" w:hAnsi="Arial"/>
          <w:sz w:val="14"/>
          <w:szCs w:val="14"/>
          <w:u w:val="single" w:color="auto"/>
          <w:color w:val="auto"/>
        </w:rPr>
        <w:t xml:space="preserve"> </w:t>
      </w:r>
      <w:r>
        <w:rPr>
          <w:rFonts w:ascii="Arial" w:cs="Arial" w:eastAsia="Arial" w:hAnsi="Arial"/>
          <w:sz w:val="14"/>
          <w:szCs w:val="14"/>
          <w:color w:val="auto"/>
        </w:rPr>
        <w:t>a third party for performing any act contemplated by this Agreement, such party shall promptly notify the other of all particulars of such charge or suit. Sublicensor and Sublicensee shall consult and cooperate as appropriate in the disposition of each such charge and the defense of each such 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159625" cy="698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5" w:right="319" w:bottom="1440" w:gutter="0" w:footer="0" w:header="0"/>
        </w:sectPr>
      </w:pPr>
    </w:p>
    <w:bookmarkStart w:id="764" w:name="page765"/>
    <w:bookmarkEnd w:id="764"/>
    <w:p>
      <w:pPr>
        <w:spacing w:after="0"/>
        <w:tabs>
          <w:tab w:leader="none" w:pos="50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180" w:lineRule="exact"/>
        <w:rPr>
          <w:sz w:val="20"/>
          <w:szCs w:val="20"/>
          <w:color w:val="auto"/>
        </w:rPr>
      </w:pPr>
    </w:p>
    <w:p>
      <w:pPr>
        <w:jc w:val="both"/>
        <w:ind w:left="520" w:hanging="517"/>
        <w:spacing w:after="0" w:line="264" w:lineRule="auto"/>
        <w:tabs>
          <w:tab w:leader="none" w:pos="500" w:val="left"/>
        </w:tabs>
        <w:rPr>
          <w:sz w:val="20"/>
          <w:szCs w:val="20"/>
          <w:color w:val="auto"/>
        </w:rPr>
      </w:pPr>
      <w:r>
        <w:rPr>
          <w:rFonts w:ascii="Arial" w:cs="Arial" w:eastAsia="Arial" w:hAnsi="Arial"/>
          <w:sz w:val="14"/>
          <w:szCs w:val="14"/>
          <w:color w:val="auto"/>
        </w:rPr>
        <w:t>7.3.1.</w:t>
        <w:tab/>
        <w:t>Sublicensee will indemnify, hold harmless, and defend the Sublicensor, and its officers, directors, employees, and agents, (collectively, “</w:t>
      </w:r>
      <w:r>
        <w:rPr>
          <w:rFonts w:ascii="Arial" w:cs="Arial" w:eastAsia="Arial" w:hAnsi="Arial"/>
          <w:sz w:val="14"/>
          <w:szCs w:val="14"/>
          <w:b w:val="1"/>
          <w:bCs w:val="1"/>
          <w:color w:val="auto"/>
        </w:rPr>
        <w:t>Sublicensor Indemnitees</w:t>
      </w:r>
      <w:r>
        <w:rPr>
          <w:rFonts w:ascii="Arial" w:cs="Arial" w:eastAsia="Arial" w:hAnsi="Arial"/>
          <w:sz w:val="14"/>
          <w:szCs w:val="14"/>
          <w:color w:val="auto"/>
        </w:rPr>
        <w:t>”) against any and all claims, demands, actions, suits, losses, damages (including without limitation investigative costs, court costs, and attorneys’ fees), costs, fees, and expenses arising from third party claims resulting from or arising out of, (i) any material breach of this Agreement by Sublicensee, (ii) the gross negligence, intentional omission, or willful misconduct of Sublicensee, any permitted Sublicensee or affiliate or any employees, agents or representatives of Sublicensee, and (iii) death or injury to any person and damage to any property arising from the possession, manufacture, use or operation of Licensed Products produced or sold by Sublicensee or its affiliates, sublicensees or their customers in any manner whatsoever.</w:t>
      </w:r>
    </w:p>
    <w:p>
      <w:pPr>
        <w:spacing w:after="0" w:line="146"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7.3.2.</w:t>
        <w:tab/>
        <w:t>Sublicensor will indemnify, hold harmless, and defend the Sublicensee, and its officers, directors, employees, and agents, (collectively, “</w:t>
      </w:r>
      <w:r>
        <w:rPr>
          <w:rFonts w:ascii="Arial" w:cs="Arial" w:eastAsia="Arial" w:hAnsi="Arial"/>
          <w:sz w:val="14"/>
          <w:szCs w:val="14"/>
          <w:b w:val="1"/>
          <w:bCs w:val="1"/>
          <w:color w:val="auto"/>
        </w:rPr>
        <w:t>Sublicensee Indemnitees</w:t>
      </w:r>
      <w:r>
        <w:rPr>
          <w:rFonts w:ascii="Arial" w:cs="Arial" w:eastAsia="Arial" w:hAnsi="Arial"/>
          <w:sz w:val="14"/>
          <w:szCs w:val="14"/>
          <w:color w:val="auto"/>
        </w:rPr>
        <w:t>”) against any and all claims, demands, actions, suits, losses, damages (including without limitation investigative costs, court costs, and attorneys’ fees), costs, fees, and expenses arising from third party claims resulting from or arising out of, (i) any material breach of this Agreement by Sublicensor, and (ii) the gross negligence, intentional omission, or willful misconduct of Sublicensor or any employees, agents or representatives of Sublicensor.</w:t>
      </w:r>
    </w:p>
    <w:p>
      <w:pPr>
        <w:spacing w:after="0" w:line="141" w:lineRule="exact"/>
        <w:rPr>
          <w:sz w:val="20"/>
          <w:szCs w:val="20"/>
          <w:color w:val="auto"/>
        </w:rPr>
      </w:pPr>
    </w:p>
    <w:p>
      <w:pPr>
        <w:jc w:val="both"/>
        <w:ind w:left="520" w:hanging="517"/>
        <w:spacing w:after="0" w:line="283" w:lineRule="auto"/>
        <w:tabs>
          <w:tab w:leader="none" w:pos="500" w:val="left"/>
        </w:tabs>
        <w:rPr>
          <w:sz w:val="20"/>
          <w:szCs w:val="20"/>
          <w:color w:val="auto"/>
        </w:rPr>
      </w:pPr>
      <w:r>
        <w:rPr>
          <w:rFonts w:ascii="Arial" w:cs="Arial" w:eastAsia="Arial" w:hAnsi="Arial"/>
          <w:sz w:val="14"/>
          <w:szCs w:val="14"/>
          <w:color w:val="auto"/>
        </w:rPr>
        <w:t>7.3.3.</w:t>
      </w:r>
      <w:r>
        <w:rPr>
          <w:sz w:val="20"/>
          <w:szCs w:val="20"/>
          <w:color w:val="auto"/>
        </w:rPr>
        <w:tab/>
      </w:r>
      <w:r>
        <w:rPr>
          <w:rFonts w:ascii="Arial" w:cs="Arial" w:eastAsia="Arial" w:hAnsi="Arial"/>
          <w:sz w:val="13"/>
          <w:szCs w:val="13"/>
          <w:color w:val="auto"/>
        </w:rPr>
        <w:t>The party seeking indemnification under this Article 7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give prompt written notification to the party from whom indemnification is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of any claim, suit, action or demand for which indemnification is sought under this Agreement; provided,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thirty (30) days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205740</wp:posOffset>
            </wp:positionV>
            <wp:extent cx="7159625" cy="698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6" w:right="319" w:bottom="1440" w:gutter="0" w:footer="0" w:header="0"/>
        </w:sectPr>
      </w:pPr>
    </w:p>
    <w:bookmarkStart w:id="765" w:name="page766"/>
    <w:bookmarkEnd w:id="765"/>
    <w:p>
      <w:pPr>
        <w:ind w:left="1034"/>
        <w:spacing w:after="0" w:line="264" w:lineRule="auto"/>
        <w:rPr>
          <w:sz w:val="20"/>
          <w:szCs w:val="20"/>
          <w:color w:val="auto"/>
        </w:rPr>
      </w:pPr>
      <w:r>
        <w:rPr>
          <w:rFonts w:ascii="Arial" w:cs="Arial" w:eastAsia="Arial" w:hAnsi="Arial"/>
          <w:sz w:val="14"/>
          <w:szCs w:val="14"/>
          <w:u w:val="single" w:color="auto"/>
          <w:color w:val="auto"/>
        </w:rPr>
        <w:t>Insurance</w:t>
      </w:r>
      <w:r>
        <w:rPr>
          <w:rFonts w:ascii="Arial" w:cs="Arial" w:eastAsia="Arial" w:hAnsi="Arial"/>
          <w:sz w:val="14"/>
          <w:szCs w:val="14"/>
          <w:color w:val="auto"/>
        </w:rPr>
        <w:t>. Sublicensee shall during the term of this Agreement maintain in full force and effect insurance policies and contractually assumed liabilities in the amount of [***] and shall, upon reasonable request by Sublicensor no more than once each year, provide to Sublicensor</w:t>
      </w:r>
    </w:p>
    <w:p>
      <w:pPr>
        <w:spacing w:after="0" w:line="1" w:lineRule="exact"/>
        <w:rPr>
          <w:sz w:val="20"/>
          <w:szCs w:val="20"/>
          <w:color w:val="auto"/>
        </w:rPr>
      </w:pPr>
    </w:p>
    <w:p>
      <w:pPr>
        <w:ind w:left="1034"/>
        <w:spacing w:after="0" w:line="274" w:lineRule="auto"/>
        <w:rPr>
          <w:sz w:val="20"/>
          <w:szCs w:val="20"/>
          <w:color w:val="auto"/>
        </w:rPr>
      </w:pPr>
      <w:r>
        <w:rPr>
          <w:rFonts w:ascii="Arial" w:cs="Arial" w:eastAsia="Arial" w:hAnsi="Arial"/>
          <w:sz w:val="14"/>
          <w:szCs w:val="14"/>
          <w:color w:val="auto"/>
        </w:rPr>
        <w:t>evidence of such policies. Sublicensee shall place appropriate product liability insurance prior to final regulatory approval. With respect to one or more Licensed Products, and if requested by Sublicensor, such insurance policies shall name Sublicensor as an additional insured.</w:t>
      </w:r>
    </w:p>
    <w:p>
      <w:pPr>
        <w:spacing w:after="0" w:line="141" w:lineRule="exact"/>
        <w:rPr>
          <w:sz w:val="20"/>
          <w:szCs w:val="20"/>
          <w:color w:val="auto"/>
        </w:rPr>
      </w:pPr>
    </w:p>
    <w:p>
      <w:pPr>
        <w:ind w:left="1034" w:hanging="517"/>
        <w:spacing w:after="0" w:line="288" w:lineRule="auto"/>
        <w:tabs>
          <w:tab w:leader="none" w:pos="1013"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u w:val="single" w:color="auto"/>
          <w:color w:val="auto"/>
        </w:rPr>
        <w:t xml:space="preserve">Amendments of UTokyo License. </w:t>
      </w:r>
      <w:r>
        <w:rPr>
          <w:rFonts w:ascii="Arial" w:cs="Arial" w:eastAsia="Arial" w:hAnsi="Arial"/>
          <w:sz w:val="14"/>
          <w:szCs w:val="14"/>
          <w:color w:val="auto"/>
        </w:rPr>
        <w:t>Sublicensor will not amend any terms or conditions of the UTokyo License in a manner that is reasonably likely to adversely affect</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Sublicensee’s rights hereunder, without written approval of Sublicensee.</w:t>
      </w:r>
    </w:p>
    <w:p>
      <w:pPr>
        <w:spacing w:after="0" w:line="128" w:lineRule="exact"/>
        <w:rPr>
          <w:sz w:val="20"/>
          <w:szCs w:val="20"/>
          <w:color w:val="auto"/>
        </w:rPr>
      </w:pPr>
    </w:p>
    <w:p>
      <w:pPr>
        <w:jc w:val="both"/>
        <w:ind w:left="514" w:hanging="514"/>
        <w:spacing w:after="0" w:line="262" w:lineRule="auto"/>
        <w:tabs>
          <w:tab w:leader="none" w:pos="514" w:val="left"/>
        </w:tabs>
        <w:numPr>
          <w:ilvl w:val="0"/>
          <w:numId w:val="562"/>
        </w:numPr>
        <w:rPr>
          <w:rFonts w:ascii="Arial" w:cs="Arial" w:eastAsia="Arial" w:hAnsi="Arial"/>
          <w:sz w:val="14"/>
          <w:szCs w:val="14"/>
          <w:color w:val="auto"/>
        </w:rPr>
      </w:pPr>
      <w:r>
        <w:rPr>
          <w:rFonts w:ascii="Arial" w:cs="Arial" w:eastAsia="Arial" w:hAnsi="Arial"/>
          <w:sz w:val="14"/>
          <w:szCs w:val="14"/>
          <w:b w:val="1"/>
          <w:bCs w:val="1"/>
          <w:u w:val="single" w:color="auto"/>
          <w:color w:val="auto"/>
        </w:rPr>
        <w:t>Limitations</w:t>
      </w:r>
      <w:r>
        <w:rPr>
          <w:rFonts w:ascii="Arial" w:cs="Arial" w:eastAsia="Arial" w:hAnsi="Arial"/>
          <w:sz w:val="14"/>
          <w:szCs w:val="14"/>
          <w:color w:val="auto"/>
        </w:rPr>
        <w:t>. EXCEPT FOR THE EXPRESS WARRANITIES IN SECTION 7, NEITHER PARTY MAKES, AND EACH PARTY SPECIFICALLY DISCLAIMS, ANY</w:t>
      </w:r>
      <w:r>
        <w:rPr>
          <w:rFonts w:ascii="Arial" w:cs="Arial" w:eastAsia="Arial" w:hAnsi="Arial"/>
          <w:sz w:val="14"/>
          <w:szCs w:val="14"/>
          <w:b w:val="1"/>
          <w:bCs w:val="1"/>
          <w:color w:val="auto"/>
        </w:rPr>
        <w:t xml:space="preserve"> </w:t>
      </w:r>
      <w:r>
        <w:rPr>
          <w:rFonts w:ascii="Arial" w:cs="Arial" w:eastAsia="Arial" w:hAnsi="Arial"/>
          <w:sz w:val="14"/>
          <w:szCs w:val="14"/>
          <w:color w:val="auto"/>
        </w:rPr>
        <w:t>WARRANTIES, EXPRESS OR IMPLIED, IN FACT OR BY OPERATION OF LAW, STATUTORY OR OTHERWISE, INCLUDING ANY IMPLIED WARRANTY OF MERCHANTABILITY, FITNESS FOR A PARTICULAR PURPOSE, EFFICACY, AND NON-INFRINGEMENT. EXCEPT FOR (A) DAMAGES FOR VIOLATIONS OF THE CONFIDENTIALITY OBLIGATIONS UNDER THIS AGREEMENT, (B) AMOUNTS FINALLY AWARDED FOR INDEMNIFICATION FOR THIRD PARTY CLAIMS UNDER SECTION 7.3 HEREOF AND (C) DAMAGES FOR A PARTY’S GROSS NEGLIGENCE OR WILLFUL MISCONDUCT, NEITHER PARTY SHALL BE LIABLE TO THE OTHER PARTY OR TO ANY THIRD PARTY FOR ANY SPECIAL, CONSEQUENTIAL, EXEMPLARY OR INCIDENTAL DAMAGES (INCLUDING LOST OR ANTICIPATED PROFITS RELATING TO THE SAME) ARISING FROM ANY CLAIM RELATING TO THIS AGREEMENT, WHETHER SUCH CLAIM IS BASED ON CONTRACT, TORT (INCLUDING NEGLIGENCE) OR OTHERWISE, EVEN IF AN AUTHORIZED REPRESENTATIVE OF SUCH PARTY IS ADVISED OF THE POSSIBILITY OR LIKELIHOOD OF SAME.</w:t>
      </w:r>
    </w:p>
    <w:p>
      <w:pPr>
        <w:spacing w:after="0" w:line="147" w:lineRule="exact"/>
        <w:rPr>
          <w:rFonts w:ascii="Arial" w:cs="Arial" w:eastAsia="Arial" w:hAnsi="Arial"/>
          <w:sz w:val="14"/>
          <w:szCs w:val="14"/>
          <w:color w:val="auto"/>
        </w:rPr>
      </w:pPr>
    </w:p>
    <w:p>
      <w:pPr>
        <w:ind w:left="514" w:hanging="514"/>
        <w:spacing w:after="0"/>
        <w:tabs>
          <w:tab w:leader="none" w:pos="514" w:val="left"/>
        </w:tabs>
        <w:numPr>
          <w:ilvl w:val="0"/>
          <w:numId w:val="562"/>
        </w:numPr>
        <w:rPr>
          <w:rFonts w:ascii="Arial" w:cs="Arial" w:eastAsia="Arial" w:hAnsi="Arial"/>
          <w:sz w:val="14"/>
          <w:szCs w:val="14"/>
          <w:color w:val="auto"/>
        </w:rPr>
      </w:pPr>
      <w:r>
        <w:rPr>
          <w:rFonts w:ascii="Arial" w:cs="Arial" w:eastAsia="Arial" w:hAnsi="Arial"/>
          <w:sz w:val="14"/>
          <w:szCs w:val="14"/>
          <w:b w:val="1"/>
          <w:bCs w:val="1"/>
          <w:color w:val="auto"/>
        </w:rPr>
        <w:t>Maintenance of Licensed Patents</w:t>
      </w:r>
    </w:p>
    <w:p>
      <w:pPr>
        <w:spacing w:after="0" w:line="188" w:lineRule="exact"/>
        <w:rPr>
          <w:rFonts w:ascii="Arial" w:cs="Arial" w:eastAsia="Arial" w:hAnsi="Arial"/>
          <w:sz w:val="14"/>
          <w:szCs w:val="14"/>
          <w:color w:val="auto"/>
        </w:rPr>
      </w:pPr>
    </w:p>
    <w:p>
      <w:pPr>
        <w:ind w:left="1034" w:hanging="518"/>
        <w:spacing w:after="0" w:line="294" w:lineRule="auto"/>
        <w:rPr>
          <w:rFonts w:ascii="Arial" w:cs="Arial" w:eastAsia="Arial" w:hAnsi="Arial"/>
          <w:sz w:val="14"/>
          <w:szCs w:val="14"/>
          <w:color w:val="auto"/>
        </w:rPr>
      </w:pPr>
      <w:r>
        <w:rPr>
          <w:rFonts w:ascii="Arial" w:cs="Arial" w:eastAsia="Arial" w:hAnsi="Arial"/>
          <w:sz w:val="14"/>
          <w:szCs w:val="14"/>
          <w:color w:val="auto"/>
        </w:rPr>
        <w:t>9.1.</w:t>
      </w:r>
      <w:r>
        <w:rPr>
          <w:rFonts w:ascii="Arial" w:cs="Arial" w:eastAsia="Arial" w:hAnsi="Arial"/>
          <w:sz w:val="13"/>
          <w:szCs w:val="13"/>
          <w:u w:val="single" w:color="auto"/>
          <w:color w:val="auto"/>
        </w:rPr>
        <w:t>Notifications</w:t>
      </w:r>
      <w:r>
        <w:rPr>
          <w:rFonts w:ascii="Arial" w:cs="Arial" w:eastAsia="Arial" w:hAnsi="Arial"/>
          <w:sz w:val="13"/>
          <w:szCs w:val="13"/>
          <w:color w:val="auto"/>
        </w:rPr>
        <w:t>. Notifications from government agencies or agents to Sublicensor concerning procedures for the acquisition of rights for the Licensed Rights in the Licensed</w:t>
      </w:r>
      <w:r>
        <w:rPr>
          <w:rFonts w:ascii="Arial" w:cs="Arial" w:eastAsia="Arial" w:hAnsi="Arial"/>
          <w:sz w:val="13"/>
          <w:szCs w:val="13"/>
          <w:u w:val="single" w:color="auto"/>
          <w:color w:val="auto"/>
        </w:rPr>
        <w:t xml:space="preserve"> </w:t>
      </w:r>
      <w:r>
        <w:rPr>
          <w:rFonts w:ascii="Arial" w:cs="Arial" w:eastAsia="Arial" w:hAnsi="Arial"/>
          <w:sz w:val="13"/>
          <w:szCs w:val="13"/>
          <w:color w:val="auto"/>
        </w:rPr>
        <w:t>Territories and procedures for the maintenance of the Licensed Patents shall be provided directly to Sublicensee from such government agency and Sublicensee shall have the first right to control the preparation, filing, prosecution, extension and maintenance of patent rights within the Licensed Rights. To the extent that government agencies or agents require Sublicensor to control such procedures, Sublicensor shall conduct said procedures following consultation with, and the prior written consent of, Sublicensee.</w:t>
      </w:r>
    </w:p>
    <w:p>
      <w:pPr>
        <w:spacing w:after="0" w:line="130"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9.2.</w:t>
      </w:r>
      <w:r>
        <w:rPr>
          <w:rFonts w:ascii="Arial" w:cs="Arial" w:eastAsia="Arial" w:hAnsi="Arial"/>
          <w:sz w:val="14"/>
          <w:szCs w:val="14"/>
          <w:u w:val="single" w:color="auto"/>
          <w:color w:val="auto"/>
        </w:rPr>
        <w:t>Consultation</w:t>
      </w:r>
      <w:r>
        <w:rPr>
          <w:rFonts w:ascii="Arial" w:cs="Arial" w:eastAsia="Arial" w:hAnsi="Arial"/>
          <w:sz w:val="14"/>
          <w:szCs w:val="14"/>
          <w:color w:val="auto"/>
        </w:rPr>
        <w:t>. Sublicensee may at any time request consultation concerning the procedures for the acquisition of rights for the Licensed Rights in the Licensed Territories.</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Sublicensor shall reasonably respond to these requests and conduct these procedures after obtaining the consent of Sublicensee.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159625" cy="698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5" w:right="319" w:bottom="1440" w:gutter="0" w:footer="0" w:header="0"/>
        </w:sectPr>
      </w:pPr>
    </w:p>
    <w:bookmarkStart w:id="766" w:name="page767"/>
    <w:bookmarkEnd w:id="766"/>
    <w:p>
      <w:pPr>
        <w:jc w:val="both"/>
        <w:ind w:left="1034" w:hanging="517"/>
        <w:spacing w:after="0" w:line="294" w:lineRule="auto"/>
        <w:tabs>
          <w:tab w:leader="none" w:pos="1013"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u w:val="single" w:color="auto"/>
          <w:color w:val="auto"/>
        </w:rPr>
        <w:t>Expenses</w:t>
      </w:r>
      <w:r>
        <w:rPr>
          <w:rFonts w:ascii="Arial" w:cs="Arial" w:eastAsia="Arial" w:hAnsi="Arial"/>
          <w:sz w:val="13"/>
          <w:szCs w:val="13"/>
          <w:color w:val="auto"/>
        </w:rPr>
        <w:t>. During the Term, Sublicensee shall be responsible for the expenses (including expenses for work requested of third parties including patent attorneys, attorneys and</w:t>
      </w:r>
      <w:r>
        <w:rPr>
          <w:rFonts w:ascii="Arial" w:cs="Arial" w:eastAsia="Arial" w:hAnsi="Arial"/>
          <w:sz w:val="13"/>
          <w:szCs w:val="13"/>
          <w:u w:val="single" w:color="auto"/>
          <w:color w:val="auto"/>
        </w:rPr>
        <w:t xml:space="preserve"> </w:t>
      </w:r>
      <w:r>
        <w:rPr>
          <w:rFonts w:ascii="Arial" w:cs="Arial" w:eastAsia="Arial" w:hAnsi="Arial"/>
          <w:sz w:val="13"/>
          <w:szCs w:val="13"/>
          <w:color w:val="auto"/>
        </w:rPr>
        <w:t>local agents outside of the United States as well as translation expenses) required for the acquisition of rights for the Licensed Rights in the Licensed Territories as well as the maintenance of patent rights within the Licensed Rights. If Sublicensor makes any such payment on behalf of Sublicensee in advance, Sublicensor shall obtain the prior written consent of Sublicensee for the advance payment total and the payment details and Sublicensee shall reimburse Sublicensor for such pre-approved expenses.</w:t>
      </w:r>
    </w:p>
    <w:p>
      <w:pPr>
        <w:spacing w:after="0" w:line="131" w:lineRule="exact"/>
        <w:rPr>
          <w:sz w:val="20"/>
          <w:szCs w:val="20"/>
          <w:color w:val="auto"/>
        </w:rPr>
      </w:pPr>
    </w:p>
    <w:p>
      <w:pPr>
        <w:jc w:val="both"/>
        <w:ind w:left="1034" w:hanging="517"/>
        <w:spacing w:after="0" w:line="303" w:lineRule="auto"/>
        <w:tabs>
          <w:tab w:leader="none" w:pos="1013"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3"/>
          <w:szCs w:val="13"/>
          <w:u w:val="single" w:color="auto"/>
          <w:color w:val="auto"/>
        </w:rPr>
        <w:t>Patent Decisions</w:t>
      </w:r>
      <w:r>
        <w:rPr>
          <w:rFonts w:ascii="Arial" w:cs="Arial" w:eastAsia="Arial" w:hAnsi="Arial"/>
          <w:sz w:val="13"/>
          <w:szCs w:val="13"/>
          <w:color w:val="auto"/>
        </w:rPr>
        <w:t>. Regarding the Licensed Patents, if there has been a final rejection, trial decision of refusal, a filing of opposition to the granting of a patent, a revocation</w:t>
      </w:r>
      <w:r>
        <w:rPr>
          <w:rFonts w:ascii="Arial" w:cs="Arial" w:eastAsia="Arial" w:hAnsi="Arial"/>
          <w:sz w:val="13"/>
          <w:szCs w:val="13"/>
          <w:u w:val="single" w:color="auto"/>
          <w:color w:val="auto"/>
        </w:rPr>
        <w:t xml:space="preserve"> </w:t>
      </w:r>
      <w:r>
        <w:rPr>
          <w:rFonts w:ascii="Arial" w:cs="Arial" w:eastAsia="Arial" w:hAnsi="Arial"/>
          <w:sz w:val="13"/>
          <w:szCs w:val="13"/>
          <w:color w:val="auto"/>
        </w:rPr>
        <w:t>decision, a request for a trial for patent invalidation, a trial decision to invalidate a patent, or a revocation decision or a decision to invalidate a patent has been confirmed or a request has been rejected, and circumstances impacting the Licensed Rights have arisen, Sublicensor shall immediately notify Sublicensee of such facts.</w:t>
      </w:r>
    </w:p>
    <w:p>
      <w:pPr>
        <w:spacing w:after="0" w:line="124"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3"/>
          <w:szCs w:val="13"/>
          <w:u w:val="single" w:color="auto"/>
          <w:color w:val="auto"/>
        </w:rPr>
        <w:t>No Abandonment</w:t>
      </w:r>
      <w:r>
        <w:rPr>
          <w:rFonts w:ascii="Arial" w:cs="Arial" w:eastAsia="Arial" w:hAnsi="Arial"/>
          <w:sz w:val="13"/>
          <w:szCs w:val="13"/>
          <w:color w:val="auto"/>
        </w:rPr>
        <w:t>. Sublicensor shall not abandon rights to any of the Licensed Patents without the prior written consent of Sublicensee.</w:t>
      </w:r>
    </w:p>
    <w:p>
      <w:pPr>
        <w:spacing w:after="0" w:line="184"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3"/>
          <w:szCs w:val="13"/>
          <w:u w:val="single" w:color="auto"/>
          <w:color w:val="auto"/>
        </w:rPr>
        <w:t>Revisions</w:t>
      </w:r>
      <w:r>
        <w:rPr>
          <w:rFonts w:ascii="Arial" w:cs="Arial" w:eastAsia="Arial" w:hAnsi="Arial"/>
          <w:sz w:val="13"/>
          <w:szCs w:val="13"/>
          <w:color w:val="auto"/>
        </w:rPr>
        <w:t>. Sublicensor shall obtain the prior written consent of Sublicensee if revising specifications and drawings pertaining to the Licensed Patents.</w:t>
      </w:r>
    </w:p>
    <w:p>
      <w:pPr>
        <w:spacing w:after="0" w:line="184"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u w:val="single" w:color="auto"/>
          <w:color w:val="auto"/>
        </w:rPr>
        <w:t>Responsibility for Licensed Patents</w:t>
      </w:r>
      <w:r>
        <w:rPr>
          <w:rFonts w:ascii="Arial" w:cs="Arial" w:eastAsia="Arial" w:hAnsi="Arial"/>
          <w:sz w:val="14"/>
          <w:szCs w:val="14"/>
          <w:color w:val="auto"/>
        </w:rPr>
        <w:t>. Notwithstanding anything herein to the contrary, Sublicensee will control and be responsible for preparing, filing, prosecuting, extending and</w:t>
      </w:r>
      <w:r>
        <w:rPr>
          <w:rFonts w:ascii="Arial" w:cs="Arial" w:eastAsia="Arial" w:hAnsi="Arial"/>
          <w:sz w:val="14"/>
          <w:szCs w:val="14"/>
          <w:u w:val="single" w:color="auto"/>
          <w:color w:val="auto"/>
        </w:rPr>
        <w:t xml:space="preserve"> </w:t>
      </w:r>
      <w:r>
        <w:rPr>
          <w:rFonts w:ascii="Arial" w:cs="Arial" w:eastAsia="Arial" w:hAnsi="Arial"/>
          <w:sz w:val="14"/>
          <w:szCs w:val="14"/>
          <w:color w:val="auto"/>
        </w:rPr>
        <w:t>maintaining patent rights within the Licensed Patents in the Licensed Territories. Sublicensee will have the first right to defend such patent rights and enforce them within the scope of this Agreement.</w:t>
      </w:r>
    </w:p>
    <w:p>
      <w:pPr>
        <w:spacing w:after="0" w:line="137" w:lineRule="exact"/>
        <w:rPr>
          <w:sz w:val="20"/>
          <w:szCs w:val="20"/>
          <w:color w:val="auto"/>
        </w:rPr>
      </w:pPr>
    </w:p>
    <w:p>
      <w:pPr>
        <w:ind w:left="514" w:hanging="514"/>
        <w:spacing w:after="0"/>
        <w:tabs>
          <w:tab w:leader="none" w:pos="514" w:val="left"/>
        </w:tabs>
        <w:numPr>
          <w:ilvl w:val="0"/>
          <w:numId w:val="563"/>
        </w:numPr>
        <w:rPr>
          <w:rFonts w:ascii="Arial" w:cs="Arial" w:eastAsia="Arial" w:hAnsi="Arial"/>
          <w:sz w:val="14"/>
          <w:szCs w:val="14"/>
          <w:color w:val="auto"/>
        </w:rPr>
      </w:pPr>
      <w:r>
        <w:rPr>
          <w:rFonts w:ascii="Arial" w:cs="Arial" w:eastAsia="Arial" w:hAnsi="Arial"/>
          <w:sz w:val="14"/>
          <w:szCs w:val="14"/>
          <w:b w:val="1"/>
          <w:bCs w:val="1"/>
          <w:color w:val="auto"/>
        </w:rPr>
        <w:t>Term and Termination</w:t>
      </w:r>
    </w:p>
    <w:p>
      <w:pPr>
        <w:spacing w:after="0" w:line="188"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Term</w:t>
      </w:r>
      <w:r>
        <w:rPr>
          <w:rFonts w:ascii="Arial" w:cs="Arial" w:eastAsia="Arial" w:hAnsi="Arial"/>
          <w:sz w:val="14"/>
          <w:szCs w:val="14"/>
          <w:color w:val="auto"/>
        </w:rPr>
        <w:t>. The term of this Agreement shall begin on the Effective Date and shall, unless earlier terminated as provided herein, continue until the later of March 31, 2027 or the last-to-expire Valid Claim claiming or covering a Licensed Product under this Agreement expires.</w:t>
      </w:r>
    </w:p>
    <w:p>
      <w:pPr>
        <w:spacing w:after="0" w:line="132"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u w:val="single" w:color="auto"/>
          <w:color w:val="auto"/>
        </w:rPr>
        <w:t>Sublicensor’s Right to Terminate</w:t>
      </w:r>
      <w:r>
        <w:rPr>
          <w:rFonts w:ascii="Arial" w:cs="Arial" w:eastAsia="Arial" w:hAnsi="Arial"/>
          <w:sz w:val="13"/>
          <w:szCs w:val="13"/>
          <w:color w:val="auto"/>
        </w:rPr>
        <w:t>. Under the following circumstances, in addition to any other rights of Sublicensor hereunder, Sublicensor may terminate this Agreement upon</w:t>
      </w:r>
    </w:p>
    <w:p>
      <w:pPr>
        <w:spacing w:after="0" w:line="21"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(30) day’s prior notice to Sublicensee without incurring any liability if:</w:t>
      </w:r>
    </w:p>
    <w:p>
      <w:pPr>
        <w:spacing w:after="0" w:line="175"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10.2.1. Sublicensee has not made a payment of an amount not subject to a good faith dispute as provided for in this Agreement within sixty (60) days after such payment becomes due, or if Sublicensee otherwise materially breaches any term of this Agreement and does not cure such breach within thirty (30) days of receiving written notice thereof from Sublicensor.</w:t>
      </w:r>
    </w:p>
    <w:p>
      <w:pPr>
        <w:spacing w:after="0" w:line="141"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2"/>
          <w:szCs w:val="12"/>
          <w:u w:val="single" w:color="auto"/>
          <w:color w:val="auto"/>
        </w:rPr>
        <w:t>Sublicensee’s Right to Terminate</w:t>
      </w:r>
      <w:r>
        <w:rPr>
          <w:rFonts w:ascii="Arial" w:cs="Arial" w:eastAsia="Arial" w:hAnsi="Arial"/>
          <w:sz w:val="12"/>
          <w:szCs w:val="12"/>
          <w:color w:val="auto"/>
        </w:rPr>
        <w:t>. In addition to any other rights of Sublicensee hereunder, Sublicensee may terminate this Agreement:</w:t>
      </w:r>
    </w:p>
    <w:p>
      <w:pPr>
        <w:spacing w:after="0" w:line="184"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10.3.1. Upon ninety (90) days prior written notice to Sublicensor without incurring any liability if any third party brings a claim against Sublicensee over the Licensed Patents or the Technology Information, which the parties reasonably believe may render achievement of their intent under this Agreement impossible, and such claim is not settled by Sublicensor within ninety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159625" cy="698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5" w:right="319" w:bottom="1440" w:gutter="0" w:footer="0" w:header="0"/>
        </w:sectPr>
      </w:pPr>
    </w:p>
    <w:bookmarkStart w:id="767" w:name="page768"/>
    <w:bookmarkEnd w:id="767"/>
    <w:p>
      <w:pPr>
        <w:ind w:left="1034"/>
        <w:spacing w:after="0"/>
        <w:tabs>
          <w:tab w:leader="none" w:pos="1553" w:val="left"/>
        </w:tabs>
        <w:rPr>
          <w:sz w:val="20"/>
          <w:szCs w:val="20"/>
          <w:color w:val="auto"/>
        </w:rPr>
      </w:pPr>
      <w:r>
        <w:rPr>
          <w:rFonts w:ascii="Arial" w:cs="Arial" w:eastAsia="Arial" w:hAnsi="Arial"/>
          <w:sz w:val="14"/>
          <w:szCs w:val="14"/>
          <w:color w:val="auto"/>
        </w:rPr>
        <w:t>10.3.2.</w:t>
      </w:r>
      <w:r>
        <w:rPr>
          <w:sz w:val="20"/>
          <w:szCs w:val="20"/>
          <w:color w:val="auto"/>
        </w:rPr>
        <w:tab/>
      </w:r>
      <w:r>
        <w:rPr>
          <w:rFonts w:ascii="Arial" w:cs="Arial" w:eastAsia="Arial" w:hAnsi="Arial"/>
          <w:sz w:val="13"/>
          <w:szCs w:val="13"/>
          <w:color w:val="auto"/>
        </w:rPr>
        <w:t>Upon sixty (60) days prior written notice.</w:t>
      </w:r>
    </w:p>
    <w:p>
      <w:pPr>
        <w:spacing w:after="0" w:line="184"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10.4.</w:t>
        <w:tab/>
        <w:t>The parties agree that in the event of any termination of the UTokyo License with respect to any Licensed Rights sublicensed to Sublicensee hereunder, Sublicensee shall have any rights available under the UTokyo License to become a direct licensee of the licensor under such UTokyo License, and Sublicensor shall use its good faith efforts to assist Sublicensee in exercising such rights.</w:t>
      </w:r>
    </w:p>
    <w:p>
      <w:pPr>
        <w:spacing w:after="0" w:line="137" w:lineRule="exact"/>
        <w:rPr>
          <w:sz w:val="20"/>
          <w:szCs w:val="20"/>
          <w:color w:val="auto"/>
        </w:rPr>
      </w:pPr>
    </w:p>
    <w:p>
      <w:pPr>
        <w:ind w:left="514" w:hanging="514"/>
        <w:spacing w:after="0"/>
        <w:tabs>
          <w:tab w:leader="none" w:pos="514" w:val="left"/>
        </w:tabs>
        <w:numPr>
          <w:ilvl w:val="0"/>
          <w:numId w:val="564"/>
        </w:numPr>
        <w:rPr>
          <w:rFonts w:ascii="Arial" w:cs="Arial" w:eastAsia="Arial" w:hAnsi="Arial"/>
          <w:sz w:val="14"/>
          <w:szCs w:val="14"/>
          <w:color w:val="auto"/>
        </w:rPr>
      </w:pPr>
      <w:r>
        <w:rPr>
          <w:rFonts w:ascii="Arial" w:cs="Arial" w:eastAsia="Arial" w:hAnsi="Arial"/>
          <w:sz w:val="14"/>
          <w:szCs w:val="14"/>
          <w:b w:val="1"/>
          <w:bCs w:val="1"/>
          <w:color w:val="auto"/>
        </w:rPr>
        <w:t>Confidentiality</w:t>
      </w:r>
    </w:p>
    <w:p>
      <w:pPr>
        <w:spacing w:after="0" w:line="184" w:lineRule="exact"/>
        <w:rPr>
          <w:rFonts w:ascii="Arial" w:cs="Arial" w:eastAsia="Arial" w:hAnsi="Arial"/>
          <w:sz w:val="14"/>
          <w:szCs w:val="14"/>
          <w:color w:val="auto"/>
        </w:rPr>
      </w:pPr>
    </w:p>
    <w:p>
      <w:pPr>
        <w:jc w:val="right"/>
        <w:ind w:left="1034" w:hanging="518"/>
        <w:spacing w:after="0" w:line="281" w:lineRule="auto"/>
        <w:rPr>
          <w:rFonts w:ascii="Arial" w:cs="Arial" w:eastAsia="Arial" w:hAnsi="Arial"/>
          <w:sz w:val="14"/>
          <w:szCs w:val="14"/>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Definition of Confidential Information</w:t>
      </w:r>
      <w:r>
        <w:rPr>
          <w:rFonts w:ascii="Arial" w:cs="Arial" w:eastAsia="Arial" w:hAnsi="Arial"/>
          <w:sz w:val="13"/>
          <w:szCs w:val="13"/>
          <w:color w:val="auto"/>
        </w:rPr>
        <w:t>.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shall mean proprietary or confidential information provided or disclosed by or on behalf of one party (the “</w:t>
      </w:r>
      <w:r>
        <w:rPr>
          <w:rFonts w:ascii="Arial" w:cs="Arial" w:eastAsia="Arial" w:hAnsi="Arial"/>
          <w:sz w:val="13"/>
          <w:szCs w:val="13"/>
          <w:b w:val="1"/>
          <w:bCs w:val="1"/>
          <w:color w:val="auto"/>
        </w:rPr>
        <w:t>Disclosing Party</w:t>
      </w:r>
      <w:r>
        <w:rPr>
          <w:rFonts w:ascii="Arial" w:cs="Arial" w:eastAsia="Arial" w:hAnsi="Arial"/>
          <w:sz w:val="13"/>
          <w:szCs w:val="13"/>
          <w:color w:val="auto"/>
        </w:rPr>
        <w:t>”) to the other party (the “</w:t>
      </w:r>
      <w:r>
        <w:rPr>
          <w:rFonts w:ascii="Arial" w:cs="Arial" w:eastAsia="Arial" w:hAnsi="Arial"/>
          <w:sz w:val="13"/>
          <w:szCs w:val="13"/>
          <w:b w:val="1"/>
          <w:bCs w:val="1"/>
          <w:color w:val="auto"/>
        </w:rPr>
        <w:t>Recipient</w:t>
      </w:r>
      <w:r>
        <w:rPr>
          <w:rFonts w:ascii="Arial" w:cs="Arial" w:eastAsia="Arial" w:hAnsi="Arial"/>
          <w:sz w:val="13"/>
          <w:szCs w:val="13"/>
          <w:color w:val="auto"/>
        </w:rPr>
        <w:t>”) in connection with this Agreement, regardless of the medium that (a) is orally disclosed and indicated at the time of disclosure to be confidential or is confirmed in writing within fourteen (14) days of disclosure to be confidential, or (b) information not disclosed by verbal means that is marked as confidential or proprietary, or (c) that would otherwise be understood to be confidential or proprietary by a reasonable person familiar with the Disclosing Party’s industry due to the nature and context of the disclosure. Confidential Information that falls under any of the following items shall be excluded from the definition of Confidential Information:</w:t>
      </w:r>
    </w:p>
    <w:p>
      <w:pPr>
        <w:spacing w:after="0" w:line="1" w:lineRule="exact"/>
        <w:rPr>
          <w:rFonts w:ascii="Arial" w:cs="Arial" w:eastAsia="Arial" w:hAnsi="Arial"/>
          <w:sz w:val="14"/>
          <w:szCs w:val="14"/>
          <w:color w:val="auto"/>
        </w:rPr>
      </w:pPr>
    </w:p>
    <w:p>
      <w:pPr>
        <w:jc w:val="both"/>
        <w:ind w:left="1034" w:firstLine="2"/>
        <w:spacing w:after="0" w:line="281" w:lineRule="auto"/>
        <w:tabs>
          <w:tab w:leader="none" w:pos="1205" w:val="left"/>
        </w:tabs>
        <w:numPr>
          <w:ilvl w:val="1"/>
          <w:numId w:val="564"/>
        </w:numPr>
        <w:rPr>
          <w:rFonts w:ascii="Arial" w:cs="Arial" w:eastAsia="Arial" w:hAnsi="Arial"/>
          <w:sz w:val="13"/>
          <w:szCs w:val="13"/>
          <w:color w:val="auto"/>
        </w:rPr>
      </w:pPr>
      <w:r>
        <w:rPr>
          <w:rFonts w:ascii="Arial" w:cs="Arial" w:eastAsia="Arial" w:hAnsi="Arial"/>
          <w:sz w:val="13"/>
          <w:szCs w:val="13"/>
          <w:color w:val="auto"/>
        </w:rPr>
        <w:t>information already in the possession of the Recipient at the time of provision or disclosure; (ii) information already publicly known at the time of provision or disclosure; (iii) information that became publicly known not due to the responsibility of the Recipient after provision or disclosure: (iv) information lawfully obtained from a third party with valid authority and no obligation of confidentiality to the Disclosing Party; (v) information independently developed by the Recipient without use of or reference to the Disclosing Party’s Confidential Information; or (vi) information with prior written consent to use or disclose from the Disclosing Party. The Recipient shall not use the Disclosing Party’s Confidential Information for any purpose other than to exercise its right or perform its obligations under this Agreement. The Recipient shall protect the confidentiality of the Disclosing Party’s Confidential Information using at least the same degree of care that it uses to protect its own confidential information of a similar nature, but in no event less than a reasonable degree of care. This Section 11 shall survive the expiration or termination of this Agreement for any reason for a period of five (5) years; provided, however, that this period can be lengthened or shortened upon written agreement between Sublicensor and Sublicensee. Nothing in this Agreement shall prohibit the Sublicensor from communicating certain terms of this Agreement to UTokyo to the extent necessary to comply with its obligations under the UTokyo License.</w:t>
      </w:r>
    </w:p>
    <w:p>
      <w:pPr>
        <w:spacing w:after="0" w:line="142" w:lineRule="exact"/>
        <w:rPr>
          <w:sz w:val="20"/>
          <w:szCs w:val="20"/>
          <w:color w:val="auto"/>
        </w:rPr>
      </w:pPr>
    </w:p>
    <w:p>
      <w:pPr>
        <w:jc w:val="both"/>
        <w:ind w:left="1034" w:hanging="517"/>
        <w:spacing w:after="0" w:line="267" w:lineRule="auto"/>
        <w:tabs>
          <w:tab w:leader="none" w:pos="1013"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u w:val="single" w:color="auto"/>
          <w:color w:val="auto"/>
        </w:rPr>
        <w:t>Third Party Disclosure</w:t>
      </w:r>
      <w:r>
        <w:rPr>
          <w:rFonts w:ascii="Arial" w:cs="Arial" w:eastAsia="Arial" w:hAnsi="Arial"/>
          <w:sz w:val="14"/>
          <w:szCs w:val="14"/>
          <w:color w:val="auto"/>
        </w:rPr>
        <w:t>. Neither party shall disclose the Disclosing Party’s Confidential Information to any party except its own executives, employees, Inventors and agents</w:t>
      </w:r>
      <w:r>
        <w:rPr>
          <w:rFonts w:ascii="Arial" w:cs="Arial" w:eastAsia="Arial" w:hAnsi="Arial"/>
          <w:sz w:val="14"/>
          <w:szCs w:val="14"/>
          <w:u w:val="single" w:color="auto"/>
          <w:color w:val="auto"/>
        </w:rPr>
        <w:t xml:space="preserve"> </w:t>
      </w:r>
      <w:r>
        <w:rPr>
          <w:rFonts w:ascii="Arial" w:cs="Arial" w:eastAsia="Arial" w:hAnsi="Arial"/>
          <w:sz w:val="14"/>
          <w:szCs w:val="14"/>
          <w:color w:val="auto"/>
        </w:rPr>
        <w:t>(including patent attorneys, attorneys, certified public accountants, tax accountants and consultants) who have a need to know such Confidential Information for the purpose of exercising the Recipient’s rights or performing the Recipient’s obligations under this Agreement and who have entered into a written confidentiality agreement with Recipient with provisions at least as restrictive as this Article 11 or who are subject to fiduciary obligations of nondisclosure and non-use.</w:t>
      </w:r>
    </w:p>
    <w:p>
      <w:pPr>
        <w:spacing w:after="0" w:line="147"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u w:val="single" w:color="auto"/>
          <w:color w:val="auto"/>
        </w:rPr>
        <w:t>Required Disclosure</w:t>
      </w:r>
      <w:r>
        <w:rPr>
          <w:rFonts w:ascii="Arial" w:cs="Arial" w:eastAsia="Arial" w:hAnsi="Arial"/>
          <w:sz w:val="14"/>
          <w:szCs w:val="14"/>
          <w:color w:val="auto"/>
        </w:rPr>
        <w:t>. Either party lawfully ordered to disclose the Disclosing Party’s Confidential Information by a court or government agency, may disclose such information</w:t>
      </w:r>
      <w:r>
        <w:rPr>
          <w:rFonts w:ascii="Arial" w:cs="Arial" w:eastAsia="Arial" w:hAnsi="Arial"/>
          <w:sz w:val="14"/>
          <w:szCs w:val="14"/>
          <w:u w:val="single" w:color="auto"/>
          <w:color w:val="auto"/>
        </w:rPr>
        <w:t xml:space="preserve"> </w:t>
      </w:r>
      <w:r>
        <w:rPr>
          <w:rFonts w:ascii="Arial" w:cs="Arial" w:eastAsia="Arial" w:hAnsi="Arial"/>
          <w:sz w:val="14"/>
          <w:szCs w:val="14"/>
          <w:color w:val="auto"/>
        </w:rPr>
        <w:t>to said court or government agency on the condition that: (i) such party notifies the other party of the details of the disclosure beforehand if legally permitted; (ii) the disclosure is limited to what has been legally ordered; and (iii) when making the disclosure, confidential treatment is requested for such information.</w:t>
      </w:r>
    </w:p>
    <w:p>
      <w:pPr>
        <w:spacing w:after="0" w:line="137" w:lineRule="exact"/>
        <w:rPr>
          <w:sz w:val="20"/>
          <w:szCs w:val="20"/>
          <w:color w:val="auto"/>
        </w:rPr>
      </w:pPr>
    </w:p>
    <w:p>
      <w:pPr>
        <w:ind w:left="514" w:hanging="514"/>
        <w:spacing w:after="0"/>
        <w:tabs>
          <w:tab w:leader="none" w:pos="514" w:val="left"/>
        </w:tabs>
        <w:numPr>
          <w:ilvl w:val="0"/>
          <w:numId w:val="565"/>
        </w:numPr>
        <w:rPr>
          <w:rFonts w:ascii="Arial" w:cs="Arial" w:eastAsia="Arial" w:hAnsi="Arial"/>
          <w:sz w:val="14"/>
          <w:szCs w:val="14"/>
          <w:color w:val="auto"/>
        </w:rPr>
      </w:pPr>
      <w:r>
        <w:rPr>
          <w:rFonts w:ascii="Arial" w:cs="Arial" w:eastAsia="Arial" w:hAnsi="Arial"/>
          <w:sz w:val="14"/>
          <w:szCs w:val="14"/>
          <w:b w:val="1"/>
          <w:bCs w:val="1"/>
          <w:color w:val="auto"/>
        </w:rPr>
        <w:t>Miscellaneous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left="1034" w:hanging="518"/>
        <w:spacing w:after="0" w:line="267" w:lineRule="auto"/>
        <w:rPr>
          <w:rFonts w:ascii="Arial" w:cs="Arial" w:eastAsia="Arial" w:hAnsi="Arial"/>
          <w:sz w:val="14"/>
          <w:szCs w:val="14"/>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This Agreement shall inure to the benefit of and be binding upon the parties hereto and their respective successors, and permitted assigns. This Agreement shall be personal to each of the Sublicensee and Sublicensor and assignable or otherwise transferable only with the prior written consent of the other party, provided, however, that either party may assign or transfer this Agreement without the other party’s consent to an affiliate or to a successor by way of merger, consolidation or sale of all or substantially all of the assets to which this Agreement relates.</w:t>
      </w:r>
    </w:p>
    <w:p>
      <w:pPr>
        <w:spacing w:after="0" w:line="147" w:lineRule="exact"/>
        <w:rPr>
          <w:sz w:val="20"/>
          <w:szCs w:val="20"/>
          <w:color w:val="auto"/>
        </w:rPr>
      </w:pPr>
    </w:p>
    <w:p>
      <w:pPr>
        <w:jc w:val="both"/>
        <w:ind w:left="1034" w:hanging="517"/>
        <w:spacing w:after="0" w:line="288" w:lineRule="auto"/>
        <w:tabs>
          <w:tab w:leader="none" w:pos="1013"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payments required or contemplated hereunder by one party to the other shall be in writing and shall be deemed to have been duly made and given upon</w:t>
      </w:r>
      <w:r>
        <w:rPr>
          <w:rFonts w:ascii="Arial" w:cs="Arial" w:eastAsia="Arial" w:hAnsi="Arial"/>
          <w:sz w:val="14"/>
          <w:szCs w:val="14"/>
          <w:u w:val="single" w:color="auto"/>
          <w:color w:val="auto"/>
        </w:rPr>
        <w:t xml:space="preserve"> </w:t>
      </w:r>
      <w:r>
        <w:rPr>
          <w:rFonts w:ascii="Arial" w:cs="Arial" w:eastAsia="Arial" w:hAnsi="Arial"/>
          <w:sz w:val="14"/>
          <w:szCs w:val="14"/>
          <w:color w:val="auto"/>
        </w:rPr>
        <w:t>delivery if in person or by mailing if mailed by first-class mail, postage prepaid, and addressed as follows:</w:t>
      </w:r>
    </w:p>
    <w:p>
      <w:pPr>
        <w:spacing w:after="0" w:line="132"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to Sublicensor: Tokyo Twin Parks 25-26 FL (2505),</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Higashi-Shinbashi 1-10-2, Minato-ku, Tokyo 105-0021 Japan,</w:t>
      </w:r>
    </w:p>
    <w:p>
      <w:pPr>
        <w:spacing w:after="0" w:line="184"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to Sublicensee: Century Therapeutics, LLC</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3675 Market St.</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Philadelphia, PA 19104</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Attn: Janelle R. Anderson</w:t>
      </w:r>
    </w:p>
    <w:p>
      <w:pPr>
        <w:spacing w:after="0" w:line="184"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Either party may change its address for the purpose of this Agreement by notice in writing to the other party.</w:t>
      </w:r>
    </w:p>
    <w:p>
      <w:pPr>
        <w:spacing w:after="0" w:line="184" w:lineRule="exact"/>
        <w:rPr>
          <w:sz w:val="20"/>
          <w:szCs w:val="20"/>
          <w:color w:val="auto"/>
        </w:rPr>
      </w:pPr>
    </w:p>
    <w:p>
      <w:pPr>
        <w:jc w:val="both"/>
        <w:ind w:left="1034" w:hanging="517"/>
        <w:spacing w:after="0" w:line="288" w:lineRule="auto"/>
        <w:tabs>
          <w:tab w:leader="none" w:pos="1013"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u w:val="single" w:color="auto"/>
          <w:color w:val="auto"/>
        </w:rPr>
        <w:t>Entire Agreement: Amendment</w:t>
      </w:r>
      <w:r>
        <w:rPr>
          <w:rFonts w:ascii="Arial" w:cs="Arial" w:eastAsia="Arial" w:hAnsi="Arial"/>
          <w:sz w:val="14"/>
          <w:szCs w:val="14"/>
          <w:color w:val="auto"/>
        </w:rPr>
        <w:t>. This Agreement constitutes the entire agreement between the parties respecting the subject matter hereof and shall not be modified, amended, or</w:t>
      </w:r>
      <w:r>
        <w:rPr>
          <w:rFonts w:ascii="Arial" w:cs="Arial" w:eastAsia="Arial" w:hAnsi="Arial"/>
          <w:sz w:val="14"/>
          <w:szCs w:val="14"/>
          <w:u w:val="single" w:color="auto"/>
          <w:color w:val="auto"/>
        </w:rPr>
        <w:t xml:space="preserve"> </w:t>
      </w:r>
      <w:r>
        <w:rPr>
          <w:rFonts w:ascii="Arial" w:cs="Arial" w:eastAsia="Arial" w:hAnsi="Arial"/>
          <w:sz w:val="14"/>
          <w:szCs w:val="14"/>
          <w:color w:val="auto"/>
        </w:rPr>
        <w:t>terminated except as provided herein or except by another agreement in writing executed by an authorized representative of each of the parties hereto.</w:t>
      </w:r>
    </w:p>
    <w:p>
      <w:pPr>
        <w:spacing w:after="0" w:line="132"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u w:val="single" w:color="auto"/>
          <w:color w:val="auto"/>
        </w:rPr>
        <w:t>Applicable Law; Venue</w:t>
      </w:r>
      <w:r>
        <w:rPr>
          <w:rFonts w:ascii="Arial" w:cs="Arial" w:eastAsia="Arial" w:hAnsi="Arial"/>
          <w:sz w:val="14"/>
          <w:szCs w:val="14"/>
          <w:color w:val="auto"/>
        </w:rPr>
        <w:t>. This Agreement shall be governed, construed, and enforced in accordance with the laws of the State of California, United States of America, without</w:t>
      </w:r>
      <w:r>
        <w:rPr>
          <w:rFonts w:ascii="Arial" w:cs="Arial" w:eastAsia="Arial" w:hAnsi="Arial"/>
          <w:sz w:val="14"/>
          <w:szCs w:val="14"/>
          <w:u w:val="single" w:color="auto"/>
          <w:color w:val="auto"/>
        </w:rPr>
        <w:t xml:space="preserve"> </w:t>
      </w:r>
      <w:r>
        <w:rPr>
          <w:rFonts w:ascii="Arial" w:cs="Arial" w:eastAsia="Arial" w:hAnsi="Arial"/>
          <w:sz w:val="14"/>
          <w:szCs w:val="14"/>
          <w:color w:val="auto"/>
        </w:rPr>
        <w:t>application of its conflicts of laws principles. Each party irrevocably agrees, consents and submits to jurisdiction and venue in the federal and state courts in San Francisco, California, with respect to any dispute arising out of or relating in any way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159625" cy="698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55" w:right="319" w:bottom="1440" w:gutter="0" w:footer="0" w:header="0"/>
        </w:sectPr>
      </w:pPr>
    </w:p>
    <w:bookmarkStart w:id="768" w:name="page769"/>
    <w:bookmarkEnd w:id="768"/>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4"/>
          <w:szCs w:val="14"/>
          <w:u w:val="single" w:color="auto"/>
          <w:color w:val="auto"/>
        </w:rPr>
        <w:t>No Partnership</w:t>
      </w:r>
      <w:r>
        <w:rPr>
          <w:rFonts w:ascii="Arial" w:cs="Arial" w:eastAsia="Arial" w:hAnsi="Arial"/>
          <w:sz w:val="14"/>
          <w:szCs w:val="14"/>
          <w:color w:val="auto"/>
        </w:rPr>
        <w:t>. Nothing in this Agreement shall be construed as creating or constituting a joint venture, partnership, employment relationship, or franchise between Sublicensor</w:t>
      </w:r>
      <w:r>
        <w:rPr>
          <w:rFonts w:ascii="Arial" w:cs="Arial" w:eastAsia="Arial" w:hAnsi="Arial"/>
          <w:sz w:val="14"/>
          <w:szCs w:val="14"/>
          <w:u w:val="single" w:color="auto"/>
          <w:color w:val="auto"/>
        </w:rPr>
        <w:t xml:space="preserve"> </w:t>
      </w:r>
      <w:r>
        <w:rPr>
          <w:rFonts w:ascii="Arial" w:cs="Arial" w:eastAsia="Arial" w:hAnsi="Arial"/>
          <w:sz w:val="14"/>
          <w:szCs w:val="14"/>
          <w:color w:val="auto"/>
        </w:rPr>
        <w:t>and Sublicensee.</w:t>
      </w:r>
    </w:p>
    <w:p>
      <w:pPr>
        <w:spacing w:after="0" w:line="132" w:lineRule="exact"/>
        <w:rPr>
          <w:sz w:val="20"/>
          <w:szCs w:val="20"/>
          <w:color w:val="auto"/>
        </w:rPr>
      </w:pPr>
    </w:p>
    <w:p>
      <w:pPr>
        <w:jc w:val="both"/>
        <w:ind w:left="520" w:hanging="517"/>
        <w:spacing w:after="0" w:line="267" w:lineRule="auto"/>
        <w:tabs>
          <w:tab w:leader="none" w:pos="50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4"/>
          <w:szCs w:val="14"/>
          <w:u w:val="single" w:color="auto"/>
          <w:color w:val="auto"/>
        </w:rPr>
        <w:t>Severability</w:t>
      </w:r>
      <w:r>
        <w:rPr>
          <w:rFonts w:ascii="Arial" w:cs="Arial" w:eastAsia="Arial" w:hAnsi="Arial"/>
          <w:sz w:val="14"/>
          <w:szCs w:val="14"/>
          <w:color w:val="auto"/>
        </w:rPr>
        <w:t>. All rights and restrictions contained in this Agreement may be exercised and shall be applicable and binding only to the extent that they do not violate any</w:t>
      </w:r>
      <w:r>
        <w:rPr>
          <w:rFonts w:ascii="Arial" w:cs="Arial" w:eastAsia="Arial" w:hAnsi="Arial"/>
          <w:sz w:val="14"/>
          <w:szCs w:val="14"/>
          <w:u w:val="single" w:color="auto"/>
          <w:color w:val="auto"/>
        </w:rPr>
        <w:t xml:space="preserve"> </w:t>
      </w:r>
      <w:r>
        <w:rPr>
          <w:rFonts w:ascii="Arial" w:cs="Arial" w:eastAsia="Arial" w:hAnsi="Arial"/>
          <w:sz w:val="14"/>
          <w:szCs w:val="14"/>
          <w:color w:val="auto"/>
        </w:rPr>
        <w:t>applicable laws and are intended to be limited to the extent necessary so that they will not render this Agreement illegal, invalid or unenforceable. If any term of this Agreement shall be held to be illegal, invalid, or unenforceable, it is the intention of the parties that the remaining parts hereof shall constitute their Agreement with respect to the subject matter hereof and all of its remaining terms shall be in full force and effect.</w:t>
      </w:r>
    </w:p>
    <w:p>
      <w:pPr>
        <w:spacing w:after="0" w:line="147"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4"/>
          <w:szCs w:val="14"/>
          <w:u w:val="single" w:color="auto"/>
          <w:color w:val="auto"/>
        </w:rPr>
        <w:t>Waiver</w:t>
      </w:r>
      <w:r>
        <w:rPr>
          <w:rFonts w:ascii="Arial" w:cs="Arial" w:eastAsia="Arial" w:hAnsi="Arial"/>
          <w:sz w:val="14"/>
          <w:szCs w:val="14"/>
          <w:color w:val="auto"/>
        </w:rPr>
        <w:t>. Waiver by either party of any term or provision of this Agreement shall not constitute a continuing waiver thereof nor of any further or additional rights such party may</w:t>
      </w:r>
      <w:r>
        <w:rPr>
          <w:rFonts w:ascii="Arial" w:cs="Arial" w:eastAsia="Arial" w:hAnsi="Arial"/>
          <w:sz w:val="14"/>
          <w:szCs w:val="14"/>
          <w:u w:val="single" w:color="auto"/>
          <w:color w:val="auto"/>
        </w:rPr>
        <w:t xml:space="preserve"> </w:t>
      </w:r>
      <w:r>
        <w:rPr>
          <w:rFonts w:ascii="Arial" w:cs="Arial" w:eastAsia="Arial" w:hAnsi="Arial"/>
          <w:sz w:val="14"/>
          <w:szCs w:val="14"/>
          <w:color w:val="auto"/>
        </w:rPr>
        <w:t>hold under this Agreement.</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4"/>
          <w:szCs w:val="14"/>
          <w:u w:val="single" w:color="auto"/>
          <w:color w:val="auto"/>
        </w:rPr>
        <w:t>Hearings</w:t>
      </w:r>
      <w:r>
        <w:rPr>
          <w:rFonts w:ascii="Arial" w:cs="Arial" w:eastAsia="Arial" w:hAnsi="Arial"/>
          <w:sz w:val="14"/>
          <w:szCs w:val="14"/>
          <w:color w:val="auto"/>
        </w:rPr>
        <w:t>. Article and Section headings have been inserted herein for convenience of reference only and shall in no way modify or restrict any of the terms or provisions of this</w:t>
      </w:r>
      <w:r>
        <w:rPr>
          <w:rFonts w:ascii="Arial" w:cs="Arial" w:eastAsia="Arial" w:hAnsi="Arial"/>
          <w:sz w:val="14"/>
          <w:szCs w:val="14"/>
          <w:u w:val="single" w:color="auto"/>
          <w:color w:val="auto"/>
        </w:rPr>
        <w:t xml:space="preserve"> </w:t>
      </w:r>
      <w:r>
        <w:rPr>
          <w:rFonts w:ascii="Arial" w:cs="Arial" w:eastAsia="Arial" w:hAnsi="Arial"/>
          <w:sz w:val="14"/>
          <w:szCs w:val="14"/>
          <w:color w:val="auto"/>
        </w:rPr>
        <w:t>Agreement.</w:t>
      </w:r>
    </w:p>
    <w:p>
      <w:pPr>
        <w:spacing w:after="0" w:line="132"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4"/>
          <w:szCs w:val="14"/>
          <w:u w:val="single" w:color="auto"/>
          <w:color w:val="auto"/>
        </w:rPr>
        <w:t>Survival</w:t>
      </w:r>
      <w:r>
        <w:rPr>
          <w:rFonts w:ascii="Arial" w:cs="Arial" w:eastAsia="Arial" w:hAnsi="Arial"/>
          <w:sz w:val="14"/>
          <w:szCs w:val="14"/>
          <w:color w:val="auto"/>
        </w:rPr>
        <w:t>. The provisions of Articles 1, 5, 7.3, 8, 10.4, 11, and 12 shall survive and remain valid even after the expiration or termination of the Agreement (regardless of the</w:t>
      </w:r>
      <w:r>
        <w:rPr>
          <w:rFonts w:ascii="Arial" w:cs="Arial" w:eastAsia="Arial" w:hAnsi="Arial"/>
          <w:sz w:val="14"/>
          <w:szCs w:val="14"/>
          <w:u w:val="single" w:color="auto"/>
          <w:color w:val="auto"/>
        </w:rPr>
        <w:t xml:space="preserve"> </w:t>
      </w:r>
      <w:r>
        <w:rPr>
          <w:rFonts w:ascii="Arial" w:cs="Arial" w:eastAsia="Arial" w:hAnsi="Arial"/>
          <w:sz w:val="14"/>
          <w:szCs w:val="14"/>
          <w:color w:val="auto"/>
        </w:rPr>
        <w:t>reason for termination). Clauses with a surviving period of validity clearly stated in the Agreement shall remain valid for said period even after the expiration or termination of the Agreement (regardless of the reason for termination).</w:t>
      </w:r>
    </w:p>
    <w:p>
      <w:pPr>
        <w:spacing w:after="0" w:line="141"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12.10.</w:t>
      </w:r>
      <w:r>
        <w:rPr>
          <w:sz w:val="20"/>
          <w:szCs w:val="20"/>
          <w:color w:val="auto"/>
        </w:rPr>
        <w:tab/>
      </w:r>
      <w:r>
        <w:rPr>
          <w:rFonts w:ascii="Arial" w:cs="Arial" w:eastAsia="Arial" w:hAnsi="Arial"/>
          <w:sz w:val="14"/>
          <w:szCs w:val="14"/>
          <w:u w:val="single" w:color="auto"/>
          <w:color w:val="auto"/>
        </w:rPr>
        <w:t>Export</w:t>
      </w:r>
      <w:r>
        <w:rPr>
          <w:rFonts w:ascii="Arial" w:cs="Arial" w:eastAsia="Arial" w:hAnsi="Arial"/>
          <w:sz w:val="14"/>
          <w:szCs w:val="14"/>
          <w:color w:val="auto"/>
        </w:rPr>
        <w:t>. Sublicensee acknowledges that the Licensed Products may be subject to United States laws and regulations controlling the export of technical data, biological materials,</w:t>
      </w:r>
      <w:r>
        <w:rPr>
          <w:rFonts w:ascii="Arial" w:cs="Arial" w:eastAsia="Arial" w:hAnsi="Arial"/>
          <w:sz w:val="14"/>
          <w:szCs w:val="14"/>
          <w:u w:val="single" w:color="auto"/>
          <w:color w:val="auto"/>
        </w:rPr>
        <w:t xml:space="preserve"> </w:t>
      </w:r>
      <w:r>
        <w:rPr>
          <w:rFonts w:ascii="Arial" w:cs="Arial" w:eastAsia="Arial" w:hAnsi="Arial"/>
          <w:sz w:val="14"/>
          <w:szCs w:val="14"/>
          <w:color w:val="auto"/>
        </w:rPr>
        <w:t>chemical compositions, computer software, laboratory prototypes and other commodities and that Sublicensee shall be responsible for compliance with applicable United States export laws and regulations.</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12.11.</w:t>
      </w:r>
      <w:r>
        <w:rPr>
          <w:sz w:val="20"/>
          <w:szCs w:val="20"/>
          <w:color w:val="auto"/>
        </w:rPr>
        <w:tab/>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counterparts and by facsimile or electronic means each of which shall be an original and together one and the same instrument.</w:t>
      </w:r>
    </w:p>
    <w:p>
      <w:pPr>
        <w:spacing w:after="0" w:line="184" w:lineRule="exact"/>
        <w:rPr>
          <w:sz w:val="20"/>
          <w:szCs w:val="20"/>
          <w:color w:val="auto"/>
        </w:rPr>
      </w:pPr>
    </w:p>
    <w:p>
      <w:pPr>
        <w:ind w:left="3960"/>
        <w:spacing w:after="0"/>
        <w:rPr>
          <w:sz w:val="20"/>
          <w:szCs w:val="20"/>
          <w:color w:val="auto"/>
        </w:rPr>
      </w:pPr>
      <w:r>
        <w:rPr>
          <w:rFonts w:ascii="Arial" w:cs="Arial" w:eastAsia="Arial" w:hAnsi="Arial"/>
          <w:sz w:val="14"/>
          <w:szCs w:val="14"/>
          <w:i w:val="1"/>
          <w:iCs w:val="1"/>
          <w:color w:val="auto"/>
        </w:rPr>
        <w:t>[Signatures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233680</wp:posOffset>
            </wp:positionV>
            <wp:extent cx="7159625" cy="698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769" w:name="page770"/>
    <w:bookmarkEnd w:id="769"/>
    <w:p>
      <w:pPr>
        <w:jc w:val="right"/>
        <w:ind w:right="3439"/>
        <w:spacing w:after="0"/>
        <w:rPr>
          <w:sz w:val="20"/>
          <w:szCs w:val="20"/>
          <w:color w:val="auto"/>
        </w:rPr>
      </w:pPr>
      <w:r>
        <w:rPr>
          <w:rFonts w:ascii="Arial" w:cs="Arial" w:eastAsia="Arial" w:hAnsi="Arial"/>
          <w:sz w:val="14"/>
          <w:szCs w:val="14"/>
          <w:color w:val="auto"/>
        </w:rPr>
        <w:t>IN WITNESS WHEREOF, the parties hereto have affixed their signatures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SUBLICENSOR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iCELL Inc.</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Genjiro Miwa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13970</wp:posOffset>
            </wp:positionV>
            <wp:extent cx="3364230" cy="698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Name: Genjiro Miwa</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Title: Representative Director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SUBLICENSEE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LLC</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Osvaldo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13970</wp:posOffset>
            </wp:positionV>
            <wp:extent cx="3364230" cy="698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Name: Osvaldo (Lalo) Flores, PhD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9625" cy="698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55" w:right="1440" w:bottom="1440" w:gutter="0" w:footer="0" w:header="0"/>
        </w:sectPr>
      </w:pPr>
    </w:p>
    <w:bookmarkStart w:id="770" w:name="page771"/>
    <w:bookmarkEnd w:id="770"/>
    <w:p>
      <w:pPr>
        <w:jc w:val="center"/>
        <w:ind w:right="-1140"/>
        <w:spacing w:after="0"/>
        <w:rPr>
          <w:sz w:val="20"/>
          <w:szCs w:val="20"/>
          <w:color w:val="auto"/>
        </w:rPr>
      </w:pPr>
      <w:r>
        <w:rPr>
          <w:rFonts w:ascii="Arial" w:cs="Arial" w:eastAsia="Arial" w:hAnsi="Arial"/>
          <w:sz w:val="14"/>
          <w:szCs w:val="14"/>
          <w:color w:val="auto"/>
        </w:rPr>
        <w:t>Exhibit A</w:t>
      </w:r>
    </w:p>
    <w:p>
      <w:pPr>
        <w:spacing w:after="0" w:line="184" w:lineRule="exact"/>
        <w:rPr>
          <w:sz w:val="20"/>
          <w:szCs w:val="20"/>
          <w:color w:val="auto"/>
        </w:rPr>
      </w:pPr>
    </w:p>
    <w:p>
      <w:pPr>
        <w:jc w:val="right"/>
        <w:ind w:right="2279"/>
        <w:spacing w:after="0"/>
        <w:rPr>
          <w:sz w:val="20"/>
          <w:szCs w:val="20"/>
          <w:color w:val="auto"/>
        </w:rPr>
      </w:pPr>
      <w:r>
        <w:rPr>
          <w:rFonts w:ascii="Arial" w:cs="Arial" w:eastAsia="Arial" w:hAnsi="Arial"/>
          <w:sz w:val="14"/>
          <w:szCs w:val="14"/>
          <w:color w:val="auto"/>
        </w:rPr>
        <w:t>TABLE OF PATENTS LICENSED FROM THE UNIVERSITY OF TOKYO</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9625" cy="698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55" w:right="1440" w:bottom="1440" w:gutter="0" w:footer="0" w:header="0"/>
        </w:sectPr>
      </w:pPr>
    </w:p>
    <w:bookmarkStart w:id="771" w:name="page772"/>
    <w:bookmarkEnd w:id="771"/>
    <w:p>
      <w:pPr>
        <w:jc w:val="center"/>
        <w:ind w:right="19"/>
        <w:spacing w:after="0"/>
        <w:rPr>
          <w:sz w:val="20"/>
          <w:szCs w:val="20"/>
          <w:color w:val="auto"/>
        </w:rPr>
      </w:pPr>
      <w:r>
        <w:rPr>
          <w:rFonts w:ascii="Arial" w:cs="Arial" w:eastAsia="Arial" w:hAnsi="Arial"/>
          <w:sz w:val="14"/>
          <w:szCs w:val="14"/>
          <w:color w:val="auto"/>
        </w:rPr>
        <w:t>Schedule 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UTOKYO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233680</wp:posOffset>
            </wp:positionV>
            <wp:extent cx="7159625" cy="698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772" w:name="page773"/>
    <w:bookmarkEnd w:id="772"/>
    <w:p>
      <w:pPr>
        <w:jc w:val="right"/>
        <w:spacing w:after="0"/>
        <w:rPr>
          <w:sz w:val="20"/>
          <w:szCs w:val="20"/>
          <w:color w:val="auto"/>
        </w:rPr>
      </w:pPr>
      <w:r>
        <w:rPr>
          <w:rFonts w:ascii="Arial" w:cs="Arial" w:eastAsia="Arial" w:hAnsi="Arial"/>
          <w:sz w:val="14"/>
          <w:szCs w:val="14"/>
          <w:b w:val="1"/>
          <w:bCs w:val="1"/>
          <w:color w:val="auto"/>
        </w:rPr>
        <w:t>Exhibit 10.28</w:t>
      </w:r>
    </w:p>
    <w:p>
      <w:pPr>
        <w:spacing w:after="0" w:line="188" w:lineRule="exact"/>
        <w:rPr>
          <w:sz w:val="20"/>
          <w:szCs w:val="20"/>
          <w:color w:val="auto"/>
        </w:rPr>
      </w:pPr>
    </w:p>
    <w:p>
      <w:pPr>
        <w:jc w:val="center"/>
        <w:ind w:left="4700" w:right="60" w:hanging="4631"/>
        <w:spacing w:after="0" w:line="288" w:lineRule="auto"/>
        <w:tabs>
          <w:tab w:leader="none" w:pos="425" w:val="left"/>
        </w:tabs>
        <w:numPr>
          <w:ilvl w:val="0"/>
          <w:numId w:val="566"/>
        </w:numPr>
        <w:rPr>
          <w:rFonts w:ascii="Arial" w:cs="Arial" w:eastAsia="Arial" w:hAnsi="Arial"/>
          <w:sz w:val="14"/>
          <w:szCs w:val="14"/>
          <w:color w:val="auto"/>
        </w:rPr>
      </w:pPr>
      <w:r>
        <w:rPr>
          <w:rFonts w:ascii="Arial" w:cs="Arial" w:eastAsia="Arial" w:hAnsi="Arial"/>
          <w:sz w:val="14"/>
          <w:szCs w:val="14"/>
          <w:color w:val="auto"/>
        </w:rPr>
        <w:t>Certain information in this document has been excluded pursuant to Regulation S-K, Item 601(b)(10). Such excluded information is not material and the registrant customarily and actually treats as private and confidential.</w:t>
      </w:r>
    </w:p>
    <w:p>
      <w:pPr>
        <w:spacing w:after="0" w:line="128"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THIS LICENSE AGREEMENT </w:t>
      </w:r>
      <w:r>
        <w:rPr>
          <w:rFonts w:ascii="Arial" w:cs="Arial" w:eastAsia="Arial" w:hAnsi="Arial"/>
          <w:sz w:val="14"/>
          <w:szCs w:val="14"/>
          <w:color w:val="auto"/>
        </w:rPr>
        <w:t>is made and effective as of the 22 day of January 2019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BETWEEN:</w:t>
      </w:r>
    </w:p>
    <w:p>
      <w:pPr>
        <w:spacing w:after="0" w:line="184" w:lineRule="exact"/>
        <w:rPr>
          <w:sz w:val="20"/>
          <w:szCs w:val="20"/>
          <w:color w:val="auto"/>
        </w:rPr>
      </w:pPr>
    </w:p>
    <w:p>
      <w:pPr>
        <w:ind w:left="520" w:right="520"/>
        <w:spacing w:after="0" w:line="294" w:lineRule="auto"/>
        <w:rPr>
          <w:sz w:val="20"/>
          <w:szCs w:val="20"/>
          <w:color w:val="auto"/>
        </w:rPr>
      </w:pPr>
      <w:r>
        <w:rPr>
          <w:rFonts w:ascii="Arial" w:cs="Arial" w:eastAsia="Arial" w:hAnsi="Arial"/>
          <w:sz w:val="14"/>
          <w:szCs w:val="14"/>
          <w:b w:val="1"/>
          <w:bCs w:val="1"/>
          <w:color w:val="auto"/>
        </w:rPr>
        <w:t>THE GOVERNING COUNCIL OF THE UNIVERSITY OF TORONTO</w:t>
      </w:r>
      <w:r>
        <w:rPr>
          <w:rFonts w:ascii="Arial" w:cs="Arial" w:eastAsia="Arial" w:hAnsi="Arial"/>
          <w:sz w:val="14"/>
          <w:szCs w:val="14"/>
          <w:color w:val="auto"/>
        </w:rPr>
        <w:t>, a corporation vested with the government, management and control of the University of Toronto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by the </w:t>
      </w:r>
      <w:r>
        <w:rPr>
          <w:rFonts w:ascii="Arial" w:cs="Arial" w:eastAsia="Arial" w:hAnsi="Arial"/>
          <w:sz w:val="14"/>
          <w:szCs w:val="14"/>
          <w:i w:val="1"/>
          <w:iCs w:val="1"/>
          <w:color w:val="auto"/>
        </w:rPr>
        <w:t>University of Toronto Act, 1971</w:t>
      </w:r>
      <w:r>
        <w:rPr>
          <w:rFonts w:ascii="Arial" w:cs="Arial" w:eastAsia="Arial" w:hAnsi="Arial"/>
          <w:sz w:val="14"/>
          <w:szCs w:val="14"/>
          <w:color w:val="auto"/>
        </w:rPr>
        <w:t xml:space="preserve"> and having offices at Banting Institute, 100 College Street, Suite 413, Toronto, Ontario M5G 1L5, Canada</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(hereinafter refer to as “</w:t>
      </w:r>
      <w:r>
        <w:rPr>
          <w:rFonts w:ascii="Arial" w:cs="Arial" w:eastAsia="Arial" w:hAnsi="Arial"/>
          <w:sz w:val="14"/>
          <w:szCs w:val="14"/>
          <w:b w:val="1"/>
          <w:bCs w:val="1"/>
          <w:color w:val="auto"/>
        </w:rPr>
        <w:t>UT</w:t>
      </w:r>
      <w:r>
        <w:rPr>
          <w:rFonts w:ascii="Arial" w:cs="Arial" w:eastAsia="Arial" w:hAnsi="Arial"/>
          <w:sz w:val="14"/>
          <w:szCs w:val="14"/>
          <w:color w:val="auto"/>
        </w:rPr>
        <w: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THE MCMASTER UNIVERSITY, </w:t>
      </w:r>
      <w:r>
        <w:rPr>
          <w:rFonts w:ascii="Arial" w:cs="Arial" w:eastAsia="Arial" w:hAnsi="Arial"/>
          <w:sz w:val="14"/>
          <w:szCs w:val="14"/>
          <w:color w:val="auto"/>
        </w:rPr>
        <w:t>having an office at 1280 Main Street West, Hamilton, Ontario, L8S 4L8</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(hereinafter refer to as “</w:t>
      </w:r>
      <w:r>
        <w:rPr>
          <w:rFonts w:ascii="Arial" w:cs="Arial" w:eastAsia="Arial" w:hAnsi="Arial"/>
          <w:sz w:val="14"/>
          <w:szCs w:val="14"/>
          <w:b w:val="1"/>
          <w:bCs w:val="1"/>
          <w:color w:val="auto"/>
        </w:rPr>
        <w:t>MAC</w:t>
      </w:r>
      <w:r>
        <w:rPr>
          <w:rFonts w:ascii="Arial" w:cs="Arial" w:eastAsia="Arial" w:hAnsi="Arial"/>
          <w:sz w:val="14"/>
          <w:szCs w:val="14"/>
          <w:color w:val="auto"/>
        </w:rPr>
        <w: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(UT and MAC together hereinafter referred to as the “</w:t>
      </w:r>
      <w:r>
        <w:rPr>
          <w:rFonts w:ascii="Arial" w:cs="Arial" w:eastAsia="Arial" w:hAnsi="Arial"/>
          <w:sz w:val="14"/>
          <w:szCs w:val="14"/>
          <w:b w:val="1"/>
          <w:bCs w:val="1"/>
          <w:color w:val="auto"/>
        </w:rPr>
        <w:t>INSTITUTIONS</w:t>
      </w:r>
      <w:r>
        <w:rPr>
          <w:rFonts w:ascii="Arial" w:cs="Arial" w:eastAsia="Arial" w:hAnsi="Arial"/>
          <w:sz w:val="14"/>
          <w:szCs w:val="14"/>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and -</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EMPIRICA THERAPEUTICS an Ontario corporation,</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having an office at McMaster Innovation Park, Suite 305, 175</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Longwood Road South, Hamilton, ON L8P 0A1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(hereinafter refer to as “</w:t>
      </w:r>
      <w:r>
        <w:rPr>
          <w:rFonts w:ascii="Arial" w:cs="Arial" w:eastAsia="Arial" w:hAnsi="Arial"/>
          <w:sz w:val="14"/>
          <w:szCs w:val="14"/>
          <w:b w:val="1"/>
          <w:bCs w:val="1"/>
          <w:color w:val="auto"/>
        </w:rPr>
        <w:t>EMPIRICA</w:t>
      </w:r>
      <w:r>
        <w:rPr>
          <w:rFonts w:ascii="Arial" w:cs="Arial" w:eastAsia="Arial" w:hAnsi="Arial"/>
          <w:sz w:val="14"/>
          <w:szCs w:val="14"/>
          <w:color w:val="auto"/>
        </w:rPr>
        <w:t>”)</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the INSTITUTIONS have granted EMPIRICA an Option to License and Term Sheet dated October 24, 2018 attached to this Agreement as Schedule “A” (“Term Sheet”) to obtain an</w:t>
      </w:r>
      <w:r>
        <w:rPr>
          <w:rFonts w:ascii="Arial" w:cs="Arial" w:eastAsia="Arial" w:hAnsi="Arial"/>
          <w:sz w:val="14"/>
          <w:szCs w:val="14"/>
          <w:b w:val="1"/>
          <w:bCs w:val="1"/>
          <w:color w:val="auto"/>
        </w:rPr>
        <w:t xml:space="preserve"> </w:t>
      </w:r>
      <w:r>
        <w:rPr>
          <w:rFonts w:ascii="Arial" w:cs="Arial" w:eastAsia="Arial" w:hAnsi="Arial"/>
          <w:sz w:val="14"/>
          <w:szCs w:val="14"/>
          <w:color w:val="auto"/>
        </w:rPr>
        <w:t>exclusive license to commercialize the Intellectual Property Rights disclosed by the INSTITUTIONS to EMPIRICA;</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EMPIRICA exercised its option in accordance with the Term Sheet on 22 January 2019;</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UT, under a separate agreement, has contracted the Centre for the Commercialization of Antibodies and Biologics (“</w:t>
      </w:r>
      <w:r>
        <w:rPr>
          <w:rFonts w:ascii="Arial" w:cs="Arial" w:eastAsia="Arial" w:hAnsi="Arial"/>
          <w:sz w:val="14"/>
          <w:szCs w:val="14"/>
          <w:b w:val="1"/>
          <w:bCs w:val="1"/>
          <w:color w:val="auto"/>
        </w:rPr>
        <w:t>CCAB</w:t>
      </w:r>
      <w:r>
        <w:rPr>
          <w:rFonts w:ascii="Arial" w:cs="Arial" w:eastAsia="Arial" w:hAnsi="Arial"/>
          <w:sz w:val="14"/>
          <w:szCs w:val="14"/>
          <w:color w:val="auto"/>
        </w:rPr>
        <w:t>”) to perform certain commercialization services on behalf</w:t>
      </w:r>
      <w:r>
        <w:rPr>
          <w:rFonts w:ascii="Arial" w:cs="Arial" w:eastAsia="Arial" w:hAnsi="Arial"/>
          <w:sz w:val="14"/>
          <w:szCs w:val="14"/>
          <w:b w:val="1"/>
          <w:bCs w:val="1"/>
          <w:color w:val="auto"/>
        </w:rPr>
        <w:t xml:space="preserve"> </w:t>
      </w:r>
      <w:r>
        <w:rPr>
          <w:rFonts w:ascii="Arial" w:cs="Arial" w:eastAsia="Arial" w:hAnsi="Arial"/>
          <w:sz w:val="14"/>
          <w:szCs w:val="14"/>
          <w:color w:val="auto"/>
        </w:rPr>
        <w:t>of UT, including the negotiation of commercial agreements and management of intellectual property;</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773" w:name="page774"/>
    <w:bookmarkEnd w:id="773"/>
    <w:p>
      <w:pPr>
        <w:jc w:val="both"/>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the INSTITUTIONS have assigned CCAB as the commercialization agent for the collaboration between UT and MAC under the Collaboration and Material Exchange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UT2017-0514, and shall continue to act as the Representative for the INSTITUTIONS in the administration of this Agreement;</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in consideration of the premises and the mutual covenants, terms and conditions contained herein, and other good and valuable consideration, the sufficiency of which is</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acknowledged, the Parties hereto agree as follows: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INTERPRETATION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b w:val="1"/>
          <w:bCs w:val="1"/>
          <w:color w:val="auto"/>
        </w:rPr>
        <w:t>Definitions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In this Agreement, the following terms have the meanings set forth below:</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Affiliates</w:t>
      </w:r>
      <w:r>
        <w:rPr>
          <w:rFonts w:ascii="Arial" w:cs="Arial" w:eastAsia="Arial" w:hAnsi="Arial"/>
          <w:sz w:val="14"/>
          <w:szCs w:val="14"/>
          <w:color w:val="auto"/>
        </w:rPr>
        <w:t>” shall mean, with respect to any Person, any other Person directly or indirectly controlling, controlled by or under common control with the first Person. The term “control” means the ability to direct the management and policies of such Person, whether through ownership of equity, by contract or otherwise;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Agreement</w:t>
      </w:r>
      <w:r>
        <w:rPr>
          <w:rFonts w:ascii="Arial" w:cs="Arial" w:eastAsia="Arial" w:hAnsi="Arial"/>
          <w:sz w:val="14"/>
          <w:szCs w:val="14"/>
          <w:color w:val="auto"/>
        </w:rPr>
        <w:t>” means this license agreement including all attached schedules, as the same may be supplemented, amended, restated or replaced in writing from time to time;</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Antibody</w:t>
      </w:r>
      <w:r>
        <w:rPr>
          <w:rFonts w:ascii="Arial" w:cs="Arial" w:eastAsia="Arial" w:hAnsi="Arial"/>
          <w:sz w:val="14"/>
          <w:szCs w:val="14"/>
          <w:color w:val="auto"/>
        </w:rPr>
        <w:t>” means a composition of matter that contains complementarity determining regions, including any antibody and any and all antigen binding domains or sequences or portions, variants, fragments or derivatives thereof (e.g., chimeric, humanized, human, non-human, single chain, monovalent, divalent, bispecific, polyvalent, multi-specific, unmodified, modified, or conjugates) and includes full length-immunoglobulins’.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Antibody Sequences</w:t>
      </w:r>
      <w:r>
        <w:rPr>
          <w:rFonts w:ascii="Arial" w:cs="Arial" w:eastAsia="Arial" w:hAnsi="Arial"/>
          <w:sz w:val="14"/>
          <w:szCs w:val="14"/>
          <w:color w:val="auto"/>
        </w:rPr>
        <w:t>” means sequence data (including nucleic acid and peptide) for any and all Antibodies resulting from the screening of Antibody panels against cell surface receptor targets and including sequence data for any Antibodies having documented lineage (with respect to an Antibody, that such Antibody has lineage derived from a predecessor Antibody as documented in lab notebooks or in regulatory filings) to such Antibodies.</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Beneficiaries</w:t>
      </w:r>
      <w:r>
        <w:rPr>
          <w:rFonts w:ascii="Arial" w:cs="Arial" w:eastAsia="Arial" w:hAnsi="Arial"/>
          <w:sz w:val="14"/>
          <w:szCs w:val="14"/>
          <w:color w:val="auto"/>
        </w:rPr>
        <w:t>” means the INSTITUTIONS and their Affiliates, as applicable, and the INSTITUTIONS’ current, former and future trustees, board members, officers, employees, appointees, faculty, professional staff, consultants, affiliated corporations and agents and their respective heirs, successors and assigns and “</w:t>
      </w:r>
      <w:r>
        <w:rPr>
          <w:rFonts w:ascii="Arial" w:cs="Arial" w:eastAsia="Arial" w:hAnsi="Arial"/>
          <w:sz w:val="14"/>
          <w:szCs w:val="14"/>
          <w:b w:val="1"/>
          <w:bCs w:val="1"/>
          <w:color w:val="auto"/>
        </w:rPr>
        <w:t>Beneficiary</w:t>
      </w:r>
      <w:r>
        <w:rPr>
          <w:rFonts w:ascii="Arial" w:cs="Arial" w:eastAsia="Arial" w:hAnsi="Arial"/>
          <w:sz w:val="14"/>
          <w:szCs w:val="14"/>
          <w:color w:val="auto"/>
        </w:rPr>
        <w:t>” means one of them;</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Best Efforts</w:t>
      </w:r>
      <w:r>
        <w:rPr>
          <w:rFonts w:ascii="Arial" w:cs="Arial" w:eastAsia="Arial" w:hAnsi="Arial"/>
          <w:sz w:val="14"/>
          <w:szCs w:val="14"/>
          <w:color w:val="auto"/>
        </w:rPr>
        <w:t>” means the efforts that a prudent person desirous of achieving a result would use in similar circumstances to ensure that such result is achieved as expeditiously as possible; provided, however, that an obligation to use best efforts under this Agreement</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774" w:name="page775"/>
    <w:bookmarkEnd w:id="774"/>
    <w:p>
      <w:pPr>
        <w:spacing w:after="0"/>
        <w:rPr>
          <w:sz w:val="20"/>
          <w:szCs w:val="20"/>
          <w:color w:val="auto"/>
        </w:rPr>
      </w:pPr>
      <w:r>
        <w:rPr>
          <w:rFonts w:ascii="Arial" w:cs="Arial" w:eastAsia="Arial" w:hAnsi="Arial"/>
          <w:sz w:val="14"/>
          <w:szCs w:val="14"/>
          <w:color w:val="auto"/>
        </w:rPr>
        <w:t>does not require the person subject to that obligation to take actions that would result in a materially adverse change in the benefits to such person of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Calendar Year</w:t>
      </w:r>
      <w:r>
        <w:rPr>
          <w:rFonts w:ascii="Arial" w:cs="Arial" w:eastAsia="Arial" w:hAnsi="Arial"/>
          <w:sz w:val="14"/>
          <w:szCs w:val="14"/>
          <w:color w:val="auto"/>
        </w:rPr>
        <w:t>” means January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through to December 31</w:t>
      </w:r>
      <w:r>
        <w:rPr>
          <w:rFonts w:ascii="Arial" w:cs="Arial" w:eastAsia="Arial" w:hAnsi="Arial"/>
          <w:sz w:val="23"/>
          <w:szCs w:val="23"/>
          <w:color w:val="auto"/>
          <w:vertAlign w:val="superscript"/>
        </w:rPr>
        <w:t>st</w:t>
      </w:r>
      <w:r>
        <w:rPr>
          <w:rFonts w:ascii="Arial" w:cs="Arial" w:eastAsia="Arial" w:hAnsi="Arial"/>
          <w:sz w:val="14"/>
          <w:szCs w:val="14"/>
          <w:color w:val="auto"/>
        </w:rPr>
        <w:t>;</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Commercially Reasonable Efforts</w:t>
      </w:r>
      <w:r>
        <w:rPr>
          <w:rFonts w:ascii="Arial" w:cs="Arial" w:eastAsia="Arial" w:hAnsi="Arial"/>
          <w:sz w:val="14"/>
          <w:szCs w:val="14"/>
          <w:color w:val="auto"/>
        </w:rPr>
        <w:t>” shall mean reasonable, diligent, good-faith efforts to accomplish an objective comparable to the efforts commonly used by similarly situated Persons to accomplish a similar objective under similar circumstances for products owned by it or to which it has rights having similar sales potential, at a similar stage in development or product life, and taking into account relevant product and business considerations, including product profile, regulation, costs and competitive environment;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the specific terms and conditions set forth in this Agreement, the Know-how, and any information, which is non-public, confidential or proprietary in nature, including, without limitation, business information, trade secrets, and any information related to any Licensed Product or Therapeutic Products, whether written, oral or in electronic form, provided that tangible materials are marked as confidential, and provided that information given orally is identified as confidential at the time of disclosure, and confirmed as confidential in writing within fifteen (15) days, but shall not include information that:</w:t>
      </w:r>
    </w:p>
    <w:p>
      <w:pPr>
        <w:spacing w:after="0" w:line="145" w:lineRule="exact"/>
        <w:rPr>
          <w:sz w:val="20"/>
          <w:szCs w:val="20"/>
          <w:color w:val="auto"/>
        </w:rPr>
      </w:pPr>
    </w:p>
    <w:p>
      <w:pPr>
        <w:ind w:left="1040" w:hanging="516"/>
        <w:spacing w:after="0"/>
        <w:tabs>
          <w:tab w:leader="none" w:pos="1040" w:val="left"/>
        </w:tabs>
        <w:numPr>
          <w:ilvl w:val="0"/>
          <w:numId w:val="567"/>
        </w:numPr>
        <w:rPr>
          <w:rFonts w:ascii="Arial" w:cs="Arial" w:eastAsia="Arial" w:hAnsi="Arial"/>
          <w:sz w:val="14"/>
          <w:szCs w:val="14"/>
          <w:color w:val="auto"/>
        </w:rPr>
      </w:pPr>
      <w:r>
        <w:rPr>
          <w:rFonts w:ascii="Arial" w:cs="Arial" w:eastAsia="Arial" w:hAnsi="Arial"/>
          <w:sz w:val="14"/>
          <w:szCs w:val="14"/>
          <w:color w:val="auto"/>
        </w:rPr>
        <w:t>is or becomes generally available to the public other than as a result of any act by a receiving Party to this Agreement;</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67"/>
        </w:numPr>
        <w:rPr>
          <w:rFonts w:ascii="Arial" w:cs="Arial" w:eastAsia="Arial" w:hAnsi="Arial"/>
          <w:sz w:val="14"/>
          <w:szCs w:val="14"/>
          <w:color w:val="auto"/>
        </w:rPr>
      </w:pPr>
      <w:r>
        <w:rPr>
          <w:rFonts w:ascii="Arial" w:cs="Arial" w:eastAsia="Arial" w:hAnsi="Arial"/>
          <w:sz w:val="14"/>
          <w:szCs w:val="14"/>
          <w:color w:val="auto"/>
        </w:rPr>
        <w:t>is rightfully received from a Third Party without similar restriction or without breach of this Agreement;</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67"/>
        </w:numPr>
        <w:rPr>
          <w:rFonts w:ascii="Arial" w:cs="Arial" w:eastAsia="Arial" w:hAnsi="Arial"/>
          <w:sz w:val="14"/>
          <w:szCs w:val="14"/>
          <w:color w:val="auto"/>
        </w:rPr>
      </w:pPr>
      <w:r>
        <w:rPr>
          <w:rFonts w:ascii="Arial" w:cs="Arial" w:eastAsia="Arial" w:hAnsi="Arial"/>
          <w:sz w:val="14"/>
          <w:szCs w:val="14"/>
          <w:color w:val="auto"/>
        </w:rPr>
        <w:t>a receiving Party is able to demonstrate, in writing, was known to it on a non-confidential basis; or</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67"/>
        </w:numPr>
        <w:rPr>
          <w:rFonts w:ascii="Arial" w:cs="Arial" w:eastAsia="Arial" w:hAnsi="Arial"/>
          <w:sz w:val="14"/>
          <w:szCs w:val="14"/>
          <w:color w:val="auto"/>
        </w:rPr>
      </w:pPr>
      <w:r>
        <w:rPr>
          <w:rFonts w:ascii="Arial" w:cs="Arial" w:eastAsia="Arial" w:hAnsi="Arial"/>
          <w:sz w:val="14"/>
          <w:szCs w:val="14"/>
          <w:color w:val="auto"/>
        </w:rPr>
        <w:t>was independently developed by a receiving Party without the use of any of the Confidential Information.</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Diagnostic Product</w:t>
      </w:r>
      <w:r>
        <w:rPr>
          <w:rFonts w:ascii="Arial" w:cs="Arial" w:eastAsia="Arial" w:hAnsi="Arial"/>
          <w:sz w:val="14"/>
          <w:szCs w:val="14"/>
          <w:color w:val="auto"/>
        </w:rPr>
        <w:t>” means any Licensed Product or derivative thereof, sold, used, manufactured or distributed by EMPIRICA, its Affiliates, any Sub-Licensees under this Agreement, as part of a diagnostic product anywhere in the Territory;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Encumbrance</w:t>
      </w:r>
      <w:r>
        <w:rPr>
          <w:rFonts w:ascii="Arial" w:cs="Arial" w:eastAsia="Arial" w:hAnsi="Arial"/>
          <w:sz w:val="13"/>
          <w:szCs w:val="13"/>
          <w:color w:val="auto"/>
        </w:rPr>
        <w:t>” means any mortgage, charge, pledge, hypothecation, lien, encumbrance, restriction, option or security interest of any kind and “</w:t>
      </w:r>
      <w:r>
        <w:rPr>
          <w:rFonts w:ascii="Arial" w:cs="Arial" w:eastAsia="Arial" w:hAnsi="Arial"/>
          <w:sz w:val="13"/>
          <w:szCs w:val="13"/>
          <w:b w:val="1"/>
          <w:bCs w:val="1"/>
          <w:color w:val="auto"/>
        </w:rPr>
        <w:t>Encumber</w:t>
      </w:r>
      <w:r>
        <w:rPr>
          <w:rFonts w:ascii="Arial" w:cs="Arial" w:eastAsia="Arial" w:hAnsi="Arial"/>
          <w:sz w:val="13"/>
          <w:szCs w:val="13"/>
          <w:color w:val="auto"/>
        </w:rPr>
        <w:t>” means to create an Encumbrance;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Field of Use</w:t>
      </w:r>
      <w:r>
        <w:rPr>
          <w:rFonts w:ascii="Arial" w:cs="Arial" w:eastAsia="Arial" w:hAnsi="Arial"/>
          <w:sz w:val="14"/>
          <w:szCs w:val="14"/>
          <w:color w:val="auto"/>
        </w:rPr>
        <w:t>” shall mean therapeutic and diagnostic use for all indications;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First Commercial Sale</w:t>
      </w:r>
      <w:r>
        <w:rPr>
          <w:rFonts w:ascii="Arial" w:cs="Arial" w:eastAsia="Arial" w:hAnsi="Arial"/>
          <w:sz w:val="14"/>
          <w:szCs w:val="14"/>
          <w:color w:val="auto"/>
        </w:rPr>
        <w:t>” means the first sale of a Therapeutic Products in the Territory (as hereinafter defined), by EMPIRICA, its Affiliates, or any Sub-Licensees to any Third Party;</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75" w:name="page776"/>
    <w:bookmarkEnd w:id="775"/>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 Rights</w:t>
      </w:r>
      <w:r>
        <w:rPr>
          <w:rFonts w:ascii="Arial" w:cs="Arial" w:eastAsia="Arial" w:hAnsi="Arial"/>
          <w:sz w:val="14"/>
          <w:szCs w:val="14"/>
          <w:color w:val="auto"/>
        </w:rPr>
        <w:t>” means all patents, patent applications, copyrights, trademarks, trade-names, and other intangible property rights, whether registered or not;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Inventor(s)</w:t>
      </w:r>
      <w:r>
        <w:rPr>
          <w:rFonts w:ascii="Arial" w:cs="Arial" w:eastAsia="Arial" w:hAnsi="Arial"/>
          <w:sz w:val="14"/>
          <w:szCs w:val="14"/>
          <w:color w:val="auto"/>
        </w:rPr>
        <w:t>” means any individual listed as an inventor on any Patent or Licensed Inventions;</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Know-how</w:t>
      </w:r>
      <w:r>
        <w:rPr>
          <w:rFonts w:ascii="Arial" w:cs="Arial" w:eastAsia="Arial" w:hAnsi="Arial"/>
          <w:sz w:val="14"/>
          <w:szCs w:val="14"/>
          <w:color w:val="auto"/>
        </w:rPr>
        <w:t>” means any and all trade secrets, technical expertise, knowledge, and confidential information specifically relating to the Licensed Inventions. For the avoidance of doubt, this excludes Know-how that apply to other technologies not covered by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Inventions</w:t>
      </w:r>
      <w:r>
        <w:rPr>
          <w:rFonts w:ascii="Arial" w:cs="Arial" w:eastAsia="Arial" w:hAnsi="Arial"/>
          <w:sz w:val="14"/>
          <w:szCs w:val="14"/>
          <w:color w:val="auto"/>
        </w:rPr>
        <w:t xml:space="preserve">” means the Patents and Antibody Sequences described in </w:t>
      </w:r>
      <w:r>
        <w:rPr>
          <w:rFonts w:ascii="Arial" w:cs="Arial" w:eastAsia="Arial" w:hAnsi="Arial"/>
          <w:sz w:val="14"/>
          <w:szCs w:val="14"/>
          <w:b w:val="1"/>
          <w:bCs w:val="1"/>
          <w:color w:val="auto"/>
        </w:rPr>
        <w:t>Schedule</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any related Intellectual Property Rights and Know-how, including but not limited to:</w:t>
      </w:r>
    </w:p>
    <w:p>
      <w:pPr>
        <w:spacing w:after="0" w:line="188" w:lineRule="exact"/>
        <w:rPr>
          <w:sz w:val="20"/>
          <w:szCs w:val="20"/>
          <w:color w:val="auto"/>
        </w:rPr>
      </w:pPr>
    </w:p>
    <w:p>
      <w:pPr>
        <w:ind w:left="1040" w:hanging="516"/>
        <w:spacing w:after="0" w:line="288" w:lineRule="auto"/>
        <w:tabs>
          <w:tab w:leader="none" w:pos="1040" w:val="left"/>
        </w:tabs>
        <w:numPr>
          <w:ilvl w:val="0"/>
          <w:numId w:val="568"/>
        </w:numPr>
        <w:rPr>
          <w:rFonts w:ascii="Arial" w:cs="Arial" w:eastAsia="Arial" w:hAnsi="Arial"/>
          <w:sz w:val="14"/>
          <w:szCs w:val="14"/>
          <w:color w:val="auto"/>
        </w:rPr>
      </w:pPr>
      <w:r>
        <w:rPr>
          <w:rFonts w:ascii="Arial" w:cs="Arial" w:eastAsia="Arial" w:hAnsi="Arial"/>
          <w:sz w:val="14"/>
          <w:szCs w:val="14"/>
          <w:color w:val="auto"/>
        </w:rPr>
        <w:t>Antibody Sequences that are at least 70% homologous at the amino acid level to the complementarity-determining regions (CDR) of the Antibody Sequences set forth in Schedule B;</w:t>
      </w:r>
    </w:p>
    <w:p>
      <w:pPr>
        <w:spacing w:after="0" w:line="127" w:lineRule="exact"/>
        <w:rPr>
          <w:rFonts w:ascii="Arial" w:cs="Arial" w:eastAsia="Arial" w:hAnsi="Arial"/>
          <w:sz w:val="14"/>
          <w:szCs w:val="14"/>
          <w:color w:val="auto"/>
        </w:rPr>
      </w:pPr>
    </w:p>
    <w:p>
      <w:pPr>
        <w:ind w:left="1040" w:hanging="516"/>
        <w:spacing w:after="0" w:line="294" w:lineRule="auto"/>
        <w:tabs>
          <w:tab w:leader="none" w:pos="1040" w:val="left"/>
        </w:tabs>
        <w:numPr>
          <w:ilvl w:val="0"/>
          <w:numId w:val="568"/>
        </w:numPr>
        <w:rPr>
          <w:rFonts w:ascii="Arial" w:cs="Arial" w:eastAsia="Arial" w:hAnsi="Arial"/>
          <w:sz w:val="14"/>
          <w:szCs w:val="14"/>
          <w:color w:val="auto"/>
        </w:rPr>
      </w:pPr>
      <w:r>
        <w:rPr>
          <w:rFonts w:ascii="Arial" w:cs="Arial" w:eastAsia="Arial" w:hAnsi="Arial"/>
          <w:sz w:val="14"/>
          <w:szCs w:val="14"/>
          <w:color w:val="auto"/>
        </w:rPr>
        <w:t xml:space="preserve">any continuations of the patent applications identified in </w:t>
      </w:r>
      <w:r>
        <w:rPr>
          <w:rFonts w:ascii="Arial" w:cs="Arial" w:eastAsia="Arial" w:hAnsi="Arial"/>
          <w:sz w:val="14"/>
          <w:szCs w:val="14"/>
          <w:b w:val="1"/>
          <w:bCs w:val="1"/>
          <w:color w:val="auto"/>
        </w:rPr>
        <w:t>Schedule “B”</w:t>
      </w:r>
      <w:r>
        <w:rPr>
          <w:rFonts w:ascii="Arial" w:cs="Arial" w:eastAsia="Arial" w:hAnsi="Arial"/>
          <w:sz w:val="14"/>
          <w:szCs w:val="14"/>
          <w:color w:val="auto"/>
        </w:rPr>
        <w:t>, including divisionals, continuations and continuation-in-part applications, except in any subject-matter or claim of continuation-in-part applications which is not disclosed nor enabled in patent applications thereof;</w:t>
      </w:r>
    </w:p>
    <w:p>
      <w:pPr>
        <w:spacing w:after="0" w:line="123" w:lineRule="exact"/>
        <w:rPr>
          <w:rFonts w:ascii="Arial" w:cs="Arial" w:eastAsia="Arial" w:hAnsi="Arial"/>
          <w:sz w:val="14"/>
          <w:szCs w:val="14"/>
          <w:color w:val="auto"/>
        </w:rPr>
      </w:pPr>
    </w:p>
    <w:p>
      <w:pPr>
        <w:ind w:left="1040" w:hanging="516"/>
        <w:spacing w:after="0" w:line="294" w:lineRule="auto"/>
        <w:tabs>
          <w:tab w:leader="none" w:pos="1040" w:val="left"/>
        </w:tabs>
        <w:numPr>
          <w:ilvl w:val="0"/>
          <w:numId w:val="568"/>
        </w:numPr>
        <w:rPr>
          <w:rFonts w:ascii="Arial" w:cs="Arial" w:eastAsia="Arial" w:hAnsi="Arial"/>
          <w:sz w:val="14"/>
          <w:szCs w:val="14"/>
          <w:color w:val="auto"/>
        </w:rPr>
      </w:pPr>
      <w:r>
        <w:rPr>
          <w:rFonts w:ascii="Arial" w:cs="Arial" w:eastAsia="Arial" w:hAnsi="Arial"/>
          <w:sz w:val="14"/>
          <w:szCs w:val="14"/>
          <w:color w:val="auto"/>
        </w:rPr>
        <w:t xml:space="preserve">any patents or patent applications, in any jurisdiction, corresponding to Patents in </w:t>
      </w:r>
      <w:r>
        <w:rPr>
          <w:rFonts w:ascii="Arial" w:cs="Arial" w:eastAsia="Arial" w:hAnsi="Arial"/>
          <w:sz w:val="14"/>
          <w:szCs w:val="14"/>
          <w:b w:val="1"/>
          <w:bCs w:val="1"/>
          <w:color w:val="auto"/>
        </w:rPr>
        <w:t>Schedule</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r>
        <w:rPr>
          <w:rFonts w:ascii="Arial" w:cs="Arial" w:eastAsia="Arial" w:hAnsi="Arial"/>
          <w:sz w:val="14"/>
          <w:szCs w:val="14"/>
          <w:color w:val="auto"/>
        </w:rPr>
        <w:t xml:space="preserve">”; except in any issued patent claims, arising from continuation-in-part applications, of which the subject-matter is not disclosed nor enabled in the patent applications disclosed in </w:t>
      </w:r>
      <w:r>
        <w:rPr>
          <w:rFonts w:ascii="Arial" w:cs="Arial" w:eastAsia="Arial" w:hAnsi="Arial"/>
          <w:sz w:val="14"/>
          <w:szCs w:val="14"/>
          <w:b w:val="1"/>
          <w:bCs w:val="1"/>
          <w:color w:val="auto"/>
        </w:rPr>
        <w:t>Schedule “B”</w:t>
      </w:r>
      <w:r>
        <w:rPr>
          <w:rFonts w:ascii="Arial" w:cs="Arial" w:eastAsia="Arial" w:hAnsi="Arial"/>
          <w:sz w:val="14"/>
          <w:szCs w:val="14"/>
          <w:color w:val="auto"/>
        </w:rPr>
        <w:t>.</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Products</w:t>
      </w:r>
      <w:r>
        <w:rPr>
          <w:rFonts w:ascii="Arial" w:cs="Arial" w:eastAsia="Arial" w:hAnsi="Arial"/>
          <w:sz w:val="14"/>
          <w:szCs w:val="14"/>
          <w:color w:val="auto"/>
        </w:rPr>
        <w:t>” means any Antibody or Antibody Sequences derived technology including but not limited to BiTE and Bi-Specific or engineered T-Cells including but not limited to chimeric antigen receptors (CAR-Ts) derived in whole or in part from the Licensed Inventions;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Milestone Payments</w:t>
      </w:r>
      <w:r>
        <w:rPr>
          <w:rFonts w:ascii="Arial" w:cs="Arial" w:eastAsia="Arial" w:hAnsi="Arial"/>
          <w:sz w:val="14"/>
          <w:szCs w:val="14"/>
          <w:color w:val="auto"/>
        </w:rPr>
        <w:t>” has the meaning attributed in Subsection 3.2.1;</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Sales</w:t>
      </w:r>
      <w:r>
        <w:rPr>
          <w:rFonts w:ascii="Arial" w:cs="Arial" w:eastAsia="Arial" w:hAnsi="Arial"/>
          <w:sz w:val="14"/>
          <w:szCs w:val="14"/>
          <w:color w:val="auto"/>
        </w:rPr>
        <w:t>” means the total of the gross invoice price (including, without limitation, the fair market value of any non-cash consideration received directly in connection therewith) of Therapeutic Products sold by EMPIRICA, its Affiliates and Sub-Licensees, or any combination thereof, in the Territory, minus the sum of the following actual and customary industry deductions where applicable as follows:</w:t>
      </w:r>
    </w:p>
    <w:p>
      <w:pPr>
        <w:spacing w:after="0" w:line="139" w:lineRule="exact"/>
        <w:rPr>
          <w:sz w:val="20"/>
          <w:szCs w:val="20"/>
          <w:color w:val="auto"/>
        </w:rPr>
      </w:pPr>
    </w:p>
    <w:p>
      <w:pPr>
        <w:ind w:left="1040" w:hanging="516"/>
        <w:spacing w:after="0"/>
        <w:tabs>
          <w:tab w:leader="none" w:pos="1040" w:val="left"/>
        </w:tabs>
        <w:numPr>
          <w:ilvl w:val="0"/>
          <w:numId w:val="569"/>
        </w:numPr>
        <w:rPr>
          <w:rFonts w:ascii="Arial" w:cs="Arial" w:eastAsia="Arial" w:hAnsi="Arial"/>
          <w:sz w:val="14"/>
          <w:szCs w:val="14"/>
          <w:color w:val="auto"/>
        </w:rPr>
      </w:pPr>
      <w:r>
        <w:rPr>
          <w:rFonts w:ascii="Arial" w:cs="Arial" w:eastAsia="Arial" w:hAnsi="Arial"/>
          <w:sz w:val="14"/>
          <w:szCs w:val="14"/>
          <w:color w:val="auto"/>
        </w:rPr>
        <w:t>normal trade and cash discounts;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69"/>
        </w:numPr>
        <w:rPr>
          <w:rFonts w:ascii="Arial" w:cs="Arial" w:eastAsia="Arial" w:hAnsi="Arial"/>
          <w:sz w:val="14"/>
          <w:szCs w:val="14"/>
          <w:color w:val="auto"/>
        </w:rPr>
      </w:pPr>
      <w:r>
        <w:rPr>
          <w:rFonts w:ascii="Arial" w:cs="Arial" w:eastAsia="Arial" w:hAnsi="Arial"/>
          <w:sz w:val="14"/>
          <w:szCs w:val="14"/>
          <w:color w:val="auto"/>
        </w:rPr>
        <w:t>rebates and chargebacks to customers and Third Parties (including Medicare, Medicaid, TriCare, Managed Healthcare);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776" w:name="page777"/>
    <w:bookmarkEnd w:id="776"/>
    <w:p>
      <w:pPr>
        <w:ind w:left="1040" w:hanging="516"/>
        <w:spacing w:after="0"/>
        <w:tabs>
          <w:tab w:leader="none" w:pos="1040" w:val="left"/>
        </w:tabs>
        <w:numPr>
          <w:ilvl w:val="0"/>
          <w:numId w:val="570"/>
        </w:numPr>
        <w:rPr>
          <w:rFonts w:ascii="Arial" w:cs="Arial" w:eastAsia="Arial" w:hAnsi="Arial"/>
          <w:sz w:val="14"/>
          <w:szCs w:val="14"/>
          <w:color w:val="auto"/>
        </w:rPr>
      </w:pPr>
      <w:r>
        <w:rPr>
          <w:rFonts w:ascii="Arial" w:cs="Arial" w:eastAsia="Arial" w:hAnsi="Arial"/>
          <w:sz w:val="14"/>
          <w:szCs w:val="14"/>
          <w:color w:val="auto"/>
        </w:rPr>
        <w:t>any amounts recorded in gross revenue associated with goods provided to customers for free - with the exception of samples;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70"/>
        </w:numPr>
        <w:rPr>
          <w:rFonts w:ascii="Arial" w:cs="Arial" w:eastAsia="Arial" w:hAnsi="Arial"/>
          <w:sz w:val="14"/>
          <w:szCs w:val="14"/>
          <w:color w:val="auto"/>
        </w:rPr>
      </w:pPr>
      <w:r>
        <w:rPr>
          <w:rFonts w:ascii="Arial" w:cs="Arial" w:eastAsia="Arial" w:hAnsi="Arial"/>
          <w:sz w:val="14"/>
          <w:szCs w:val="14"/>
          <w:color w:val="auto"/>
        </w:rPr>
        <w:t>amounts paid or credited to customers through coupons, other discount programs and co-pay assistance programs;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70"/>
        </w:numPr>
        <w:rPr>
          <w:rFonts w:ascii="Arial" w:cs="Arial" w:eastAsia="Arial" w:hAnsi="Arial"/>
          <w:sz w:val="14"/>
          <w:szCs w:val="14"/>
          <w:color w:val="auto"/>
        </w:rPr>
      </w:pPr>
      <w:r>
        <w:rPr>
          <w:rFonts w:ascii="Arial" w:cs="Arial" w:eastAsia="Arial" w:hAnsi="Arial"/>
          <w:sz w:val="14"/>
          <w:szCs w:val="14"/>
          <w:color w:val="auto"/>
        </w:rPr>
        <w:t>credits, rebates or allowances because of damaged goods or returns with respect to Therapeutic Products;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70"/>
        </w:numPr>
        <w:rPr>
          <w:rFonts w:ascii="Arial" w:cs="Arial" w:eastAsia="Arial" w:hAnsi="Arial"/>
          <w:sz w:val="14"/>
          <w:szCs w:val="14"/>
          <w:color w:val="auto"/>
        </w:rPr>
      </w:pPr>
      <w:r>
        <w:rPr>
          <w:rFonts w:ascii="Arial" w:cs="Arial" w:eastAsia="Arial" w:hAnsi="Arial"/>
          <w:sz w:val="14"/>
          <w:szCs w:val="14"/>
          <w:color w:val="auto"/>
        </w:rPr>
        <w:t>freight, postage, shipping and insurance charges incurred in transporting the Therapeutic Products to the end customer;</w:t>
      </w:r>
    </w:p>
    <w:p>
      <w:pPr>
        <w:spacing w:after="0" w:line="184" w:lineRule="exact"/>
        <w:rPr>
          <w:rFonts w:ascii="Arial" w:cs="Arial" w:eastAsia="Arial" w:hAnsi="Arial"/>
          <w:sz w:val="14"/>
          <w:szCs w:val="14"/>
          <w:color w:val="auto"/>
        </w:rPr>
      </w:pPr>
    </w:p>
    <w:p>
      <w:pPr>
        <w:ind w:left="520" w:right="1160" w:firstLine="4"/>
        <w:spacing w:after="0" w:line="551" w:lineRule="auto"/>
        <w:tabs>
          <w:tab w:leader="none" w:pos="1038" w:val="left"/>
        </w:tabs>
        <w:numPr>
          <w:ilvl w:val="0"/>
          <w:numId w:val="570"/>
        </w:numPr>
        <w:rPr>
          <w:rFonts w:ascii="Arial" w:cs="Arial" w:eastAsia="Arial" w:hAnsi="Arial"/>
          <w:sz w:val="13"/>
          <w:szCs w:val="13"/>
          <w:color w:val="auto"/>
        </w:rPr>
      </w:pPr>
      <w:r>
        <w:rPr>
          <w:rFonts w:ascii="Arial" w:cs="Arial" w:eastAsia="Arial" w:hAnsi="Arial"/>
          <w:sz w:val="13"/>
          <w:szCs w:val="13"/>
          <w:color w:val="auto"/>
        </w:rPr>
        <w:t>taxes, duties, tariffs, or other governmental charges (other than income taxes) levied on, absorbed or otherwise imposed on sales of Therapeutic Products; and A sale will be deemed to have occurred on the day when EMPIRICA, its Affiliates or any Sub-Licensees receive payment for the sold Therapeutic Products.</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Parties</w:t>
      </w:r>
      <w:r>
        <w:rPr>
          <w:rFonts w:ascii="Arial" w:cs="Arial" w:eastAsia="Arial" w:hAnsi="Arial"/>
          <w:sz w:val="14"/>
          <w:szCs w:val="14"/>
          <w:color w:val="auto"/>
        </w:rPr>
        <w:t>” means the INSTITUTIONS and EMPIRICA collectively, and “</w:t>
      </w:r>
      <w:r>
        <w:rPr>
          <w:rFonts w:ascii="Arial" w:cs="Arial" w:eastAsia="Arial" w:hAnsi="Arial"/>
          <w:sz w:val="14"/>
          <w:szCs w:val="14"/>
          <w:b w:val="1"/>
          <w:bCs w:val="1"/>
          <w:color w:val="auto"/>
        </w:rPr>
        <w:t>Party</w:t>
      </w:r>
      <w:r>
        <w:rPr>
          <w:rFonts w:ascii="Arial" w:cs="Arial" w:eastAsia="Arial" w:hAnsi="Arial"/>
          <w:sz w:val="14"/>
          <w:szCs w:val="14"/>
          <w:color w:val="auto"/>
        </w:rPr>
        <w:t>” means one of them, including UT and/or MAC;</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Patents</w:t>
      </w:r>
      <w:r>
        <w:rPr>
          <w:rFonts w:ascii="Arial" w:cs="Arial" w:eastAsia="Arial" w:hAnsi="Arial"/>
          <w:sz w:val="14"/>
          <w:szCs w:val="14"/>
          <w:color w:val="auto"/>
        </w:rPr>
        <w:t xml:space="preserve">” means the patents and/or patent applications listed in </w:t>
      </w:r>
      <w:r>
        <w:rPr>
          <w:rFonts w:ascii="Arial" w:cs="Arial" w:eastAsia="Arial" w:hAnsi="Arial"/>
          <w:sz w:val="14"/>
          <w:szCs w:val="14"/>
          <w:b w:val="1"/>
          <w:bCs w:val="1"/>
          <w:color w:val="auto"/>
        </w:rPr>
        <w:t>Schedule “B”</w:t>
      </w:r>
      <w:r>
        <w:rPr>
          <w:rFonts w:ascii="Arial" w:cs="Arial" w:eastAsia="Arial" w:hAnsi="Arial"/>
          <w:sz w:val="14"/>
          <w:szCs w:val="14"/>
          <w:color w:val="auto"/>
        </w:rPr>
        <w:t>, as may be updated from time to time, and shall include any divisional, re-examination or renewal based on the said patents and /or patent applications, any patents which may issue on, from, or as a result of, any of the foregoing and any reissue of said patents;</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individual, sole proprietorship, partnership, unincorporated association, unincorporated syndicate, unincorporated organization, trust, body corporate and/or a natural person in his or her capacity as trustee, executor, administrator or other legal representative;</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Prime Rate</w:t>
      </w:r>
      <w:r>
        <w:rPr>
          <w:rFonts w:ascii="Arial" w:cs="Arial" w:eastAsia="Arial" w:hAnsi="Arial"/>
          <w:sz w:val="14"/>
          <w:szCs w:val="14"/>
          <w:color w:val="auto"/>
        </w:rPr>
        <w:t>” means the rate of interest expressed as a rate per annum that the Canadian Imperial Bank of Commerce establishes at its head office in Toronto as the reference rate of interest that it will charge on a specified day for demand loans and which it at present refers to as its prime rate;</w:t>
      </w:r>
    </w:p>
    <w:p>
      <w:pPr>
        <w:spacing w:after="0" w:line="123" w:lineRule="exact"/>
        <w:rPr>
          <w:sz w:val="20"/>
          <w:szCs w:val="20"/>
          <w:color w:val="auto"/>
        </w:rPr>
      </w:pPr>
    </w:p>
    <w:p>
      <w:pPr>
        <w:ind w:right="1620"/>
        <w:spacing w:after="0" w:line="5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EMPIRICA Improvements</w:t>
      </w:r>
      <w:r>
        <w:rPr>
          <w:rFonts w:ascii="Arial" w:cs="Arial" w:eastAsia="Arial" w:hAnsi="Arial"/>
          <w:sz w:val="13"/>
          <w:szCs w:val="13"/>
          <w:color w:val="auto"/>
        </w:rPr>
        <w:t>” means any modifications, enhancements, upgrades or additions to the Licensed Inventions made or created solely by or for EMPIRICA; “</w:t>
      </w:r>
      <w:r>
        <w:rPr>
          <w:rFonts w:ascii="Arial" w:cs="Arial" w:eastAsia="Arial" w:hAnsi="Arial"/>
          <w:sz w:val="13"/>
          <w:szCs w:val="13"/>
          <w:b w:val="1"/>
          <w:bCs w:val="1"/>
          <w:color w:val="auto"/>
        </w:rPr>
        <w:t>Phase I clinical trial</w:t>
      </w:r>
      <w:r>
        <w:rPr>
          <w:rFonts w:ascii="Arial" w:cs="Arial" w:eastAsia="Arial" w:hAnsi="Arial"/>
          <w:sz w:val="13"/>
          <w:szCs w:val="13"/>
          <w:color w:val="auto"/>
        </w:rPr>
        <w:t>” means a human clinical trial with the first testing in humans to test the safety, side effects, best dose, and formulation method for a product;</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Phase II clinical trial</w:t>
      </w:r>
      <w:r>
        <w:rPr>
          <w:rFonts w:ascii="Arial" w:cs="Arial" w:eastAsia="Arial" w:hAnsi="Arial"/>
          <w:sz w:val="14"/>
          <w:szCs w:val="14"/>
          <w:color w:val="auto"/>
        </w:rPr>
        <w:t>” means a human clinical trial or the adaptation of an existing human clinical trial in any country of a product, for which the primary endpoints include</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77" w:name="page778"/>
    <w:bookmarkEnd w:id="777"/>
    <w:p>
      <w:pPr>
        <w:jc w:val="both"/>
        <w:spacing w:after="0" w:line="265" w:lineRule="auto"/>
        <w:rPr>
          <w:sz w:val="20"/>
          <w:szCs w:val="20"/>
          <w:color w:val="auto"/>
        </w:rPr>
      </w:pPr>
      <w:r>
        <w:rPr>
          <w:rFonts w:ascii="Arial" w:cs="Arial" w:eastAsia="Arial" w:hAnsi="Arial"/>
          <w:sz w:val="14"/>
          <w:szCs w:val="14"/>
          <w:color w:val="auto"/>
        </w:rPr>
        <w:t>a determination of dose ranges and/or a preliminary determination of efficacy and/or pharmacodynamic activity. A Phase II Trial includes: (i) a small scale Phase II Trial or a portion of Phase II thereof in which a human clinical trial is performed, the primary purpose of which is to estimate the biologic or clinical effect of a pharmaceutical product in a target population (known as a Phase IIa Study); and (ii) a Phase II Trial or a portion of Phase II thereof in which a placebo or active drug controlled, randomized human clinical trial is performed to gain evidence of the efficacy of a pharmaceutical product in a target population, and/or to establish the optimal dosing regimen for such product and any other clinical trial that is not a Phase I Trial, Phase IIa Trial or Phase III Trial (known as a Phase IIb Trial).</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Phase III clinical trial</w:t>
      </w:r>
      <w:r>
        <w:rPr>
          <w:rFonts w:ascii="Arial" w:cs="Arial" w:eastAsia="Arial" w:hAnsi="Arial"/>
          <w:sz w:val="14"/>
          <w:szCs w:val="14"/>
          <w:color w:val="auto"/>
        </w:rPr>
        <w:t>” means a large scale, pivotal, usually multicentred human clinical trial that is prospectively designed to demonstrate statistically whether a product is safe and effective for use in humans in a manner sufficient to obtain regulatory approval to market such product in patients having the disease or condition being studied. A Phase III trial also includes any well controlled study intended to provide the substantial evidence of efficacy necessary to support an NDA (New Drug Application) Filing (such as a combined Phase II/Phase III Trial, or any Phase III Trial in lieu of a Phase II Trial), whether or not such study is a traditional Phase III Trial.</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Reporting Period</w:t>
      </w:r>
      <w:r>
        <w:rPr>
          <w:rFonts w:ascii="Arial" w:cs="Arial" w:eastAsia="Arial" w:hAnsi="Arial"/>
          <w:sz w:val="14"/>
          <w:szCs w:val="14"/>
          <w:color w:val="auto"/>
        </w:rPr>
        <w:t>” shall mean each three-month period ending March 31, June 30, September 30 and December 31;</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Representative(s)</w:t>
      </w:r>
      <w:r>
        <w:rPr>
          <w:rFonts w:ascii="Arial" w:cs="Arial" w:eastAsia="Arial" w:hAnsi="Arial"/>
          <w:sz w:val="14"/>
          <w:szCs w:val="14"/>
          <w:color w:val="auto"/>
        </w:rPr>
        <w:t>” means board members, officers, employees, professional advisors, consultants, and agents of a Party; and in the case of INSTITUTIONS the Representatives shall be appointed by UT and MAC;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Royalty Payments</w:t>
      </w:r>
      <w:r>
        <w:rPr>
          <w:rFonts w:ascii="Arial" w:cs="Arial" w:eastAsia="Arial" w:hAnsi="Arial"/>
          <w:sz w:val="14"/>
          <w:szCs w:val="14"/>
          <w:color w:val="auto"/>
        </w:rPr>
        <w:t>” means Royalty Payments calculated for Therapeutic Products;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Semi-annual Period</w:t>
      </w:r>
      <w:r>
        <w:rPr>
          <w:rFonts w:ascii="Arial" w:cs="Arial" w:eastAsia="Arial" w:hAnsi="Arial"/>
          <w:sz w:val="14"/>
          <w:szCs w:val="14"/>
          <w:color w:val="auto"/>
        </w:rPr>
        <w:t>” means the periods of time beginning on January 1 and ending on June 30 and beginning on July 1 and ending on December 31 of each year;</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Sub-Licensees</w:t>
      </w:r>
      <w:r>
        <w:rPr>
          <w:rFonts w:ascii="Arial" w:cs="Arial" w:eastAsia="Arial" w:hAnsi="Arial"/>
          <w:sz w:val="14"/>
          <w:szCs w:val="14"/>
          <w:color w:val="auto"/>
        </w:rPr>
        <w:t>” means a Third Party licensed by EMPIRICA or an Affiliate of EMPIRICA and includes but not limited to joint venture, co-development and other equivalent relationships but excludes distributor relationships;</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w:t>
      </w:r>
      <w:r>
        <w:rPr>
          <w:rFonts w:ascii="Arial" w:cs="Arial" w:eastAsia="Arial" w:hAnsi="Arial"/>
          <w:sz w:val="14"/>
          <w:szCs w:val="14"/>
          <w:color w:val="auto"/>
        </w:rPr>
        <w:t>” means a period of 20 years commencing on the Effective Date or terminating on the last to expire Valid Claim within the Licensed Inventions covering such Licensed Product in such country;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Territory</w:t>
      </w:r>
      <w:r>
        <w:rPr>
          <w:rFonts w:ascii="Arial" w:cs="Arial" w:eastAsia="Arial" w:hAnsi="Arial"/>
          <w:sz w:val="14"/>
          <w:szCs w:val="14"/>
          <w:color w:val="auto"/>
        </w:rPr>
        <w:t>” means each and every country of the world;</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Therapeutic Products</w:t>
      </w:r>
      <w:r>
        <w:rPr>
          <w:rFonts w:ascii="Arial" w:cs="Arial" w:eastAsia="Arial" w:hAnsi="Arial"/>
          <w:sz w:val="14"/>
          <w:szCs w:val="14"/>
          <w:color w:val="auto"/>
        </w:rPr>
        <w:t>” means any Licensed Products or derivatives thereof, sold, used, manufactured or distributed by EMPIRICA, its Affiliates, any Sub-Licensees under this Agreement as a therapeutic product anywhere in the Territory;</w:t>
      </w:r>
    </w:p>
    <w:p>
      <w:pPr>
        <w:spacing w:after="0" w:line="300" w:lineRule="exact"/>
        <w:rPr>
          <w:sz w:val="20"/>
          <w:szCs w:val="20"/>
          <w:color w:val="auto"/>
        </w:rPr>
      </w:pPr>
    </w:p>
    <w:p>
      <w:pPr>
        <w:ind w:left="10560"/>
        <w:spacing w:after="0"/>
        <w:rPr>
          <w:sz w:val="20"/>
          <w:szCs w:val="20"/>
          <w:color w:val="auto"/>
        </w:rPr>
      </w:pPr>
      <w:r>
        <w:rPr>
          <w:rFonts w:ascii="Arial" w:cs="Arial" w:eastAsia="Arial" w:hAnsi="Arial"/>
          <w:sz w:val="12"/>
          <w:szCs w:val="12"/>
          <w:color w:val="auto"/>
        </w:rPr>
        <w:t>Page 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7159625" cy="698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78" w:name="page779"/>
    <w:bookmarkEnd w:id="778"/>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w:t>
      </w:r>
      <w:r>
        <w:rPr>
          <w:rFonts w:ascii="Arial" w:cs="Arial" w:eastAsia="Arial" w:hAnsi="Arial"/>
          <w:sz w:val="14"/>
          <w:szCs w:val="14"/>
          <w:color w:val="auto"/>
        </w:rPr>
        <w:t xml:space="preserve">” means, in respect of a Party, a Person who deals with such Party at arm’s length, as that term is defined in the </w:t>
      </w:r>
      <w:r>
        <w:rPr>
          <w:rFonts w:ascii="Arial" w:cs="Arial" w:eastAsia="Arial" w:hAnsi="Arial"/>
          <w:sz w:val="14"/>
          <w:szCs w:val="14"/>
          <w:i w:val="1"/>
          <w:iCs w:val="1"/>
          <w:color w:val="auto"/>
        </w:rPr>
        <w:t>Income Tax Act</w:t>
      </w:r>
      <w:r>
        <w:rPr>
          <w:rFonts w:ascii="Arial" w:cs="Arial" w:eastAsia="Arial" w:hAnsi="Arial"/>
          <w:sz w:val="14"/>
          <w:szCs w:val="14"/>
          <w:color w:val="auto"/>
        </w:rPr>
        <w:t xml:space="preserve"> (Canada) on the date hereof; and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Valid Claim</w:t>
      </w:r>
      <w:r>
        <w:rPr>
          <w:rFonts w:ascii="Arial" w:cs="Arial" w:eastAsia="Arial" w:hAnsi="Arial"/>
          <w:sz w:val="14"/>
          <w:szCs w:val="14"/>
          <w:color w:val="auto"/>
        </w:rPr>
        <w:t>” means, on a country by country basis, a claim in: (a) any issued and unexpired Patents which has not been permanently revoked or held unenforceable, unpatentable or invalid by a decision of a court or other governmental agency of competent jurisdiction, which decision is unappealable or not appealed within the time allowed for appeal, has not been donated to the public and has not been cancelled, withdrawn, abandoned, disclaimed or admitted to be invalid or unenforceable through reissue, disclaimer or otherwise; or (b) pending Patents that (i) have been filed in good faith, that (ii) have not been cancelled, withdrawn, finally rejected, expired or abandoned without the possibility of an appeal or refiling, or ten (10) years after the earliest priority filing date for any such application.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Common Shares</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means Voting Common Shares in the capital of Empirica Therapeutics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Headings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division of this Agreement into articles, sections, subsections and schedules and the insertion of headings are for convenience of reference only and shall not affect the construction or interpretation of this Agreement. The article, section, subsection and schedule headings in this Agreement are not intended to be full or precise descriptions of the text to which they refer and are not to be considered part of this Agreement. All uses of the words “hereto”, “herein”, “hereof”, “hereby” and “hereunder” and similar expressions refer to this Agreement and not to any particular section or portion of it. References to an Article, Section, Subsection or Schedule refer to the applicable article, section, subsection or schedule of this Agreement unless explicitly noted otherwise.</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3"/>
          <w:szCs w:val="13"/>
          <w:b w:val="1"/>
          <w:bCs w:val="1"/>
          <w:color w:val="auto"/>
        </w:rPr>
        <w:t>Currency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Unless specified otherwise, all statements of or references to dollar amounts in this Agreement are to lawful money of the United States.</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1"/>
          <w:szCs w:val="11"/>
          <w:b w:val="1"/>
          <w:bCs w:val="1"/>
          <w:color w:val="auto"/>
        </w:rPr>
        <w:t>Schedules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schedules are attached to and incorporated by reference into this Agreement:</w:t>
      </w:r>
    </w:p>
    <w:p>
      <w:pPr>
        <w:sectPr>
          <w:pgSz w:w="11900" w:h="16838" w:orient="portrait"/>
          <w:cols w:equalWidth="0" w:num="1">
            <w:col w:w="11280"/>
          </w:cols>
          <w:pgMar w:left="300" w:top="752" w:right="319" w:bottom="1440" w:gutter="0" w:footer="0" w:header="0"/>
        </w:sectPr>
      </w:pPr>
    </w:p>
    <w:p>
      <w:pPr>
        <w:spacing w:after="0" w:line="180" w:lineRule="exact"/>
        <w:rPr>
          <w:sz w:val="20"/>
          <w:szCs w:val="20"/>
          <w:color w:val="auto"/>
        </w:rPr>
      </w:pPr>
    </w:p>
    <w:p>
      <w:pPr>
        <w:jc w:val="both"/>
        <w:spacing w:after="0" w:line="336" w:lineRule="auto"/>
        <w:rPr>
          <w:sz w:val="20"/>
          <w:szCs w:val="20"/>
          <w:color w:val="auto"/>
        </w:rPr>
      </w:pPr>
      <w:r>
        <w:rPr>
          <w:rFonts w:ascii="Arial" w:cs="Arial" w:eastAsia="Arial" w:hAnsi="Arial"/>
          <w:sz w:val="13"/>
          <w:szCs w:val="13"/>
          <w:b w:val="1"/>
          <w:bCs w:val="1"/>
          <w:color w:val="auto"/>
        </w:rPr>
        <w:t xml:space="preserve">Schedule </w:t>
      </w:r>
      <w:r>
        <w:rPr>
          <w:rFonts w:ascii="Arial" w:cs="Arial" w:eastAsia="Arial" w:hAnsi="Arial"/>
          <w:sz w:val="13"/>
          <w:szCs w:val="13"/>
          <w:color w:val="auto"/>
        </w:rPr>
        <w:t>“</w:t>
      </w:r>
      <w:r>
        <w:rPr>
          <w:rFonts w:ascii="Arial" w:cs="Arial" w:eastAsia="Arial" w:hAnsi="Arial"/>
          <w:sz w:val="13"/>
          <w:szCs w:val="13"/>
          <w:b w:val="1"/>
          <w:bCs w:val="1"/>
          <w:color w:val="auto"/>
        </w:rPr>
        <w:t>A</w:t>
      </w:r>
      <w:r>
        <w:rPr>
          <w:rFonts w:ascii="Arial" w:cs="Arial" w:eastAsia="Arial" w:hAnsi="Arial"/>
          <w:sz w:val="13"/>
          <w:szCs w:val="13"/>
          <w:color w:val="auto"/>
        </w:rPr>
        <w:t>”</w:t>
      </w:r>
      <w:r>
        <w:rPr>
          <w:rFonts w:ascii="Arial" w:cs="Arial" w:eastAsia="Arial" w:hAnsi="Arial"/>
          <w:sz w:val="13"/>
          <w:szCs w:val="13"/>
          <w:b w:val="1"/>
          <w:bCs w:val="1"/>
          <w:color w:val="auto"/>
        </w:rPr>
        <w:t xml:space="preserve"> Schedule “B”</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Option to License and Term Sheet dated October 24, 2018</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Licensed Inventions</w:t>
      </w:r>
    </w:p>
    <w:p>
      <w:pPr>
        <w:spacing w:after="0" w:line="271" w:lineRule="exact"/>
        <w:rPr>
          <w:sz w:val="20"/>
          <w:szCs w:val="20"/>
          <w:color w:val="auto"/>
        </w:rPr>
      </w:pPr>
    </w:p>
    <w:p>
      <w:pPr>
        <w:sectPr>
          <w:pgSz w:w="11900" w:h="16838" w:orient="portrait"/>
          <w:cols w:equalWidth="0" w:num="2">
            <w:col w:w="840" w:space="460"/>
            <w:col w:w="9980"/>
          </w:cols>
          <w:pgMar w:left="300" w:top="752" w:right="319" w:bottom="1440" w:gutter="0" w:footer="0" w:header="0"/>
          <w:type w:val="continuous"/>
        </w:sectPr>
      </w:pPr>
    </w:p>
    <w:p>
      <w:pPr>
        <w:spacing w:after="0" w:line="7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7159625" cy="698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type w:val="continuous"/>
        </w:sectPr>
      </w:pPr>
    </w:p>
    <w:bookmarkStart w:id="779" w:name="page780"/>
    <w:bookmarkEnd w:id="779"/>
    <w:p>
      <w:pPr>
        <w:jc w:val="center"/>
        <w:ind w:right="40"/>
        <w:spacing w:after="0"/>
        <w:rPr>
          <w:sz w:val="20"/>
          <w:szCs w:val="20"/>
          <w:color w:val="auto"/>
        </w:rPr>
      </w:pPr>
      <w:r>
        <w:rPr>
          <w:rFonts w:ascii="Arial" w:cs="Arial" w:eastAsia="Arial" w:hAnsi="Arial"/>
          <w:sz w:val="14"/>
          <w:szCs w:val="14"/>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TECHNOLOGY LICENSE</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3"/>
          <w:szCs w:val="13"/>
          <w:b w:val="1"/>
          <w:bCs w:val="1"/>
          <w:color w:val="auto"/>
        </w:rPr>
        <w:t>Grant of License</w:t>
      </w:r>
    </w:p>
    <w:p>
      <w:pPr>
        <w:spacing w:after="0" w:line="188" w:lineRule="exact"/>
        <w:rPr>
          <w:sz w:val="20"/>
          <w:szCs w:val="20"/>
          <w:color w:val="auto"/>
        </w:rPr>
      </w:pPr>
    </w:p>
    <w:p>
      <w:pPr>
        <w:ind w:left="1040" w:hanging="516"/>
        <w:spacing w:after="0" w:line="288" w:lineRule="auto"/>
        <w:tabs>
          <w:tab w:leader="none" w:pos="1040" w:val="left"/>
        </w:tabs>
        <w:numPr>
          <w:ilvl w:val="0"/>
          <w:numId w:val="571"/>
        </w:numPr>
        <w:rPr>
          <w:rFonts w:ascii="Arial" w:cs="Arial" w:eastAsia="Arial" w:hAnsi="Arial"/>
          <w:sz w:val="14"/>
          <w:szCs w:val="14"/>
          <w:color w:val="auto"/>
        </w:rPr>
      </w:pPr>
      <w:r>
        <w:rPr>
          <w:rFonts w:ascii="Arial" w:cs="Arial" w:eastAsia="Arial" w:hAnsi="Arial"/>
          <w:sz w:val="14"/>
          <w:szCs w:val="14"/>
          <w:color w:val="auto"/>
        </w:rPr>
        <w:t>Subject to the terms and conditions of this Agreement, the INSTITUTIONS hereby grant to EMPIRICA an exclusive, non- transferable, sub-licensable license to the Licensed Inventions throughout the Territory in the Field of Use to:</w:t>
      </w:r>
    </w:p>
    <w:p>
      <w:pPr>
        <w:spacing w:after="0" w:line="131" w:lineRule="exact"/>
        <w:rPr>
          <w:rFonts w:ascii="Arial" w:cs="Arial" w:eastAsia="Arial" w:hAnsi="Arial"/>
          <w:sz w:val="14"/>
          <w:szCs w:val="14"/>
          <w:color w:val="auto"/>
        </w:rPr>
      </w:pPr>
    </w:p>
    <w:p>
      <w:pPr>
        <w:ind w:left="1560" w:hanging="518"/>
        <w:spacing w:after="0"/>
        <w:tabs>
          <w:tab w:leader="none" w:pos="1560" w:val="left"/>
        </w:tabs>
        <w:numPr>
          <w:ilvl w:val="1"/>
          <w:numId w:val="571"/>
        </w:numPr>
        <w:rPr>
          <w:rFonts w:ascii="Arial" w:cs="Arial" w:eastAsia="Arial" w:hAnsi="Arial"/>
          <w:sz w:val="14"/>
          <w:szCs w:val="14"/>
          <w:color w:val="auto"/>
        </w:rPr>
      </w:pPr>
      <w:r>
        <w:rPr>
          <w:rFonts w:ascii="Arial" w:cs="Arial" w:eastAsia="Arial" w:hAnsi="Arial"/>
          <w:sz w:val="14"/>
          <w:szCs w:val="14"/>
          <w:color w:val="auto"/>
        </w:rPr>
        <w:t>reproduce, manufacture, have made, use, import, offer for sale and sell any Therapeutic Products and to export any Therapeutic Products;</w:t>
      </w:r>
    </w:p>
    <w:p>
      <w:pPr>
        <w:spacing w:after="0" w:line="184" w:lineRule="exact"/>
        <w:rPr>
          <w:rFonts w:ascii="Arial" w:cs="Arial" w:eastAsia="Arial" w:hAnsi="Arial"/>
          <w:sz w:val="14"/>
          <w:szCs w:val="14"/>
          <w:color w:val="auto"/>
        </w:rPr>
      </w:pPr>
    </w:p>
    <w:p>
      <w:pPr>
        <w:ind w:left="1560" w:hanging="518"/>
        <w:spacing w:after="0" w:line="288" w:lineRule="auto"/>
        <w:tabs>
          <w:tab w:leader="none" w:pos="1560" w:val="left"/>
        </w:tabs>
        <w:numPr>
          <w:ilvl w:val="1"/>
          <w:numId w:val="571"/>
        </w:numPr>
        <w:rPr>
          <w:rFonts w:ascii="Arial" w:cs="Arial" w:eastAsia="Arial" w:hAnsi="Arial"/>
          <w:sz w:val="14"/>
          <w:szCs w:val="14"/>
          <w:color w:val="auto"/>
        </w:rPr>
      </w:pPr>
      <w:r>
        <w:rPr>
          <w:rFonts w:ascii="Arial" w:cs="Arial" w:eastAsia="Arial" w:hAnsi="Arial"/>
          <w:sz w:val="14"/>
          <w:szCs w:val="14"/>
          <w:color w:val="auto"/>
        </w:rPr>
        <w:t>engage vendors, contractors, sub-contractors or other parties to reproduce or make components of subsystems that incorporate or embody or that are derived from any parts of the Licensed Inventions to be used or sold by EMPIRICA;</w:t>
      </w:r>
    </w:p>
    <w:p>
      <w:pPr>
        <w:spacing w:after="0" w:line="131" w:lineRule="exact"/>
        <w:rPr>
          <w:rFonts w:ascii="Arial" w:cs="Arial" w:eastAsia="Arial" w:hAnsi="Arial"/>
          <w:sz w:val="14"/>
          <w:szCs w:val="14"/>
          <w:color w:val="auto"/>
        </w:rPr>
      </w:pPr>
    </w:p>
    <w:p>
      <w:pPr>
        <w:ind w:left="1560" w:hanging="518"/>
        <w:spacing w:after="0"/>
        <w:tabs>
          <w:tab w:leader="none" w:pos="1560" w:val="left"/>
        </w:tabs>
        <w:numPr>
          <w:ilvl w:val="1"/>
          <w:numId w:val="571"/>
        </w:numPr>
        <w:rPr>
          <w:rFonts w:ascii="Arial" w:cs="Arial" w:eastAsia="Arial" w:hAnsi="Arial"/>
          <w:sz w:val="14"/>
          <w:szCs w:val="14"/>
          <w:color w:val="auto"/>
        </w:rPr>
      </w:pPr>
      <w:r>
        <w:rPr>
          <w:rFonts w:ascii="Arial" w:cs="Arial" w:eastAsia="Arial" w:hAnsi="Arial"/>
          <w:sz w:val="14"/>
          <w:szCs w:val="14"/>
          <w:color w:val="auto"/>
        </w:rPr>
        <w:t>copy, translate or modify any artistic or literary works, including drawings or software relating to the Licensed Inventions;</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571"/>
        </w:numPr>
        <w:rPr>
          <w:rFonts w:ascii="Arial" w:cs="Arial" w:eastAsia="Arial" w:hAnsi="Arial"/>
          <w:sz w:val="14"/>
          <w:szCs w:val="14"/>
          <w:color w:val="auto"/>
        </w:rPr>
      </w:pPr>
      <w:r>
        <w:rPr>
          <w:rFonts w:ascii="Arial" w:cs="Arial" w:eastAsia="Arial" w:hAnsi="Arial"/>
          <w:sz w:val="14"/>
          <w:szCs w:val="14"/>
          <w:color w:val="auto"/>
        </w:rPr>
        <w:t>otherwise practice the Licensed Inventions (including making improvements as described at Section 4.4); and</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571"/>
        </w:numPr>
        <w:rPr>
          <w:rFonts w:ascii="Arial" w:cs="Arial" w:eastAsia="Arial" w:hAnsi="Arial"/>
          <w:sz w:val="14"/>
          <w:szCs w:val="14"/>
          <w:color w:val="auto"/>
        </w:rPr>
      </w:pPr>
      <w:r>
        <w:rPr>
          <w:rFonts w:ascii="Arial" w:cs="Arial" w:eastAsia="Arial" w:hAnsi="Arial"/>
          <w:sz w:val="14"/>
          <w:szCs w:val="14"/>
          <w:color w:val="auto"/>
        </w:rPr>
        <w:t>grant sub-licenses of all rights set out in Paragraphs 2.1(a)(i) through 2.l(a)(v) provided that:</w:t>
      </w:r>
    </w:p>
    <w:p>
      <w:pPr>
        <w:spacing w:after="0" w:line="184" w:lineRule="exact"/>
        <w:rPr>
          <w:rFonts w:ascii="Arial" w:cs="Arial" w:eastAsia="Arial" w:hAnsi="Arial"/>
          <w:sz w:val="14"/>
          <w:szCs w:val="14"/>
          <w:color w:val="auto"/>
        </w:rPr>
      </w:pPr>
    </w:p>
    <w:p>
      <w:pPr>
        <w:ind w:left="2080" w:hanging="520"/>
        <w:spacing w:after="0" w:line="288" w:lineRule="auto"/>
        <w:tabs>
          <w:tab w:leader="none" w:pos="2080" w:val="left"/>
        </w:tabs>
        <w:numPr>
          <w:ilvl w:val="2"/>
          <w:numId w:val="571"/>
        </w:numPr>
        <w:rPr>
          <w:rFonts w:ascii="Arial" w:cs="Arial" w:eastAsia="Arial" w:hAnsi="Arial"/>
          <w:sz w:val="14"/>
          <w:szCs w:val="14"/>
          <w:color w:val="auto"/>
        </w:rPr>
      </w:pPr>
      <w:r>
        <w:rPr>
          <w:rFonts w:ascii="Arial" w:cs="Arial" w:eastAsia="Arial" w:hAnsi="Arial"/>
          <w:sz w:val="14"/>
          <w:szCs w:val="14"/>
          <w:color w:val="auto"/>
        </w:rPr>
        <w:t>EMPIRICA shall have the right to audit the books and records of each such Sub-Licensee in the same manner as the INSTITUTIONS as per Section 3.5(e); and</w:t>
      </w:r>
    </w:p>
    <w:p>
      <w:pPr>
        <w:spacing w:after="0" w:line="131" w:lineRule="exact"/>
        <w:rPr>
          <w:rFonts w:ascii="Arial" w:cs="Arial" w:eastAsia="Arial" w:hAnsi="Arial"/>
          <w:sz w:val="14"/>
          <w:szCs w:val="14"/>
          <w:color w:val="auto"/>
        </w:rPr>
      </w:pPr>
    </w:p>
    <w:p>
      <w:pPr>
        <w:ind w:left="2080" w:hanging="520"/>
        <w:spacing w:after="0"/>
        <w:tabs>
          <w:tab w:leader="none" w:pos="2080" w:val="left"/>
        </w:tabs>
        <w:numPr>
          <w:ilvl w:val="2"/>
          <w:numId w:val="571"/>
        </w:numPr>
        <w:rPr>
          <w:rFonts w:ascii="Arial" w:cs="Arial" w:eastAsia="Arial" w:hAnsi="Arial"/>
          <w:sz w:val="14"/>
          <w:szCs w:val="14"/>
          <w:color w:val="auto"/>
        </w:rPr>
      </w:pPr>
      <w:r>
        <w:rPr>
          <w:rFonts w:ascii="Arial" w:cs="Arial" w:eastAsia="Arial" w:hAnsi="Arial"/>
          <w:sz w:val="14"/>
          <w:szCs w:val="14"/>
          <w:color w:val="auto"/>
        </w:rPr>
        <w:t>any such sub-licenses shall also be subject to Section 2.2.</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71"/>
        </w:numPr>
        <w:rPr>
          <w:rFonts w:ascii="Arial" w:cs="Arial" w:eastAsia="Arial" w:hAnsi="Arial"/>
          <w:sz w:val="14"/>
          <w:szCs w:val="14"/>
          <w:color w:val="auto"/>
        </w:rPr>
      </w:pPr>
      <w:r>
        <w:rPr>
          <w:rFonts w:ascii="Arial" w:cs="Arial" w:eastAsia="Arial" w:hAnsi="Arial"/>
          <w:sz w:val="14"/>
          <w:szCs w:val="14"/>
          <w:color w:val="auto"/>
        </w:rPr>
        <w:t>Notwithstanding any other provision, EMPIRICA, its Affiliates, and all Sub-Licensees shall reproduce, manufacture, have made, import, sell, and export the Therapeutic Products in accordance with recognized best practices, including but not limited to good manufacturing practices for any Therapeutic Products.</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2"/>
          <w:szCs w:val="12"/>
          <w:b w:val="1"/>
          <w:bCs w:val="1"/>
          <w:color w:val="auto"/>
        </w:rPr>
        <w:t>Sub-Licensing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When sub-licensing any rights under this Agreement to any Sub-Licensee, EMPIRICA shall:</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780" w:name="page781"/>
    <w:bookmarkEnd w:id="780"/>
    <w:p>
      <w:pPr>
        <w:ind w:left="1040" w:hanging="516"/>
        <w:spacing w:after="0"/>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promptly notify the Representatives of INSTITUTIONS of proposed terms of all sub-license agreements and the identity of the parties thereto;</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not grant any royalty-free sub-licenses or any sub-licenses for consideration less than fair market value;</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grant sub-licenses solely to Third Parties by written contract and Affiliates of EMPIRICA;</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not grant any irrevocable sub-licenses;</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ensure that all Sub-Licensees are bound by terms consistent with those in Sections 2.1(b) (Grant of License), 2.2 (Sub-Licensing), 2.3 (Reserved Rights), 2.4 (License Restrictions), 3.5 (Accounting and Records), 4.1 (Ownership), 4.6 (Infringement), 4.6 (Confidentiality), 5.3 (Indemnity), 5.4 (Insurance), 5.5 (Limitation of Liability), and Article 7 (General Provisions) herein;</w:t>
      </w:r>
    </w:p>
    <w:p>
      <w:pPr>
        <w:spacing w:after="0" w:line="141" w:lineRule="exact"/>
        <w:rPr>
          <w:rFonts w:ascii="Arial" w:cs="Arial" w:eastAsia="Arial" w:hAnsi="Arial"/>
          <w:sz w:val="14"/>
          <w:szCs w:val="14"/>
          <w:color w:val="auto"/>
        </w:rPr>
      </w:pPr>
    </w:p>
    <w:p>
      <w:pPr>
        <w:ind w:left="1040" w:hanging="516"/>
        <w:spacing w:after="0"/>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ensure that Sub-Licensees do not Encumber any Licensed Inventions or apply for any intellectual property registrations in respect of the Licensed Inventions;</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provide the Representatives of INSTITUTIONS with reasonable access, at the INSTITUTIONS’ cost and expense, to books and records during ordinary business hours in order that the INSTITUTIONS can assure itself that EMPIRICA’s obligations under this Section 2.2 are fulfilled; and</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572"/>
        </w:numPr>
        <w:rPr>
          <w:rFonts w:ascii="Arial" w:cs="Arial" w:eastAsia="Arial" w:hAnsi="Arial"/>
          <w:sz w:val="14"/>
          <w:szCs w:val="14"/>
          <w:color w:val="auto"/>
        </w:rPr>
      </w:pPr>
      <w:r>
        <w:rPr>
          <w:rFonts w:ascii="Arial" w:cs="Arial" w:eastAsia="Arial" w:hAnsi="Arial"/>
          <w:sz w:val="14"/>
          <w:szCs w:val="14"/>
          <w:color w:val="auto"/>
        </w:rPr>
        <w:t>promptly provide the Representatives of INSTITUTIONS with a copy of each sub-license agreement following the execution of such agreements.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2"/>
          <w:szCs w:val="12"/>
          <w:b w:val="1"/>
          <w:bCs w:val="1"/>
          <w:color w:val="auto"/>
        </w:rPr>
        <w:t>Reserved Rights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EMPIRICA acknowledges that the INSTITUTIONS on behalf of themselves and on behalf of the Inventors have reserved a royalty-free, non-exclusive perpetual irrevocable license to use the Licensed Inventions for non-commercial research, educational and administrative purposes.</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2"/>
          <w:szCs w:val="12"/>
          <w:b w:val="1"/>
          <w:bCs w:val="1"/>
          <w:color w:val="auto"/>
        </w:rPr>
        <w:t>License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EMPIRICA acknowledges and agrees that EMPIRICA, its Affiliates and all Sub-Licensees:</w:t>
      </w:r>
    </w:p>
    <w:p>
      <w:pPr>
        <w:spacing w:after="0" w:line="184" w:lineRule="exact"/>
        <w:rPr>
          <w:sz w:val="20"/>
          <w:szCs w:val="20"/>
          <w:color w:val="auto"/>
        </w:rPr>
      </w:pPr>
    </w:p>
    <w:p>
      <w:pPr>
        <w:ind w:left="1040" w:hanging="516"/>
        <w:spacing w:after="0" w:line="288" w:lineRule="auto"/>
        <w:tabs>
          <w:tab w:leader="none" w:pos="1040" w:val="left"/>
        </w:tabs>
        <w:numPr>
          <w:ilvl w:val="0"/>
          <w:numId w:val="573"/>
        </w:numPr>
        <w:rPr>
          <w:rFonts w:ascii="Arial" w:cs="Arial" w:eastAsia="Arial" w:hAnsi="Arial"/>
          <w:sz w:val="14"/>
          <w:szCs w:val="14"/>
          <w:color w:val="auto"/>
        </w:rPr>
      </w:pPr>
      <w:r>
        <w:rPr>
          <w:rFonts w:ascii="Arial" w:cs="Arial" w:eastAsia="Arial" w:hAnsi="Arial"/>
          <w:sz w:val="14"/>
          <w:szCs w:val="14"/>
          <w:color w:val="auto"/>
        </w:rPr>
        <w:t>shall not use the Licensed Inventions or advertise, promote, market or otherwise offer Therapeutic Products for sale in any manner which will adversely affect the reputation of the INSTITUTIONS;</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573"/>
        </w:numPr>
        <w:rPr>
          <w:rFonts w:ascii="Arial" w:cs="Arial" w:eastAsia="Arial" w:hAnsi="Arial"/>
          <w:sz w:val="14"/>
          <w:szCs w:val="14"/>
          <w:color w:val="auto"/>
        </w:rPr>
      </w:pPr>
      <w:r>
        <w:rPr>
          <w:rFonts w:ascii="Arial" w:cs="Arial" w:eastAsia="Arial" w:hAnsi="Arial"/>
          <w:sz w:val="14"/>
          <w:szCs w:val="14"/>
          <w:color w:val="auto"/>
        </w:rPr>
        <w:t>shall not, at any time, use the Licensed Inventions for any purpose except as authorized by this Agreement, nor in any manner likely to negate,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81" w:name="page782"/>
    <w:bookmarkEnd w:id="781"/>
    <w:p>
      <w:pPr>
        <w:ind w:left="1040"/>
        <w:spacing w:after="0"/>
        <w:rPr>
          <w:sz w:val="20"/>
          <w:szCs w:val="20"/>
          <w:color w:val="auto"/>
        </w:rPr>
      </w:pPr>
      <w:r>
        <w:rPr>
          <w:rFonts w:ascii="Arial" w:cs="Arial" w:eastAsia="Arial" w:hAnsi="Arial"/>
          <w:sz w:val="14"/>
          <w:szCs w:val="14"/>
          <w:color w:val="auto"/>
        </w:rPr>
        <w:t>impair or dilute any of the rights of the INSTITUTIONS as owners of the Licensed Inventions;</w:t>
      </w:r>
    </w:p>
    <w:p>
      <w:pPr>
        <w:spacing w:after="0" w:line="184" w:lineRule="exact"/>
        <w:rPr>
          <w:sz w:val="20"/>
          <w:szCs w:val="20"/>
          <w:color w:val="auto"/>
        </w:rPr>
      </w:pPr>
    </w:p>
    <w:p>
      <w:pPr>
        <w:ind w:left="1040" w:hanging="516"/>
        <w:spacing w:after="0"/>
        <w:tabs>
          <w:tab w:leader="none" w:pos="1040" w:val="left"/>
        </w:tabs>
        <w:numPr>
          <w:ilvl w:val="0"/>
          <w:numId w:val="574"/>
        </w:numPr>
        <w:rPr>
          <w:rFonts w:ascii="Arial" w:cs="Arial" w:eastAsia="Arial" w:hAnsi="Arial"/>
          <w:sz w:val="14"/>
          <w:szCs w:val="14"/>
          <w:color w:val="auto"/>
        </w:rPr>
      </w:pPr>
      <w:r>
        <w:rPr>
          <w:rFonts w:ascii="Arial" w:cs="Arial" w:eastAsia="Arial" w:hAnsi="Arial"/>
          <w:sz w:val="14"/>
          <w:szCs w:val="14"/>
          <w:color w:val="auto"/>
        </w:rPr>
        <w:t>shall not, at any time, directly or indirectly, dispute or contest:</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574"/>
        </w:numPr>
        <w:rPr>
          <w:rFonts w:ascii="Arial" w:cs="Arial" w:eastAsia="Arial" w:hAnsi="Arial"/>
          <w:sz w:val="14"/>
          <w:szCs w:val="14"/>
          <w:color w:val="auto"/>
        </w:rPr>
      </w:pPr>
      <w:r>
        <w:rPr>
          <w:rFonts w:ascii="Arial" w:cs="Arial" w:eastAsia="Arial" w:hAnsi="Arial"/>
          <w:sz w:val="14"/>
          <w:szCs w:val="14"/>
          <w:color w:val="auto"/>
        </w:rPr>
        <w:t>the validity or enforceability of the INSTITUTIONS’ Intellectual Property Rights in the Licensed Inventions; or</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574"/>
        </w:numPr>
        <w:rPr>
          <w:rFonts w:ascii="Arial" w:cs="Arial" w:eastAsia="Arial" w:hAnsi="Arial"/>
          <w:sz w:val="14"/>
          <w:szCs w:val="14"/>
          <w:color w:val="auto"/>
        </w:rPr>
      </w:pPr>
      <w:r>
        <w:rPr>
          <w:rFonts w:ascii="Arial" w:cs="Arial" w:eastAsia="Arial" w:hAnsi="Arial"/>
          <w:sz w:val="14"/>
          <w:szCs w:val="14"/>
          <w:color w:val="auto"/>
        </w:rPr>
        <w:t>the ownership rights of the INSTITUTIONS in and to the Licensed Inventions.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CONSIDERATION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2"/>
          <w:szCs w:val="12"/>
          <w:b w:val="1"/>
          <w:bCs w:val="1"/>
          <w:color w:val="auto"/>
        </w:rPr>
        <w:t>License Fees</w:t>
      </w:r>
    </w:p>
    <w:p>
      <w:pPr>
        <w:spacing w:after="0" w:line="18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3.1.1</w:t>
      </w:r>
      <w:r>
        <w:rPr>
          <w:sz w:val="20"/>
          <w:szCs w:val="20"/>
          <w:color w:val="auto"/>
        </w:rPr>
        <w:tab/>
      </w:r>
      <w:r>
        <w:rPr>
          <w:rFonts w:ascii="Arial" w:cs="Arial" w:eastAsia="Arial" w:hAnsi="Arial"/>
          <w:sz w:val="12"/>
          <w:szCs w:val="12"/>
          <w:b w:val="1"/>
          <w:bCs w:val="1"/>
          <w:i w:val="1"/>
          <w:iCs w:val="1"/>
          <w:color w:val="auto"/>
        </w:rPr>
        <w:t>Upfront License Fee</w:t>
      </w:r>
      <w:r>
        <w:rPr>
          <w:rFonts w:ascii="Arial" w:cs="Arial" w:eastAsia="Arial" w:hAnsi="Arial"/>
          <w:sz w:val="12"/>
          <w:szCs w:val="12"/>
          <w:i w:val="1"/>
          <w:iCs w:val="1"/>
          <w:color w:val="auto"/>
        </w:rPr>
        <w:t>.</w:t>
      </w:r>
    </w:p>
    <w:p>
      <w:pPr>
        <w:spacing w:after="0" w:line="188" w:lineRule="exact"/>
        <w:rPr>
          <w:sz w:val="20"/>
          <w:szCs w:val="20"/>
          <w:color w:val="auto"/>
        </w:rPr>
      </w:pPr>
    </w:p>
    <w:p>
      <w:pPr>
        <w:jc w:val="both"/>
        <w:ind w:left="1040" w:hanging="516"/>
        <w:spacing w:after="0" w:line="273" w:lineRule="auto"/>
        <w:tabs>
          <w:tab w:leader="none" w:pos="1040" w:val="left"/>
        </w:tabs>
        <w:numPr>
          <w:ilvl w:val="0"/>
          <w:numId w:val="575"/>
        </w:numPr>
        <w:rPr>
          <w:rFonts w:ascii="Arial" w:cs="Arial" w:eastAsia="Arial" w:hAnsi="Arial"/>
          <w:sz w:val="14"/>
          <w:szCs w:val="14"/>
          <w:color w:val="auto"/>
        </w:rPr>
      </w:pPr>
      <w:r>
        <w:rPr>
          <w:rFonts w:ascii="Arial" w:cs="Arial" w:eastAsia="Arial" w:hAnsi="Arial"/>
          <w:sz w:val="14"/>
          <w:szCs w:val="14"/>
          <w:color w:val="auto"/>
        </w:rPr>
        <w:t>There shall be upon execution of this Agreement, an issuance by EMPIRICA in favour of the Representative of the INSTITUTIONS of the number of Voting Common Shares equal to 5% of the issued and outstanding shares in the capital of EMPIRICA, on an as converted and fully-diluted basis (calculating at the time of issuance and including those shares contemplated to be issued under this fee structure option) (“</w:t>
      </w:r>
      <w:r>
        <w:rPr>
          <w:rFonts w:ascii="Arial" w:cs="Arial" w:eastAsia="Arial" w:hAnsi="Arial"/>
          <w:sz w:val="14"/>
          <w:szCs w:val="14"/>
          <w:b w:val="1"/>
          <w:bCs w:val="1"/>
          <w:color w:val="auto"/>
        </w:rPr>
        <w:t>Equity Consideration</w:t>
      </w:r>
      <w:r>
        <w:rPr>
          <w:rFonts w:ascii="Arial" w:cs="Arial" w:eastAsia="Arial" w:hAnsi="Arial"/>
          <w:sz w:val="14"/>
          <w:szCs w:val="14"/>
          <w:color w:val="auto"/>
        </w:rPr>
        <w:t>”)</w:t>
      </w:r>
      <w:r>
        <w:rPr>
          <w:rFonts w:ascii="Arial" w:cs="Arial" w:eastAsia="Arial" w:hAnsi="Arial"/>
          <w:sz w:val="14"/>
          <w:szCs w:val="14"/>
          <w:b w:val="1"/>
          <w:bCs w:val="1"/>
          <w:color w:val="auto"/>
        </w:rPr>
        <w:t>;</w:t>
      </w:r>
    </w:p>
    <w:p>
      <w:pPr>
        <w:spacing w:after="0" w:line="14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575"/>
        </w:numPr>
        <w:rPr>
          <w:rFonts w:ascii="Arial" w:cs="Arial" w:eastAsia="Arial" w:hAnsi="Arial"/>
          <w:sz w:val="14"/>
          <w:szCs w:val="14"/>
          <w:color w:val="auto"/>
        </w:rPr>
      </w:pPr>
      <w:r>
        <w:rPr>
          <w:rFonts w:ascii="Arial" w:cs="Arial" w:eastAsia="Arial" w:hAnsi="Arial"/>
          <w:sz w:val="14"/>
          <w:szCs w:val="14"/>
          <w:color w:val="auto"/>
        </w:rPr>
        <w:t>Each of the Representative of the INSTITUTIONS shall, prior to receiving the Equity Consideration, sign and deliver to EMPIRICA an adoption agreement or counterpart and acknowledgement to EMPIRICA’S Shareholders Agreement and any other agreement that the company requires a holder of Voting Common Shares to sign in form and substance satisfactory to EMPIRICA.</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2"/>
          <w:szCs w:val="12"/>
          <w:b w:val="1"/>
          <w:bCs w:val="1"/>
          <w:color w:val="auto"/>
        </w:rPr>
        <w:t>Milestone Payments and Royalty</w:t>
      </w:r>
    </w:p>
    <w:p>
      <w:pPr>
        <w:spacing w:after="0" w:line="184" w:lineRule="exact"/>
        <w:rPr>
          <w:sz w:val="20"/>
          <w:szCs w:val="20"/>
          <w:color w:val="auto"/>
        </w:rPr>
      </w:pPr>
    </w:p>
    <w:p>
      <w:pPr>
        <w:ind w:left="1040" w:hanging="517"/>
        <w:spacing w:after="0" w:line="294" w:lineRule="auto"/>
        <w:tabs>
          <w:tab w:leader="none" w:pos="1020" w:val="left"/>
        </w:tabs>
        <w:rPr>
          <w:sz w:val="20"/>
          <w:szCs w:val="20"/>
          <w:color w:val="auto"/>
        </w:rPr>
      </w:pPr>
      <w:r>
        <w:rPr>
          <w:rFonts w:ascii="Arial" w:cs="Arial" w:eastAsia="Arial" w:hAnsi="Arial"/>
          <w:sz w:val="14"/>
          <w:szCs w:val="14"/>
          <w:b w:val="1"/>
          <w:bCs w:val="1"/>
          <w:color w:val="auto"/>
        </w:rPr>
        <w:t>3.2.1</w:t>
      </w:r>
      <w:r>
        <w:rPr>
          <w:sz w:val="20"/>
          <w:szCs w:val="20"/>
          <w:color w:val="auto"/>
        </w:rPr>
        <w:tab/>
      </w:r>
      <w:r>
        <w:rPr>
          <w:rFonts w:ascii="Arial" w:cs="Arial" w:eastAsia="Arial" w:hAnsi="Arial"/>
          <w:sz w:val="14"/>
          <w:szCs w:val="14"/>
          <w:b w:val="1"/>
          <w:bCs w:val="1"/>
          <w:i w:val="1"/>
          <w:iCs w:val="1"/>
          <w:color w:val="auto"/>
        </w:rPr>
        <w:t xml:space="preserve">Milestone Payment. </w:t>
      </w:r>
      <w:r>
        <w:rPr>
          <w:rFonts w:ascii="Arial" w:cs="Arial" w:eastAsia="Arial" w:hAnsi="Arial"/>
          <w:sz w:val="14"/>
          <w:szCs w:val="14"/>
          <w:color w:val="auto"/>
        </w:rPr>
        <w:t>EMPIRICA shall pay to the Representative of the INSTITUTIONS the following “</w:t>
      </w:r>
      <w:r>
        <w:rPr>
          <w:rFonts w:ascii="Arial" w:cs="Arial" w:eastAsia="Arial" w:hAnsi="Arial"/>
          <w:sz w:val="14"/>
          <w:szCs w:val="14"/>
          <w:b w:val="1"/>
          <w:bCs w:val="1"/>
          <w:color w:val="auto"/>
        </w:rPr>
        <w:t>Milestone Payments</w:t>
      </w:r>
      <w:r>
        <w:rPr>
          <w:rFonts w:ascii="Arial" w:cs="Arial" w:eastAsia="Arial" w:hAnsi="Arial"/>
          <w:sz w:val="14"/>
          <w:szCs w:val="14"/>
          <w:color w:val="auto"/>
        </w:rPr>
        <w:t>” for each of the Therapeutic Products to achieve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specified milestone, as applicable:</w:t>
      </w:r>
    </w:p>
    <w:p>
      <w:pPr>
        <w:spacing w:after="0" w:line="127" w:lineRule="exact"/>
        <w:rPr>
          <w:sz w:val="20"/>
          <w:szCs w:val="20"/>
          <w:color w:val="auto"/>
        </w:rPr>
      </w:pPr>
    </w:p>
    <w:p>
      <w:pPr>
        <w:ind w:left="1560" w:hanging="518"/>
        <w:spacing w:after="0"/>
        <w:tabs>
          <w:tab w:leader="none" w:pos="1560" w:val="left"/>
        </w:tabs>
        <w:numPr>
          <w:ilvl w:val="0"/>
          <w:numId w:val="576"/>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576"/>
        </w:numPr>
        <w:rPr>
          <w:rFonts w:ascii="Arial" w:cs="Arial" w:eastAsia="Arial" w:hAnsi="Arial"/>
          <w:sz w:val="14"/>
          <w:szCs w:val="14"/>
          <w:color w:val="auto"/>
        </w:rPr>
      </w:pPr>
      <w:r>
        <w:rPr>
          <w:rFonts w:ascii="Arial" w:cs="Arial" w:eastAsia="Arial" w:hAnsi="Arial"/>
          <w:sz w:val="14"/>
          <w:szCs w:val="14"/>
          <w:color w:val="auto"/>
        </w:rPr>
        <w:t>[***]; and</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82" w:name="page783"/>
    <w:bookmarkEnd w:id="782"/>
    <w:p>
      <w:pPr>
        <w:ind w:left="1560" w:hanging="518"/>
        <w:spacing w:after="0"/>
        <w:tabs>
          <w:tab w:leader="none" w:pos="1560" w:val="left"/>
        </w:tabs>
        <w:numPr>
          <w:ilvl w:val="0"/>
          <w:numId w:val="577"/>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sz w:val="20"/>
          <w:szCs w:val="20"/>
          <w:color w:val="auto"/>
        </w:rPr>
      </w:pPr>
    </w:p>
    <w:p>
      <w:pPr>
        <w:jc w:val="both"/>
        <w:ind w:left="520"/>
        <w:spacing w:after="0" w:line="288" w:lineRule="auto"/>
        <w:rPr>
          <w:sz w:val="20"/>
          <w:szCs w:val="20"/>
          <w:color w:val="auto"/>
        </w:rPr>
      </w:pPr>
      <w:r>
        <w:rPr>
          <w:rFonts w:ascii="Arial" w:cs="Arial" w:eastAsia="Arial" w:hAnsi="Arial"/>
          <w:sz w:val="14"/>
          <w:szCs w:val="14"/>
          <w:b w:val="1"/>
          <w:bCs w:val="1"/>
          <w:i w:val="1"/>
          <w:iCs w:val="1"/>
          <w:color w:val="auto"/>
        </w:rPr>
        <w:t xml:space="preserve">Products Royalty Payments. </w:t>
      </w:r>
      <w:r>
        <w:rPr>
          <w:rFonts w:ascii="Arial" w:cs="Arial" w:eastAsia="Arial" w:hAnsi="Arial"/>
          <w:sz w:val="14"/>
          <w:szCs w:val="14"/>
          <w:color w:val="auto"/>
        </w:rPr>
        <w:t>EMPIRICA shall pay to the Representative of the INSTITUTIONS a royalty rate of [***] of the Net Sales by EMPIRICA for each of the Therapeutic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or Diagnostic Products.</w:t>
      </w:r>
    </w:p>
    <w:p>
      <w:pPr>
        <w:spacing w:after="0" w:line="132" w:lineRule="exact"/>
        <w:rPr>
          <w:sz w:val="20"/>
          <w:szCs w:val="20"/>
          <w:color w:val="auto"/>
        </w:rPr>
      </w:pPr>
    </w:p>
    <w:p>
      <w:pPr>
        <w:jc w:val="both"/>
        <w:ind w:left="520"/>
        <w:spacing w:after="0" w:line="303" w:lineRule="auto"/>
        <w:rPr>
          <w:sz w:val="20"/>
          <w:szCs w:val="20"/>
          <w:color w:val="auto"/>
        </w:rPr>
      </w:pPr>
      <w:r>
        <w:rPr>
          <w:rFonts w:ascii="Arial" w:cs="Arial" w:eastAsia="Arial" w:hAnsi="Arial"/>
          <w:sz w:val="13"/>
          <w:szCs w:val="13"/>
          <w:color w:val="auto"/>
        </w:rPr>
        <w:t>If EMPIRICA provides the Representative of the INSTITUTIONS with reasonably satisfactory evidence that it is required to license a Third Party’s technology in order to commercialize the Licensed Invention, then, upon written approval by the INSTITUTIONS, EMPIRICA shall be entitled to deduct such Third Party royalties from the INSTITUTIONS’ Products Royalty Payments up to a maximum of [***] of the INSTITUTIONS’ Royalty Payments, provided that in no event shall such Royalty Payments be less than [***] for annual Net Sales.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2"/>
          <w:szCs w:val="12"/>
          <w:b w:val="1"/>
          <w:bCs w:val="1"/>
          <w:color w:val="auto"/>
        </w:rPr>
        <w:t>Sub-License Fee Payments</w:t>
      </w:r>
    </w:p>
    <w:p>
      <w:pPr>
        <w:spacing w:after="0" w:line="184" w:lineRule="exact"/>
        <w:rPr>
          <w:sz w:val="20"/>
          <w:szCs w:val="20"/>
          <w:color w:val="auto"/>
        </w:rPr>
      </w:pPr>
    </w:p>
    <w:p>
      <w:pPr>
        <w:jc w:val="both"/>
        <w:ind w:left="1040" w:hanging="517"/>
        <w:spacing w:after="0" w:line="288" w:lineRule="auto"/>
        <w:tabs>
          <w:tab w:leader="none" w:pos="1020" w:val="left"/>
        </w:tabs>
        <w:rPr>
          <w:sz w:val="20"/>
          <w:szCs w:val="20"/>
          <w:color w:val="auto"/>
        </w:rPr>
      </w:pPr>
      <w:r>
        <w:rPr>
          <w:rFonts w:ascii="Arial" w:cs="Arial" w:eastAsia="Arial" w:hAnsi="Arial"/>
          <w:sz w:val="14"/>
          <w:szCs w:val="14"/>
          <w:b w:val="1"/>
          <w:bCs w:val="1"/>
          <w:color w:val="auto"/>
        </w:rPr>
        <w:t>3.3.1</w:t>
      </w:r>
      <w:r>
        <w:rPr>
          <w:sz w:val="20"/>
          <w:szCs w:val="20"/>
          <w:color w:val="auto"/>
        </w:rPr>
        <w:tab/>
      </w:r>
      <w:r>
        <w:rPr>
          <w:rFonts w:ascii="Arial" w:cs="Arial" w:eastAsia="Arial" w:hAnsi="Arial"/>
          <w:sz w:val="14"/>
          <w:szCs w:val="14"/>
          <w:b w:val="1"/>
          <w:bCs w:val="1"/>
          <w:i w:val="1"/>
          <w:iCs w:val="1"/>
          <w:color w:val="auto"/>
        </w:rPr>
        <w:t xml:space="preserve">Sub-License Fees. </w:t>
      </w:r>
      <w:r>
        <w:rPr>
          <w:rFonts w:ascii="Arial" w:cs="Arial" w:eastAsia="Arial" w:hAnsi="Arial"/>
          <w:sz w:val="14"/>
          <w:szCs w:val="14"/>
          <w:color w:val="auto"/>
        </w:rPr>
        <w:t>In the event of sub-licensing, EMPIRICA shall pay to the Representative of the INSTITUTIONS [***] on all non-royalty payments received by EMPIRICA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the Sub-Licensee for each of the Therapeutic Products as set out below:</w:t>
      </w:r>
    </w:p>
    <w:p>
      <w:pPr>
        <w:spacing w:after="0" w:line="136" w:lineRule="exact"/>
        <w:rPr>
          <w:sz w:val="20"/>
          <w:szCs w:val="20"/>
          <w:color w:val="auto"/>
        </w:rPr>
      </w:pPr>
    </w:p>
    <w:p>
      <w:pPr>
        <w:ind w:left="1560" w:hanging="518"/>
        <w:spacing w:after="0"/>
        <w:tabs>
          <w:tab w:leader="none" w:pos="1560" w:val="left"/>
        </w:tabs>
        <w:numPr>
          <w:ilvl w:val="0"/>
          <w:numId w:val="578"/>
        </w:numPr>
        <w:rPr>
          <w:rFonts w:ascii="Arial" w:cs="Arial" w:eastAsia="Arial" w:hAnsi="Arial"/>
          <w:sz w:val="14"/>
          <w:szCs w:val="14"/>
          <w:color w:val="auto"/>
        </w:rPr>
      </w:pPr>
      <w:r>
        <w:rPr>
          <w:rFonts w:ascii="Arial" w:cs="Arial" w:eastAsia="Arial" w:hAnsi="Arial"/>
          <w:sz w:val="14"/>
          <w:szCs w:val="14"/>
          <w:color w:val="auto"/>
        </w:rPr>
        <w:t>All cumulative payments received by Empirica up to and including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578"/>
        </w:numPr>
        <w:rPr>
          <w:rFonts w:ascii="Arial" w:cs="Arial" w:eastAsia="Arial" w:hAnsi="Arial"/>
          <w:sz w:val="14"/>
          <w:szCs w:val="14"/>
          <w:color w:val="auto"/>
        </w:rPr>
      </w:pPr>
      <w:r>
        <w:rPr>
          <w:rFonts w:ascii="Arial" w:cs="Arial" w:eastAsia="Arial" w:hAnsi="Arial"/>
          <w:sz w:val="14"/>
          <w:szCs w:val="14"/>
          <w:color w:val="auto"/>
        </w:rPr>
        <w:t>All cumulative payments received by Empirica after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578"/>
        </w:numPr>
        <w:rPr>
          <w:rFonts w:ascii="Arial" w:cs="Arial" w:eastAsia="Arial" w:hAnsi="Arial"/>
          <w:sz w:val="14"/>
          <w:szCs w:val="14"/>
          <w:color w:val="auto"/>
        </w:rPr>
      </w:pPr>
      <w:r>
        <w:rPr>
          <w:rFonts w:ascii="Arial" w:cs="Arial" w:eastAsia="Arial" w:hAnsi="Arial"/>
          <w:sz w:val="14"/>
          <w:szCs w:val="14"/>
          <w:color w:val="auto"/>
        </w:rPr>
        <w:t>All cumulative payments received by Empirica after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578"/>
        </w:numPr>
        <w:rPr>
          <w:rFonts w:ascii="Arial" w:cs="Arial" w:eastAsia="Arial" w:hAnsi="Arial"/>
          <w:sz w:val="14"/>
          <w:szCs w:val="14"/>
          <w:color w:val="auto"/>
        </w:rPr>
      </w:pPr>
      <w:r>
        <w:rPr>
          <w:rFonts w:ascii="Arial" w:cs="Arial" w:eastAsia="Arial" w:hAnsi="Arial"/>
          <w:sz w:val="14"/>
          <w:szCs w:val="14"/>
          <w:color w:val="auto"/>
        </w:rPr>
        <w:t>All cumulative payments received by Empirica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578"/>
        </w:numPr>
        <w:rPr>
          <w:rFonts w:ascii="Arial" w:cs="Arial" w:eastAsia="Arial" w:hAnsi="Arial"/>
          <w:sz w:val="14"/>
          <w:szCs w:val="14"/>
          <w:color w:val="auto"/>
        </w:rPr>
      </w:pPr>
      <w:r>
        <w:rPr>
          <w:rFonts w:ascii="Arial" w:cs="Arial" w:eastAsia="Arial" w:hAnsi="Arial"/>
          <w:sz w:val="14"/>
          <w:szCs w:val="14"/>
          <w:color w:val="auto"/>
        </w:rPr>
        <w:t>All cumulative payments received by Empirica [***]</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783" w:name="page784"/>
    <w:bookmarkEnd w:id="783"/>
    <w:p>
      <w:pPr>
        <w:ind w:left="1560"/>
        <w:spacing w:after="0"/>
        <w:rPr>
          <w:sz w:val="20"/>
          <w:szCs w:val="20"/>
          <w:color w:val="auto"/>
        </w:rPr>
      </w:pPr>
      <w:r>
        <w:rPr>
          <w:rFonts w:ascii="Arial" w:cs="Arial" w:eastAsia="Arial" w:hAnsi="Arial"/>
          <w:sz w:val="14"/>
          <w:szCs w:val="14"/>
          <w:color w:val="auto"/>
        </w:rPr>
        <w:t>; and</w:t>
      </w:r>
    </w:p>
    <w:p>
      <w:pPr>
        <w:spacing w:after="0" w:line="184" w:lineRule="exact"/>
        <w:rPr>
          <w:sz w:val="20"/>
          <w:szCs w:val="20"/>
          <w:color w:val="auto"/>
        </w:rPr>
      </w:pPr>
    </w:p>
    <w:p>
      <w:pPr>
        <w:ind w:left="1560" w:hanging="518"/>
        <w:spacing w:after="0"/>
        <w:tabs>
          <w:tab w:leader="none" w:pos="1560" w:val="left"/>
        </w:tabs>
        <w:numPr>
          <w:ilvl w:val="0"/>
          <w:numId w:val="579"/>
        </w:numPr>
        <w:rPr>
          <w:rFonts w:ascii="Arial" w:cs="Arial" w:eastAsia="Arial" w:hAnsi="Arial"/>
          <w:sz w:val="14"/>
          <w:szCs w:val="14"/>
          <w:color w:val="auto"/>
        </w:rPr>
      </w:pPr>
      <w:r>
        <w:rPr>
          <w:rFonts w:ascii="Arial" w:cs="Arial" w:eastAsia="Arial" w:hAnsi="Arial"/>
          <w:sz w:val="14"/>
          <w:szCs w:val="14"/>
          <w:color w:val="auto"/>
        </w:rPr>
        <w:t>All cumulative payments received by Empirica [***].</w:t>
      </w:r>
    </w:p>
    <w:p>
      <w:pPr>
        <w:spacing w:after="0" w:line="184" w:lineRule="exact"/>
        <w:rPr>
          <w:sz w:val="20"/>
          <w:szCs w:val="20"/>
          <w:color w:val="auto"/>
        </w:rPr>
      </w:pPr>
    </w:p>
    <w:p>
      <w:pPr>
        <w:ind w:left="1040"/>
        <w:spacing w:after="0" w:line="288" w:lineRule="auto"/>
        <w:rPr>
          <w:sz w:val="20"/>
          <w:szCs w:val="20"/>
          <w:color w:val="auto"/>
        </w:rPr>
      </w:pPr>
      <w:r>
        <w:rPr>
          <w:rFonts w:ascii="Arial" w:cs="Arial" w:eastAsia="Arial" w:hAnsi="Arial"/>
          <w:sz w:val="14"/>
          <w:szCs w:val="14"/>
          <w:color w:val="auto"/>
        </w:rPr>
        <w:t>Sub-License Fees accrued to the Institutions at the amount specified by milestone (i), (ii), and (iii) defined here in Section 3.3.1 for each of the Therapeutic Products prior to sub-licensing and are payable by Empirica upon entering into a definitive sub-license agreement.</w:t>
      </w:r>
    </w:p>
    <w:p>
      <w:pPr>
        <w:spacing w:after="0" w:line="128" w:lineRule="exact"/>
        <w:rPr>
          <w:sz w:val="20"/>
          <w:szCs w:val="20"/>
          <w:color w:val="auto"/>
        </w:rPr>
      </w:pPr>
    </w:p>
    <w:p>
      <w:pPr>
        <w:ind w:left="1040" w:hanging="517"/>
        <w:spacing w:after="0" w:line="288" w:lineRule="auto"/>
        <w:tabs>
          <w:tab w:leader="none" w:pos="1020" w:val="left"/>
        </w:tabs>
        <w:rPr>
          <w:sz w:val="20"/>
          <w:szCs w:val="20"/>
          <w:color w:val="auto"/>
        </w:rPr>
      </w:pPr>
      <w:r>
        <w:rPr>
          <w:rFonts w:ascii="Arial" w:cs="Arial" w:eastAsia="Arial" w:hAnsi="Arial"/>
          <w:sz w:val="14"/>
          <w:szCs w:val="14"/>
          <w:b w:val="1"/>
          <w:bCs w:val="1"/>
          <w:color w:val="auto"/>
        </w:rPr>
        <w:t>3.3.2</w:t>
      </w:r>
      <w:r>
        <w:rPr>
          <w:sz w:val="20"/>
          <w:szCs w:val="20"/>
          <w:color w:val="auto"/>
        </w:rPr>
        <w:tab/>
      </w:r>
      <w:r>
        <w:rPr>
          <w:rFonts w:ascii="Arial" w:cs="Arial" w:eastAsia="Arial" w:hAnsi="Arial"/>
          <w:sz w:val="14"/>
          <w:szCs w:val="14"/>
          <w:b w:val="1"/>
          <w:bCs w:val="1"/>
          <w:i w:val="1"/>
          <w:iCs w:val="1"/>
          <w:color w:val="auto"/>
        </w:rPr>
        <w:t xml:space="preserve">Sub-License Royalties. </w:t>
      </w:r>
      <w:r>
        <w:rPr>
          <w:rFonts w:ascii="Arial" w:cs="Arial" w:eastAsia="Arial" w:hAnsi="Arial"/>
          <w:sz w:val="14"/>
          <w:szCs w:val="14"/>
          <w:color w:val="auto"/>
        </w:rPr>
        <w:t>Where Net Sales Revenue-based royalties are paid in accordance with a Sublicense, the INSTITUTIONS shall receive [***] flow through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Royalty Payments from Empirica to a maximum of [***] of Net Sales.</w:t>
      </w:r>
    </w:p>
    <w:p>
      <w:pPr>
        <w:spacing w:after="0" w:line="132" w:lineRule="exact"/>
        <w:rPr>
          <w:sz w:val="20"/>
          <w:szCs w:val="20"/>
          <w:color w:val="auto"/>
        </w:rPr>
      </w:pPr>
    </w:p>
    <w:p>
      <w:pPr>
        <w:ind w:left="520" w:hanging="517"/>
        <w:spacing w:after="0" w:line="294" w:lineRule="auto"/>
        <w:tabs>
          <w:tab w:leader="none" w:pos="50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b w:val="1"/>
          <w:bCs w:val="1"/>
          <w:color w:val="auto"/>
        </w:rPr>
        <w:t>Reports</w:t>
      </w:r>
      <w:r>
        <w:rPr>
          <w:rFonts w:ascii="Arial" w:cs="Arial" w:eastAsia="Arial" w:hAnsi="Arial"/>
          <w:sz w:val="14"/>
          <w:szCs w:val="14"/>
          <w:color w:val="auto"/>
        </w:rPr>
        <w:t>. EMPIRICA shall use Commercially Reasonable Efforts to develop, promote, market and sell Therapeutic Products or to sub-license Licensed Inventions or Therapeutic</w:t>
      </w:r>
      <w:r>
        <w:rPr>
          <w:rFonts w:ascii="Arial" w:cs="Arial" w:eastAsia="Arial" w:hAnsi="Arial"/>
          <w:sz w:val="14"/>
          <w:szCs w:val="14"/>
          <w:b w:val="1"/>
          <w:bCs w:val="1"/>
          <w:color w:val="auto"/>
        </w:rPr>
        <w:t xml:space="preserve"> </w:t>
      </w:r>
      <w:r>
        <w:rPr>
          <w:rFonts w:ascii="Arial" w:cs="Arial" w:eastAsia="Arial" w:hAnsi="Arial"/>
          <w:sz w:val="14"/>
          <w:szCs w:val="14"/>
          <w:color w:val="auto"/>
        </w:rPr>
        <w:t>Products to a commercial partner in accordance with the terms of this Agreement.</w:t>
      </w:r>
    </w:p>
    <w:p>
      <w:pPr>
        <w:spacing w:after="0" w:line="123" w:lineRule="exact"/>
        <w:rPr>
          <w:sz w:val="20"/>
          <w:szCs w:val="20"/>
          <w:color w:val="auto"/>
        </w:rPr>
      </w:pPr>
    </w:p>
    <w:p>
      <w:pPr>
        <w:ind w:left="1040" w:hanging="517"/>
        <w:spacing w:after="0" w:line="288" w:lineRule="auto"/>
        <w:tabs>
          <w:tab w:leader="none" w:pos="1020" w:val="left"/>
        </w:tabs>
        <w:rPr>
          <w:sz w:val="20"/>
          <w:szCs w:val="20"/>
          <w:color w:val="auto"/>
        </w:rPr>
      </w:pPr>
      <w:r>
        <w:rPr>
          <w:rFonts w:ascii="Arial" w:cs="Arial" w:eastAsia="Arial" w:hAnsi="Arial"/>
          <w:sz w:val="14"/>
          <w:szCs w:val="14"/>
          <w:b w:val="1"/>
          <w:bCs w:val="1"/>
          <w:color w:val="auto"/>
        </w:rPr>
        <w:t>3.4.1</w:t>
      </w:r>
      <w:r>
        <w:rPr>
          <w:sz w:val="20"/>
          <w:szCs w:val="20"/>
          <w:color w:val="auto"/>
        </w:rPr>
        <w:tab/>
      </w:r>
      <w:r>
        <w:rPr>
          <w:rFonts w:ascii="Arial" w:cs="Arial" w:eastAsia="Arial" w:hAnsi="Arial"/>
          <w:sz w:val="14"/>
          <w:szCs w:val="14"/>
          <w:b w:val="1"/>
          <w:bCs w:val="1"/>
          <w:i w:val="1"/>
          <w:iCs w:val="1"/>
          <w:color w:val="auto"/>
        </w:rPr>
        <w:t xml:space="preserve">Status Reports. </w:t>
      </w:r>
      <w:r>
        <w:rPr>
          <w:rFonts w:ascii="Arial" w:cs="Arial" w:eastAsia="Arial" w:hAnsi="Arial"/>
          <w:sz w:val="14"/>
          <w:szCs w:val="14"/>
          <w:color w:val="auto"/>
        </w:rPr>
        <w:t>Subject to any applicable federal, provincial, or state privacy laws or regulations, EMPIRICA shall provide the Representatives of the INSTITUTIONS with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following reports within thirty (30) days following each Calendar Year during the Term:</w:t>
      </w:r>
    </w:p>
    <w:p>
      <w:pPr>
        <w:spacing w:after="0" w:line="136" w:lineRule="exact"/>
        <w:rPr>
          <w:sz w:val="20"/>
          <w:szCs w:val="20"/>
          <w:color w:val="auto"/>
        </w:rPr>
      </w:pPr>
    </w:p>
    <w:p>
      <w:pPr>
        <w:ind w:left="1040" w:hanging="516"/>
        <w:spacing w:after="0" w:line="288" w:lineRule="auto"/>
        <w:tabs>
          <w:tab w:leader="none" w:pos="1040" w:val="left"/>
        </w:tabs>
        <w:numPr>
          <w:ilvl w:val="0"/>
          <w:numId w:val="580"/>
        </w:numPr>
        <w:rPr>
          <w:rFonts w:ascii="Arial" w:cs="Arial" w:eastAsia="Arial" w:hAnsi="Arial"/>
          <w:sz w:val="14"/>
          <w:szCs w:val="14"/>
          <w:color w:val="auto"/>
        </w:rPr>
      </w:pPr>
      <w:r>
        <w:rPr>
          <w:rFonts w:ascii="Arial" w:cs="Arial" w:eastAsia="Arial" w:hAnsi="Arial"/>
          <w:sz w:val="14"/>
          <w:szCs w:val="14"/>
          <w:color w:val="auto"/>
        </w:rPr>
        <w:t>a commercialization status report for each of the Therapeutic Products, disclosing a summary of regulatory, marketing and sales progress (containing sufficient detail acceptable to Representatives of INSTITUTIONS, acting reasonably) obtained during the preceding twelve (12) month period;</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580"/>
        </w:numPr>
        <w:rPr>
          <w:rFonts w:ascii="Arial" w:cs="Arial" w:eastAsia="Arial" w:hAnsi="Arial"/>
          <w:sz w:val="14"/>
          <w:szCs w:val="14"/>
          <w:color w:val="auto"/>
        </w:rPr>
      </w:pPr>
      <w:r>
        <w:rPr>
          <w:rFonts w:ascii="Arial" w:cs="Arial" w:eastAsia="Arial" w:hAnsi="Arial"/>
          <w:sz w:val="14"/>
          <w:szCs w:val="14"/>
          <w:color w:val="auto"/>
        </w:rPr>
        <w:t>an updated business plan as it relates to the portfolio of Therapeutic Products; and</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80"/>
        </w:numPr>
        <w:rPr>
          <w:rFonts w:ascii="Arial" w:cs="Arial" w:eastAsia="Arial" w:hAnsi="Arial"/>
          <w:sz w:val="14"/>
          <w:szCs w:val="14"/>
          <w:color w:val="auto"/>
        </w:rPr>
      </w:pPr>
      <w:r>
        <w:rPr>
          <w:rFonts w:ascii="Arial" w:cs="Arial" w:eastAsia="Arial" w:hAnsi="Arial"/>
          <w:sz w:val="14"/>
          <w:szCs w:val="14"/>
          <w:color w:val="auto"/>
        </w:rPr>
        <w:t>a written disclosure of all EMPIRICA Improvements (if any).</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together the “</w:t>
      </w:r>
      <w:r>
        <w:rPr>
          <w:rFonts w:ascii="Arial" w:cs="Arial" w:eastAsia="Arial" w:hAnsi="Arial"/>
          <w:sz w:val="14"/>
          <w:szCs w:val="14"/>
          <w:b w:val="1"/>
          <w:bCs w:val="1"/>
          <w:color w:val="auto"/>
        </w:rPr>
        <w:t>Annual Reports</w:t>
      </w:r>
      <w:r>
        <w:rPr>
          <w:rFonts w:ascii="Arial" w:cs="Arial" w:eastAsia="Arial" w:hAnsi="Arial"/>
          <w:sz w:val="14"/>
          <w:szCs w:val="14"/>
          <w:color w:val="auto"/>
        </w:rPr>
        <w: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any of the Therapeutic Products are available for sale at the end of the relevant Annual Period, the corresponding Annual Report for said Therapeutic Products shall not be required.</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84" w:name="page785"/>
    <w:bookmarkEnd w:id="784"/>
    <w:p>
      <w:pPr>
        <w:jc w:val="both"/>
        <w:ind w:left="1040" w:hanging="517"/>
        <w:spacing w:after="0" w:line="265" w:lineRule="auto"/>
        <w:tabs>
          <w:tab w:leader="none" w:pos="1020" w:val="left"/>
        </w:tabs>
        <w:rPr>
          <w:sz w:val="20"/>
          <w:szCs w:val="20"/>
          <w:color w:val="auto"/>
        </w:rPr>
      </w:pPr>
      <w:r>
        <w:rPr>
          <w:rFonts w:ascii="Arial" w:cs="Arial" w:eastAsia="Arial" w:hAnsi="Arial"/>
          <w:sz w:val="14"/>
          <w:szCs w:val="14"/>
          <w:b w:val="1"/>
          <w:bCs w:val="1"/>
          <w:color w:val="auto"/>
        </w:rPr>
        <w:t>3.4.2</w:t>
      </w:r>
      <w:r>
        <w:rPr>
          <w:sz w:val="20"/>
          <w:szCs w:val="20"/>
          <w:color w:val="auto"/>
        </w:rPr>
        <w:tab/>
      </w:r>
      <w:r>
        <w:rPr>
          <w:rFonts w:ascii="Arial" w:cs="Arial" w:eastAsia="Arial" w:hAnsi="Arial"/>
          <w:sz w:val="14"/>
          <w:szCs w:val="14"/>
          <w:b w:val="1"/>
          <w:bCs w:val="1"/>
          <w:i w:val="1"/>
          <w:iCs w:val="1"/>
          <w:color w:val="auto"/>
        </w:rPr>
        <w:t xml:space="preserve">Sales Reports. </w:t>
      </w:r>
      <w:r>
        <w:rPr>
          <w:rFonts w:ascii="Arial" w:cs="Arial" w:eastAsia="Arial" w:hAnsi="Arial"/>
          <w:sz w:val="14"/>
          <w:szCs w:val="14"/>
          <w:color w:val="auto"/>
        </w:rPr>
        <w:t>EMPIRICA shall report to the Representatives of the INSTITUTIONS the date of the First Commercial Sale in each country of the Territory of any Therapeutic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on which Royalty Payments are payable hereunder within [***] after each such occurrence. Following the First Commercial Sale, EMPIRICA shall deliver to the Representatives of the INSTITUTIONS, within [***] after the end of each Reporting Period, a report under this Section 3.54, which report shall be certified as correct by an officer of EMPIRICA and shall contain at least the following information as may be pertinent to a royalty accounting and fees payable hereunder for the immediately preceding Reporting Period:</w:t>
      </w:r>
    </w:p>
    <w:p>
      <w:pPr>
        <w:spacing w:after="0" w:line="151" w:lineRule="exact"/>
        <w:rPr>
          <w:sz w:val="20"/>
          <w:szCs w:val="20"/>
          <w:color w:val="auto"/>
        </w:rPr>
      </w:pPr>
    </w:p>
    <w:p>
      <w:pPr>
        <w:ind w:left="1040" w:hanging="516"/>
        <w:spacing w:after="0" w:line="288" w:lineRule="auto"/>
        <w:tabs>
          <w:tab w:leader="none" w:pos="104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the quantity of Therapeutic Products on which any Royalty Payments or Sub-License Royalty Payments is payable hereunder sold by EMPIRICA, its Affiliates and Sub-Licensees in each country;</w:t>
      </w:r>
    </w:p>
    <w:p>
      <w:pPr>
        <w:spacing w:after="0" w:line="13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calculation of Net Sales for the applicable Reporting Period in each country, including an itemized listing of offsets and deductions as permitted under the definition of Net Sales (provided that in the case of sub-licenses, this obligation shall apply only to the extent such itemized listing of permitted offsets and deductions is available from Sub-Licensees under the terms of the relevant sub-license);</w:t>
      </w:r>
    </w:p>
    <w:p>
      <w:pPr>
        <w:spacing w:after="0" w:line="141" w:lineRule="exact"/>
        <w:rPr>
          <w:rFonts w:ascii="Arial" w:cs="Arial" w:eastAsia="Arial" w:hAnsi="Arial"/>
          <w:sz w:val="14"/>
          <w:szCs w:val="14"/>
          <w:color w:val="auto"/>
        </w:rPr>
      </w:pPr>
    </w:p>
    <w:p>
      <w:pPr>
        <w:ind w:left="1040" w:hanging="516"/>
        <w:spacing w:after="0"/>
        <w:tabs>
          <w:tab w:leader="none" w:pos="104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total royalties payable on Net Sales in US dollars, together with the exchange rates and sources for such rates used for conversion; and</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581"/>
        </w:numPr>
        <w:rPr>
          <w:rFonts w:ascii="Arial" w:cs="Arial" w:eastAsia="Arial" w:hAnsi="Arial"/>
          <w:sz w:val="14"/>
          <w:szCs w:val="14"/>
          <w:color w:val="auto"/>
        </w:rPr>
      </w:pPr>
      <w:r>
        <w:rPr>
          <w:rFonts w:ascii="Arial" w:cs="Arial" w:eastAsia="Arial" w:hAnsi="Arial"/>
          <w:sz w:val="14"/>
          <w:szCs w:val="14"/>
          <w:color w:val="auto"/>
        </w:rPr>
        <w:t>Sub-License Fee Payments and any other fees due to the INSTITUTIONS under this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no amounts are due to the INSTITUTIONS for any Reporting Period, the report shall state so.</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2"/>
          <w:szCs w:val="12"/>
          <w:b w:val="1"/>
          <w:bCs w:val="1"/>
          <w:color w:val="auto"/>
        </w:rPr>
        <w:t>Accounting and Records</w:t>
      </w:r>
    </w:p>
    <w:p>
      <w:pPr>
        <w:spacing w:after="0" w:line="184" w:lineRule="exact"/>
        <w:rPr>
          <w:sz w:val="20"/>
          <w:szCs w:val="20"/>
          <w:color w:val="auto"/>
        </w:rPr>
      </w:pPr>
    </w:p>
    <w:p>
      <w:pPr>
        <w:jc w:val="both"/>
        <w:ind w:left="1040" w:hanging="516"/>
        <w:spacing w:after="0" w:line="284" w:lineRule="auto"/>
        <w:tabs>
          <w:tab w:leader="none" w:pos="1040" w:val="left"/>
        </w:tabs>
        <w:numPr>
          <w:ilvl w:val="0"/>
          <w:numId w:val="582"/>
        </w:numPr>
        <w:rPr>
          <w:rFonts w:ascii="Arial" w:cs="Arial" w:eastAsia="Arial" w:hAnsi="Arial"/>
          <w:sz w:val="13"/>
          <w:szCs w:val="13"/>
          <w:color w:val="auto"/>
        </w:rPr>
      </w:pPr>
      <w:r>
        <w:rPr>
          <w:rFonts w:ascii="Arial" w:cs="Arial" w:eastAsia="Arial" w:hAnsi="Arial"/>
          <w:sz w:val="13"/>
          <w:szCs w:val="13"/>
          <w:color w:val="auto"/>
        </w:rPr>
        <w:t>The Royalty Payments and the Sub-License Fee Payments (collectively the “</w:t>
      </w:r>
      <w:r>
        <w:rPr>
          <w:rFonts w:ascii="Arial" w:cs="Arial" w:eastAsia="Arial" w:hAnsi="Arial"/>
          <w:sz w:val="13"/>
          <w:szCs w:val="13"/>
          <w:b w:val="1"/>
          <w:bCs w:val="1"/>
          <w:color w:val="auto"/>
        </w:rPr>
        <w:t>Fees</w:t>
      </w:r>
      <w:r>
        <w:rPr>
          <w:rFonts w:ascii="Arial" w:cs="Arial" w:eastAsia="Arial" w:hAnsi="Arial"/>
          <w:sz w:val="13"/>
          <w:szCs w:val="13"/>
          <w:color w:val="auto"/>
        </w:rPr>
        <w:t>”) under Sections 3.2 and 3.3 are to be paid by EMPIRICA to CCAB on a semi-annual basis and shall be made within ninety (90) days following the last day of each Semi-annual Period in which such Fees become due and payable pursuant to this Agreement. For clarity, Therapeutic Products shall be deemed to have been sold under this Agreement (and under any sub-license) when Therapeutic Products are delivered and payment is received by</w:t>
      </w:r>
    </w:p>
    <w:p>
      <w:pPr>
        <w:ind w:left="1040"/>
        <w:spacing w:after="0"/>
        <w:rPr>
          <w:rFonts w:ascii="Arial" w:cs="Arial" w:eastAsia="Arial" w:hAnsi="Arial"/>
          <w:sz w:val="13"/>
          <w:szCs w:val="13"/>
          <w:color w:val="auto"/>
        </w:rPr>
      </w:pPr>
      <w:r>
        <w:rPr>
          <w:rFonts w:ascii="Arial" w:cs="Arial" w:eastAsia="Arial" w:hAnsi="Arial"/>
          <w:sz w:val="14"/>
          <w:szCs w:val="14"/>
          <w:color w:val="auto"/>
        </w:rPr>
        <w:t>EMPIRICA.</w:t>
      </w:r>
    </w:p>
    <w:p>
      <w:pPr>
        <w:spacing w:after="0" w:line="174" w:lineRule="exact"/>
        <w:rPr>
          <w:rFonts w:ascii="Arial" w:cs="Arial" w:eastAsia="Arial" w:hAnsi="Arial"/>
          <w:sz w:val="13"/>
          <w:szCs w:val="13"/>
          <w:color w:val="auto"/>
        </w:rPr>
      </w:pPr>
    </w:p>
    <w:p>
      <w:pPr>
        <w:ind w:left="1040" w:hanging="516"/>
        <w:spacing w:after="0" w:line="288" w:lineRule="auto"/>
        <w:tabs>
          <w:tab w:leader="none" w:pos="1040" w:val="left"/>
        </w:tabs>
        <w:numPr>
          <w:ilvl w:val="0"/>
          <w:numId w:val="582"/>
        </w:numPr>
        <w:rPr>
          <w:rFonts w:ascii="Arial" w:cs="Arial" w:eastAsia="Arial" w:hAnsi="Arial"/>
          <w:sz w:val="14"/>
          <w:szCs w:val="14"/>
          <w:color w:val="auto"/>
        </w:rPr>
      </w:pPr>
      <w:r>
        <w:rPr>
          <w:rFonts w:ascii="Arial" w:cs="Arial" w:eastAsia="Arial" w:hAnsi="Arial"/>
          <w:sz w:val="14"/>
          <w:szCs w:val="14"/>
          <w:color w:val="auto"/>
        </w:rPr>
        <w:t xml:space="preserve">The Parties acknowledge that the royalties and fees payable hereunder for all sales of Therapeutic Products within Canada are subject to tax under Part IX of the </w:t>
      </w:r>
      <w:r>
        <w:rPr>
          <w:rFonts w:ascii="Arial" w:cs="Arial" w:eastAsia="Arial" w:hAnsi="Arial"/>
          <w:sz w:val="14"/>
          <w:szCs w:val="14"/>
          <w:b w:val="1"/>
          <w:bCs w:val="1"/>
          <w:i w:val="1"/>
          <w:iCs w:val="1"/>
          <w:color w:val="auto"/>
        </w:rPr>
        <w:t>Excise Tax Act</w:t>
      </w:r>
      <w:r>
        <w:rPr>
          <w:rFonts w:ascii="Arial" w:cs="Arial" w:eastAsia="Arial" w:hAnsi="Arial"/>
          <w:sz w:val="14"/>
          <w:szCs w:val="14"/>
          <w:color w:val="auto"/>
        </w:rPr>
        <w:t xml:space="preserve"> (Canada) (“</w:t>
      </w:r>
      <w:r>
        <w:rPr>
          <w:rFonts w:ascii="Arial" w:cs="Arial" w:eastAsia="Arial" w:hAnsi="Arial"/>
          <w:sz w:val="14"/>
          <w:szCs w:val="14"/>
          <w:b w:val="1"/>
          <w:bCs w:val="1"/>
          <w:color w:val="auto"/>
        </w:rPr>
        <w:t>GST/HST</w:t>
      </w:r>
      <w:r>
        <w:rPr>
          <w:rFonts w:ascii="Arial" w:cs="Arial" w:eastAsia="Arial" w:hAnsi="Arial"/>
          <w:sz w:val="14"/>
          <w:szCs w:val="14"/>
          <w:color w:val="auto"/>
        </w:rPr>
        <w:t>”). The INSTITUTIONS is registered to collect GST/HST under registration</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785" w:name="page786"/>
    <w:bookmarkEnd w:id="785"/>
    <w:p>
      <w:pPr>
        <w:ind w:left="1040"/>
        <w:spacing w:after="0" w:line="288" w:lineRule="auto"/>
        <w:rPr>
          <w:sz w:val="20"/>
          <w:szCs w:val="20"/>
          <w:color w:val="auto"/>
        </w:rPr>
      </w:pPr>
      <w:r>
        <w:rPr>
          <w:rFonts w:ascii="Arial" w:cs="Arial" w:eastAsia="Arial" w:hAnsi="Arial"/>
          <w:sz w:val="14"/>
          <w:szCs w:val="14"/>
          <w:color w:val="auto"/>
        </w:rPr>
        <w:t>number R108162330 for UT and R119035988 for MAC. EMPIRICA hereby agrees to provide to the Representatives of INSTITUTIONS a statement as to EMPIRICA applicable value-added tax status and to remit such amounts to the INSTITUTIONS as required by law.</w:t>
      </w:r>
    </w:p>
    <w:p>
      <w:pPr>
        <w:spacing w:after="0" w:line="132" w:lineRule="exact"/>
        <w:rPr>
          <w:sz w:val="20"/>
          <w:szCs w:val="20"/>
          <w:color w:val="auto"/>
        </w:rPr>
      </w:pPr>
    </w:p>
    <w:p>
      <w:pPr>
        <w:ind w:left="1040" w:hanging="516"/>
        <w:spacing w:after="0"/>
        <w:tabs>
          <w:tab w:leader="none" w:pos="104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Fees paid to the INSTITUTIONS shall be free and clear of all taxes, except those taxes EMPIRICA is required by law to withhold.</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EMPIRICA agrees to keep complete and maintain accurate books of account in which the particulars of all sales of the Therapeutic Products are recorded in sufficient detail to enable Fees payable to be determined.</w:t>
      </w:r>
    </w:p>
    <w:p>
      <w:pPr>
        <w:spacing w:after="0" w:line="131" w:lineRule="exact"/>
        <w:rPr>
          <w:rFonts w:ascii="Arial" w:cs="Arial" w:eastAsia="Arial" w:hAnsi="Arial"/>
          <w:sz w:val="14"/>
          <w:szCs w:val="14"/>
          <w:color w:val="auto"/>
        </w:rPr>
      </w:pPr>
    </w:p>
    <w:p>
      <w:pPr>
        <w:jc w:val="both"/>
        <w:ind w:left="1040" w:hanging="516"/>
        <w:spacing w:after="0" w:line="263" w:lineRule="auto"/>
        <w:tabs>
          <w:tab w:leader="none" w:pos="104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The INSTITUTIONS’ authorized Representatives shall have the right at any time, upon ten (10) days prior written notice, to audit EMPIRICA’s books and accounting records and any documents or other materials in the possession or under the control of EMPIRICA relating to the sales and accounting, but only with respect to the Therapeutic Products. The Representatives of the INSTITUTIONS reserve the right to confirm any information gleaned in the course of such audit with any Person that has purchased any Therapeutic Products from EMPIRICA to verify the accuracy of EMPIRICA’s calculation of Fees and compliance with this Agreement. EMPIRICA shall preserve and make available to the Representatives of INSTITUTIONS all relevant books and records, documents, contracts, and other data (including reports of audits undertaken by EMPIRICA of the books and records of its own Sub-Licensees) for a period of six (6) years from the date of each record.</w:t>
      </w:r>
    </w:p>
    <w:p>
      <w:pPr>
        <w:spacing w:after="0" w:line="149"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583"/>
        </w:numPr>
        <w:rPr>
          <w:rFonts w:ascii="Arial" w:cs="Arial" w:eastAsia="Arial" w:hAnsi="Arial"/>
          <w:sz w:val="14"/>
          <w:szCs w:val="14"/>
          <w:color w:val="auto"/>
        </w:rPr>
      </w:pPr>
      <w:r>
        <w:rPr>
          <w:rFonts w:ascii="Arial" w:cs="Arial" w:eastAsia="Arial" w:hAnsi="Arial"/>
          <w:sz w:val="14"/>
          <w:szCs w:val="14"/>
          <w:color w:val="auto"/>
        </w:rPr>
        <w:t>In the event that any audit of the books and records of EMPIRICA reveals an error in excess of [***] to the detriment of the INSTITUTIONS, which can be independently verified by a Third Party auditor at the option of EMPIRICA, then EMPIRICA shall bear all the costs of the audit and pay all outstanding amounts forthwith, together with interest thereon as calculated under Subsection 3.5 (g).</w:t>
      </w:r>
    </w:p>
    <w:p>
      <w:pPr>
        <w:spacing w:after="0" w:line="141" w:lineRule="exact"/>
        <w:rPr>
          <w:rFonts w:ascii="Arial" w:cs="Arial" w:eastAsia="Arial" w:hAnsi="Arial"/>
          <w:sz w:val="14"/>
          <w:szCs w:val="14"/>
          <w:color w:val="auto"/>
        </w:rPr>
      </w:pPr>
    </w:p>
    <w:p>
      <w:pPr>
        <w:ind w:left="1040" w:hanging="516"/>
        <w:spacing w:after="0" w:line="329" w:lineRule="auto"/>
        <w:tabs>
          <w:tab w:leader="none" w:pos="1040" w:val="left"/>
        </w:tabs>
        <w:numPr>
          <w:ilvl w:val="0"/>
          <w:numId w:val="583"/>
        </w:numPr>
        <w:rPr>
          <w:rFonts w:ascii="Arial" w:cs="Arial" w:eastAsia="Arial" w:hAnsi="Arial"/>
          <w:sz w:val="13"/>
          <w:szCs w:val="13"/>
          <w:color w:val="auto"/>
        </w:rPr>
      </w:pPr>
      <w:r>
        <w:rPr>
          <w:rFonts w:ascii="Arial" w:cs="Arial" w:eastAsia="Arial" w:hAnsi="Arial"/>
          <w:sz w:val="13"/>
          <w:szCs w:val="13"/>
          <w:color w:val="auto"/>
        </w:rPr>
        <w:t>Interest shall be payable on any amounts owing which are not paid when due, at the Prime Rate plus [***] per annum, compounded monthly. The payment of interest shall be in addition to the amounts owing when due. Default of payment of interest shall constitute a material breach and be subject to termination provisions as provided in Section 6.2.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3"/>
          <w:szCs w:val="13"/>
          <w:b w:val="1"/>
          <w:bCs w:val="1"/>
          <w:color w:val="auto"/>
        </w:rPr>
        <w:t>Ownership</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All of the Licensed Inventions and Therapeutic Products, including all Intellectual Property Rights associated therewith, but excluding EMPIRICA Improvements, shall be exclusively owned by the INSTITUTIONS. Nothing herein shall grant any ownership</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86" w:name="page787"/>
    <w:bookmarkEnd w:id="786"/>
    <w:p>
      <w:pPr>
        <w:spacing w:after="0"/>
        <w:rPr>
          <w:sz w:val="20"/>
          <w:szCs w:val="20"/>
          <w:color w:val="auto"/>
        </w:rPr>
      </w:pPr>
      <w:r>
        <w:rPr>
          <w:rFonts w:ascii="Arial" w:cs="Arial" w:eastAsia="Arial" w:hAnsi="Arial"/>
          <w:sz w:val="14"/>
          <w:szCs w:val="14"/>
          <w:color w:val="auto"/>
        </w:rPr>
        <w:t>rights whatsoever in the Licensed Inventions or Therapeutic Products to EMPIRICA, its Affiliates, or any of its Sub-Licensees.</w:t>
      </w:r>
    </w:p>
    <w:p>
      <w:pPr>
        <w:spacing w:after="0" w:line="184"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In the event of termination of this Agreement for any reason, EMPIRICA hereby grants a non-exclusive license to INSTITUTIONS to use any EMPIRICA Improvements necessary for INSTITUTIONS to pursue commercialization of Therapeutic Products with any Third Party.</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3"/>
          <w:szCs w:val="13"/>
          <w:b w:val="1"/>
          <w:bCs w:val="1"/>
          <w:color w:val="auto"/>
        </w:rPr>
        <w:t>Know-how</w:t>
      </w:r>
    </w:p>
    <w:p>
      <w:pPr>
        <w:spacing w:after="0" w:line="188" w:lineRule="exact"/>
        <w:rPr>
          <w:sz w:val="20"/>
          <w:szCs w:val="20"/>
          <w:color w:val="auto"/>
        </w:rPr>
      </w:pPr>
    </w:p>
    <w:p>
      <w:pPr>
        <w:jc w:val="both"/>
        <w:ind w:left="1040" w:hanging="516"/>
        <w:spacing w:after="0" w:line="267" w:lineRule="auto"/>
        <w:tabs>
          <w:tab w:leader="none" w:pos="1040" w:val="left"/>
        </w:tabs>
        <w:numPr>
          <w:ilvl w:val="0"/>
          <w:numId w:val="584"/>
        </w:numPr>
        <w:rPr>
          <w:rFonts w:ascii="Arial" w:cs="Arial" w:eastAsia="Arial" w:hAnsi="Arial"/>
          <w:sz w:val="14"/>
          <w:szCs w:val="14"/>
          <w:color w:val="auto"/>
        </w:rPr>
      </w:pPr>
      <w:r>
        <w:rPr>
          <w:rFonts w:ascii="Arial" w:cs="Arial" w:eastAsia="Arial" w:hAnsi="Arial"/>
          <w:sz w:val="14"/>
          <w:szCs w:val="14"/>
          <w:color w:val="auto"/>
        </w:rPr>
        <w:t>The Representatives of INSTITUTIONS shall furnish a concise written summary of the relevant Know-how to EMPIRICA within thirty (30) days following the Effective Date, and will use Best Efforts to provide complete relevant documentation respecting Patents within the first sixty (60) days, together with all information that is reasonably necessary for understanding the Licensed Inventions, to the extent that such exists and is within the control of the INSTITUTIONS, along with oral explanations of the Know-how, as requested by EMPIRICA, and of any unwritten Confidential Information.</w:t>
      </w:r>
    </w:p>
    <w:p>
      <w:pPr>
        <w:spacing w:after="0" w:line="146" w:lineRule="exact"/>
        <w:rPr>
          <w:rFonts w:ascii="Arial" w:cs="Arial" w:eastAsia="Arial" w:hAnsi="Arial"/>
          <w:sz w:val="14"/>
          <w:szCs w:val="14"/>
          <w:color w:val="auto"/>
        </w:rPr>
      </w:pPr>
    </w:p>
    <w:p>
      <w:pPr>
        <w:jc w:val="both"/>
        <w:ind w:left="1040" w:hanging="516"/>
        <w:spacing w:after="0" w:line="294" w:lineRule="auto"/>
        <w:tabs>
          <w:tab w:leader="none" w:pos="1040" w:val="left"/>
        </w:tabs>
        <w:numPr>
          <w:ilvl w:val="0"/>
          <w:numId w:val="584"/>
        </w:numPr>
        <w:rPr>
          <w:rFonts w:ascii="Arial" w:cs="Arial" w:eastAsia="Arial" w:hAnsi="Arial"/>
          <w:sz w:val="13"/>
          <w:szCs w:val="13"/>
          <w:color w:val="auto"/>
        </w:rPr>
      </w:pPr>
      <w:r>
        <w:rPr>
          <w:rFonts w:ascii="Arial" w:cs="Arial" w:eastAsia="Arial" w:hAnsi="Arial"/>
          <w:sz w:val="13"/>
          <w:szCs w:val="13"/>
          <w:color w:val="auto"/>
        </w:rPr>
        <w:t>EMPIRICA shall be deemed to have received all necessary production and disclosure under this Section 4.2, if EMPIRICA has not notified the Representatives of INSTITUTIONS within one hundred and twenty (120) days after the Effective Date that complete disclosure has not occurred. In the event that EMPIRICA has not received all necessary deliverables it shall so notify the Representatives of INSTITUTIONS in writing in advance of the expiry of the one hundred and twenty (120) days and indicate what additional documentation is required. The Representatives of INSTITUTIONS will use Best Efforts to comply with any additional documentation requests in a timely manner.</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2"/>
          <w:szCs w:val="12"/>
          <w:b w:val="1"/>
          <w:bCs w:val="1"/>
          <w:color w:val="auto"/>
        </w:rPr>
        <w:t>Patents and Patent Applications</w:t>
      </w:r>
    </w:p>
    <w:p>
      <w:pPr>
        <w:spacing w:after="0" w:line="188" w:lineRule="exact"/>
        <w:rPr>
          <w:sz w:val="20"/>
          <w:szCs w:val="20"/>
          <w:color w:val="auto"/>
        </w:rPr>
      </w:pPr>
    </w:p>
    <w:p>
      <w:pPr>
        <w:ind w:left="1040" w:hanging="516"/>
        <w:spacing w:after="0" w:line="288" w:lineRule="auto"/>
        <w:tabs>
          <w:tab w:leader="none" w:pos="1040" w:val="left"/>
        </w:tabs>
        <w:numPr>
          <w:ilvl w:val="0"/>
          <w:numId w:val="585"/>
        </w:numPr>
        <w:rPr>
          <w:rFonts w:ascii="Arial" w:cs="Arial" w:eastAsia="Arial" w:hAnsi="Arial"/>
          <w:sz w:val="14"/>
          <w:szCs w:val="14"/>
          <w:color w:val="auto"/>
        </w:rPr>
      </w:pPr>
      <w:r>
        <w:rPr>
          <w:rFonts w:ascii="Arial" w:cs="Arial" w:eastAsia="Arial" w:hAnsi="Arial"/>
          <w:sz w:val="14"/>
          <w:szCs w:val="14"/>
          <w:color w:val="auto"/>
        </w:rPr>
        <w:t>EMPIRICA shall bear the full costs and responsibility to file, prosecute, and maintain the Patents in accordance with its Best Efforts and standard practices, including payment of all Patents prosecution and maintenance fees.</w:t>
      </w:r>
    </w:p>
    <w:p>
      <w:pPr>
        <w:spacing w:after="0" w:line="131" w:lineRule="exact"/>
        <w:rPr>
          <w:rFonts w:ascii="Arial" w:cs="Arial" w:eastAsia="Arial" w:hAnsi="Arial"/>
          <w:sz w:val="14"/>
          <w:szCs w:val="14"/>
          <w:color w:val="auto"/>
        </w:rPr>
      </w:pPr>
    </w:p>
    <w:p>
      <w:pPr>
        <w:jc w:val="both"/>
        <w:ind w:left="1040" w:hanging="516"/>
        <w:spacing w:after="0" w:line="267" w:lineRule="auto"/>
        <w:tabs>
          <w:tab w:leader="none" w:pos="1040" w:val="left"/>
        </w:tabs>
        <w:numPr>
          <w:ilvl w:val="0"/>
          <w:numId w:val="585"/>
        </w:numPr>
        <w:rPr>
          <w:rFonts w:ascii="Arial" w:cs="Arial" w:eastAsia="Arial" w:hAnsi="Arial"/>
          <w:sz w:val="14"/>
          <w:szCs w:val="14"/>
          <w:color w:val="auto"/>
        </w:rPr>
      </w:pPr>
      <w:r>
        <w:rPr>
          <w:rFonts w:ascii="Arial" w:cs="Arial" w:eastAsia="Arial" w:hAnsi="Arial"/>
          <w:sz w:val="14"/>
          <w:szCs w:val="14"/>
          <w:color w:val="auto"/>
        </w:rPr>
        <w:t>EMPIRICA undertakes to keep the Representatives of INSTITUTIONS reasonably and promptly advised of the progress of prosecution and of any actions EMPIRICA proposes to take or has taken in connection with the prosecution or maintenance of the Patents. EMPIRICA will ensure the Representatives of INSTITUTIONS and CCAB are copied on all correspondence with patent counsel and patent offices and all actions issued by patent authorities and shall use Best Efforts to incorporate, any comments, remarks or suggestions the Representatives of</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87" w:name="page788"/>
    <w:bookmarkEnd w:id="787"/>
    <w:p>
      <w:pPr>
        <w:jc w:val="both"/>
        <w:ind w:left="1040"/>
        <w:spacing w:after="0" w:line="273" w:lineRule="auto"/>
        <w:rPr>
          <w:sz w:val="20"/>
          <w:szCs w:val="20"/>
          <w:color w:val="auto"/>
        </w:rPr>
      </w:pPr>
      <w:r>
        <w:rPr>
          <w:rFonts w:ascii="Arial" w:cs="Arial" w:eastAsia="Arial" w:hAnsi="Arial"/>
          <w:sz w:val="14"/>
          <w:szCs w:val="14"/>
          <w:color w:val="auto"/>
        </w:rPr>
        <w:t>INSTITUTIONS and CCAB may promptly provide to EMPIRICA in writing at least ten (10) days prior to any due date established by EMPIRICA for preparation of a response or amendment and in all cases thirty (30) days prior to any patent office action due dates of which it becomes aware. EMPIRICA shall correspond with INSTITUTIONS and CCAB and not directly with Inventors with respect to the Patents and Patent Applications unless otherwise agreed by the INSTITUTIONS.</w:t>
      </w:r>
    </w:p>
    <w:p>
      <w:pPr>
        <w:spacing w:after="0" w:line="141" w:lineRule="exact"/>
        <w:rPr>
          <w:sz w:val="20"/>
          <w:szCs w:val="20"/>
          <w:color w:val="auto"/>
        </w:rPr>
      </w:pPr>
    </w:p>
    <w:p>
      <w:pPr>
        <w:ind w:left="1040" w:hanging="516"/>
        <w:spacing w:after="0" w:line="288" w:lineRule="auto"/>
        <w:tabs>
          <w:tab w:leader="none" w:pos="1040" w:val="left"/>
        </w:tabs>
        <w:numPr>
          <w:ilvl w:val="0"/>
          <w:numId w:val="586"/>
        </w:numPr>
        <w:rPr>
          <w:rFonts w:ascii="Arial" w:cs="Arial" w:eastAsia="Arial" w:hAnsi="Arial"/>
          <w:sz w:val="14"/>
          <w:szCs w:val="14"/>
          <w:color w:val="auto"/>
        </w:rPr>
      </w:pPr>
      <w:r>
        <w:rPr>
          <w:rFonts w:ascii="Arial" w:cs="Arial" w:eastAsia="Arial" w:hAnsi="Arial"/>
          <w:sz w:val="14"/>
          <w:szCs w:val="14"/>
          <w:color w:val="auto"/>
        </w:rPr>
        <w:t>Nothing contained in this Agreement (including, without limitation, the provisions of this Section 4.3) shall interfere with, amend or supersede any obligations of the Inventors to the respective INSTITUTIONS (or the obligations of INSTITUTIONS to the Inventors) which exist under contract as of the date hereof.</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86"/>
        </w:numPr>
        <w:rPr>
          <w:rFonts w:ascii="Arial" w:cs="Arial" w:eastAsia="Arial" w:hAnsi="Arial"/>
          <w:sz w:val="14"/>
          <w:szCs w:val="14"/>
          <w:color w:val="auto"/>
        </w:rPr>
      </w:pPr>
      <w:r>
        <w:rPr>
          <w:rFonts w:ascii="Arial" w:cs="Arial" w:eastAsia="Arial" w:hAnsi="Arial"/>
          <w:sz w:val="14"/>
          <w:szCs w:val="14"/>
          <w:color w:val="auto"/>
        </w:rPr>
        <w:t>The INSTITUTIONS undertake to sign all documents necessary to fully assign the Patents and Patent Applications identified in Schedule “B” to EMPIRICA, subject to the INSTITUTION’s continued license to use for non-commercial purposes, upon the occurrence of either of the following triggering events:</w:t>
      </w:r>
    </w:p>
    <w:p>
      <w:pPr>
        <w:spacing w:after="0" w:line="131" w:lineRule="exact"/>
        <w:rPr>
          <w:rFonts w:ascii="Arial" w:cs="Arial" w:eastAsia="Arial" w:hAnsi="Arial"/>
          <w:sz w:val="14"/>
          <w:szCs w:val="14"/>
          <w:color w:val="auto"/>
        </w:rPr>
      </w:pPr>
    </w:p>
    <w:p>
      <w:pPr>
        <w:ind w:left="1560" w:hanging="518"/>
        <w:spacing w:after="0" w:line="288" w:lineRule="auto"/>
        <w:tabs>
          <w:tab w:leader="none" w:pos="1560" w:val="left"/>
        </w:tabs>
        <w:numPr>
          <w:ilvl w:val="1"/>
          <w:numId w:val="586"/>
        </w:numPr>
        <w:rPr>
          <w:rFonts w:ascii="Arial" w:cs="Arial" w:eastAsia="Arial" w:hAnsi="Arial"/>
          <w:sz w:val="14"/>
          <w:szCs w:val="14"/>
          <w:color w:val="auto"/>
        </w:rPr>
      </w:pPr>
      <w:r>
        <w:rPr>
          <w:rFonts w:ascii="Arial" w:cs="Arial" w:eastAsia="Arial" w:hAnsi="Arial"/>
          <w:sz w:val="14"/>
          <w:szCs w:val="14"/>
          <w:color w:val="auto"/>
        </w:rPr>
        <w:t>Upon the successful completion of good faith negotiations for such assignment, not to occur prior to EMPIRICA securing confirmed financing and/or capital investment in the total amount of Eight Million Dollars ($8,000,000) and provides the INSTITUTIONS with proof of said financing/investment; or</w:t>
      </w:r>
    </w:p>
    <w:p>
      <w:pPr>
        <w:spacing w:after="0" w:line="131" w:lineRule="exact"/>
        <w:rPr>
          <w:rFonts w:ascii="Arial" w:cs="Arial" w:eastAsia="Arial" w:hAnsi="Arial"/>
          <w:sz w:val="14"/>
          <w:szCs w:val="14"/>
          <w:color w:val="auto"/>
        </w:rPr>
      </w:pPr>
    </w:p>
    <w:p>
      <w:pPr>
        <w:jc w:val="both"/>
        <w:ind w:left="1560" w:hanging="518"/>
        <w:spacing w:after="0" w:line="273" w:lineRule="auto"/>
        <w:tabs>
          <w:tab w:leader="none" w:pos="1560" w:val="left"/>
        </w:tabs>
        <w:numPr>
          <w:ilvl w:val="1"/>
          <w:numId w:val="586"/>
        </w:numPr>
        <w:rPr>
          <w:rFonts w:ascii="Arial" w:cs="Arial" w:eastAsia="Arial" w:hAnsi="Arial"/>
          <w:sz w:val="14"/>
          <w:szCs w:val="14"/>
          <w:color w:val="auto"/>
        </w:rPr>
      </w:pPr>
      <w:r>
        <w:rPr>
          <w:rFonts w:ascii="Arial" w:cs="Arial" w:eastAsia="Arial" w:hAnsi="Arial"/>
          <w:sz w:val="14"/>
          <w:szCs w:val="14"/>
          <w:color w:val="auto"/>
        </w:rPr>
        <w:t>EMPIRICA enters into a binding agreement to sell or transfer all of its assets or business to a solvent Third Party with the means to continue the Commercially Reasonable Efforts to develop Licensed Products and agrees to assume the obligations outlined in this Agreement (including payment and reporting obligations to the INSTITUTIONS) and provides a copy of binding agreement to both UT and MAC.</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3"/>
          <w:szCs w:val="13"/>
          <w:b w:val="1"/>
          <w:bCs w:val="1"/>
          <w:color w:val="auto"/>
        </w:rPr>
        <w:t>Improvements</w:t>
      </w:r>
    </w:p>
    <w:p>
      <w:pPr>
        <w:spacing w:after="0" w:line="188" w:lineRule="exact"/>
        <w:rPr>
          <w:sz w:val="20"/>
          <w:szCs w:val="20"/>
          <w:color w:val="auto"/>
        </w:rPr>
      </w:pPr>
    </w:p>
    <w:p>
      <w:pPr>
        <w:ind w:left="1040" w:hanging="516"/>
        <w:spacing w:after="0"/>
        <w:tabs>
          <w:tab w:leader="none" w:pos="1040" w:val="left"/>
        </w:tabs>
        <w:numPr>
          <w:ilvl w:val="0"/>
          <w:numId w:val="587"/>
        </w:numPr>
        <w:rPr>
          <w:rFonts w:ascii="Arial" w:cs="Arial" w:eastAsia="Arial" w:hAnsi="Arial"/>
          <w:sz w:val="14"/>
          <w:szCs w:val="14"/>
          <w:color w:val="auto"/>
        </w:rPr>
      </w:pPr>
      <w:r>
        <w:rPr>
          <w:rFonts w:ascii="Arial" w:cs="Arial" w:eastAsia="Arial" w:hAnsi="Arial"/>
          <w:sz w:val="14"/>
          <w:szCs w:val="14"/>
          <w:color w:val="auto"/>
        </w:rPr>
        <w:t>Subject to Section 4.1, all EMPIRICA Improvements, and any Intellectual Property Rights specifically associated therewith, shall be owned exclusively by EMPIRICA.</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87"/>
        </w:numPr>
        <w:rPr>
          <w:rFonts w:ascii="Arial" w:cs="Arial" w:eastAsia="Arial" w:hAnsi="Arial"/>
          <w:sz w:val="14"/>
          <w:szCs w:val="14"/>
          <w:color w:val="auto"/>
        </w:rPr>
      </w:pPr>
      <w:r>
        <w:rPr>
          <w:rFonts w:ascii="Arial" w:cs="Arial" w:eastAsia="Arial" w:hAnsi="Arial"/>
          <w:sz w:val="14"/>
          <w:szCs w:val="14"/>
          <w:color w:val="auto"/>
        </w:rPr>
        <w:t>If EMPIRICA produces or has produced any EMPIRICA Improvements, then EMPIRICA shall grant an exclusive license to the INSTITUTIONS to use all EMPIRICA Improvements for non-commercial research, educational and administrative purposes.</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788" w:name="page789"/>
    <w:bookmarkEnd w:id="788"/>
    <w:p>
      <w:pPr>
        <w:jc w:val="both"/>
        <w:ind w:left="1040" w:hanging="516"/>
        <w:spacing w:after="0" w:line="262" w:lineRule="auto"/>
        <w:tabs>
          <w:tab w:leader="none" w:pos="1040" w:val="left"/>
        </w:tabs>
        <w:numPr>
          <w:ilvl w:val="0"/>
          <w:numId w:val="588"/>
        </w:numPr>
        <w:rPr>
          <w:rFonts w:ascii="Arial" w:cs="Arial" w:eastAsia="Arial" w:hAnsi="Arial"/>
          <w:sz w:val="14"/>
          <w:szCs w:val="14"/>
          <w:color w:val="auto"/>
        </w:rPr>
      </w:pPr>
      <w:r>
        <w:rPr>
          <w:rFonts w:ascii="Arial" w:cs="Arial" w:eastAsia="Arial" w:hAnsi="Arial"/>
          <w:sz w:val="14"/>
          <w:szCs w:val="14"/>
          <w:color w:val="auto"/>
        </w:rPr>
        <w:t>In the event that UT or MAC obtains commercialization rights in relation to any modifications, enhancements, upgrades or additions to the Licensed Inventions (“</w:t>
      </w:r>
      <w:r>
        <w:rPr>
          <w:rFonts w:ascii="Arial" w:cs="Arial" w:eastAsia="Arial" w:hAnsi="Arial"/>
          <w:sz w:val="14"/>
          <w:szCs w:val="14"/>
          <w:b w:val="1"/>
          <w:bCs w:val="1"/>
          <w:color w:val="auto"/>
        </w:rPr>
        <w:t>INSTITUTIONS Improvements</w:t>
      </w:r>
      <w:r>
        <w:rPr>
          <w:rFonts w:ascii="Arial" w:cs="Arial" w:eastAsia="Arial" w:hAnsi="Arial"/>
          <w:sz w:val="14"/>
          <w:szCs w:val="14"/>
          <w:color w:val="auto"/>
        </w:rPr>
        <w:t>”), then UT or MAC shall promptly inform, EMPIRICA in confidence, and EMPIRICA shall have an exclusive option to obtain a commercial license to use such INSTITUTIONS Improvements on terms to be negotiated, such right being subject to any third-party rights. Within sixty (60) days following the date of the disclosure of INSTITUTIONS Improvements to EMPIRICA, EMPIRICA shall notify UT or MAC in writing indicating whether or not EMPIRICA will exercise this option. Should the sixty (60) days elapse without EMPIRICA responding to UT or MAC, EMPIRICA shall be deemed to have rejected this option in relation to the INSTITUTIONS Improvements and UT or MAC shall have an unfettered right to offer licenses in such INSTITUTIONS Improvements at its discretion, provided that such licenses will not infringe or violate the exclusive rights granted under this Agreement to EMPIRICA.</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4.5</w:t>
      </w:r>
      <w:r>
        <w:rPr>
          <w:sz w:val="20"/>
          <w:szCs w:val="20"/>
          <w:color w:val="auto"/>
        </w:rPr>
        <w:tab/>
      </w:r>
      <w:r>
        <w:rPr>
          <w:rFonts w:ascii="Arial" w:cs="Arial" w:eastAsia="Arial" w:hAnsi="Arial"/>
          <w:sz w:val="13"/>
          <w:szCs w:val="13"/>
          <w:b w:val="1"/>
          <w:bCs w:val="1"/>
          <w:color w:val="auto"/>
        </w:rPr>
        <w:t>Infringement</w:t>
      </w:r>
    </w:p>
    <w:p>
      <w:pPr>
        <w:spacing w:after="0" w:line="361" w:lineRule="exact"/>
        <w:rPr>
          <w:sz w:val="20"/>
          <w:szCs w:val="20"/>
          <w:color w:val="auto"/>
        </w:rPr>
      </w:pPr>
    </w:p>
    <w:p>
      <w:pPr>
        <w:jc w:val="both"/>
        <w:ind w:left="1040" w:hanging="516"/>
        <w:spacing w:after="0" w:line="267" w:lineRule="auto"/>
        <w:tabs>
          <w:tab w:leader="none" w:pos="1040" w:val="left"/>
        </w:tabs>
        <w:numPr>
          <w:ilvl w:val="0"/>
          <w:numId w:val="589"/>
        </w:numPr>
        <w:rPr>
          <w:rFonts w:ascii="Arial" w:cs="Arial" w:eastAsia="Arial" w:hAnsi="Arial"/>
          <w:sz w:val="14"/>
          <w:szCs w:val="14"/>
          <w:color w:val="auto"/>
        </w:rPr>
      </w:pPr>
      <w:r>
        <w:rPr>
          <w:rFonts w:ascii="Arial" w:cs="Arial" w:eastAsia="Arial" w:hAnsi="Arial"/>
          <w:sz w:val="14"/>
          <w:szCs w:val="14"/>
          <w:color w:val="auto"/>
        </w:rPr>
        <w:t>EMPIRICA will notify the Representatives of INSTITUTIONS promptly upon becoming aware of any claim or assertion by a Third Party that any Licensed Products or Therapeutic Products infringe or are otherwise in violation of a Third Party’s Intellectual Property Rights. The Parties shall promptly appoint a Representative to enter into discussions with the Third Party to determine the existence and extent of the alleged infringement and determine the Parties’ mutually agreed course of action. Each Party will absorb its own costs of the discussions and any legal representation.</w:t>
      </w:r>
    </w:p>
    <w:p>
      <w:pPr>
        <w:spacing w:after="0" w:line="146" w:lineRule="exact"/>
        <w:rPr>
          <w:rFonts w:ascii="Arial" w:cs="Arial" w:eastAsia="Arial" w:hAnsi="Arial"/>
          <w:sz w:val="14"/>
          <w:szCs w:val="14"/>
          <w:color w:val="auto"/>
        </w:rPr>
      </w:pPr>
    </w:p>
    <w:p>
      <w:pPr>
        <w:jc w:val="both"/>
        <w:ind w:left="1040" w:hanging="516"/>
        <w:spacing w:after="0" w:line="284" w:lineRule="auto"/>
        <w:tabs>
          <w:tab w:leader="none" w:pos="1040" w:val="left"/>
        </w:tabs>
        <w:numPr>
          <w:ilvl w:val="0"/>
          <w:numId w:val="589"/>
        </w:numPr>
        <w:rPr>
          <w:rFonts w:ascii="Arial" w:cs="Arial" w:eastAsia="Arial" w:hAnsi="Arial"/>
          <w:sz w:val="13"/>
          <w:szCs w:val="13"/>
          <w:color w:val="auto"/>
        </w:rPr>
      </w:pPr>
      <w:r>
        <w:rPr>
          <w:rFonts w:ascii="Arial" w:cs="Arial" w:eastAsia="Arial" w:hAnsi="Arial"/>
          <w:sz w:val="13"/>
          <w:szCs w:val="13"/>
          <w:color w:val="auto"/>
        </w:rPr>
        <w:t>EMPIRICA and the INSTITUTIONS may agree to jointly defend or pursue litigation, but neither of them shall bind or commit the other to any course of action which involves liability for legal costs, expenses or damages. If EMPIRICA and the INSTITUTIONS agree to jointly defend or pursue litigation, then the Parties will agree in advance on their level of participation (including, but not limited to, the funding and time to be provided by each Party) in any such claim, action or proceeding, and each Party will absorb its own costs in relation to any such claim, action or proceedings. The Parties acknowledge and agree that they shall share anything awarded by a court or paid as a settlement by a Third Party in proportion to each Party’s level of participation as mutually agreed in advance. If EMPIRICA and the INSTITUTIONS fail to agree within a reasonable time as to any joint course of action which might be taken, then either of them may take or defend proceedings independently and shall be entitled to retain anything awarded to it by a court, or paid to it as a settlement by the Third Party. Where EMPIRICA or UT or MAC wishes to act independently or the Parties are unable to agree on a joint defense, but formalities require participation of the other, then the other shall join in the proceeding to the extent necessary for formalities. Each will</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89" w:name="page790"/>
    <w:bookmarkEnd w:id="789"/>
    <w:p>
      <w:pPr>
        <w:jc w:val="both"/>
        <w:ind w:left="1040"/>
        <w:spacing w:after="0" w:line="267" w:lineRule="auto"/>
        <w:rPr>
          <w:sz w:val="20"/>
          <w:szCs w:val="20"/>
          <w:color w:val="auto"/>
        </w:rPr>
      </w:pPr>
      <w:r>
        <w:rPr>
          <w:rFonts w:ascii="Arial" w:cs="Arial" w:eastAsia="Arial" w:hAnsi="Arial"/>
          <w:sz w:val="14"/>
          <w:szCs w:val="14"/>
          <w:color w:val="auto"/>
        </w:rPr>
        <w:t>cooperate with the other in making available all necessary documents and witnesses for any legal proceedings, subject to the prompt re-imbursement by the requesting Party of any out-of-pocket expenses. If EMPIRICA or UT or MAC proceed unilaterally, it shall indemnify the others for reasonable legal costs for representation that is reasonably necessary and for any court-ordered payments. Neither EMPIRICA nor the INSTITUTIONS shall settle any such claim without the prior written consent of the other, such consent not to be unreasonably withheld.</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3"/>
          <w:szCs w:val="13"/>
          <w:b w:val="1"/>
          <w:bCs w:val="1"/>
          <w:color w:val="auto"/>
        </w:rPr>
        <w:t>Confidentiality</w:t>
      </w:r>
    </w:p>
    <w:p>
      <w:pPr>
        <w:spacing w:after="0" w:line="188" w:lineRule="exact"/>
        <w:rPr>
          <w:sz w:val="20"/>
          <w:szCs w:val="20"/>
          <w:color w:val="auto"/>
        </w:rPr>
      </w:pPr>
    </w:p>
    <w:p>
      <w:pPr>
        <w:ind w:left="1040" w:hanging="516"/>
        <w:spacing w:after="0"/>
        <w:tabs>
          <w:tab w:leader="none" w:pos="1040" w:val="left"/>
        </w:tabs>
        <w:numPr>
          <w:ilvl w:val="0"/>
          <w:numId w:val="590"/>
        </w:numPr>
        <w:rPr>
          <w:rFonts w:ascii="Arial" w:cs="Arial" w:eastAsia="Arial" w:hAnsi="Arial"/>
          <w:sz w:val="14"/>
          <w:szCs w:val="14"/>
          <w:color w:val="auto"/>
        </w:rPr>
      </w:pPr>
      <w:r>
        <w:rPr>
          <w:rFonts w:ascii="Arial" w:cs="Arial" w:eastAsia="Arial" w:hAnsi="Arial"/>
          <w:sz w:val="14"/>
          <w:szCs w:val="14"/>
          <w:color w:val="auto"/>
        </w:rPr>
        <w:t>All Confidential Information will remain the property of its owner or the Party that disclosed it under a duty of confidence, as the case may be.</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590"/>
        </w:numPr>
        <w:rPr>
          <w:rFonts w:ascii="Arial" w:cs="Arial" w:eastAsia="Arial" w:hAnsi="Arial"/>
          <w:sz w:val="14"/>
          <w:szCs w:val="14"/>
          <w:color w:val="auto"/>
        </w:rPr>
      </w:pPr>
      <w:r>
        <w:rPr>
          <w:rFonts w:ascii="Arial" w:cs="Arial" w:eastAsia="Arial" w:hAnsi="Arial"/>
          <w:sz w:val="14"/>
          <w:szCs w:val="14"/>
          <w:color w:val="auto"/>
        </w:rPr>
        <w:t>For the Term of this Agreement, and for a period of five (5) years from its termination or expiry, each Party agrees to maintain in confidence all Confidential Information disclosed with the same degree of care as it normally takes to preserve its own Confidential Information of similar grade, but in any event, no less than a reasonable degree of care.</w:t>
      </w:r>
    </w:p>
    <w:p>
      <w:pPr>
        <w:spacing w:after="0" w:line="141" w:lineRule="exact"/>
        <w:rPr>
          <w:rFonts w:ascii="Arial" w:cs="Arial" w:eastAsia="Arial" w:hAnsi="Arial"/>
          <w:sz w:val="14"/>
          <w:szCs w:val="14"/>
          <w:color w:val="auto"/>
        </w:rPr>
      </w:pPr>
    </w:p>
    <w:p>
      <w:pPr>
        <w:ind w:left="1040" w:hanging="516"/>
        <w:spacing w:after="0" w:line="329" w:lineRule="auto"/>
        <w:tabs>
          <w:tab w:leader="none" w:pos="1040" w:val="left"/>
        </w:tabs>
        <w:numPr>
          <w:ilvl w:val="0"/>
          <w:numId w:val="590"/>
        </w:numPr>
        <w:rPr>
          <w:rFonts w:ascii="Arial" w:cs="Arial" w:eastAsia="Arial" w:hAnsi="Arial"/>
          <w:sz w:val="13"/>
          <w:szCs w:val="13"/>
          <w:color w:val="auto"/>
        </w:rPr>
      </w:pPr>
      <w:r>
        <w:rPr>
          <w:rFonts w:ascii="Arial" w:cs="Arial" w:eastAsia="Arial" w:hAnsi="Arial"/>
          <w:sz w:val="13"/>
          <w:szCs w:val="13"/>
          <w:color w:val="auto"/>
        </w:rPr>
        <w:t>Each Party may only disclose Confidential Information to Persons with a “need to know” who shall be made aware of and be required to observe and comply with the covenants and obligations contained herein, and the Confidential Information shall only be used to carry on or facilitate the business of EMPIRICA as contemplated under this Agreement.</w:t>
      </w:r>
    </w:p>
    <w:p>
      <w:pPr>
        <w:spacing w:after="0" w:line="108" w:lineRule="exact"/>
        <w:rPr>
          <w:rFonts w:ascii="Arial" w:cs="Arial" w:eastAsia="Arial" w:hAnsi="Arial"/>
          <w:sz w:val="13"/>
          <w:szCs w:val="13"/>
          <w:color w:val="auto"/>
        </w:rPr>
      </w:pPr>
    </w:p>
    <w:p>
      <w:pPr>
        <w:ind w:left="1040" w:hanging="516"/>
        <w:spacing w:after="0" w:line="288" w:lineRule="auto"/>
        <w:tabs>
          <w:tab w:leader="none" w:pos="1040" w:val="left"/>
        </w:tabs>
        <w:numPr>
          <w:ilvl w:val="0"/>
          <w:numId w:val="590"/>
        </w:numPr>
        <w:rPr>
          <w:rFonts w:ascii="Arial" w:cs="Arial" w:eastAsia="Arial" w:hAnsi="Arial"/>
          <w:sz w:val="14"/>
          <w:szCs w:val="14"/>
          <w:color w:val="auto"/>
        </w:rPr>
      </w:pPr>
      <w:r>
        <w:rPr>
          <w:rFonts w:ascii="Arial" w:cs="Arial" w:eastAsia="Arial" w:hAnsi="Arial"/>
          <w:sz w:val="14"/>
          <w:szCs w:val="14"/>
          <w:color w:val="auto"/>
        </w:rPr>
        <w:t>A Party may disclose Confidential Information pursuant to the requirements of a government agency or pursuant to a court order, provided, that the Party shall take all reasonable steps, including, but not limited to seeking of an appropriate protective order to preserve the confidentiality of the Confidential Information provided.</w:t>
      </w:r>
    </w:p>
    <w:p>
      <w:pPr>
        <w:spacing w:after="0" w:line="13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590"/>
        </w:numPr>
        <w:rPr>
          <w:rFonts w:ascii="Arial" w:cs="Arial" w:eastAsia="Arial" w:hAnsi="Arial"/>
          <w:sz w:val="14"/>
          <w:szCs w:val="14"/>
          <w:color w:val="auto"/>
        </w:rPr>
      </w:pPr>
      <w:r>
        <w:rPr>
          <w:rFonts w:ascii="Arial" w:cs="Arial" w:eastAsia="Arial" w:hAnsi="Arial"/>
          <w:sz w:val="14"/>
          <w:szCs w:val="14"/>
          <w:color w:val="auto"/>
        </w:rPr>
        <w:t>If this Agreement is terminated for any reason, any Party in receipt of Confidential Information shall, at the request of the party that furnished the Confidential Information, promptly deliver or destroy all Confidential Information of the disclosing Party without retaining copies thereof, except that the receiving Party may retain one (1) archival copy of written Confidential Information for the purpose of the receiving Party’s monitoring its obligations under this Agreement.</w:t>
      </w:r>
    </w:p>
    <w:p>
      <w:pPr>
        <w:spacing w:after="0" w:line="14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90"/>
        </w:numPr>
        <w:rPr>
          <w:rFonts w:ascii="Arial" w:cs="Arial" w:eastAsia="Arial" w:hAnsi="Arial"/>
          <w:sz w:val="14"/>
          <w:szCs w:val="14"/>
          <w:color w:val="auto"/>
        </w:rPr>
      </w:pPr>
      <w:r>
        <w:rPr>
          <w:rFonts w:ascii="Arial" w:cs="Arial" w:eastAsia="Arial" w:hAnsi="Arial"/>
          <w:sz w:val="14"/>
          <w:szCs w:val="14"/>
          <w:color w:val="auto"/>
        </w:rPr>
        <w:t>In the event that a Party becomes aware of, or perceives any threat that, any Confidential Information may be disclosed contrary to the provisions of this Section 4.6, or in the circumstances referred to in Subsection 4.6(d), such Party shall immediately provide written notice thereof to the other Party.</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90" w:name="page791"/>
    <w:bookmarkEnd w:id="790"/>
    <w:p>
      <w:pPr>
        <w:jc w:val="center"/>
        <w:spacing w:after="0"/>
        <w:rPr>
          <w:sz w:val="20"/>
          <w:szCs w:val="20"/>
          <w:color w:val="auto"/>
        </w:rPr>
      </w:pPr>
      <w:r>
        <w:rPr>
          <w:rFonts w:ascii="Arial" w:cs="Arial" w:eastAsia="Arial" w:hAnsi="Arial"/>
          <w:sz w:val="14"/>
          <w:szCs w:val="14"/>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WARRANTIES AND INDEMNITY</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2"/>
          <w:szCs w:val="12"/>
          <w:b w:val="1"/>
          <w:bCs w:val="1"/>
          <w:color w:val="auto"/>
        </w:rPr>
        <w:t>Representations and Warranties of Parties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representations of EMPIRICA and the INSTITUTIONS to each other are as follows:</w:t>
      </w:r>
    </w:p>
    <w:p>
      <w:pPr>
        <w:spacing w:after="0" w:line="184" w:lineRule="exact"/>
        <w:rPr>
          <w:sz w:val="20"/>
          <w:szCs w:val="20"/>
          <w:color w:val="auto"/>
        </w:rPr>
      </w:pPr>
    </w:p>
    <w:p>
      <w:pPr>
        <w:ind w:left="1040" w:hanging="516"/>
        <w:spacing w:after="0" w:line="288" w:lineRule="auto"/>
        <w:tabs>
          <w:tab w:leader="none" w:pos="1040" w:val="left"/>
        </w:tabs>
        <w:numPr>
          <w:ilvl w:val="0"/>
          <w:numId w:val="591"/>
        </w:numPr>
        <w:rPr>
          <w:rFonts w:ascii="Arial" w:cs="Arial" w:eastAsia="Arial" w:hAnsi="Arial"/>
          <w:sz w:val="14"/>
          <w:szCs w:val="14"/>
          <w:color w:val="auto"/>
        </w:rPr>
      </w:pPr>
      <w:r>
        <w:rPr>
          <w:rFonts w:ascii="Arial" w:cs="Arial" w:eastAsia="Arial" w:hAnsi="Arial"/>
          <w:sz w:val="14"/>
          <w:szCs w:val="14"/>
          <w:color w:val="auto"/>
        </w:rPr>
        <w:t>EMPIRICA is a corporation duly organized, validly existing and in good standing, and it has the right and authority to enter this Agreement, and do all acts and things as required or contemplated to be done, observed and performed by it hereunder.</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91"/>
        </w:numPr>
        <w:rPr>
          <w:rFonts w:ascii="Arial" w:cs="Arial" w:eastAsia="Arial" w:hAnsi="Arial"/>
          <w:sz w:val="14"/>
          <w:szCs w:val="14"/>
          <w:color w:val="auto"/>
        </w:rPr>
      </w:pPr>
      <w:r>
        <w:rPr>
          <w:rFonts w:ascii="Arial" w:cs="Arial" w:eastAsia="Arial" w:hAnsi="Arial"/>
          <w:sz w:val="14"/>
          <w:szCs w:val="14"/>
          <w:color w:val="auto"/>
        </w:rPr>
        <w:t>UT and MAC are corporations duly organized, validly existing and in good standing, and they have the right and authority to enter this Agreement and the right to grant the license as provided herein and that such grant is not in conflict with any other agreement to which it is a party.</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91"/>
        </w:numPr>
        <w:rPr>
          <w:rFonts w:ascii="Arial" w:cs="Arial" w:eastAsia="Arial" w:hAnsi="Arial"/>
          <w:sz w:val="14"/>
          <w:szCs w:val="14"/>
          <w:color w:val="auto"/>
        </w:rPr>
      </w:pPr>
      <w:r>
        <w:rPr>
          <w:rFonts w:ascii="Arial" w:cs="Arial" w:eastAsia="Arial" w:hAnsi="Arial"/>
          <w:sz w:val="14"/>
          <w:szCs w:val="14"/>
          <w:color w:val="auto"/>
        </w:rPr>
        <w:t>The execution, delivery and performance of this Agreement does not contravene any law, rule or regulation of any Party or of the jurisdiction in which that Party is incorporated or organized.</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2"/>
          <w:szCs w:val="12"/>
          <w:b w:val="1"/>
          <w:bCs w:val="1"/>
          <w:color w:val="auto"/>
        </w:rPr>
        <w:t>Disclaimers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EXCEPT FOR THE FOREGOING REPRESENTATIONS AND WARRANTIES PROVIDED IN SECTION 5.1, THE TECHNOLOGY AND ALL OTHER INTELLECTUAL PROPERTY RIGHTS GRANTED UNDER THIS AGREEMENT ARE SUPPLIED AND LICENSED TO EMPIRICA BY THE INSTITUTIONS ON AN “AS IS” BASIS, AND THE INSTITUTIONS, INVENTORS, AND BENEFICIARIES DISCLAIM ALL REPRESENTATIONS, WARRANTIES AND CONDITIONS OF ANY KIND, WHETHER EXPRESS OR IMPLIED, STATUTORY OR OTHERWISE, CONCERNING THE TECHNOLOGY AND ALL OTHER INTELLECTUAL PROPERTY RIGHTS GRANTED UNDER THIS AGREEMENT INCLUDING WITHOUT LIMITATION:</w:t>
      </w:r>
    </w:p>
    <w:p>
      <w:pPr>
        <w:spacing w:after="0" w:line="147" w:lineRule="exact"/>
        <w:rPr>
          <w:sz w:val="20"/>
          <w:szCs w:val="20"/>
          <w:color w:val="auto"/>
        </w:rPr>
      </w:pPr>
    </w:p>
    <w:p>
      <w:pPr>
        <w:jc w:val="both"/>
        <w:ind w:left="1040" w:hanging="516"/>
        <w:spacing w:after="0" w:line="273" w:lineRule="auto"/>
        <w:tabs>
          <w:tab w:leader="none" w:pos="1040" w:val="left"/>
        </w:tabs>
        <w:numPr>
          <w:ilvl w:val="0"/>
          <w:numId w:val="592"/>
        </w:numPr>
        <w:rPr>
          <w:rFonts w:ascii="Arial" w:cs="Arial" w:eastAsia="Arial" w:hAnsi="Arial"/>
          <w:sz w:val="14"/>
          <w:szCs w:val="14"/>
          <w:color w:val="auto"/>
        </w:rPr>
      </w:pPr>
      <w:r>
        <w:rPr>
          <w:rFonts w:ascii="Arial" w:cs="Arial" w:eastAsia="Arial" w:hAnsi="Arial"/>
          <w:sz w:val="14"/>
          <w:szCs w:val="14"/>
          <w:color w:val="auto"/>
        </w:rPr>
        <w:t>ALL REPRESENTATIONS, WARRANTIES AND CONDITIONS AS TO THE PATENTABILITY, VALIDITY, SCOPE OR ENFORCEABILITY OF ANY OF THE PATENT CLAIMS OF THE LICENSED INVENTIONS, WHETHER ISSUED OR PENDING AND THE ABSENCE OF LATENT OR OTHER DEFECTS, WHETHER OR NOT DISCOVERABLE;</w:t>
      </w:r>
    </w:p>
    <w:p>
      <w:pPr>
        <w:spacing w:after="0" w:line="14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592"/>
        </w:numPr>
        <w:rPr>
          <w:rFonts w:ascii="Arial" w:cs="Arial" w:eastAsia="Arial" w:hAnsi="Arial"/>
          <w:sz w:val="14"/>
          <w:szCs w:val="14"/>
          <w:color w:val="auto"/>
        </w:rPr>
      </w:pPr>
      <w:r>
        <w:rPr>
          <w:rFonts w:ascii="Arial" w:cs="Arial" w:eastAsia="Arial" w:hAnsi="Arial"/>
          <w:sz w:val="14"/>
          <w:szCs w:val="14"/>
          <w:color w:val="auto"/>
        </w:rPr>
        <w:t>ALL REPRESENTATIONS, WARRANTIES AND CONDITIONS THAT ANY USE OR EXPLOITATION OF THE INTELLECTUAL PROPERTY RIGHTS IN THE LICENSED INVENTIONS OR ANY LICENSED PRODUCTS OR THERAPEUTIC PRODUCTS WILL NOT INFRINGE ANY PATENTS OR OTHER INTELLECTUAL PROPERTY RIGHTS OF ANY THIRD PARTY; AND</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791" w:name="page792"/>
    <w:bookmarkEnd w:id="791"/>
    <w:p>
      <w:pPr>
        <w:ind w:left="1040" w:hanging="516"/>
        <w:spacing w:after="0" w:line="288" w:lineRule="auto"/>
        <w:tabs>
          <w:tab w:leader="none" w:pos="1040" w:val="left"/>
        </w:tabs>
        <w:numPr>
          <w:ilvl w:val="0"/>
          <w:numId w:val="593"/>
        </w:numPr>
        <w:rPr>
          <w:rFonts w:ascii="Arial" w:cs="Arial" w:eastAsia="Arial" w:hAnsi="Arial"/>
          <w:sz w:val="14"/>
          <w:szCs w:val="14"/>
          <w:color w:val="auto"/>
        </w:rPr>
      </w:pPr>
      <w:r>
        <w:rPr>
          <w:rFonts w:ascii="Arial" w:cs="Arial" w:eastAsia="Arial" w:hAnsi="Arial"/>
          <w:sz w:val="14"/>
          <w:szCs w:val="14"/>
          <w:color w:val="auto"/>
        </w:rPr>
        <w:t>ALL REPRESENTATIONS, WARRANTIES AND CONDITIONS AS TO QUALITY, MERCHANTABILITY, OR FITNESS OF THE LICENSED INVENTIONS FOR ANY PARTICULAR PURPOSE.</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3"/>
          <w:szCs w:val="13"/>
          <w:b w:val="1"/>
          <w:bCs w:val="1"/>
          <w:color w:val="auto"/>
        </w:rPr>
        <w:t>Indemnity</w:t>
      </w:r>
    </w:p>
    <w:p>
      <w:pPr>
        <w:spacing w:after="0" w:line="188" w:lineRule="exact"/>
        <w:rPr>
          <w:sz w:val="20"/>
          <w:szCs w:val="20"/>
          <w:color w:val="auto"/>
        </w:rPr>
      </w:pPr>
    </w:p>
    <w:p>
      <w:pPr>
        <w:jc w:val="both"/>
        <w:ind w:left="1040" w:hanging="516"/>
        <w:spacing w:after="0" w:line="267" w:lineRule="auto"/>
        <w:tabs>
          <w:tab w:leader="none" w:pos="1040" w:val="left"/>
        </w:tabs>
        <w:numPr>
          <w:ilvl w:val="0"/>
          <w:numId w:val="594"/>
        </w:numPr>
        <w:rPr>
          <w:rFonts w:ascii="Arial" w:cs="Arial" w:eastAsia="Arial" w:hAnsi="Arial"/>
          <w:sz w:val="14"/>
          <w:szCs w:val="14"/>
          <w:color w:val="auto"/>
        </w:rPr>
      </w:pPr>
      <w:r>
        <w:rPr>
          <w:rFonts w:ascii="Arial" w:cs="Arial" w:eastAsia="Arial" w:hAnsi="Arial"/>
          <w:sz w:val="14"/>
          <w:szCs w:val="14"/>
          <w:color w:val="auto"/>
        </w:rPr>
        <w:t>EMPIRICA shall defend and hold harmless and indemnify the INSTITUTIONS and all Beneficiaries, from and against all claims, threats, loss, liabilities, damages, fees or expenses, including reasonable attorney’s fees, (individually a “</w:t>
      </w:r>
      <w:r>
        <w:rPr>
          <w:rFonts w:ascii="Arial" w:cs="Arial" w:eastAsia="Arial" w:hAnsi="Arial"/>
          <w:sz w:val="14"/>
          <w:szCs w:val="14"/>
          <w:b w:val="1"/>
          <w:bCs w:val="1"/>
          <w:color w:val="auto"/>
        </w:rPr>
        <w:t>Claim</w:t>
      </w:r>
      <w:r>
        <w:rPr>
          <w:rFonts w:ascii="Arial" w:cs="Arial" w:eastAsia="Arial" w:hAnsi="Arial"/>
          <w:sz w:val="14"/>
          <w:szCs w:val="14"/>
          <w:color w:val="auto"/>
        </w:rPr>
        <w:t>” and collectively the “</w:t>
      </w:r>
      <w:r>
        <w:rPr>
          <w:rFonts w:ascii="Arial" w:cs="Arial" w:eastAsia="Arial" w:hAnsi="Arial"/>
          <w:sz w:val="14"/>
          <w:szCs w:val="14"/>
          <w:b w:val="1"/>
          <w:bCs w:val="1"/>
          <w:color w:val="auto"/>
        </w:rPr>
        <w:t>Claims</w:t>
      </w:r>
      <w:r>
        <w:rPr>
          <w:rFonts w:ascii="Arial" w:cs="Arial" w:eastAsia="Arial" w:hAnsi="Arial"/>
          <w:sz w:val="14"/>
          <w:szCs w:val="14"/>
          <w:color w:val="auto"/>
        </w:rPr>
        <w:t>”) by reason or arising out of any acts or failure to act by or out of any use of the Licensed Inventions or a Licensed Products or a Therapeutic Products by EMPIRICA, its Affiliates, or any Sub-Licensee(s) or their respective servants, agents, Affiliates, officers, directors, stock-holders, employees or customers.</w:t>
      </w:r>
    </w:p>
    <w:p>
      <w:pPr>
        <w:spacing w:after="0" w:line="146" w:lineRule="exact"/>
        <w:rPr>
          <w:rFonts w:ascii="Arial" w:cs="Arial" w:eastAsia="Arial" w:hAnsi="Arial"/>
          <w:sz w:val="14"/>
          <w:szCs w:val="14"/>
          <w:color w:val="auto"/>
        </w:rPr>
      </w:pPr>
    </w:p>
    <w:p>
      <w:pPr>
        <w:jc w:val="both"/>
        <w:ind w:left="1040" w:hanging="516"/>
        <w:spacing w:after="0" w:line="290" w:lineRule="auto"/>
        <w:tabs>
          <w:tab w:leader="none" w:pos="1040" w:val="left"/>
        </w:tabs>
        <w:numPr>
          <w:ilvl w:val="0"/>
          <w:numId w:val="594"/>
        </w:numPr>
        <w:rPr>
          <w:rFonts w:ascii="Arial" w:cs="Arial" w:eastAsia="Arial" w:hAnsi="Arial"/>
          <w:sz w:val="13"/>
          <w:szCs w:val="13"/>
          <w:color w:val="auto"/>
        </w:rPr>
      </w:pPr>
      <w:r>
        <w:rPr>
          <w:rFonts w:ascii="Arial" w:cs="Arial" w:eastAsia="Arial" w:hAnsi="Arial"/>
          <w:sz w:val="13"/>
          <w:szCs w:val="13"/>
          <w:color w:val="auto"/>
        </w:rPr>
        <w:t>Notwithstanding anything contained in this Subsection 5.3: (i) EMPIRICA shall not be entitled to settle any Claim against any one or more Beneficiaries in respect of which such Claim has been made without the prior written approval of the Representatives of the INSTITUTIONS, which approval shall not be unreasonably withheld; (ii) EMPIRICA shall consult with the Representatives of the INSTITUTIONS and shall keep the INSTITUTIONS reasonably informed with respect to all Claims in respect of which indemnification may be sought hereunder; and (iii) EMPIRICA shall not be required to indemnify the INSTITUTIONS, to the extent allowed by law where such Claim is caused by the gross negligence or willful misconduct of the INSTITUTIONS, or to the extent that contributory negligence on the part of the INSTITUTIONS is found to have occurred.</w:t>
      </w:r>
    </w:p>
    <w:p>
      <w:pPr>
        <w:spacing w:after="0" w:line="132" w:lineRule="exact"/>
        <w:rPr>
          <w:rFonts w:ascii="Arial" w:cs="Arial" w:eastAsia="Arial" w:hAnsi="Arial"/>
          <w:sz w:val="13"/>
          <w:szCs w:val="13"/>
          <w:color w:val="auto"/>
        </w:rPr>
      </w:pPr>
    </w:p>
    <w:p>
      <w:pPr>
        <w:jc w:val="both"/>
        <w:ind w:left="1040" w:hanging="516"/>
        <w:spacing w:after="0" w:line="273" w:lineRule="auto"/>
        <w:tabs>
          <w:tab w:leader="none" w:pos="1040" w:val="left"/>
        </w:tabs>
        <w:numPr>
          <w:ilvl w:val="0"/>
          <w:numId w:val="594"/>
        </w:numPr>
        <w:rPr>
          <w:rFonts w:ascii="Arial" w:cs="Arial" w:eastAsia="Arial" w:hAnsi="Arial"/>
          <w:sz w:val="14"/>
          <w:szCs w:val="14"/>
          <w:color w:val="auto"/>
        </w:rPr>
      </w:pPr>
      <w:r>
        <w:rPr>
          <w:rFonts w:ascii="Arial" w:cs="Arial" w:eastAsia="Arial" w:hAnsi="Arial"/>
          <w:sz w:val="14"/>
          <w:szCs w:val="14"/>
          <w:color w:val="auto"/>
        </w:rPr>
        <w:t xml:space="preserve">The indemnity provided herein shall survive any termination or assignment of this Agreement subject to any prescription rights available to the EMPIRICA under the </w:t>
      </w:r>
      <w:r>
        <w:rPr>
          <w:rFonts w:ascii="Arial" w:cs="Arial" w:eastAsia="Arial" w:hAnsi="Arial"/>
          <w:sz w:val="14"/>
          <w:szCs w:val="14"/>
          <w:i w:val="1"/>
          <w:iCs w:val="1"/>
          <w:color w:val="auto"/>
        </w:rPr>
        <w:t>Limitations</w:t>
      </w:r>
      <w:r>
        <w:rPr>
          <w:rFonts w:ascii="Arial" w:cs="Arial" w:eastAsia="Arial" w:hAnsi="Arial"/>
          <w:sz w:val="14"/>
          <w:szCs w:val="14"/>
          <w:color w:val="auto"/>
        </w:rPr>
        <w:t xml:space="preserve"> </w:t>
      </w:r>
      <w:r>
        <w:rPr>
          <w:rFonts w:ascii="Arial" w:cs="Arial" w:eastAsia="Arial" w:hAnsi="Arial"/>
          <w:sz w:val="14"/>
          <w:szCs w:val="14"/>
          <w:i w:val="1"/>
          <w:iCs w:val="1"/>
          <w:color w:val="auto"/>
        </w:rPr>
        <w:t>Act, 2002</w:t>
      </w:r>
      <w:r>
        <w:rPr>
          <w:rFonts w:ascii="Arial" w:cs="Arial" w:eastAsia="Arial" w:hAnsi="Arial"/>
          <w:sz w:val="14"/>
          <w:szCs w:val="14"/>
          <w:color w:val="auto"/>
        </w:rPr>
        <w:t>. EMPIRICA acknowledges that the INSTITUTIONS are entering this Agreement and obtaining the foregoing indemnification on their own behalf and also on behalf</w:t>
      </w:r>
      <w:r>
        <w:rPr>
          <w:rFonts w:ascii="Arial" w:cs="Arial" w:eastAsia="Arial" w:hAnsi="Arial"/>
          <w:sz w:val="14"/>
          <w:szCs w:val="14"/>
          <w:i w:val="1"/>
          <w:iCs w:val="1"/>
          <w:color w:val="auto"/>
        </w:rPr>
        <w:t xml:space="preserve"> </w:t>
      </w:r>
      <w:r>
        <w:rPr>
          <w:rFonts w:ascii="Arial" w:cs="Arial" w:eastAsia="Arial" w:hAnsi="Arial"/>
          <w:sz w:val="14"/>
          <w:szCs w:val="14"/>
          <w:color w:val="auto"/>
        </w:rPr>
        <w:t>of the other Beneficiaries and are holding the rights contained in this Subsection 5.1 in trust for the other Beneficiaries.</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3"/>
          <w:szCs w:val="13"/>
          <w:b w:val="1"/>
          <w:bCs w:val="1"/>
          <w:color w:val="auto"/>
        </w:rPr>
        <w:t>Insurance</w:t>
      </w:r>
    </w:p>
    <w:p>
      <w:pPr>
        <w:spacing w:after="0" w:line="188" w:lineRule="exact"/>
        <w:rPr>
          <w:sz w:val="20"/>
          <w:szCs w:val="20"/>
          <w:color w:val="auto"/>
        </w:rPr>
      </w:pPr>
    </w:p>
    <w:p>
      <w:pPr>
        <w:jc w:val="both"/>
        <w:ind w:left="1040" w:hanging="516"/>
        <w:spacing w:after="0" w:line="273" w:lineRule="auto"/>
        <w:tabs>
          <w:tab w:leader="none" w:pos="1040" w:val="left"/>
        </w:tabs>
        <w:numPr>
          <w:ilvl w:val="0"/>
          <w:numId w:val="595"/>
        </w:numPr>
        <w:rPr>
          <w:rFonts w:ascii="Arial" w:cs="Arial" w:eastAsia="Arial" w:hAnsi="Arial"/>
          <w:sz w:val="14"/>
          <w:szCs w:val="14"/>
          <w:color w:val="auto"/>
        </w:rPr>
      </w:pPr>
      <w:r>
        <w:rPr>
          <w:rFonts w:ascii="Arial" w:cs="Arial" w:eastAsia="Arial" w:hAnsi="Arial"/>
          <w:sz w:val="14"/>
          <w:szCs w:val="14"/>
          <w:color w:val="auto"/>
        </w:rPr>
        <w:t>EMPIRICA, at its own expense and at all times during the term of this Agreement, and for the duration of its indemnity obligations which survive the expiration or premature termination of this Agreement pursuant to Section 6.2 hereof, shall carry and maintain in full force and effect comprehensive general liability insurance, in an amount that is commercially reasonable and customary for a party engaged in the business activities in which EMPIRICA is engaged, that covers the</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92" w:name="page793"/>
    <w:bookmarkEnd w:id="792"/>
    <w:p>
      <w:pPr>
        <w:jc w:val="both"/>
        <w:ind w:left="1040"/>
        <w:spacing w:after="0" w:line="273" w:lineRule="auto"/>
        <w:rPr>
          <w:sz w:val="20"/>
          <w:szCs w:val="20"/>
          <w:color w:val="auto"/>
        </w:rPr>
      </w:pPr>
      <w:r>
        <w:rPr>
          <w:rFonts w:ascii="Arial" w:cs="Arial" w:eastAsia="Arial" w:hAnsi="Arial"/>
          <w:sz w:val="14"/>
          <w:szCs w:val="14"/>
          <w:color w:val="auto"/>
        </w:rPr>
        <w:t>INSTITUTIONS in any and all Claims brought in a form and with a carrier satisfactory to the INSTITUTIONS. Prior to execution of the Agreement, EMPIRICA shall provide an insurance certificate to the INSTITUTIONS for review, and the INSTITUTIONS shall provide a written notice that EMPIRICA has satisfied the general liability insurance requirement.</w:t>
      </w:r>
    </w:p>
    <w:p>
      <w:pPr>
        <w:spacing w:after="0" w:line="314" w:lineRule="exact"/>
        <w:rPr>
          <w:sz w:val="20"/>
          <w:szCs w:val="20"/>
          <w:color w:val="auto"/>
        </w:rPr>
      </w:pPr>
    </w:p>
    <w:p>
      <w:pPr>
        <w:jc w:val="both"/>
        <w:ind w:left="1040" w:hanging="516"/>
        <w:spacing w:after="0" w:line="273" w:lineRule="auto"/>
        <w:tabs>
          <w:tab w:leader="none" w:pos="1040" w:val="left"/>
        </w:tabs>
        <w:numPr>
          <w:ilvl w:val="0"/>
          <w:numId w:val="596"/>
        </w:numPr>
        <w:rPr>
          <w:rFonts w:ascii="Arial" w:cs="Arial" w:eastAsia="Arial" w:hAnsi="Arial"/>
          <w:sz w:val="14"/>
          <w:szCs w:val="14"/>
          <w:color w:val="auto"/>
        </w:rPr>
      </w:pPr>
      <w:r>
        <w:rPr>
          <w:rFonts w:ascii="Arial" w:cs="Arial" w:eastAsia="Arial" w:hAnsi="Arial"/>
          <w:sz w:val="14"/>
          <w:szCs w:val="14"/>
          <w:color w:val="auto"/>
        </w:rPr>
        <w:t>Prior to initiation of clinical trials and/or with the achievement of the First Commercial Sale or a sub-license agreement with a Third Party, EMPIRICA shall agree to amend such general liability insurance to include product liability provisions, in a form and with a carrier satisfactory to the INSTITUTIONS. The lower limit of such policy shall be [***] per incident and [***] annual aggregate unless the INSTITUTIONS specifically agrees in writing to such lesser amount.</w:t>
      </w:r>
    </w:p>
    <w:p>
      <w:pPr>
        <w:spacing w:after="0" w:line="141" w:lineRule="exact"/>
        <w:rPr>
          <w:rFonts w:ascii="Arial" w:cs="Arial" w:eastAsia="Arial" w:hAnsi="Arial"/>
          <w:sz w:val="14"/>
          <w:szCs w:val="14"/>
          <w:color w:val="auto"/>
        </w:rPr>
      </w:pPr>
    </w:p>
    <w:p>
      <w:pPr>
        <w:jc w:val="both"/>
        <w:ind w:left="1040" w:hanging="516"/>
        <w:spacing w:after="0" w:line="267" w:lineRule="auto"/>
        <w:tabs>
          <w:tab w:leader="none" w:pos="1040" w:val="left"/>
        </w:tabs>
        <w:numPr>
          <w:ilvl w:val="0"/>
          <w:numId w:val="596"/>
        </w:numPr>
        <w:rPr>
          <w:rFonts w:ascii="Arial" w:cs="Arial" w:eastAsia="Arial" w:hAnsi="Arial"/>
          <w:sz w:val="14"/>
          <w:szCs w:val="14"/>
          <w:color w:val="auto"/>
        </w:rPr>
      </w:pPr>
      <w:r>
        <w:rPr>
          <w:rFonts w:ascii="Arial" w:cs="Arial" w:eastAsia="Arial" w:hAnsi="Arial"/>
          <w:sz w:val="14"/>
          <w:szCs w:val="14"/>
          <w:color w:val="auto"/>
        </w:rPr>
        <w:t>The coming into force of this Agreement is conditional upon the INSTITUTIONS having reviewed a certificate of insurance from the relevant insurance company, in a form acceptable to the INSTITUTIONS, acting reasonably, evidencing EMPIRICA’s compliance with the provisions of this Section 5.4. Such policy shall contain an endorsement by the insurer providing that it shall not be cancelled or amended without thirty (30) days prior notice to the INSTITUTIONS. EMPIRICA shall provide a certificate of such insurance to the INSTITUTIONS annually hereafter on the anniversary of the Effective Date.</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3"/>
          <w:szCs w:val="13"/>
          <w:b w:val="1"/>
          <w:bCs w:val="1"/>
          <w:color w:val="auto"/>
        </w:rPr>
        <w:t>Limitation of Liability</w:t>
      </w:r>
    </w:p>
    <w:p>
      <w:pPr>
        <w:spacing w:after="0" w:line="188" w:lineRule="exact"/>
        <w:rPr>
          <w:sz w:val="20"/>
          <w:szCs w:val="20"/>
          <w:color w:val="auto"/>
        </w:rPr>
      </w:pPr>
    </w:p>
    <w:p>
      <w:pPr>
        <w:jc w:val="both"/>
        <w:ind w:left="1040" w:hanging="516"/>
        <w:spacing w:after="0" w:line="261" w:lineRule="auto"/>
        <w:tabs>
          <w:tab w:leader="none" w:pos="1040" w:val="left"/>
        </w:tabs>
        <w:numPr>
          <w:ilvl w:val="0"/>
          <w:numId w:val="597"/>
        </w:numPr>
        <w:rPr>
          <w:rFonts w:ascii="Arial" w:cs="Arial" w:eastAsia="Arial" w:hAnsi="Arial"/>
          <w:sz w:val="14"/>
          <w:szCs w:val="14"/>
          <w:color w:val="auto"/>
        </w:rPr>
      </w:pPr>
      <w:r>
        <w:rPr>
          <w:rFonts w:ascii="Arial" w:cs="Arial" w:eastAsia="Arial" w:hAnsi="Arial"/>
          <w:sz w:val="14"/>
          <w:szCs w:val="14"/>
          <w:color w:val="auto"/>
        </w:rPr>
        <w:t>IN NO EVENT SHALL THE INSTITUTIONS NOR ANY OF THEIR DIRECTORS, OFFICERS, CONTRACTORS, EMPLOYEES OR AGENTS BE LIABLE TO EMPIRICA, ITS AFFILATES, ANY SUBLICENSEES AND THEIR RESPECTIVE REPRESENTATIVES FOR ANY INDIRECT, SPECIAL, INCIDENTAL, CONSEQUENTIAL, PUNITIVE OR EXEMPLARY DAMAGES OR EXPENSES OF ANY TYPE HOWEVER CAUSED AND ON ANY THEORY OF LIABILITY (INCLUDING BUT NOT LIMITED TO ANY DAMAGES FOR LOST PROFITS, LOSS OF USE, BUSINESS INTERRUPTION, LOSS OF DATA, LOST BUSINESS, LOST SAVINGS, OR INJURY TO PROPERTY) ARISING IN ANY WAY OUT OF THIS AGREEMENT OR THE USE OF THE TECHNOLOGY BY EMPIRICA, ITS AFFILIATES OR SUB-LICENSEES, WHETHER SUCH DAMAGES OR EXPENSES ARISE OUT OF BREACH OF CONTRACT (INCLUDING FUNDAMENTAL BREACH), OR TORT OR ON ANY OTHER STATUTORY OR COMMON LAW BASIS, EVEN IF THE INSTITUTIONS OR ANY OF ITS REPRESENTATIVES HAVE BEEN ADVISED OF THE POSSIBILITY OF SUCH DAMAGES.</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93" w:name="page794"/>
    <w:bookmarkEnd w:id="793"/>
    <w:p>
      <w:pPr>
        <w:jc w:val="both"/>
        <w:ind w:left="1040" w:hanging="516"/>
        <w:spacing w:after="0" w:line="273" w:lineRule="auto"/>
        <w:tabs>
          <w:tab w:leader="none" w:pos="104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IN NO EVENT SHALL INSTITUTION’S TOTAL LIABILITY FOR ALL DAMAGES OF ANY KIND ARISING OUT OF OR RELATING TO THIS AGREEMENT OR ITS SUBJECT-MATTER EXCEED THE TOTAL AMOUNT ACTUALLY PAID TO THE INSTITUTIONS BY EMPIRICA UNDER THIS AGREEMENT UP TO THE DATE OF SUCH LIABILITY BEING ESTABLISHED BY A FINAL DECISION OF A COURT OF COMPETENT JURISDICTION.</w:t>
      </w:r>
    </w:p>
    <w:p>
      <w:pPr>
        <w:spacing w:after="0" w:line="14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The Parties acknowledge and agree that the exclusions of liability contained herein reflect the allocations of risk between the Parties and the price of the Licensed Inventions, and accordingly are reasonable and appropriate in the circumstances and were a material factor in determining the Fees payable hereunder.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 AND TERMINATION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3"/>
          <w:szCs w:val="13"/>
          <w:b w:val="1"/>
          <w:bCs w:val="1"/>
          <w:color w:val="auto"/>
        </w:rPr>
        <w:t>Term</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This Agreement shall come into effect upon the Effective Date, and unless earlier terminated in accordance with Subsection 6.2, shall terminate on the last to expire Valid Claim within the Licensed Inventions covering such Licensed Products or Therapeutic Products in such country.</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3"/>
          <w:szCs w:val="13"/>
          <w:b w:val="1"/>
          <w:bCs w:val="1"/>
          <w:color w:val="auto"/>
        </w:rPr>
        <w:t>Termination</w:t>
      </w:r>
    </w:p>
    <w:p>
      <w:pPr>
        <w:spacing w:after="0" w:line="188" w:lineRule="exact"/>
        <w:rPr>
          <w:sz w:val="20"/>
          <w:szCs w:val="20"/>
          <w:color w:val="auto"/>
        </w:rPr>
      </w:pPr>
    </w:p>
    <w:p>
      <w:pPr>
        <w:ind w:left="1040" w:hanging="516"/>
        <w:spacing w:after="0"/>
        <w:tabs>
          <w:tab w:leader="none" w:pos="104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EMPIRICA retains the right to terminate this Agreement at any time by providing the Representatives of the INSTITUTIONS with thirty (30) days’ prior written notice.</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The occurrence of any one or more of the following events shall constitute an event that allows for the termination of this Agreement by the INSTITUTIONS and shall, in addition to any other right or remedy the INSTITUTIONS may have, permit the INSTITUTIONS to immediately terminate this Agreement if</w:t>
      </w:r>
    </w:p>
    <w:p>
      <w:pPr>
        <w:spacing w:after="0" w:line="131" w:lineRule="exact"/>
        <w:rPr>
          <w:rFonts w:ascii="Arial" w:cs="Arial" w:eastAsia="Arial" w:hAnsi="Arial"/>
          <w:sz w:val="14"/>
          <w:szCs w:val="14"/>
          <w:color w:val="auto"/>
        </w:rPr>
      </w:pPr>
    </w:p>
    <w:p>
      <w:pPr>
        <w:jc w:val="both"/>
        <w:ind w:left="1560" w:hanging="518"/>
        <w:spacing w:after="0" w:line="294" w:lineRule="auto"/>
        <w:tabs>
          <w:tab w:leader="none" w:pos="1560" w:val="left"/>
        </w:tabs>
        <w:numPr>
          <w:ilvl w:val="1"/>
          <w:numId w:val="599"/>
        </w:numPr>
        <w:rPr>
          <w:rFonts w:ascii="Arial" w:cs="Arial" w:eastAsia="Arial" w:hAnsi="Arial"/>
          <w:sz w:val="13"/>
          <w:szCs w:val="13"/>
          <w:color w:val="auto"/>
        </w:rPr>
      </w:pPr>
      <w:r>
        <w:rPr>
          <w:rFonts w:ascii="Arial" w:cs="Arial" w:eastAsia="Arial" w:hAnsi="Arial"/>
          <w:sz w:val="13"/>
          <w:szCs w:val="13"/>
          <w:color w:val="auto"/>
        </w:rPr>
        <w:t>any order is made or a resolution passed for the winding-up of the Empirica or if a petition (voluntary or involuntary) is filed under the Bankruptcy and Insolvency Act (Canada) against Empirica or an authorized assignment for the benefit of creditors is made by Empirica or if a receiver or agent is appointed by or on behalf of a secured creditor of the Licensee or pursuant to a court order or an application is made under the Companies’ Creditors Arrangement Act (Canada) or notice of intention to make a proposal is filed or a proposal is made by Empirica to its creditors under the Bankruptcy and Insolvency Act (Canada);</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94" w:name="page795"/>
    <w:bookmarkEnd w:id="794"/>
    <w:p>
      <w:pPr>
        <w:jc w:val="both"/>
        <w:ind w:left="1560" w:hanging="518"/>
        <w:spacing w:after="0" w:line="273" w:lineRule="auto"/>
        <w:tabs>
          <w:tab w:leader="none" w:pos="1560" w:val="left"/>
        </w:tabs>
        <w:numPr>
          <w:ilvl w:val="1"/>
          <w:numId w:val="600"/>
        </w:numPr>
        <w:rPr>
          <w:rFonts w:ascii="Arial" w:cs="Arial" w:eastAsia="Arial" w:hAnsi="Arial"/>
          <w:sz w:val="14"/>
          <w:szCs w:val="14"/>
          <w:color w:val="auto"/>
        </w:rPr>
      </w:pPr>
      <w:r>
        <w:rPr>
          <w:rFonts w:ascii="Arial" w:cs="Arial" w:eastAsia="Arial" w:hAnsi="Arial"/>
          <w:sz w:val="14"/>
          <w:szCs w:val="14"/>
          <w:color w:val="auto"/>
        </w:rPr>
        <w:t>an encumbrancer, whether permitted or otherwise, takes possession of any substantial part of the assets of EMPIRICA, or any process of a court, execution, distress, or analogous process becomes enforceable or is enforced against any substantial part of the assets of EMPIRICA and EMPIRICA is not instituting proceedings to vacate or lift such execution, distress or analogous process;</w:t>
      </w:r>
    </w:p>
    <w:p>
      <w:pPr>
        <w:spacing w:after="0" w:line="141" w:lineRule="exact"/>
        <w:rPr>
          <w:rFonts w:ascii="Arial" w:cs="Arial" w:eastAsia="Arial" w:hAnsi="Arial"/>
          <w:sz w:val="14"/>
          <w:szCs w:val="14"/>
          <w:color w:val="auto"/>
        </w:rPr>
      </w:pPr>
    </w:p>
    <w:p>
      <w:pPr>
        <w:ind w:left="1560" w:hanging="518"/>
        <w:spacing w:after="0" w:line="288" w:lineRule="auto"/>
        <w:tabs>
          <w:tab w:leader="none" w:pos="1560" w:val="left"/>
        </w:tabs>
        <w:numPr>
          <w:ilvl w:val="1"/>
          <w:numId w:val="600"/>
        </w:numPr>
        <w:rPr>
          <w:rFonts w:ascii="Arial" w:cs="Arial" w:eastAsia="Arial" w:hAnsi="Arial"/>
          <w:sz w:val="14"/>
          <w:szCs w:val="14"/>
          <w:color w:val="auto"/>
        </w:rPr>
      </w:pPr>
      <w:r>
        <w:rPr>
          <w:rFonts w:ascii="Arial" w:cs="Arial" w:eastAsia="Arial" w:hAnsi="Arial"/>
          <w:sz w:val="14"/>
          <w:szCs w:val="14"/>
          <w:color w:val="auto"/>
        </w:rPr>
        <w:t>EMPIRICA ceases or threatens to cease to carry on its business, commits any act of bankruptcy, becomes insolvent, proposes a compromise or arrangement to its creditors or makes an unauthorized sale in bulk of its assets; or</w:t>
      </w:r>
    </w:p>
    <w:p>
      <w:pPr>
        <w:spacing w:after="0" w:line="131" w:lineRule="exact"/>
        <w:rPr>
          <w:rFonts w:ascii="Arial" w:cs="Arial" w:eastAsia="Arial" w:hAnsi="Arial"/>
          <w:sz w:val="14"/>
          <w:szCs w:val="14"/>
          <w:color w:val="auto"/>
        </w:rPr>
      </w:pPr>
    </w:p>
    <w:p>
      <w:pPr>
        <w:ind w:left="1560" w:hanging="518"/>
        <w:spacing w:after="0"/>
        <w:tabs>
          <w:tab w:leader="none" w:pos="1560" w:val="left"/>
        </w:tabs>
        <w:numPr>
          <w:ilvl w:val="1"/>
          <w:numId w:val="600"/>
        </w:numPr>
        <w:rPr>
          <w:rFonts w:ascii="Arial" w:cs="Arial" w:eastAsia="Arial" w:hAnsi="Arial"/>
          <w:sz w:val="14"/>
          <w:szCs w:val="14"/>
          <w:color w:val="auto"/>
        </w:rPr>
      </w:pPr>
      <w:r>
        <w:rPr>
          <w:rFonts w:ascii="Arial" w:cs="Arial" w:eastAsia="Arial" w:hAnsi="Arial"/>
          <w:sz w:val="14"/>
          <w:szCs w:val="14"/>
          <w:color w:val="auto"/>
        </w:rPr>
        <w:t>EMPIRICA is liquidated, dissolved or its corporate charter expires or is revoked.</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This Agreement may also be terminated by the INSTITUTIONS for material breach of any provision hereof by EMPIRICA upon thirty (30) days prior written notice to EMPIRICA, specifying the breach and the cure in sufficient detail to enable EMPIRICA to respond appropriately, provided, that if EMPIRICA cures the breach within such thirty (30) day period, the Agreement shall continue in full force and effect.</w:t>
      </w:r>
    </w:p>
    <w:p>
      <w:pPr>
        <w:spacing w:after="0" w:line="141" w:lineRule="exact"/>
        <w:rPr>
          <w:rFonts w:ascii="Arial" w:cs="Arial" w:eastAsia="Arial" w:hAnsi="Arial"/>
          <w:sz w:val="14"/>
          <w:szCs w:val="14"/>
          <w:color w:val="auto"/>
        </w:rPr>
      </w:pPr>
    </w:p>
    <w:p>
      <w:pPr>
        <w:jc w:val="both"/>
        <w:ind w:left="1040" w:hanging="516"/>
        <w:spacing w:after="0" w:line="284" w:lineRule="auto"/>
        <w:tabs>
          <w:tab w:leader="none" w:pos="1040" w:val="left"/>
        </w:tabs>
        <w:numPr>
          <w:ilvl w:val="0"/>
          <w:numId w:val="601"/>
        </w:numPr>
        <w:rPr>
          <w:rFonts w:ascii="Arial" w:cs="Arial" w:eastAsia="Arial" w:hAnsi="Arial"/>
          <w:sz w:val="13"/>
          <w:szCs w:val="13"/>
          <w:color w:val="auto"/>
        </w:rPr>
      </w:pPr>
      <w:r>
        <w:rPr>
          <w:rFonts w:ascii="Arial" w:cs="Arial" w:eastAsia="Arial" w:hAnsi="Arial"/>
          <w:sz w:val="13"/>
          <w:szCs w:val="13"/>
          <w:color w:val="auto"/>
        </w:rPr>
        <w:t>Termination as set forth in this Section 6.2 shall not relieve any of the Parties of any obligations accrued under this Agreement prior to the date of termination. Each of Sections 1.1 (Definitions); 2.3 (Reserved Rights); 2.4 (License Restrictions); 3.5 (Accounting and Records); 4.1 (Ownership); 4.4 (Improvements); 4.6 (Confidentiality); 5.3 (Indemnity);</w:t>
      </w:r>
    </w:p>
    <w:p>
      <w:pPr>
        <w:ind w:left="1040"/>
        <w:spacing w:after="0" w:line="274" w:lineRule="auto"/>
        <w:rPr>
          <w:rFonts w:ascii="Arial" w:cs="Arial" w:eastAsia="Arial" w:hAnsi="Arial"/>
          <w:sz w:val="13"/>
          <w:szCs w:val="13"/>
          <w:color w:val="auto"/>
        </w:rPr>
      </w:pPr>
      <w:r>
        <w:rPr>
          <w:rFonts w:ascii="Arial" w:cs="Arial" w:eastAsia="Arial" w:hAnsi="Arial"/>
          <w:sz w:val="14"/>
          <w:szCs w:val="14"/>
          <w:color w:val="auto"/>
        </w:rPr>
        <w:t>5.4 (Insurance); 5.5 (Limitation of Liability); Subsection 6.2(d) (Survival); Section 6.3 (Effect of Termination); and Article 7 (General Provisions) shall survive termination of this Agreement.</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3"/>
          <w:szCs w:val="13"/>
          <w:b w:val="1"/>
          <w:bCs w:val="1"/>
          <w:color w:val="auto"/>
        </w:rPr>
        <w:t>Effect of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Upon termination of this Agreement:</w:t>
      </w:r>
    </w:p>
    <w:p>
      <w:pPr>
        <w:spacing w:after="0" w:line="184" w:lineRule="exact"/>
        <w:rPr>
          <w:sz w:val="20"/>
          <w:szCs w:val="20"/>
          <w:color w:val="auto"/>
        </w:rPr>
      </w:pPr>
    </w:p>
    <w:p>
      <w:pPr>
        <w:jc w:val="both"/>
        <w:ind w:left="1040" w:hanging="516"/>
        <w:spacing w:after="0" w:line="338" w:lineRule="auto"/>
        <w:tabs>
          <w:tab w:leader="none" w:pos="1040" w:val="left"/>
        </w:tabs>
        <w:numPr>
          <w:ilvl w:val="0"/>
          <w:numId w:val="602"/>
        </w:numPr>
        <w:rPr>
          <w:rFonts w:ascii="Arial" w:cs="Arial" w:eastAsia="Arial" w:hAnsi="Arial"/>
          <w:sz w:val="12"/>
          <w:szCs w:val="12"/>
          <w:color w:val="auto"/>
        </w:rPr>
      </w:pPr>
      <w:r>
        <w:rPr>
          <w:rFonts w:ascii="Arial" w:cs="Arial" w:eastAsia="Arial" w:hAnsi="Arial"/>
          <w:sz w:val="12"/>
          <w:szCs w:val="12"/>
          <w:color w:val="auto"/>
        </w:rPr>
        <w:t>EMPIRICA, its Affiliates, and all Sub-Licensees shall immediately cease use of the Licensed Inventions and sale of any Licensed Products or Therapeutic Products. Patients who have begun receiving any Therapeutic Products as treatment may continue to receive the Therapeutic Products as per the physician recommendation until the end of the treatment course. Subject to the IP Rights Management Agreement referenced below, joint IP rights can be practiced in accordance with the patent law of the corresponding jurisdiction.;</w:t>
      </w:r>
    </w:p>
    <w:p>
      <w:pPr>
        <w:spacing w:after="0" w:line="107" w:lineRule="exact"/>
        <w:rPr>
          <w:rFonts w:ascii="Arial" w:cs="Arial" w:eastAsia="Arial" w:hAnsi="Arial"/>
          <w:sz w:val="12"/>
          <w:szCs w:val="12"/>
          <w:color w:val="auto"/>
        </w:rPr>
      </w:pPr>
    </w:p>
    <w:p>
      <w:pPr>
        <w:ind w:left="1040" w:hanging="516"/>
        <w:spacing w:after="0"/>
        <w:tabs>
          <w:tab w:leader="none" w:pos="1040" w:val="left"/>
        </w:tabs>
        <w:numPr>
          <w:ilvl w:val="0"/>
          <w:numId w:val="602"/>
        </w:numPr>
        <w:rPr>
          <w:rFonts w:ascii="Arial" w:cs="Arial" w:eastAsia="Arial" w:hAnsi="Arial"/>
          <w:sz w:val="14"/>
          <w:szCs w:val="14"/>
          <w:color w:val="auto"/>
        </w:rPr>
      </w:pPr>
      <w:r>
        <w:rPr>
          <w:rFonts w:ascii="Arial" w:cs="Arial" w:eastAsia="Arial" w:hAnsi="Arial"/>
          <w:sz w:val="14"/>
          <w:szCs w:val="14"/>
          <w:color w:val="auto"/>
        </w:rPr>
        <w:t>Within a commercially reasonable period of time, the Parties shall enter into an IP Rights Management Agreement in respect of any jointly-owned</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795" w:name="page796"/>
    <w:bookmarkEnd w:id="795"/>
    <w:p>
      <w:pPr>
        <w:ind w:left="1040"/>
        <w:spacing w:after="0"/>
        <w:rPr>
          <w:sz w:val="20"/>
          <w:szCs w:val="20"/>
          <w:color w:val="auto"/>
        </w:rPr>
      </w:pPr>
      <w:r>
        <w:rPr>
          <w:rFonts w:ascii="Arial" w:cs="Arial" w:eastAsia="Arial" w:hAnsi="Arial"/>
          <w:sz w:val="14"/>
          <w:szCs w:val="14"/>
          <w:color w:val="auto"/>
        </w:rPr>
        <w:t>Intellectual Property Rights, which shall govern the management and administration of any such jointly-owned Intellectual Property Rights;</w:t>
      </w:r>
    </w:p>
    <w:p>
      <w:pPr>
        <w:spacing w:after="0" w:line="184" w:lineRule="exact"/>
        <w:rPr>
          <w:sz w:val="20"/>
          <w:szCs w:val="20"/>
          <w:color w:val="auto"/>
        </w:rPr>
      </w:pPr>
    </w:p>
    <w:p>
      <w:pPr>
        <w:ind w:left="1040" w:hanging="516"/>
        <w:spacing w:after="0"/>
        <w:tabs>
          <w:tab w:leader="none" w:pos="1040" w:val="left"/>
        </w:tabs>
        <w:numPr>
          <w:ilvl w:val="0"/>
          <w:numId w:val="603"/>
        </w:numPr>
        <w:rPr>
          <w:rFonts w:ascii="Arial" w:cs="Arial" w:eastAsia="Arial" w:hAnsi="Arial"/>
          <w:sz w:val="14"/>
          <w:szCs w:val="14"/>
          <w:color w:val="auto"/>
        </w:rPr>
      </w:pPr>
      <w:r>
        <w:rPr>
          <w:rFonts w:ascii="Arial" w:cs="Arial" w:eastAsia="Arial" w:hAnsi="Arial"/>
          <w:sz w:val="14"/>
          <w:szCs w:val="14"/>
          <w:color w:val="auto"/>
        </w:rPr>
        <w:t>EMPIRICA shall pay promptly all amounts it owes hereunder to the INSTITUTIONS;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603"/>
        </w:numPr>
        <w:rPr>
          <w:rFonts w:ascii="Arial" w:cs="Arial" w:eastAsia="Arial" w:hAnsi="Arial"/>
          <w:sz w:val="14"/>
          <w:szCs w:val="14"/>
          <w:color w:val="auto"/>
        </w:rPr>
      </w:pPr>
      <w:r>
        <w:rPr>
          <w:rFonts w:ascii="Arial" w:cs="Arial" w:eastAsia="Arial" w:hAnsi="Arial"/>
          <w:sz w:val="14"/>
          <w:szCs w:val="14"/>
          <w:color w:val="auto"/>
        </w:rPr>
        <w:t>EMPIRICA shall assign any and all sub-licenses granted under this Agreement to the INSTITUTIONS;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603"/>
        </w:numPr>
        <w:rPr>
          <w:rFonts w:ascii="Arial" w:cs="Arial" w:eastAsia="Arial" w:hAnsi="Arial"/>
          <w:sz w:val="14"/>
          <w:szCs w:val="14"/>
          <w:color w:val="auto"/>
        </w:rPr>
      </w:pPr>
      <w:r>
        <w:rPr>
          <w:rFonts w:ascii="Arial" w:cs="Arial" w:eastAsia="Arial" w:hAnsi="Arial"/>
          <w:sz w:val="14"/>
          <w:szCs w:val="14"/>
          <w:color w:val="auto"/>
        </w:rPr>
        <w:t>subject to Subsection 4.6 (e), EMPIRICA shall return to the respective INSTITUTIONS all Confidential Information; and</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603"/>
        </w:numPr>
        <w:rPr>
          <w:rFonts w:ascii="Arial" w:cs="Arial" w:eastAsia="Arial" w:hAnsi="Arial"/>
          <w:sz w:val="14"/>
          <w:szCs w:val="14"/>
          <w:color w:val="auto"/>
        </w:rPr>
      </w:pPr>
      <w:r>
        <w:rPr>
          <w:rFonts w:ascii="Arial" w:cs="Arial" w:eastAsia="Arial" w:hAnsi="Arial"/>
          <w:sz w:val="14"/>
          <w:szCs w:val="14"/>
          <w:color w:val="auto"/>
        </w:rPr>
        <w:t>upon termination, EMPIRICA, or its successor(s), or its assignee(s) will immediately assign back to the INSTITUTIONS all Patents identified in Schedule “B” that were assigned, excluding any jointly-owned Intellectual Property Rights, which shall be subject to the IP Rights Management Agreement to be entered into pursuant to paragraph (b) above.</w:t>
      </w:r>
    </w:p>
    <w:p>
      <w:pPr>
        <w:spacing w:after="0" w:line="137"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7</w:t>
      </w:r>
    </w:p>
    <w:p>
      <w:pPr>
        <w:spacing w:after="0" w:line="25"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GENERAL</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3"/>
          <w:szCs w:val="13"/>
          <w:b w:val="1"/>
          <w:bCs w:val="1"/>
          <w:color w:val="auto"/>
        </w:rPr>
        <w:t>Time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Time is of the essence of each provision of this Agreement.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7.2</w:t>
      </w:r>
      <w:r>
        <w:rPr>
          <w:sz w:val="20"/>
          <w:szCs w:val="20"/>
          <w:color w:val="auto"/>
        </w:rPr>
        <w:tab/>
      </w:r>
      <w:r>
        <w:rPr>
          <w:rFonts w:ascii="Arial" w:cs="Arial" w:eastAsia="Arial" w:hAnsi="Arial"/>
          <w:sz w:val="12"/>
          <w:szCs w:val="12"/>
          <w:b w:val="1"/>
          <w:bCs w:val="1"/>
          <w:color w:val="auto"/>
        </w:rPr>
        <w:t>Assignment and Sub-Licenses</w:t>
      </w:r>
    </w:p>
    <w:p>
      <w:pPr>
        <w:spacing w:after="0" w:line="188" w:lineRule="exact"/>
        <w:rPr>
          <w:sz w:val="20"/>
          <w:szCs w:val="20"/>
          <w:color w:val="auto"/>
        </w:rPr>
      </w:pPr>
    </w:p>
    <w:p>
      <w:pPr>
        <w:ind w:left="1040" w:hanging="516"/>
        <w:spacing w:after="0" w:line="288" w:lineRule="auto"/>
        <w:tabs>
          <w:tab w:leader="none" w:pos="1040" w:val="left"/>
        </w:tabs>
        <w:numPr>
          <w:ilvl w:val="0"/>
          <w:numId w:val="604"/>
        </w:numPr>
        <w:rPr>
          <w:rFonts w:ascii="Arial" w:cs="Arial" w:eastAsia="Arial" w:hAnsi="Arial"/>
          <w:sz w:val="14"/>
          <w:szCs w:val="14"/>
          <w:color w:val="auto"/>
        </w:rPr>
      </w:pPr>
      <w:r>
        <w:rPr>
          <w:rFonts w:ascii="Arial" w:cs="Arial" w:eastAsia="Arial" w:hAnsi="Arial"/>
          <w:sz w:val="14"/>
          <w:szCs w:val="14"/>
          <w:color w:val="auto"/>
        </w:rPr>
        <w:t>Neither Party may sell, assign, Encumber, license or otherwise transfer any of its rights, duties or obligations hereunder without the prior written consent of the other Party, which consent shall not be unreasonably withheld.</w:t>
      </w:r>
    </w:p>
    <w:p>
      <w:pPr>
        <w:spacing w:after="0" w:line="131" w:lineRule="exact"/>
        <w:rPr>
          <w:rFonts w:ascii="Arial" w:cs="Arial" w:eastAsia="Arial" w:hAnsi="Arial"/>
          <w:sz w:val="14"/>
          <w:szCs w:val="14"/>
          <w:color w:val="auto"/>
        </w:rPr>
      </w:pPr>
    </w:p>
    <w:p>
      <w:pPr>
        <w:jc w:val="both"/>
        <w:ind w:left="1040" w:hanging="516"/>
        <w:spacing w:after="0" w:line="303" w:lineRule="auto"/>
        <w:tabs>
          <w:tab w:leader="none" w:pos="1040" w:val="left"/>
        </w:tabs>
        <w:numPr>
          <w:ilvl w:val="0"/>
          <w:numId w:val="604"/>
        </w:numPr>
        <w:rPr>
          <w:rFonts w:ascii="Arial" w:cs="Arial" w:eastAsia="Arial" w:hAnsi="Arial"/>
          <w:sz w:val="13"/>
          <w:szCs w:val="13"/>
          <w:color w:val="auto"/>
        </w:rPr>
      </w:pPr>
      <w:r>
        <w:rPr>
          <w:rFonts w:ascii="Arial" w:cs="Arial" w:eastAsia="Arial" w:hAnsi="Arial"/>
          <w:sz w:val="13"/>
          <w:szCs w:val="13"/>
          <w:color w:val="auto"/>
        </w:rPr>
        <w:t>EMPIRICA may assign this Agreement in conjunction with a) a corporate reorganization; or b) a sale or transfer of all or substantially all of its business or assets associated with the subject matter hereof provided that the assignee accepts in writing all the terms and conditions of this Agreement, and EMPIRICA notifies the Representatives of the INSTITUTIONS of any such assignment, providing details thereof, and the INSTITUTIONS provides consent to do so, where such consent not to be unreasonably withheld.</w:t>
      </w:r>
    </w:p>
    <w:p>
      <w:pPr>
        <w:spacing w:after="0" w:line="124" w:lineRule="exact"/>
        <w:rPr>
          <w:rFonts w:ascii="Arial" w:cs="Arial" w:eastAsia="Arial" w:hAnsi="Arial"/>
          <w:sz w:val="13"/>
          <w:szCs w:val="13"/>
          <w:color w:val="auto"/>
        </w:rPr>
      </w:pPr>
    </w:p>
    <w:p>
      <w:pPr>
        <w:jc w:val="both"/>
        <w:ind w:left="1040" w:hanging="516"/>
        <w:spacing w:after="0" w:line="273" w:lineRule="auto"/>
        <w:tabs>
          <w:tab w:leader="none" w:pos="1040" w:val="left"/>
        </w:tabs>
        <w:numPr>
          <w:ilvl w:val="0"/>
          <w:numId w:val="604"/>
        </w:numPr>
        <w:rPr>
          <w:rFonts w:ascii="Arial" w:cs="Arial" w:eastAsia="Arial" w:hAnsi="Arial"/>
          <w:sz w:val="14"/>
          <w:szCs w:val="14"/>
          <w:color w:val="auto"/>
        </w:rPr>
      </w:pPr>
      <w:r>
        <w:rPr>
          <w:rFonts w:ascii="Arial" w:cs="Arial" w:eastAsia="Arial" w:hAnsi="Arial"/>
          <w:sz w:val="14"/>
          <w:szCs w:val="14"/>
          <w:color w:val="auto"/>
        </w:rPr>
        <w:t>EMPIRICA is responsible for any and all activities of any Sub-Licensee and the Sub-Licensees shall adhere to all confidentiality, indemnity and insurance requirements set forth in this Agreement. No sub-license granted by EMPIRICA shall be less favorable with respect to any term or condition to the INSTITUTIONS than the license granted herein. Further</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96" w:name="page797"/>
    <w:bookmarkEnd w:id="796"/>
    <w:p>
      <w:pPr>
        <w:ind w:left="1040"/>
        <w:spacing w:after="0"/>
        <w:rPr>
          <w:sz w:val="20"/>
          <w:szCs w:val="20"/>
          <w:color w:val="auto"/>
        </w:rPr>
      </w:pPr>
      <w:r>
        <w:rPr>
          <w:rFonts w:ascii="Arial" w:cs="Arial" w:eastAsia="Arial" w:hAnsi="Arial"/>
          <w:sz w:val="14"/>
          <w:szCs w:val="14"/>
          <w:color w:val="auto"/>
        </w:rPr>
        <w:t>EMPIRICA shall be vicariously liable for any breaches of the obligations under this Agreement in connection with the activities of a sub-licensee.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2"/>
          <w:szCs w:val="12"/>
          <w:b w:val="1"/>
          <w:bCs w:val="1"/>
          <w:color w:val="auto"/>
        </w:rPr>
        <w:t>Notices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Any notice, demand or other communication required or permitted to be given or made hereunder shall be in writing and shall be sufficiently given or made if delivered personally or sent by prepaid registered mail to its address or by confirmed email or telecopier to the number and to the attention of the person set forth below:</w:t>
      </w:r>
    </w:p>
    <w:p>
      <w:pPr>
        <w:spacing w:after="0" w:line="132" w:lineRule="exact"/>
        <w:rPr>
          <w:sz w:val="20"/>
          <w:szCs w:val="20"/>
          <w:color w:val="auto"/>
        </w:rPr>
      </w:pPr>
    </w:p>
    <w:p>
      <w:pPr>
        <w:ind w:left="1040" w:hanging="516"/>
        <w:spacing w:after="0"/>
        <w:tabs>
          <w:tab w:leader="none" w:pos="1040" w:val="left"/>
        </w:tabs>
        <w:numPr>
          <w:ilvl w:val="0"/>
          <w:numId w:val="605"/>
        </w:numPr>
        <w:rPr>
          <w:rFonts w:ascii="Arial" w:cs="Arial" w:eastAsia="Arial" w:hAnsi="Arial"/>
          <w:sz w:val="14"/>
          <w:szCs w:val="14"/>
          <w:color w:val="auto"/>
        </w:rPr>
      </w:pPr>
      <w:r>
        <w:rPr>
          <w:rFonts w:ascii="Arial" w:cs="Arial" w:eastAsia="Arial" w:hAnsi="Arial"/>
          <w:sz w:val="14"/>
          <w:szCs w:val="14"/>
          <w:color w:val="auto"/>
        </w:rPr>
        <w:t>In the case of a notice to EMPIRICA:</w:t>
      </w:r>
    </w:p>
    <w:p>
      <w:pPr>
        <w:spacing w:after="0" w:line="180"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b w:val="1"/>
          <w:bCs w:val="1"/>
          <w:color w:val="auto"/>
        </w:rPr>
        <w:t>EMPIRICA THERAPEUTICS INC.</w:t>
      </w:r>
    </w:p>
    <w:p>
      <w:pPr>
        <w:spacing w:after="0" w:line="188"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Attention: Dr. Sheila Singh</w:t>
      </w:r>
    </w:p>
    <w:p>
      <w:pPr>
        <w:spacing w:after="0" w:line="2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E-mail: [***]</w:t>
      </w:r>
    </w:p>
    <w:p>
      <w:pPr>
        <w:spacing w:after="0" w:line="174" w:lineRule="exact"/>
        <w:rPr>
          <w:rFonts w:ascii="Arial" w:cs="Arial" w:eastAsia="Arial" w:hAnsi="Arial"/>
          <w:sz w:val="14"/>
          <w:szCs w:val="14"/>
          <w:color w:val="auto"/>
        </w:rPr>
      </w:pPr>
    </w:p>
    <w:p>
      <w:pPr>
        <w:ind w:left="1040" w:hanging="516"/>
        <w:spacing w:after="0"/>
        <w:tabs>
          <w:tab w:leader="none" w:pos="1040" w:val="left"/>
        </w:tabs>
        <w:numPr>
          <w:ilvl w:val="0"/>
          <w:numId w:val="605"/>
        </w:numPr>
        <w:rPr>
          <w:rFonts w:ascii="Arial" w:cs="Arial" w:eastAsia="Arial" w:hAnsi="Arial"/>
          <w:sz w:val="14"/>
          <w:szCs w:val="14"/>
          <w:color w:val="auto"/>
        </w:rPr>
      </w:pPr>
      <w:r>
        <w:rPr>
          <w:rFonts w:ascii="Arial" w:cs="Arial" w:eastAsia="Arial" w:hAnsi="Arial"/>
          <w:sz w:val="14"/>
          <w:szCs w:val="14"/>
          <w:color w:val="auto"/>
        </w:rPr>
        <w:t>In the case of a notice to the INSTITUTIONS:</w:t>
      </w:r>
    </w:p>
    <w:p>
      <w:pPr>
        <w:spacing w:after="0" w:line="180" w:lineRule="exact"/>
        <w:rPr>
          <w:rFonts w:ascii="Arial" w:cs="Arial" w:eastAsia="Arial" w:hAnsi="Arial"/>
          <w:sz w:val="14"/>
          <w:szCs w:val="14"/>
          <w:color w:val="auto"/>
        </w:rPr>
      </w:pPr>
    </w:p>
    <w:p>
      <w:pPr>
        <w:ind w:left="1040" w:right="7060"/>
        <w:spacing w:after="0" w:line="267" w:lineRule="auto"/>
        <w:rPr>
          <w:rFonts w:ascii="Arial" w:cs="Arial" w:eastAsia="Arial" w:hAnsi="Arial"/>
          <w:sz w:val="14"/>
          <w:szCs w:val="14"/>
          <w:color w:val="auto"/>
        </w:rPr>
      </w:pPr>
      <w:r>
        <w:rPr>
          <w:rFonts w:ascii="Arial" w:cs="Arial" w:eastAsia="Arial" w:hAnsi="Arial"/>
          <w:sz w:val="14"/>
          <w:szCs w:val="14"/>
          <w:b w:val="1"/>
          <w:bCs w:val="1"/>
          <w:color w:val="auto"/>
        </w:rPr>
        <w:t xml:space="preserve">The Governing Council of the University of Toronto </w:t>
      </w:r>
      <w:r>
        <w:rPr>
          <w:rFonts w:ascii="Arial" w:cs="Arial" w:eastAsia="Arial" w:hAnsi="Arial"/>
          <w:sz w:val="14"/>
          <w:szCs w:val="14"/>
          <w:color w:val="auto"/>
        </w:rPr>
        <w:t>Banting Institute,</w:t>
      </w:r>
    </w:p>
    <w:p>
      <w:pPr>
        <w:ind w:left="1040" w:right="8460"/>
        <w:spacing w:after="0" w:line="257" w:lineRule="auto"/>
        <w:rPr>
          <w:rFonts w:ascii="Arial" w:cs="Arial" w:eastAsia="Arial" w:hAnsi="Arial"/>
          <w:sz w:val="14"/>
          <w:szCs w:val="14"/>
          <w:color w:val="auto"/>
        </w:rPr>
      </w:pPr>
      <w:r>
        <w:rPr>
          <w:rFonts w:ascii="Arial" w:cs="Arial" w:eastAsia="Arial" w:hAnsi="Arial"/>
          <w:sz w:val="14"/>
          <w:szCs w:val="14"/>
          <w:color w:val="auto"/>
        </w:rPr>
        <w:t>100 College Street, Room 413, Toronto, Ontario</w:t>
      </w:r>
    </w:p>
    <w:p>
      <w:pPr>
        <w:ind w:left="1040" w:right="9660"/>
        <w:spacing w:after="0" w:line="274" w:lineRule="auto"/>
        <w:rPr>
          <w:rFonts w:ascii="Arial" w:cs="Arial" w:eastAsia="Arial" w:hAnsi="Arial"/>
          <w:sz w:val="14"/>
          <w:szCs w:val="14"/>
          <w:color w:val="auto"/>
        </w:rPr>
      </w:pPr>
      <w:r>
        <w:rPr>
          <w:rFonts w:ascii="Arial" w:cs="Arial" w:eastAsia="Arial" w:hAnsi="Arial"/>
          <w:sz w:val="14"/>
          <w:szCs w:val="14"/>
          <w:color w:val="auto"/>
        </w:rPr>
        <w:t>M5G 1L5 Canada</w:t>
      </w:r>
    </w:p>
    <w:p>
      <w:pPr>
        <w:spacing w:after="0" w:line="140"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Attention: Jennifer Fraser</w:t>
      </w:r>
    </w:p>
    <w:p>
      <w:pPr>
        <w:spacing w:after="0" w:line="2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E-mail: commercialization@utoronto.ca</w:t>
      </w:r>
    </w:p>
    <w:p>
      <w:pPr>
        <w:spacing w:after="0" w:line="1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Telecopier No: (416) 978-6052</w:t>
      </w:r>
    </w:p>
    <w:p>
      <w:pPr>
        <w:spacing w:after="0" w:line="1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With copy to: [***]</w:t>
      </w:r>
    </w:p>
    <w:p>
      <w:pPr>
        <w:spacing w:after="0" w:line="170"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b w:val="1"/>
          <w:bCs w:val="1"/>
          <w:color w:val="auto"/>
        </w:rPr>
        <w:t>McMaster University</w:t>
      </w:r>
    </w:p>
    <w:p>
      <w:pPr>
        <w:spacing w:after="0" w:line="25" w:lineRule="exact"/>
        <w:rPr>
          <w:rFonts w:ascii="Arial" w:cs="Arial" w:eastAsia="Arial" w:hAnsi="Arial"/>
          <w:sz w:val="14"/>
          <w:szCs w:val="14"/>
          <w:color w:val="auto"/>
        </w:rPr>
      </w:pPr>
    </w:p>
    <w:p>
      <w:pPr>
        <w:ind w:left="1040" w:right="8880"/>
        <w:spacing w:after="0" w:line="257" w:lineRule="auto"/>
        <w:rPr>
          <w:rFonts w:ascii="Arial" w:cs="Arial" w:eastAsia="Arial" w:hAnsi="Arial"/>
          <w:sz w:val="14"/>
          <w:szCs w:val="14"/>
          <w:color w:val="auto"/>
        </w:rPr>
      </w:pPr>
      <w:r>
        <w:rPr>
          <w:rFonts w:ascii="Arial" w:cs="Arial" w:eastAsia="Arial" w:hAnsi="Arial"/>
          <w:sz w:val="14"/>
          <w:szCs w:val="14"/>
          <w:color w:val="auto"/>
        </w:rPr>
        <w:t>1280 Main Street West, Hamilton, ON</w:t>
      </w:r>
    </w:p>
    <w:p>
      <w:pPr>
        <w:ind w:left="1040"/>
        <w:spacing w:after="0"/>
        <w:rPr>
          <w:rFonts w:ascii="Arial" w:cs="Arial" w:eastAsia="Arial" w:hAnsi="Arial"/>
          <w:sz w:val="14"/>
          <w:szCs w:val="14"/>
          <w:color w:val="auto"/>
        </w:rPr>
      </w:pPr>
      <w:r>
        <w:rPr>
          <w:rFonts w:ascii="Arial" w:cs="Arial" w:eastAsia="Arial" w:hAnsi="Arial"/>
          <w:sz w:val="14"/>
          <w:szCs w:val="14"/>
          <w:color w:val="auto"/>
        </w:rPr>
        <w:t>L8S 4K1, Canada</w:t>
      </w:r>
    </w:p>
    <w:p>
      <w:pPr>
        <w:spacing w:after="0" w:line="174"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Attention: Jae-Ho Yoo</w:t>
      </w:r>
    </w:p>
    <w:p>
      <w:pPr>
        <w:spacing w:after="0" w:line="2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Email: [***]</w:t>
      </w:r>
    </w:p>
    <w:p>
      <w:pPr>
        <w:spacing w:after="0" w:line="174" w:lineRule="exact"/>
        <w:rPr>
          <w:rFonts w:ascii="Arial" w:cs="Arial" w:eastAsia="Arial" w:hAnsi="Arial"/>
          <w:sz w:val="14"/>
          <w:szCs w:val="14"/>
          <w:color w:val="auto"/>
        </w:rPr>
      </w:pPr>
    </w:p>
    <w:p>
      <w:pPr>
        <w:ind w:left="1040" w:hanging="516"/>
        <w:spacing w:after="0"/>
        <w:tabs>
          <w:tab w:leader="none" w:pos="1040" w:val="left"/>
        </w:tabs>
        <w:numPr>
          <w:ilvl w:val="0"/>
          <w:numId w:val="605"/>
        </w:numPr>
        <w:rPr>
          <w:rFonts w:ascii="Arial" w:cs="Arial" w:eastAsia="Arial" w:hAnsi="Arial"/>
          <w:sz w:val="14"/>
          <w:szCs w:val="14"/>
          <w:color w:val="auto"/>
        </w:rPr>
      </w:pPr>
      <w:r>
        <w:rPr>
          <w:rFonts w:ascii="Arial" w:cs="Arial" w:eastAsia="Arial" w:hAnsi="Arial"/>
          <w:sz w:val="14"/>
          <w:szCs w:val="14"/>
          <w:color w:val="auto"/>
        </w:rPr>
        <w:t>In the case of a notice to CCAB</w:t>
      </w:r>
    </w:p>
    <w:p>
      <w:pPr>
        <w:spacing w:after="0" w:line="180" w:lineRule="exact"/>
        <w:rPr>
          <w:rFonts w:ascii="Arial" w:cs="Arial" w:eastAsia="Arial" w:hAnsi="Arial"/>
          <w:sz w:val="14"/>
          <w:szCs w:val="14"/>
          <w:color w:val="auto"/>
        </w:rPr>
      </w:pPr>
    </w:p>
    <w:p>
      <w:pPr>
        <w:ind w:left="1040" w:right="6180"/>
        <w:spacing w:after="0" w:line="267" w:lineRule="auto"/>
        <w:rPr>
          <w:rFonts w:ascii="Arial" w:cs="Arial" w:eastAsia="Arial" w:hAnsi="Arial"/>
          <w:sz w:val="14"/>
          <w:szCs w:val="14"/>
          <w:color w:val="auto"/>
        </w:rPr>
      </w:pPr>
      <w:r>
        <w:rPr>
          <w:rFonts w:ascii="Arial" w:cs="Arial" w:eastAsia="Arial" w:hAnsi="Arial"/>
          <w:sz w:val="14"/>
          <w:szCs w:val="14"/>
          <w:b w:val="1"/>
          <w:bCs w:val="1"/>
          <w:color w:val="auto"/>
        </w:rPr>
        <w:t xml:space="preserve">The Centre for the Commercialization of Antibodies and Biologics </w:t>
      </w:r>
      <w:r>
        <w:rPr>
          <w:rFonts w:ascii="Arial" w:cs="Arial" w:eastAsia="Arial" w:hAnsi="Arial"/>
          <w:sz w:val="14"/>
          <w:szCs w:val="14"/>
          <w:color w:val="auto"/>
        </w:rPr>
        <w:t>Banting Institute,</w:t>
      </w:r>
    </w:p>
    <w:p>
      <w:pPr>
        <w:ind w:left="1040" w:right="8520"/>
        <w:spacing w:after="0" w:line="257" w:lineRule="auto"/>
        <w:rPr>
          <w:rFonts w:ascii="Arial" w:cs="Arial" w:eastAsia="Arial" w:hAnsi="Arial"/>
          <w:sz w:val="14"/>
          <w:szCs w:val="14"/>
          <w:color w:val="auto"/>
        </w:rPr>
      </w:pPr>
      <w:r>
        <w:rPr>
          <w:rFonts w:ascii="Arial" w:cs="Arial" w:eastAsia="Arial" w:hAnsi="Arial"/>
          <w:sz w:val="14"/>
          <w:szCs w:val="14"/>
          <w:color w:val="auto"/>
        </w:rPr>
        <w:t>100 College Street, Room 80, Toronto, Ontario</w:t>
      </w:r>
    </w:p>
    <w:p>
      <w:pPr>
        <w:ind w:left="1040"/>
        <w:spacing w:after="0"/>
        <w:rPr>
          <w:rFonts w:ascii="Arial" w:cs="Arial" w:eastAsia="Arial" w:hAnsi="Arial"/>
          <w:sz w:val="14"/>
          <w:szCs w:val="14"/>
          <w:color w:val="auto"/>
        </w:rPr>
      </w:pPr>
      <w:r>
        <w:rPr>
          <w:rFonts w:ascii="Arial" w:cs="Arial" w:eastAsia="Arial" w:hAnsi="Arial"/>
          <w:sz w:val="14"/>
          <w:szCs w:val="14"/>
          <w:color w:val="auto"/>
        </w:rPr>
        <w:t>M5G 1L5</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797" w:name="page798"/>
    <w:bookmarkEnd w:id="797"/>
    <w:p>
      <w:pPr>
        <w:ind w:left="1040"/>
        <w:spacing w:after="0"/>
        <w:rPr>
          <w:sz w:val="20"/>
          <w:szCs w:val="20"/>
          <w:color w:val="auto"/>
        </w:rPr>
      </w:pPr>
      <w:r>
        <w:rPr>
          <w:rFonts w:ascii="Arial" w:cs="Arial" w:eastAsia="Arial" w:hAnsi="Arial"/>
          <w:sz w:val="14"/>
          <w:szCs w:val="14"/>
          <w:color w:val="auto"/>
        </w:rPr>
        <w:t>Attention: Robert Verhagen</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robert.verhagen@ccabcanada.com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Each notice sent in accordance with this Subsection 7.3 shall be deemed to have been given and received:</w:t>
      </w:r>
    </w:p>
    <w:p>
      <w:pPr>
        <w:spacing w:after="0" w:line="184" w:lineRule="exact"/>
        <w:rPr>
          <w:sz w:val="20"/>
          <w:szCs w:val="20"/>
          <w:color w:val="auto"/>
        </w:rPr>
      </w:pPr>
    </w:p>
    <w:p>
      <w:pPr>
        <w:ind w:left="1560" w:hanging="518"/>
        <w:spacing w:after="0"/>
        <w:tabs>
          <w:tab w:leader="none" w:pos="1560" w:val="left"/>
        </w:tabs>
        <w:numPr>
          <w:ilvl w:val="0"/>
          <w:numId w:val="606"/>
        </w:numPr>
        <w:rPr>
          <w:rFonts w:ascii="Arial" w:cs="Arial" w:eastAsia="Arial" w:hAnsi="Arial"/>
          <w:sz w:val="14"/>
          <w:szCs w:val="14"/>
          <w:color w:val="auto"/>
        </w:rPr>
      </w:pPr>
      <w:r>
        <w:rPr>
          <w:rFonts w:ascii="Arial" w:cs="Arial" w:eastAsia="Arial" w:hAnsi="Arial"/>
          <w:sz w:val="14"/>
          <w:szCs w:val="14"/>
          <w:color w:val="auto"/>
        </w:rPr>
        <w:t>if delivered, on the day it was delivered if received within normal business hours;</w:t>
      </w:r>
    </w:p>
    <w:p>
      <w:pPr>
        <w:spacing w:after="0" w:line="134" w:lineRule="exact"/>
        <w:rPr>
          <w:rFonts w:ascii="Arial" w:cs="Arial" w:eastAsia="Arial" w:hAnsi="Arial"/>
          <w:sz w:val="14"/>
          <w:szCs w:val="14"/>
          <w:color w:val="auto"/>
        </w:rPr>
      </w:pPr>
    </w:p>
    <w:p>
      <w:pPr>
        <w:ind w:left="1560" w:hanging="518"/>
        <w:spacing w:after="0"/>
        <w:tabs>
          <w:tab w:leader="none" w:pos="1560" w:val="left"/>
        </w:tabs>
        <w:numPr>
          <w:ilvl w:val="0"/>
          <w:numId w:val="606"/>
        </w:numPr>
        <w:rPr>
          <w:rFonts w:ascii="Arial" w:cs="Arial" w:eastAsia="Arial" w:hAnsi="Arial"/>
          <w:sz w:val="26"/>
          <w:szCs w:val="26"/>
          <w:color w:val="auto"/>
          <w:vertAlign w:val="superscript"/>
        </w:rPr>
      </w:pPr>
      <w:r>
        <w:rPr>
          <w:rFonts w:ascii="Arial" w:cs="Arial" w:eastAsia="Arial" w:hAnsi="Arial"/>
          <w:sz w:val="13"/>
          <w:szCs w:val="13"/>
          <w:color w:val="auto"/>
        </w:rPr>
        <w:t>if mailed, on the fifth (5</w:t>
      </w:r>
      <w:r>
        <w:rPr>
          <w:rFonts w:ascii="Arial" w:cs="Arial" w:eastAsia="Arial" w:hAnsi="Arial"/>
          <w:sz w:val="21"/>
          <w:szCs w:val="21"/>
          <w:color w:val="auto"/>
          <w:vertAlign w:val="superscript"/>
        </w:rPr>
        <w:t>th</w:t>
      </w:r>
      <w:r>
        <w:rPr>
          <w:rFonts w:ascii="Arial" w:cs="Arial" w:eastAsia="Arial" w:hAnsi="Arial"/>
          <w:sz w:val="13"/>
          <w:szCs w:val="13"/>
          <w:color w:val="auto"/>
        </w:rPr>
        <w:t>) business day following the date on which it was mailed, unless an interruption of postal services occurs or is continuing on or within the five</w:t>
      </w:r>
    </w:p>
    <w:p>
      <w:pPr>
        <w:ind w:left="1560"/>
        <w:spacing w:after="0"/>
        <w:rPr>
          <w:rFonts w:ascii="Arial" w:cs="Arial" w:eastAsia="Arial" w:hAnsi="Arial"/>
          <w:sz w:val="26"/>
          <w:szCs w:val="26"/>
          <w:color w:val="auto"/>
          <w:vertAlign w:val="superscript"/>
        </w:rPr>
      </w:pPr>
      <w:r>
        <w:rPr>
          <w:rFonts w:ascii="Arial" w:cs="Arial" w:eastAsia="Arial" w:hAnsi="Arial"/>
          <w:sz w:val="13"/>
          <w:szCs w:val="13"/>
          <w:color w:val="auto"/>
        </w:rPr>
        <w:t>(5) business days after the date of mailings in which case the notice shall be deemed to have been received on the fifth (5</w:t>
      </w:r>
      <w:r>
        <w:rPr>
          <w:rFonts w:ascii="Arial" w:cs="Arial" w:eastAsia="Arial" w:hAnsi="Arial"/>
          <w:sz w:val="21"/>
          <w:szCs w:val="21"/>
          <w:color w:val="auto"/>
          <w:vertAlign w:val="superscript"/>
        </w:rPr>
        <w:t>th</w:t>
      </w:r>
      <w:r>
        <w:rPr>
          <w:rFonts w:ascii="Arial" w:cs="Arial" w:eastAsia="Arial" w:hAnsi="Arial"/>
          <w:sz w:val="13"/>
          <w:szCs w:val="13"/>
          <w:color w:val="auto"/>
        </w:rPr>
        <w:t>) business day after postal service resumes;</w:t>
      </w:r>
    </w:p>
    <w:p>
      <w:pPr>
        <w:spacing w:after="0" w:line="93" w:lineRule="exact"/>
        <w:rPr>
          <w:rFonts w:ascii="Arial" w:cs="Arial" w:eastAsia="Arial" w:hAnsi="Arial"/>
          <w:sz w:val="26"/>
          <w:szCs w:val="26"/>
          <w:color w:val="auto"/>
          <w:vertAlign w:val="superscript"/>
        </w:rPr>
      </w:pPr>
    </w:p>
    <w:p>
      <w:pPr>
        <w:ind w:left="1560" w:hanging="518"/>
        <w:spacing w:after="0" w:line="187" w:lineRule="auto"/>
        <w:tabs>
          <w:tab w:leader="none" w:pos="1560" w:val="left"/>
        </w:tabs>
        <w:numPr>
          <w:ilvl w:val="0"/>
          <w:numId w:val="606"/>
        </w:numPr>
        <w:rPr>
          <w:rFonts w:ascii="Arial" w:cs="Arial" w:eastAsia="Arial" w:hAnsi="Arial"/>
          <w:sz w:val="29"/>
          <w:szCs w:val="29"/>
          <w:color w:val="auto"/>
          <w:vertAlign w:val="superscript"/>
        </w:rPr>
      </w:pPr>
      <w:r>
        <w:rPr>
          <w:rFonts w:ascii="Arial" w:cs="Arial" w:eastAsia="Arial" w:hAnsi="Arial"/>
          <w:sz w:val="14"/>
          <w:szCs w:val="14"/>
          <w:color w:val="auto"/>
        </w:rPr>
        <w:t>if sent by e-mail or telecopier, on the day it was received, or on the first (1</w:t>
      </w:r>
      <w:r>
        <w:rPr>
          <w:rFonts w:ascii="Arial" w:cs="Arial" w:eastAsia="Arial" w:hAnsi="Arial"/>
          <w:sz w:val="23"/>
          <w:szCs w:val="23"/>
          <w:color w:val="auto"/>
          <w:vertAlign w:val="superscript"/>
        </w:rPr>
        <w:t>st</w:t>
      </w:r>
      <w:r>
        <w:rPr>
          <w:rFonts w:ascii="Arial" w:cs="Arial" w:eastAsia="Arial" w:hAnsi="Arial"/>
          <w:sz w:val="14"/>
          <w:szCs w:val="14"/>
          <w:color w:val="auto"/>
        </w:rPr>
        <w:t>) business day thereafter if the day on which it was sent was not a business day or outside normal business hours.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Either Party may, by notice to the other, given as aforesaid, designate a changed address e-mail address, or telecopier number.</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3"/>
          <w:szCs w:val="13"/>
          <w:b w:val="1"/>
          <w:bCs w:val="1"/>
          <w:color w:val="auto"/>
        </w:rPr>
        <w:t>Severability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the event any term or any part of any term of this Agreement is determined to be void or unenforceable, such term or part of a term shall be considered separate and severable from this Agreement and the remaining terms shall continue in full force and effect.</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7.5</w:t>
      </w:r>
      <w:r>
        <w:rPr>
          <w:sz w:val="20"/>
          <w:szCs w:val="20"/>
          <w:color w:val="auto"/>
        </w:rPr>
        <w:tab/>
      </w:r>
      <w:r>
        <w:rPr>
          <w:rFonts w:ascii="Arial" w:cs="Arial" w:eastAsia="Arial" w:hAnsi="Arial"/>
          <w:sz w:val="13"/>
          <w:szCs w:val="13"/>
          <w:b w:val="1"/>
          <w:bCs w:val="1"/>
          <w:color w:val="auto"/>
        </w:rPr>
        <w:t>Governing Law &amp; Attornment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This Agreement shall be governed by and interpreted and enforced in accordance with the laws of the Province of Ontario and the federal laws of Canada applicable therein (excluding any conflict of laws, rule or principle which might refer such interpretation to the laws of another jurisdiction). Subject to Section 7.6, each Party hereby attorns and submits to the exclusive jurisdiction of the Ontario Superior Court of Justice in any action or proceeding arising out of or relating to this Agreement. Further, each Party hereby agrees that service may be made on any Representative of the Parties hereto, whether in Toronto or elsewhere. Finally, each Party hereby agrees that all such claims in respect of such actions or proceedings shall be heard and determined in Toronto in such Ontario court. Notwithstanding any of the foregoing, the Parties acknowledge that a Patent is governed by the laws of its granting jurisdiction.</w:t>
      </w:r>
    </w:p>
    <w:p>
      <w:pPr>
        <w:spacing w:after="0" w:line="129"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7.6</w:t>
      </w:r>
      <w:r>
        <w:rPr>
          <w:sz w:val="20"/>
          <w:szCs w:val="20"/>
          <w:color w:val="auto"/>
        </w:rPr>
        <w:tab/>
      </w:r>
      <w:r>
        <w:rPr>
          <w:rFonts w:ascii="Arial" w:cs="Arial" w:eastAsia="Arial" w:hAnsi="Arial"/>
          <w:sz w:val="13"/>
          <w:szCs w:val="13"/>
          <w:b w:val="1"/>
          <w:bCs w:val="1"/>
          <w:color w:val="auto"/>
        </w:rPr>
        <w:t>Conflict Resolution</w:t>
      </w:r>
    </w:p>
    <w:p>
      <w:pPr>
        <w:spacing w:after="0" w:line="188" w:lineRule="exact"/>
        <w:rPr>
          <w:sz w:val="20"/>
          <w:szCs w:val="20"/>
          <w:color w:val="auto"/>
        </w:rPr>
      </w:pPr>
    </w:p>
    <w:p>
      <w:pPr>
        <w:ind w:left="1040" w:hanging="516"/>
        <w:spacing w:after="0"/>
        <w:tabs>
          <w:tab w:leader="none" w:pos="1040" w:val="left"/>
        </w:tabs>
        <w:numPr>
          <w:ilvl w:val="0"/>
          <w:numId w:val="607"/>
        </w:numPr>
        <w:rPr>
          <w:rFonts w:ascii="Arial" w:cs="Arial" w:eastAsia="Arial" w:hAnsi="Arial"/>
          <w:sz w:val="14"/>
          <w:szCs w:val="14"/>
          <w:color w:val="auto"/>
        </w:rPr>
      </w:pPr>
      <w:r>
        <w:rPr>
          <w:rFonts w:ascii="Arial" w:cs="Arial" w:eastAsia="Arial" w:hAnsi="Arial"/>
          <w:sz w:val="14"/>
          <w:szCs w:val="14"/>
          <w:color w:val="auto"/>
        </w:rPr>
        <w:t>Each Party forthwith following the execution of this Agreement will nominate a Representative to form a committee to address any and all</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798" w:name="page799"/>
    <w:bookmarkEnd w:id="798"/>
    <w:p>
      <w:pPr>
        <w:ind w:left="1040"/>
        <w:spacing w:after="0" w:line="294" w:lineRule="auto"/>
        <w:rPr>
          <w:sz w:val="20"/>
          <w:szCs w:val="20"/>
          <w:color w:val="auto"/>
        </w:rPr>
      </w:pPr>
      <w:r>
        <w:rPr>
          <w:rFonts w:ascii="Arial" w:cs="Arial" w:eastAsia="Arial" w:hAnsi="Arial"/>
          <w:sz w:val="14"/>
          <w:szCs w:val="14"/>
          <w:color w:val="auto"/>
        </w:rPr>
        <w:t>conflicts between the Parties hereto pursuant to the terms of this Agreement (the “</w:t>
      </w:r>
      <w:r>
        <w:rPr>
          <w:rFonts w:ascii="Arial" w:cs="Arial" w:eastAsia="Arial" w:hAnsi="Arial"/>
          <w:sz w:val="14"/>
          <w:szCs w:val="14"/>
          <w:b w:val="1"/>
          <w:bCs w:val="1"/>
          <w:color w:val="auto"/>
        </w:rPr>
        <w:t>Committee</w:t>
      </w:r>
      <w:r>
        <w:rPr>
          <w:rFonts w:ascii="Arial" w:cs="Arial" w:eastAsia="Arial" w:hAnsi="Arial"/>
          <w:sz w:val="14"/>
          <w:szCs w:val="14"/>
          <w:color w:val="auto"/>
        </w:rPr>
        <w:t>”). Each Party may change its Representative on the Committee at any time upon written notice to the other Party.</w:t>
      </w:r>
    </w:p>
    <w:p>
      <w:pPr>
        <w:spacing w:after="0" w:line="127" w:lineRule="exact"/>
        <w:rPr>
          <w:sz w:val="20"/>
          <w:szCs w:val="20"/>
          <w:color w:val="auto"/>
        </w:rPr>
      </w:pPr>
    </w:p>
    <w:p>
      <w:pPr>
        <w:jc w:val="both"/>
        <w:ind w:left="1040" w:hanging="516"/>
        <w:spacing w:after="0" w:line="303" w:lineRule="auto"/>
        <w:tabs>
          <w:tab w:leader="none" w:pos="1040" w:val="left"/>
        </w:tabs>
        <w:numPr>
          <w:ilvl w:val="0"/>
          <w:numId w:val="608"/>
        </w:numPr>
        <w:rPr>
          <w:rFonts w:ascii="Arial" w:cs="Arial" w:eastAsia="Arial" w:hAnsi="Arial"/>
          <w:sz w:val="13"/>
          <w:szCs w:val="13"/>
          <w:color w:val="auto"/>
        </w:rPr>
      </w:pPr>
      <w:r>
        <w:rPr>
          <w:rFonts w:ascii="Arial" w:cs="Arial" w:eastAsia="Arial" w:hAnsi="Arial"/>
          <w:sz w:val="13"/>
          <w:szCs w:val="13"/>
          <w:color w:val="auto"/>
        </w:rPr>
        <w:t>If a disagreement between the Parties arises about any matter which is the subject matter of this Agreement, then the aggrieved Party may give written notice to the responding Party and the Committee clearly setting out the matter of contention. The Parties shall have twenty (20) days to resolve their disagreement. If they cannot resolve the disagreement within the said time frame, they shall refer it to the Committee which shall then have ten (10) days to work with both Parties to try and resolve the conflict.</w:t>
      </w:r>
    </w:p>
    <w:p>
      <w:pPr>
        <w:spacing w:after="0" w:line="124" w:lineRule="exact"/>
        <w:rPr>
          <w:rFonts w:ascii="Arial" w:cs="Arial" w:eastAsia="Arial" w:hAnsi="Arial"/>
          <w:sz w:val="13"/>
          <w:szCs w:val="13"/>
          <w:color w:val="auto"/>
        </w:rPr>
      </w:pPr>
    </w:p>
    <w:p>
      <w:pPr>
        <w:ind w:left="1040" w:hanging="516"/>
        <w:spacing w:after="0" w:line="288" w:lineRule="auto"/>
        <w:tabs>
          <w:tab w:leader="none" w:pos="1040" w:val="left"/>
        </w:tabs>
        <w:numPr>
          <w:ilvl w:val="0"/>
          <w:numId w:val="608"/>
        </w:numPr>
        <w:rPr>
          <w:rFonts w:ascii="Arial" w:cs="Arial" w:eastAsia="Arial" w:hAnsi="Arial"/>
          <w:sz w:val="14"/>
          <w:szCs w:val="14"/>
          <w:color w:val="auto"/>
        </w:rPr>
      </w:pPr>
      <w:r>
        <w:rPr>
          <w:rFonts w:ascii="Arial" w:cs="Arial" w:eastAsia="Arial" w:hAnsi="Arial"/>
          <w:sz w:val="14"/>
          <w:szCs w:val="14"/>
          <w:color w:val="auto"/>
        </w:rPr>
        <w:t>If the Committee cannot resolve the conflict within the time period set out above, then the conflict shall be resolved according to Section 7.5 hereof, unless the parties agree to an alternative dispute resolution process, such as mediation or arbitration.</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7.7</w:t>
      </w:r>
      <w:r>
        <w:rPr>
          <w:sz w:val="20"/>
          <w:szCs w:val="20"/>
          <w:color w:val="auto"/>
        </w:rPr>
        <w:tab/>
      </w:r>
      <w:r>
        <w:rPr>
          <w:rFonts w:ascii="Arial" w:cs="Arial" w:eastAsia="Arial" w:hAnsi="Arial"/>
          <w:sz w:val="12"/>
          <w:szCs w:val="12"/>
          <w:b w:val="1"/>
          <w:bCs w:val="1"/>
          <w:color w:val="auto"/>
        </w:rPr>
        <w:t>Further Assurances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Parties agree to execute, acknowledge and deliver all such further instruments, and to do all such other acts, as may be necessary or appropriate to carry out the intent and purpose of this Agreement.</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7.8</w:t>
      </w:r>
      <w:r>
        <w:rPr>
          <w:sz w:val="20"/>
          <w:szCs w:val="20"/>
          <w:color w:val="auto"/>
        </w:rPr>
        <w:tab/>
      </w:r>
      <w:r>
        <w:rPr>
          <w:rFonts w:ascii="Arial" w:cs="Arial" w:eastAsia="Arial" w:hAnsi="Arial"/>
          <w:sz w:val="13"/>
          <w:szCs w:val="13"/>
          <w:b w:val="1"/>
          <w:bCs w:val="1"/>
          <w:color w:val="auto"/>
        </w:rPr>
        <w:t>Waiver of Rights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No failure or delay on a part of a Party hereto in exercising any right, power or remedy hereunder shall operate as a waiver thereof, nor shall any single or partial exercise of any such right, power or remedy preclude any other or future exercise thereof or the exercise of any other right, power or remedy. No waiver by a Party of a default under this Agreement shall operate against that Party as a waiver of such default unless made in writing and signed by an authorized officer of that Party.</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7.9</w:t>
      </w:r>
      <w:r>
        <w:rPr>
          <w:sz w:val="20"/>
          <w:szCs w:val="20"/>
          <w:color w:val="auto"/>
        </w:rPr>
        <w:tab/>
      </w:r>
      <w:r>
        <w:rPr>
          <w:rFonts w:ascii="Arial" w:cs="Arial" w:eastAsia="Arial" w:hAnsi="Arial"/>
          <w:sz w:val="12"/>
          <w:szCs w:val="12"/>
          <w:b w:val="1"/>
          <w:bCs w:val="1"/>
          <w:color w:val="auto"/>
        </w:rPr>
        <w:t>Relationship of the Parties</w:t>
      </w:r>
    </w:p>
    <w:p>
      <w:pPr>
        <w:spacing w:after="0" w:line="188" w:lineRule="exact"/>
        <w:rPr>
          <w:sz w:val="20"/>
          <w:szCs w:val="20"/>
          <w:color w:val="auto"/>
        </w:rPr>
      </w:pPr>
    </w:p>
    <w:p>
      <w:pPr>
        <w:jc w:val="both"/>
        <w:ind w:left="1040" w:hanging="516"/>
        <w:spacing w:after="0" w:line="273" w:lineRule="auto"/>
        <w:tabs>
          <w:tab w:leader="none" w:pos="1040" w:val="left"/>
        </w:tabs>
        <w:numPr>
          <w:ilvl w:val="0"/>
          <w:numId w:val="609"/>
        </w:numPr>
        <w:rPr>
          <w:rFonts w:ascii="Arial" w:cs="Arial" w:eastAsia="Arial" w:hAnsi="Arial"/>
          <w:sz w:val="14"/>
          <w:szCs w:val="14"/>
          <w:color w:val="auto"/>
        </w:rPr>
      </w:pPr>
      <w:r>
        <w:rPr>
          <w:rFonts w:ascii="Arial" w:cs="Arial" w:eastAsia="Arial" w:hAnsi="Arial"/>
          <w:sz w:val="14"/>
          <w:szCs w:val="14"/>
          <w:color w:val="auto"/>
        </w:rPr>
        <w:t>The relationship of EMPIRICA to either UT or MAC is that of an independent contractor and neither EMPIRICA nor its agents or employees shall be considered employees of UT or MAC, unless such personnel have an existing employee relationship with either UT or MAC outside of this Agreement. This Agreement does not constitute and shall not be construed as constituting a partnership or joint venture or grant of a franchise between EMPIRICA and the INSTITUTIONS.</w:t>
      </w:r>
    </w:p>
    <w:p>
      <w:pPr>
        <w:spacing w:after="0" w:line="141" w:lineRule="exact"/>
        <w:rPr>
          <w:rFonts w:ascii="Arial" w:cs="Arial" w:eastAsia="Arial" w:hAnsi="Arial"/>
          <w:sz w:val="14"/>
          <w:szCs w:val="14"/>
          <w:color w:val="auto"/>
        </w:rPr>
      </w:pPr>
    </w:p>
    <w:p>
      <w:pPr>
        <w:ind w:left="1040" w:hanging="516"/>
        <w:spacing w:after="0" w:line="329" w:lineRule="auto"/>
        <w:tabs>
          <w:tab w:leader="none" w:pos="1040" w:val="left"/>
        </w:tabs>
        <w:numPr>
          <w:ilvl w:val="0"/>
          <w:numId w:val="609"/>
        </w:numPr>
        <w:rPr>
          <w:rFonts w:ascii="Arial" w:cs="Arial" w:eastAsia="Arial" w:hAnsi="Arial"/>
          <w:sz w:val="13"/>
          <w:szCs w:val="13"/>
          <w:color w:val="auto"/>
        </w:rPr>
      </w:pPr>
      <w:r>
        <w:rPr>
          <w:rFonts w:ascii="Arial" w:cs="Arial" w:eastAsia="Arial" w:hAnsi="Arial"/>
          <w:sz w:val="13"/>
          <w:szCs w:val="13"/>
          <w:color w:val="auto"/>
        </w:rPr>
        <w:t>A Party will not use the name of any other Party, nor any member of such Party’s staff in any advertising or publicity without the prior written approval of an authorized Representative of the body whose name is to be used. However, a Party may notify others of the fact that this Agreement is in effect and of the name of the Parties involved.</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799" w:name="page800"/>
    <w:bookmarkEnd w:id="799"/>
    <w:p>
      <w:pPr>
        <w:spacing w:after="0"/>
        <w:tabs>
          <w:tab w:leader="none" w:pos="500" w:val="left"/>
        </w:tabs>
        <w:rPr>
          <w:sz w:val="20"/>
          <w:szCs w:val="20"/>
          <w:color w:val="auto"/>
        </w:rPr>
      </w:pPr>
      <w:r>
        <w:rPr>
          <w:rFonts w:ascii="Arial" w:cs="Arial" w:eastAsia="Arial" w:hAnsi="Arial"/>
          <w:sz w:val="14"/>
          <w:szCs w:val="14"/>
          <w:b w:val="1"/>
          <w:bCs w:val="1"/>
          <w:color w:val="auto"/>
        </w:rPr>
        <w:t>7.10</w:t>
      </w:r>
      <w:r>
        <w:rPr>
          <w:sz w:val="20"/>
          <w:szCs w:val="20"/>
          <w:color w:val="auto"/>
        </w:rPr>
        <w:tab/>
      </w:r>
      <w:r>
        <w:rPr>
          <w:rFonts w:ascii="Arial" w:cs="Arial" w:eastAsia="Arial" w:hAnsi="Arial"/>
          <w:sz w:val="13"/>
          <w:szCs w:val="13"/>
          <w:b w:val="1"/>
          <w:bCs w:val="1"/>
          <w:color w:val="auto"/>
        </w:rPr>
        <w:t>Force Majeure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No Party shall be liable to any other party for delay or failure in the performance of any of its obligations hereunder if such failure is caused by Force Majeure, as hereinafter defined. “</w:t>
      </w:r>
      <w:r>
        <w:rPr>
          <w:rFonts w:ascii="Arial" w:cs="Arial" w:eastAsia="Arial" w:hAnsi="Arial"/>
          <w:sz w:val="14"/>
          <w:szCs w:val="14"/>
          <w:b w:val="1"/>
          <w:bCs w:val="1"/>
          <w:color w:val="auto"/>
        </w:rPr>
        <w:t>Force</w:t>
      </w:r>
      <w:r>
        <w:rPr>
          <w:rFonts w:ascii="Arial" w:cs="Arial" w:eastAsia="Arial" w:hAnsi="Arial"/>
          <w:sz w:val="14"/>
          <w:szCs w:val="14"/>
          <w:color w:val="auto"/>
        </w:rPr>
        <w:t xml:space="preserve"> </w:t>
      </w:r>
      <w:r>
        <w:rPr>
          <w:rFonts w:ascii="Arial" w:cs="Arial" w:eastAsia="Arial" w:hAnsi="Arial"/>
          <w:sz w:val="14"/>
          <w:szCs w:val="14"/>
          <w:b w:val="1"/>
          <w:bCs w:val="1"/>
          <w:color w:val="auto"/>
        </w:rPr>
        <w:t>Majeure</w:t>
      </w:r>
      <w:r>
        <w:rPr>
          <w:rFonts w:ascii="Arial" w:cs="Arial" w:eastAsia="Arial" w:hAnsi="Arial"/>
          <w:sz w:val="14"/>
          <w:szCs w:val="14"/>
          <w:color w:val="auto"/>
        </w:rPr>
        <w:t>” means any act of God, action or failure to act of any government or governmental or regulatory authority, failure of supplies, materials, equipment, labour or transportation being</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by any other person, power failure or shortage, strike, lockout, work slowdown or stoppage, accident, fire, flood, explosion, storm, other natural occurrence, sabotage, act of terrorism, cyberattack, or other event beyond the control of the relevant party.</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7.11</w:t>
      </w:r>
      <w:r>
        <w:rPr>
          <w:sz w:val="20"/>
          <w:szCs w:val="20"/>
          <w:color w:val="auto"/>
        </w:rPr>
        <w:tab/>
      </w:r>
      <w:r>
        <w:rPr>
          <w:rFonts w:ascii="Arial" w:cs="Arial" w:eastAsia="Arial" w:hAnsi="Arial"/>
          <w:sz w:val="12"/>
          <w:szCs w:val="12"/>
          <w:b w:val="1"/>
          <w:bCs w:val="1"/>
          <w:color w:val="auto"/>
        </w:rPr>
        <w:t>Rights and Remedies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the event that any Party should breach or violate any covenant or obligation in this Agreement, the non-breaching Party shall be entitled, subject to Section 7.6 hereof, to exercise any right or remedy available to it at law. Such rights shall include, without limitation, termination of this Agreement, and damages.</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7.12</w:t>
      </w:r>
      <w:r>
        <w:rPr>
          <w:sz w:val="20"/>
          <w:szCs w:val="20"/>
          <w:color w:val="auto"/>
        </w:rPr>
        <w:tab/>
      </w:r>
      <w:r>
        <w:rPr>
          <w:rFonts w:ascii="Arial" w:cs="Arial" w:eastAsia="Arial" w:hAnsi="Arial"/>
          <w:sz w:val="13"/>
          <w:szCs w:val="13"/>
          <w:b w:val="1"/>
          <w:bCs w:val="1"/>
          <w:color w:val="auto"/>
        </w:rPr>
        <w:t>Entire Agreement</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This Agreement, including all attached Schedules which are hereby incorporated by reference, sets forth the entire agreement and understanding of the Parties relating to the subject matter contained herein and merges all prior discussions and agreements between them, and neither Party shall be bound by any definition, condition, warranty or representation other than expressly stated in this Agreement. Any amendment to this Agreement shall not be effective unless it is in writing and signed by the duly authorized signing officers of each Party.</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7.13</w:t>
      </w:r>
      <w:r>
        <w:rPr>
          <w:sz w:val="20"/>
          <w:szCs w:val="20"/>
          <w:color w:val="auto"/>
        </w:rPr>
        <w:tab/>
      </w:r>
      <w:r>
        <w:rPr>
          <w:rFonts w:ascii="Arial" w:cs="Arial" w:eastAsia="Arial" w:hAnsi="Arial"/>
          <w:sz w:val="12"/>
          <w:szCs w:val="12"/>
          <w:b w:val="1"/>
          <w:bCs w:val="1"/>
          <w:color w:val="auto"/>
        </w:rPr>
        <w:t>Electronic or Facsimile Execution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To evidence the fact that it has executed this Agreement, a Party may send a copy of its executed counterpart to the other Party in .pdf format by e-mail, or by facsimile transmission. That Party shall be deemed to have executed this Agreement on the date it sent such e-mail or facsimile transmission. In such event, such Party shall forthwith deliver to the other Party the counterpart of this Agreement executed by such Party.</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7.14</w:t>
      </w:r>
      <w:r>
        <w:rPr>
          <w:sz w:val="20"/>
          <w:szCs w:val="20"/>
          <w:color w:val="auto"/>
        </w:rPr>
        <w:tab/>
      </w:r>
      <w:r>
        <w:rPr>
          <w:rFonts w:ascii="Arial" w:cs="Arial" w:eastAsia="Arial" w:hAnsi="Arial"/>
          <w:sz w:val="13"/>
          <w:szCs w:val="13"/>
          <w:b w:val="1"/>
          <w:bCs w:val="1"/>
          <w:color w:val="auto"/>
        </w:rPr>
        <w:t>Counterparts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may be executed in one or more counterparts, each of which shall be deemed to be an original and all of which, together, shall constitute one and the same instrument.</w:t>
      </w:r>
    </w:p>
    <w:p>
      <w:pPr>
        <w:spacing w:after="0" w:line="19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7.15</w:t>
      </w:r>
      <w:r>
        <w:rPr>
          <w:sz w:val="20"/>
          <w:szCs w:val="20"/>
          <w:color w:val="auto"/>
        </w:rPr>
        <w:tab/>
      </w:r>
      <w:r>
        <w:rPr>
          <w:rFonts w:ascii="Arial" w:cs="Arial" w:eastAsia="Arial" w:hAnsi="Arial"/>
          <w:sz w:val="11"/>
          <w:szCs w:val="11"/>
          <w:b w:val="1"/>
          <w:bCs w:val="1"/>
          <w:color w:val="auto"/>
        </w:rPr>
        <w:t>Succession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This Agreement shall be binding upon and enure to the benefit of the Parties hereto and their respective heirs, executors, administrators and other legal Representative and, to the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73" w:right="319" w:bottom="1440" w:gutter="0" w:footer="0" w:header="0"/>
        </w:sectPr>
      </w:pPr>
    </w:p>
    <w:bookmarkStart w:id="800" w:name="page801"/>
    <w:bookmarkEnd w:id="800"/>
    <w:p>
      <w:pPr>
        <w:spacing w:after="0"/>
        <w:rPr>
          <w:sz w:val="20"/>
          <w:szCs w:val="20"/>
          <w:color w:val="auto"/>
        </w:rPr>
      </w:pPr>
      <w:r>
        <w:rPr>
          <w:rFonts w:ascii="Arial" w:cs="Arial" w:eastAsia="Arial" w:hAnsi="Arial"/>
          <w:sz w:val="14"/>
          <w:szCs w:val="14"/>
          <w:color w:val="auto"/>
        </w:rPr>
        <w:t>extent permitted hereunder, their respective successors and permitted assigns.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caused this Agreement to be executed as of the Effective Date in a legally binding manner.</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01" w:name="page802"/>
    <w:bookmarkEnd w:id="801"/>
    <w:tbl>
      <w:tblPr>
        <w:tblLayout w:type="fixed"/>
        <w:tblInd w:w="0" w:type="dxa"/>
        <w:tblCellMar>
          <w:top w:w="0" w:type="dxa"/>
          <w:left w:w="0" w:type="dxa"/>
          <w:bottom w:w="0" w:type="dxa"/>
          <w:right w:w="0" w:type="dxa"/>
        </w:tblCellMar>
      </w:tblPr>
      <w:tr>
        <w:trPr>
          <w:trHeight w:val="186"/>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rPr>
              <w:t>EMPIRICA THERAPEUTICS</w:t>
            </w:r>
          </w:p>
        </w:tc>
        <w:tc>
          <w:tcPr>
            <w:tcW w:w="6160" w:type="dxa"/>
            <w:vAlign w:val="bottom"/>
            <w:gridSpan w:val="3"/>
          </w:tcPr>
          <w:p>
            <w:pPr>
              <w:ind w:left="1680"/>
              <w:spacing w:after="0"/>
              <w:rPr>
                <w:sz w:val="20"/>
                <w:szCs w:val="20"/>
                <w:color w:val="auto"/>
              </w:rPr>
            </w:pPr>
            <w:r>
              <w:rPr>
                <w:rFonts w:ascii="Arial" w:cs="Arial" w:eastAsia="Arial" w:hAnsi="Arial"/>
                <w:sz w:val="14"/>
                <w:szCs w:val="14"/>
                <w:b w:val="1"/>
                <w:bCs w:val="1"/>
                <w:color w:val="auto"/>
              </w:rPr>
              <w:t>THE GOVERNING COUNCIL OF THE UNIVERSITY OF TORONTO</w:t>
            </w:r>
          </w:p>
        </w:tc>
      </w:tr>
      <w:tr>
        <w:trPr>
          <w:trHeight w:val="314"/>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900" w:type="dxa"/>
            <w:vAlign w:val="bottom"/>
          </w:tcPr>
          <w:p>
            <w:pPr>
              <w:spacing w:after="0"/>
              <w:rPr>
                <w:sz w:val="20"/>
                <w:szCs w:val="20"/>
                <w:color w:val="auto"/>
              </w:rPr>
            </w:pPr>
            <w:r>
              <w:rPr>
                <w:rFonts w:ascii="Arial" w:cs="Arial" w:eastAsia="Arial" w:hAnsi="Arial"/>
                <w:sz w:val="14"/>
                <w:szCs w:val="14"/>
                <w:color w:val="auto"/>
                <w:w w:val="90"/>
              </w:rPr>
              <w:t>/s/ Sheila Singh</w:t>
            </w:r>
          </w:p>
        </w:tc>
        <w:tc>
          <w:tcPr>
            <w:tcW w:w="2580" w:type="dxa"/>
            <w:vAlign w:val="bottom"/>
            <w:gridSpan w:val="2"/>
          </w:tcPr>
          <w:p>
            <w:pPr>
              <w:spacing w:after="0"/>
              <w:rPr>
                <w:sz w:val="24"/>
                <w:szCs w:val="24"/>
                <w:color w:val="auto"/>
              </w:rPr>
            </w:pPr>
          </w:p>
        </w:tc>
        <w:tc>
          <w:tcPr>
            <w:tcW w:w="2160" w:type="dxa"/>
            <w:vAlign w:val="bottom"/>
          </w:tcPr>
          <w:p>
            <w:pPr>
              <w:ind w:left="1680"/>
              <w:spacing w:after="0"/>
              <w:rPr>
                <w:sz w:val="20"/>
                <w:szCs w:val="20"/>
                <w:color w:val="auto"/>
              </w:rPr>
            </w:pPr>
            <w:r>
              <w:rPr>
                <w:rFonts w:ascii="Arial" w:cs="Arial" w:eastAsia="Arial" w:hAnsi="Arial"/>
                <w:sz w:val="14"/>
                <w:szCs w:val="14"/>
                <w:color w:val="auto"/>
              </w:rPr>
              <w:t>By:</w:t>
            </w:r>
          </w:p>
        </w:tc>
        <w:tc>
          <w:tcPr>
            <w:tcW w:w="4000" w:type="dxa"/>
            <w:vAlign w:val="bottom"/>
            <w:gridSpan w:val="2"/>
          </w:tcPr>
          <w:p>
            <w:pPr>
              <w:spacing w:after="0"/>
              <w:rPr>
                <w:sz w:val="20"/>
                <w:szCs w:val="20"/>
                <w:color w:val="auto"/>
              </w:rPr>
            </w:pPr>
            <w:r>
              <w:rPr>
                <w:rFonts w:ascii="Arial" w:cs="Arial" w:eastAsia="Arial" w:hAnsi="Arial"/>
                <w:sz w:val="14"/>
                <w:szCs w:val="14"/>
                <w:color w:val="auto"/>
              </w:rPr>
              <w:t>/s/ Jennifer Fraser</w:t>
            </w:r>
          </w:p>
        </w:tc>
      </w:tr>
      <w:tr>
        <w:trPr>
          <w:trHeight w:val="184"/>
        </w:trPr>
        <w:tc>
          <w:tcPr>
            <w:tcW w:w="480" w:type="dxa"/>
            <w:vAlign w:val="bottom"/>
          </w:tcPr>
          <w:p>
            <w:pPr>
              <w:spacing w:after="0"/>
              <w:rPr>
                <w:sz w:val="15"/>
                <w:szCs w:val="15"/>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(Signature)</w:t>
            </w:r>
          </w:p>
        </w:tc>
        <w:tc>
          <w:tcPr>
            <w:tcW w:w="2580" w:type="dxa"/>
            <w:vAlign w:val="bottom"/>
            <w:gridSpan w:val="2"/>
          </w:tcPr>
          <w:p>
            <w:pPr>
              <w:spacing w:after="0"/>
              <w:rPr>
                <w:sz w:val="15"/>
                <w:szCs w:val="15"/>
                <w:color w:val="auto"/>
              </w:rPr>
            </w:pPr>
          </w:p>
        </w:tc>
        <w:tc>
          <w:tcPr>
            <w:tcW w:w="2160" w:type="dxa"/>
            <w:vAlign w:val="bottom"/>
          </w:tcPr>
          <w:p>
            <w:pPr>
              <w:spacing w:after="0"/>
              <w:rPr>
                <w:sz w:val="15"/>
                <w:szCs w:val="15"/>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(Signature)</w:t>
            </w:r>
          </w:p>
        </w:tc>
        <w:tc>
          <w:tcPr>
            <w:tcW w:w="2980" w:type="dxa"/>
            <w:vAlign w:val="bottom"/>
          </w:tcPr>
          <w:p>
            <w:pPr>
              <w:spacing w:after="0"/>
              <w:rPr>
                <w:sz w:val="15"/>
                <w:szCs w:val="15"/>
                <w:color w:val="auto"/>
              </w:rPr>
            </w:pPr>
          </w:p>
        </w:tc>
      </w:tr>
      <w:tr>
        <w:trPr>
          <w:trHeight w:val="345"/>
        </w:trPr>
        <w:tc>
          <w:tcPr>
            <w:tcW w:w="3960" w:type="dxa"/>
            <w:vAlign w:val="bottom"/>
            <w:gridSpan w:val="4"/>
          </w:tcPr>
          <w:p>
            <w:pPr>
              <w:spacing w:after="0"/>
              <w:rPr>
                <w:sz w:val="20"/>
                <w:szCs w:val="20"/>
                <w:color w:val="auto"/>
              </w:rPr>
            </w:pPr>
            <w:r>
              <w:rPr>
                <w:rFonts w:ascii="Arial" w:cs="Arial" w:eastAsia="Arial" w:hAnsi="Arial"/>
                <w:sz w:val="14"/>
                <w:szCs w:val="14"/>
                <w:color w:val="auto"/>
              </w:rPr>
              <w:t>Name: Sheila Singh, MD, PhD, FRCS</w:t>
            </w:r>
          </w:p>
        </w:tc>
        <w:tc>
          <w:tcPr>
            <w:tcW w:w="6160" w:type="dxa"/>
            <w:vAlign w:val="bottom"/>
            <w:gridSpan w:val="3"/>
          </w:tcPr>
          <w:p>
            <w:pPr>
              <w:ind w:left="1680"/>
              <w:spacing w:after="0"/>
              <w:rPr>
                <w:sz w:val="20"/>
                <w:szCs w:val="20"/>
                <w:color w:val="auto"/>
              </w:rPr>
            </w:pPr>
            <w:r>
              <w:rPr>
                <w:rFonts w:ascii="Arial" w:cs="Arial" w:eastAsia="Arial" w:hAnsi="Arial"/>
                <w:sz w:val="14"/>
                <w:szCs w:val="14"/>
                <w:color w:val="auto"/>
              </w:rPr>
              <w:t>Name: Jennifer Fraser, MSC, MBA</w:t>
            </w:r>
          </w:p>
        </w:tc>
      </w:tr>
      <w:tr>
        <w:trPr>
          <w:trHeight w:val="345"/>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3480" w:type="dxa"/>
            <w:vAlign w:val="bottom"/>
            <w:gridSpan w:val="3"/>
          </w:tcPr>
          <w:p>
            <w:pPr>
              <w:spacing w:after="0"/>
              <w:rPr>
                <w:sz w:val="20"/>
                <w:szCs w:val="20"/>
                <w:color w:val="auto"/>
              </w:rPr>
            </w:pPr>
            <w:r>
              <w:rPr>
                <w:rFonts w:ascii="Arial" w:cs="Arial" w:eastAsia="Arial" w:hAnsi="Arial"/>
                <w:sz w:val="14"/>
                <w:szCs w:val="14"/>
                <w:color w:val="auto"/>
              </w:rPr>
              <w:t>CEO</w:t>
            </w:r>
          </w:p>
        </w:tc>
        <w:tc>
          <w:tcPr>
            <w:tcW w:w="2160" w:type="dxa"/>
            <w:vAlign w:val="bottom"/>
          </w:tcPr>
          <w:p>
            <w:pPr>
              <w:ind w:left="1680"/>
              <w:spacing w:after="0"/>
              <w:rPr>
                <w:sz w:val="20"/>
                <w:szCs w:val="20"/>
                <w:color w:val="auto"/>
              </w:rPr>
            </w:pPr>
            <w:r>
              <w:rPr>
                <w:rFonts w:ascii="Arial" w:cs="Arial" w:eastAsia="Arial" w:hAnsi="Arial"/>
                <w:sz w:val="14"/>
                <w:szCs w:val="14"/>
                <w:color w:val="auto"/>
              </w:rPr>
              <w:t>Title:</w:t>
            </w:r>
          </w:p>
        </w:tc>
        <w:tc>
          <w:tcPr>
            <w:tcW w:w="4000" w:type="dxa"/>
            <w:vAlign w:val="bottom"/>
            <w:gridSpan w:val="2"/>
          </w:tcPr>
          <w:p>
            <w:pPr>
              <w:spacing w:after="0"/>
              <w:rPr>
                <w:sz w:val="20"/>
                <w:szCs w:val="20"/>
                <w:color w:val="auto"/>
              </w:rPr>
            </w:pPr>
            <w:r>
              <w:rPr>
                <w:rFonts w:ascii="Arial" w:cs="Arial" w:eastAsia="Arial" w:hAnsi="Arial"/>
                <w:sz w:val="14"/>
                <w:szCs w:val="14"/>
                <w:color w:val="auto"/>
              </w:rPr>
              <w:t>Director, Innovations</w:t>
            </w:r>
          </w:p>
        </w:tc>
      </w:tr>
      <w:tr>
        <w:trPr>
          <w:trHeight w:val="345"/>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rPr>
              <w:t>MCMASTER UNIVERSITY</w:t>
            </w: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3480" w:type="dxa"/>
            <w:vAlign w:val="bottom"/>
            <w:gridSpan w:val="3"/>
          </w:tcPr>
          <w:p>
            <w:pPr>
              <w:spacing w:after="0"/>
              <w:rPr>
                <w:sz w:val="20"/>
                <w:szCs w:val="20"/>
                <w:color w:val="auto"/>
              </w:rPr>
            </w:pPr>
            <w:r>
              <w:rPr>
                <w:rFonts w:ascii="Arial" w:cs="Arial" w:eastAsia="Arial" w:hAnsi="Arial"/>
                <w:sz w:val="14"/>
                <w:szCs w:val="14"/>
                <w:color w:val="auto"/>
              </w:rPr>
              <w:t>/s/ Gay Yuyitung</w:t>
            </w: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84"/>
        </w:trPr>
        <w:tc>
          <w:tcPr>
            <w:tcW w:w="480" w:type="dxa"/>
            <w:vAlign w:val="bottom"/>
          </w:tcPr>
          <w:p>
            <w:pPr>
              <w:spacing w:after="0"/>
              <w:rPr>
                <w:sz w:val="15"/>
                <w:szCs w:val="15"/>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(Signature)</w:t>
            </w:r>
          </w:p>
        </w:tc>
        <w:tc>
          <w:tcPr>
            <w:tcW w:w="25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80" w:type="dxa"/>
            <w:vAlign w:val="bottom"/>
          </w:tcPr>
          <w:p>
            <w:pPr>
              <w:spacing w:after="0"/>
              <w:rPr>
                <w:sz w:val="15"/>
                <w:szCs w:val="15"/>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Name: Gay Yuyitung</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Title:</w:t>
        <w:tab/>
        <w:t>Director, McMaster Industrial Liaison Office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Acknowledged by: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CENTRE FOR THE COMMERCIALIZATION OF ANTIBODIES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BIOLOGICS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/s/ Robert Verhagen</w:t>
            </w:r>
          </w:p>
        </w:tc>
      </w:tr>
      <w:tr>
        <w:trPr>
          <w:trHeight w:val="184"/>
        </w:trPr>
        <w:tc>
          <w:tcPr>
            <w:tcW w:w="48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(Signature)</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Name: Robert Verhagen</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Title:</w:t>
        <w:tab/>
        <w:t>CEO</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098" w:right="319" w:bottom="1440" w:gutter="0" w:footer="0" w:header="0"/>
        </w:sectPr>
      </w:pPr>
    </w:p>
    <w:bookmarkStart w:id="802" w:name="page803"/>
    <w:bookmarkEnd w:id="802"/>
    <w:p>
      <w:pPr>
        <w:jc w:val="center"/>
        <w:spacing w:after="0"/>
        <w:rPr>
          <w:sz w:val="20"/>
          <w:szCs w:val="20"/>
          <w:color w:val="auto"/>
        </w:rPr>
      </w:pPr>
      <w:r>
        <w:rPr>
          <w:rFonts w:ascii="Arial" w:cs="Arial" w:eastAsia="Arial" w:hAnsi="Arial"/>
          <w:sz w:val="14"/>
          <w:szCs w:val="14"/>
          <w:b w:val="1"/>
          <w:bCs w:val="1"/>
          <w:color w:val="auto"/>
        </w:rPr>
        <w:t>SCHEDULE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to License And Term Sheet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803" w:name="page804"/>
    <w:bookmarkEnd w:id="803"/>
    <w:p>
      <w:pPr>
        <w:jc w:val="center"/>
        <w:spacing w:after="0"/>
        <w:rPr>
          <w:sz w:val="20"/>
          <w:szCs w:val="20"/>
          <w:color w:val="auto"/>
        </w:rPr>
      </w:pPr>
      <w:r>
        <w:rPr>
          <w:rFonts w:ascii="Arial" w:cs="Arial" w:eastAsia="Arial" w:hAnsi="Arial"/>
          <w:sz w:val="14"/>
          <w:szCs w:val="14"/>
          <w:b w:val="1"/>
          <w:bCs w:val="1"/>
          <w:color w:val="auto"/>
        </w:rPr>
        <w:t>SCHEDULE “B”</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LICENSED INVENTIONS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804" w:name="page805"/>
    <w:bookmarkEnd w:id="804"/>
    <w:p>
      <w:pPr>
        <w:ind w:left="10300"/>
        <w:spacing w:after="0"/>
        <w:rPr>
          <w:sz w:val="20"/>
          <w:szCs w:val="20"/>
          <w:color w:val="auto"/>
        </w:rPr>
      </w:pPr>
      <w:r>
        <w:rPr>
          <w:rFonts w:ascii="Arial" w:cs="Arial" w:eastAsia="Arial" w:hAnsi="Arial"/>
          <w:sz w:val="16"/>
          <w:szCs w:val="16"/>
          <w:b w:val="1"/>
          <w:bCs w:val="1"/>
          <w:color w:val="auto"/>
        </w:rPr>
        <w:t>Exhibit 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986915" cy="45212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986915" cy="45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7220" w:type="dxa"/>
            <w:vAlign w:val="bottom"/>
          </w:tcPr>
          <w:p>
            <w:pPr>
              <w:ind w:left="260"/>
              <w:spacing w:after="0"/>
              <w:rPr>
                <w:sz w:val="20"/>
                <w:szCs w:val="20"/>
                <w:color w:val="auto"/>
              </w:rPr>
            </w:pPr>
            <w:r>
              <w:rPr>
                <w:rFonts w:ascii="Arial" w:cs="Arial" w:eastAsia="Arial" w:hAnsi="Arial"/>
                <w:sz w:val="14"/>
                <w:szCs w:val="14"/>
                <w:b w:val="1"/>
                <w:bCs w:val="1"/>
                <w:color w:val="auto"/>
              </w:rPr>
              <w:t>MAD7 Research and Development License</w:t>
            </w:r>
          </w:p>
        </w:tc>
      </w:tr>
      <w:tr>
        <w:trPr>
          <w:trHeight w:val="187"/>
        </w:trPr>
        <w:tc>
          <w:tcPr>
            <w:tcW w:w="4080" w:type="dxa"/>
            <w:vAlign w:val="bottom"/>
            <w:tcBorders>
              <w:bottom w:val="single" w:sz="8" w:color="auto"/>
            </w:tcBorders>
          </w:tcPr>
          <w:p>
            <w:pPr>
              <w:spacing w:after="0"/>
              <w:rPr>
                <w:sz w:val="16"/>
                <w:szCs w:val="16"/>
                <w:color w:val="auto"/>
              </w:rPr>
            </w:pPr>
          </w:p>
        </w:tc>
        <w:tc>
          <w:tcPr>
            <w:tcW w:w="72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Effective January 1, 2019</w:t>
            </w:r>
          </w:p>
        </w:tc>
      </w:tr>
      <w:tr>
        <w:trPr>
          <w:trHeight w:val="164"/>
        </w:trPr>
        <w:tc>
          <w:tcPr>
            <w:tcW w:w="40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TERMS</w:t>
            </w:r>
          </w:p>
        </w:tc>
        <w:tc>
          <w:tcPr>
            <w:tcW w:w="7220" w:type="dxa"/>
            <w:vAlign w:val="bottom"/>
            <w:tcBorders>
              <w:bottom w:val="single" w:sz="8" w:color="auto"/>
              <w:right w:val="single" w:sz="8" w:color="auto"/>
            </w:tcBorders>
          </w:tcPr>
          <w:p>
            <w:pPr>
              <w:spacing w:after="0"/>
              <w:rPr>
                <w:sz w:val="14"/>
                <w:szCs w:val="14"/>
                <w:color w:val="auto"/>
              </w:rPr>
            </w:pP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License Type</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w w:val="97"/>
              </w:rPr>
              <w:t>Non-exclusive, non-transferable license in the Licensed Fields of Use from Inscripta, Inc. for research and development</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using 1) the MAD7 nuclease (as defined by SEQ ID NO:7 in U.S. Pat. No. 9,982,279); or 2) native and codon optimized</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nucleic acids encoding a MAD7 nuclease. 1) and 2) collectively are referred to as “MAD7”. This license in the Licensed</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8"/>
              </w:rPr>
              <w:t>Fields of Use is irrevocable, subject to licensee not using MAD7 in the Excluded Fields of Use below without reaching</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further agreement with Inscripta.</w:t>
            </w:r>
          </w:p>
        </w:tc>
      </w:tr>
      <w:tr>
        <w:trPr>
          <w:trHeight w:val="164"/>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Inscripta, Inc. Contact</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General Counsel, Inscripta, Inc. (dianna.devore@inscripta.com)</w:t>
            </w: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Licensed Patent(s)</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rPr>
              <w:t>U.S. Patent No. 9,982,279, U.S. Patent No. 10,337,028, and applications claiming priority therefrom, including</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continuations, continuations-in part, divisionals, and foreign counterparts.</w:t>
            </w: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Licensed Fields of Use</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w w:val="96"/>
              </w:rPr>
              <w:t>1) Use of MAD7 to perform research and development in both academic and commercial settings with no restrictions on</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plant or animal species and varieties; 2) use of MAD7 to perform commercial services, subject to the Excluded Fields of</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Use.</w:t>
            </w: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Excluded Fields of use</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rPr>
              <w:t>1) Sale or re-sale of MAD7, including as part of a therapeutic product; or 2) continued use of MAD7 in a commercial</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8"/>
              </w:rPr>
              <w:t>manufacturing process; and 3) use of MAD7 in the editing of human embryos. For clarity, the use of MAD7 to create a</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4"/>
              </w:rPr>
              <w:t>commercial product that does not physically contain MAD7 at the time of sale and does not require continued use of MAD7</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for manufacture is not considered an Excluded Field of Use.</w:t>
            </w:r>
          </w:p>
        </w:tc>
      </w:tr>
      <w:tr>
        <w:trPr>
          <w:trHeight w:val="164"/>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Licensed Territory</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Worldwide</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Duration</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The duration of the last valid claim of the Licensed Patent(s)</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ROYALTIES &amp; PAYMENTS</w:t>
            </w:r>
          </w:p>
        </w:tc>
        <w:tc>
          <w:tcPr>
            <w:tcW w:w="7220" w:type="dxa"/>
            <w:vAlign w:val="bottom"/>
            <w:tcBorders>
              <w:bottom w:val="single" w:sz="8" w:color="auto"/>
              <w:right w:val="single" w:sz="8" w:color="auto"/>
            </w:tcBorders>
          </w:tcPr>
          <w:p>
            <w:pPr>
              <w:spacing w:after="0"/>
              <w:rPr>
                <w:sz w:val="14"/>
                <w:szCs w:val="14"/>
                <w:color w:val="auto"/>
              </w:rPr>
            </w:pP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Initial License Fee</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None</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Earned Royalties</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None</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CHOICE OF LAW</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8"/>
              </w:rPr>
              <w:t>This Agreement shall be governed by the laws of the State of Delaware, without reference to conflict of laws principles</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SUBLICENSING</w:t>
            </w:r>
          </w:p>
        </w:tc>
        <w:tc>
          <w:tcPr>
            <w:tcW w:w="7220" w:type="dxa"/>
            <w:vAlign w:val="bottom"/>
            <w:tcBorders>
              <w:bottom w:val="single" w:sz="8" w:color="auto"/>
              <w:right w:val="single" w:sz="8" w:color="auto"/>
            </w:tcBorders>
          </w:tcPr>
          <w:p>
            <w:pPr>
              <w:spacing w:after="0"/>
              <w:rPr>
                <w:sz w:val="14"/>
                <w:szCs w:val="14"/>
                <w:color w:val="auto"/>
              </w:rPr>
            </w:pP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Sublicensing</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w w:val="96"/>
              </w:rPr>
              <w:t>Not permitted; collaborators and/or distribution partners can acquire an individual license on the same terms as provided</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herein.</w:t>
            </w: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INSCRIPTA, INC.</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40" w:type="dxa"/>
            <w:vAlign w:val="bottom"/>
            <w:gridSpan w:val="3"/>
          </w:tcPr>
          <w:p>
            <w:pPr>
              <w:ind w:left="220"/>
              <w:spacing w:after="0"/>
              <w:rPr>
                <w:sz w:val="20"/>
                <w:szCs w:val="20"/>
                <w:color w:val="auto"/>
              </w:rPr>
            </w:pPr>
            <w:r>
              <w:rPr>
                <w:rFonts w:ascii="Arial" w:cs="Arial" w:eastAsia="Arial" w:hAnsi="Arial"/>
                <w:sz w:val="14"/>
                <w:szCs w:val="14"/>
                <w:b w:val="1"/>
                <w:bCs w:val="1"/>
                <w:color w:val="auto"/>
              </w:rPr>
              <w:t>CENTURY THERAPEUTICS, INC.</w:t>
            </w:r>
          </w:p>
        </w:tc>
      </w:tr>
      <w:tr>
        <w:trPr>
          <w:trHeight w:val="345"/>
        </w:trPr>
        <w:tc>
          <w:tcPr>
            <w:tcW w:w="4000" w:type="dxa"/>
            <w:vAlign w:val="bottom"/>
            <w:gridSpan w:val="2"/>
          </w:tcPr>
          <w:p>
            <w:pPr>
              <w:spacing w:after="0"/>
              <w:rPr>
                <w:sz w:val="20"/>
                <w:szCs w:val="20"/>
                <w:color w:val="auto"/>
              </w:rPr>
            </w:pPr>
            <w:r>
              <w:rPr>
                <w:rFonts w:ascii="Arial" w:cs="Arial" w:eastAsia="Arial" w:hAnsi="Arial"/>
                <w:sz w:val="14"/>
                <w:szCs w:val="14"/>
                <w:color w:val="auto"/>
              </w:rPr>
              <w:t>By:   /s/ Dianne L. DeVore</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4"/>
                <w:szCs w:val="14"/>
                <w:color w:val="auto"/>
              </w:rPr>
              <w:t>By:</w:t>
            </w:r>
          </w:p>
        </w:tc>
        <w:tc>
          <w:tcPr>
            <w:tcW w:w="5180" w:type="dxa"/>
            <w:vAlign w:val="bottom"/>
            <w:gridSpan w:val="2"/>
          </w:tcPr>
          <w:p>
            <w:pPr>
              <w:ind w:left="80"/>
              <w:spacing w:after="0"/>
              <w:rPr>
                <w:sz w:val="20"/>
                <w:szCs w:val="20"/>
                <w:color w:val="auto"/>
              </w:rPr>
            </w:pPr>
            <w:r>
              <w:rPr>
                <w:rFonts w:ascii="Arial" w:cs="Arial" w:eastAsia="Arial" w:hAnsi="Arial"/>
                <w:sz w:val="14"/>
                <w:szCs w:val="14"/>
                <w:color w:val="auto"/>
              </w:rPr>
              <w:t>/s/ Janelle Anderson</w:t>
            </w:r>
          </w:p>
        </w:tc>
      </w:tr>
      <w:tr>
        <w:trPr>
          <w:trHeight w:val="143"/>
        </w:trPr>
        <w:tc>
          <w:tcPr>
            <w:tcW w:w="360" w:type="dxa"/>
            <w:vAlign w:val="bottom"/>
          </w:tcPr>
          <w:p>
            <w:pPr>
              <w:spacing w:after="0" w:line="143" w:lineRule="exact"/>
              <w:rPr>
                <w:sz w:val="20"/>
                <w:szCs w:val="20"/>
                <w:color w:val="auto"/>
              </w:rPr>
            </w:pPr>
            <w:r>
              <w:rPr>
                <w:rFonts w:ascii="Arial" w:cs="Arial" w:eastAsia="Arial" w:hAnsi="Arial"/>
                <w:sz w:val="14"/>
                <w:szCs w:val="14"/>
                <w:color w:val="auto"/>
                <w:w w:val="76"/>
              </w:rPr>
              <w:t>Printed</w:t>
            </w:r>
          </w:p>
        </w:tc>
        <w:tc>
          <w:tcPr>
            <w:tcW w:w="364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Name: Dianne L. DeVore</w:t>
            </w: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60" w:type="dxa"/>
            <w:vAlign w:val="bottom"/>
          </w:tcPr>
          <w:p>
            <w:pPr>
              <w:ind w:left="220"/>
              <w:spacing w:after="0" w:line="143" w:lineRule="exact"/>
              <w:rPr>
                <w:sz w:val="20"/>
                <w:szCs w:val="20"/>
                <w:color w:val="auto"/>
              </w:rPr>
            </w:pPr>
            <w:r>
              <w:rPr>
                <w:rFonts w:ascii="Arial" w:cs="Arial" w:eastAsia="Arial" w:hAnsi="Arial"/>
                <w:sz w:val="14"/>
                <w:szCs w:val="14"/>
                <w:color w:val="auto"/>
                <w:w w:val="72"/>
              </w:rPr>
              <w:t>Printed</w:t>
            </w:r>
          </w:p>
        </w:tc>
        <w:tc>
          <w:tcPr>
            <w:tcW w:w="5180" w:type="dxa"/>
            <w:vAlign w:val="bottom"/>
            <w:tcBorders>
              <w:top w:val="single" w:sz="8" w:color="auto"/>
            </w:tcBorders>
            <w:gridSpan w:val="2"/>
          </w:tcPr>
          <w:p>
            <w:pPr>
              <w:ind w:left="120"/>
              <w:spacing w:after="0" w:line="143" w:lineRule="exact"/>
              <w:rPr>
                <w:sz w:val="20"/>
                <w:szCs w:val="20"/>
                <w:color w:val="auto"/>
              </w:rPr>
            </w:pPr>
            <w:r>
              <w:rPr>
                <w:rFonts w:ascii="Arial" w:cs="Arial" w:eastAsia="Arial" w:hAnsi="Arial"/>
                <w:sz w:val="14"/>
                <w:szCs w:val="14"/>
                <w:color w:val="auto"/>
              </w:rPr>
              <w:t>Name: Janelle Anderson</w:t>
            </w:r>
          </w:p>
        </w:tc>
      </w:tr>
      <w:tr>
        <w:trPr>
          <w:trHeight w:val="173"/>
        </w:trPr>
        <w:tc>
          <w:tcPr>
            <w:tcW w:w="4000" w:type="dxa"/>
            <w:vAlign w:val="bottom"/>
            <w:gridSpan w:val="2"/>
          </w:tcPr>
          <w:p>
            <w:pPr>
              <w:spacing w:after="0"/>
              <w:rPr>
                <w:sz w:val="20"/>
                <w:szCs w:val="20"/>
                <w:color w:val="auto"/>
              </w:rPr>
            </w:pPr>
            <w:r>
              <w:rPr>
                <w:rFonts w:ascii="Arial" w:cs="Arial" w:eastAsia="Arial" w:hAnsi="Arial"/>
                <w:sz w:val="14"/>
                <w:szCs w:val="14"/>
                <w:color w:val="auto"/>
              </w:rPr>
              <w:t>Title: General Counsel</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740" w:type="dxa"/>
            <w:vAlign w:val="bottom"/>
            <w:gridSpan w:val="3"/>
          </w:tcPr>
          <w:p>
            <w:pPr>
              <w:ind w:left="220"/>
              <w:spacing w:after="0"/>
              <w:rPr>
                <w:sz w:val="20"/>
                <w:szCs w:val="20"/>
                <w:color w:val="auto"/>
              </w:rPr>
            </w:pPr>
            <w:r>
              <w:rPr>
                <w:rFonts w:ascii="Arial" w:cs="Arial" w:eastAsia="Arial" w:hAnsi="Arial"/>
                <w:sz w:val="14"/>
                <w:szCs w:val="14"/>
                <w:color w:val="auto"/>
              </w:rPr>
              <w:t>Title: Chief Strategy Officer</w:t>
            </w:r>
          </w:p>
        </w:tc>
      </w:tr>
      <w:tr>
        <w:trPr>
          <w:trHeight w:val="182"/>
        </w:trPr>
        <w:tc>
          <w:tcPr>
            <w:tcW w:w="4000" w:type="dxa"/>
            <w:vAlign w:val="bottom"/>
            <w:gridSpan w:val="2"/>
          </w:tcPr>
          <w:p>
            <w:pPr>
              <w:spacing w:after="0"/>
              <w:rPr>
                <w:sz w:val="20"/>
                <w:szCs w:val="20"/>
                <w:color w:val="auto"/>
              </w:rPr>
            </w:pPr>
            <w:r>
              <w:rPr>
                <w:rFonts w:ascii="Arial" w:cs="Arial" w:eastAsia="Arial" w:hAnsi="Arial"/>
                <w:sz w:val="14"/>
                <w:szCs w:val="14"/>
                <w:color w:val="auto"/>
              </w:rPr>
              <w:t>Date: January 1, 2019</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color w:val="auto"/>
              </w:rPr>
              <w:t>Date 1 Jan 2019</w:t>
            </w:r>
          </w:p>
        </w:tc>
        <w:tc>
          <w:tcPr>
            <w:tcW w:w="4300" w:type="dxa"/>
            <w:vAlign w:val="bottom"/>
          </w:tcPr>
          <w:p>
            <w:pPr>
              <w:spacing w:after="0"/>
              <w:rPr>
                <w:sz w:val="15"/>
                <w:szCs w:val="15"/>
                <w:color w:val="auto"/>
              </w:rPr>
            </w:pPr>
          </w:p>
        </w:tc>
      </w:tr>
      <w:tr>
        <w:trPr>
          <w:trHeight w:val="345"/>
        </w:trPr>
        <w:tc>
          <w:tcPr>
            <w:tcW w:w="360" w:type="dxa"/>
            <w:vAlign w:val="bottom"/>
          </w:tcPr>
          <w:p>
            <w:pPr>
              <w:spacing w:after="0"/>
              <w:rPr>
                <w:sz w:val="24"/>
                <w:szCs w:val="24"/>
                <w:color w:val="auto"/>
              </w:rPr>
            </w:pPr>
          </w:p>
        </w:tc>
        <w:tc>
          <w:tcPr>
            <w:tcW w:w="3640" w:type="dxa"/>
            <w:vAlign w:val="bottom"/>
          </w:tcPr>
          <w:p>
            <w:pPr>
              <w:ind w:left="1860"/>
              <w:spacing w:after="0"/>
              <w:rPr>
                <w:sz w:val="20"/>
                <w:szCs w:val="20"/>
                <w:color w:val="auto"/>
              </w:rPr>
            </w:pPr>
            <w:r>
              <w:rPr>
                <w:rFonts w:ascii="Arial" w:cs="Arial" w:eastAsia="Arial" w:hAnsi="Arial"/>
                <w:sz w:val="14"/>
                <w:szCs w:val="14"/>
                <w:color w:val="auto"/>
              </w:rPr>
              <w:t>5500 Central Avenue</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360"/>
              <w:spacing w:after="0"/>
              <w:rPr>
                <w:sz w:val="20"/>
                <w:szCs w:val="20"/>
                <w:color w:val="auto"/>
              </w:rPr>
            </w:pPr>
            <w:r>
              <w:rPr>
                <w:rFonts w:ascii="Arial" w:cs="Arial" w:eastAsia="Arial" w:hAnsi="Arial"/>
                <w:sz w:val="14"/>
                <w:szCs w:val="14"/>
                <w:color w:val="auto"/>
              </w:rPr>
              <w:t>Suite 220</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300" w:type="dxa"/>
            <w:vAlign w:val="bottom"/>
          </w:tcPr>
          <w:p>
            <w:pPr>
              <w:ind w:left="300"/>
              <w:spacing w:after="0"/>
              <w:rPr>
                <w:sz w:val="20"/>
                <w:szCs w:val="20"/>
                <w:color w:val="auto"/>
              </w:rPr>
            </w:pPr>
            <w:r>
              <w:rPr>
                <w:rFonts w:ascii="Arial" w:cs="Arial" w:eastAsia="Arial" w:hAnsi="Arial"/>
                <w:sz w:val="14"/>
                <w:szCs w:val="14"/>
                <w:color w:val="auto"/>
              </w:rPr>
              <w:t>Boulder, CO 80301</w:t>
            </w:r>
          </w:p>
        </w:tc>
      </w:tr>
      <w:tr>
        <w:trPr>
          <w:trHeight w:val="562"/>
        </w:trPr>
        <w:tc>
          <w:tcPr>
            <w:tcW w:w="3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11" w:right="319" w:bottom="1440" w:gutter="0" w:footer="0" w:header="0"/>
        </w:sectPr>
      </w:pPr>
    </w:p>
    <w:bookmarkStart w:id="805" w:name="page806"/>
    <w:bookmarkEnd w:id="805"/>
    <w:p>
      <w:pPr>
        <w:jc w:val="right"/>
        <w:spacing w:after="0"/>
        <w:rPr>
          <w:sz w:val="20"/>
          <w:szCs w:val="20"/>
          <w:color w:val="auto"/>
        </w:rPr>
      </w:pPr>
      <w:r>
        <w:rPr>
          <w:rFonts w:ascii="Arial" w:cs="Arial" w:eastAsia="Arial" w:hAnsi="Arial"/>
          <w:sz w:val="14"/>
          <w:szCs w:val="14"/>
          <w:b w:val="1"/>
          <w:bCs w:val="1"/>
          <w:color w:val="auto"/>
        </w:rPr>
        <w:t>EXHIBIT 10.30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OSVALDO FLORES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WHEREAS, Executive is currently employed by the Company as its Chief Executive Officer in accordance with the terms and conditions of that certain offer letter by and between the Company and Executive dated August 13, 2018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71" w:lineRule="exact"/>
        <w:rPr>
          <w:sz w:val="20"/>
          <w:szCs w:val="20"/>
          <w:color w:val="auto"/>
        </w:rPr>
      </w:pPr>
    </w:p>
    <w:p>
      <w:pPr>
        <w:jc w:val="both"/>
        <w:ind w:firstLine="6"/>
        <w:spacing w:after="0" w:line="262" w:lineRule="auto"/>
        <w:tabs>
          <w:tab w:leader="none" w:pos="359" w:val="left"/>
        </w:tabs>
        <w:numPr>
          <w:ilvl w:val="0"/>
          <w:numId w:val="610"/>
        </w:numPr>
        <w:rPr>
          <w:rFonts w:ascii="Arial" w:cs="Arial" w:eastAsia="Arial" w:hAnsi="Arial"/>
          <w:sz w:val="14"/>
          <w:szCs w:val="14"/>
          <w:color w:val="auto"/>
        </w:rPr>
      </w:pPr>
      <w:r>
        <w:rPr>
          <w:rFonts w:ascii="Arial" w:cs="Arial" w:eastAsia="Arial" w:hAnsi="Arial"/>
          <w:sz w:val="14"/>
          <w:szCs w:val="14"/>
          <w:b w:val="1"/>
          <w:bCs w:val="1"/>
          <w:u w:val="single" w:color="auto"/>
          <w:color w:val="auto"/>
        </w:rPr>
        <w:t>Position</w:t>
      </w:r>
      <w:r>
        <w:rPr>
          <w:rFonts w:ascii="Arial" w:cs="Arial" w:eastAsia="Arial" w:hAnsi="Arial"/>
          <w:sz w:val="14"/>
          <w:szCs w:val="14"/>
          <w:color w:val="auto"/>
        </w:rPr>
        <w:t>. Executive will continue to serve as the Chief Executive Officer of the Company, reporting directly to the Board of Directors of the Company (the “</w:t>
      </w:r>
      <w:r>
        <w:rPr>
          <w:rFonts w:ascii="Arial" w:cs="Arial" w:eastAsia="Arial" w:hAnsi="Arial"/>
          <w:sz w:val="14"/>
          <w:szCs w:val="14"/>
          <w:b w:val="1"/>
          <w:bCs w:val="1"/>
          <w:color w:val="auto"/>
        </w:rPr>
        <w:t>Board</w:t>
      </w:r>
      <w:r>
        <w:rPr>
          <w:rFonts w:ascii="Arial" w:cs="Arial" w:eastAsia="Arial" w:hAnsi="Arial"/>
          <w:sz w:val="14"/>
          <w:szCs w:val="14"/>
          <w:color w:val="auto"/>
        </w:rPr>
        <w:t>”). In addition 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 The Company also expects that Executive will continue to serve, without the receipt of any additional compensation, as a member of the Board while employed as the Chief Executive Officer of the Company, subject to re-election by the Company’s stockholders from time to time. The Company will use commercially reasonable efforts to nominate Executive for election to a seat on the Board for as long as Executive continues to serve as Chief Executive Officer, provided that the failure of the Company’s stockholders to re-elect Executive will not be construed as a termination by Executive for “Good Reason” under </w:t>
      </w:r>
      <w:r>
        <w:rPr>
          <w:rFonts w:ascii="Arial" w:cs="Arial" w:eastAsia="Arial" w:hAnsi="Arial"/>
          <w:sz w:val="14"/>
          <w:szCs w:val="14"/>
          <w:u w:val="single" w:color="auto"/>
          <w:color w:val="auto"/>
        </w:rPr>
        <w:t>Section 12(e)(i)</w:t>
      </w:r>
      <w:r>
        <w:rPr>
          <w:rFonts w:ascii="Arial" w:cs="Arial" w:eastAsia="Arial" w:hAnsi="Arial"/>
          <w:sz w:val="14"/>
          <w:szCs w:val="14"/>
          <w:color w:val="auto"/>
        </w:rPr>
        <w:t>.</w:t>
      </w:r>
    </w:p>
    <w:p>
      <w:pPr>
        <w:spacing w:after="0" w:line="144" w:lineRule="exact"/>
        <w:rPr>
          <w:rFonts w:ascii="Arial" w:cs="Arial" w:eastAsia="Arial" w:hAnsi="Arial"/>
          <w:sz w:val="14"/>
          <w:szCs w:val="14"/>
          <w:color w:val="auto"/>
        </w:rPr>
      </w:pPr>
    </w:p>
    <w:p>
      <w:pPr>
        <w:ind w:firstLine="6"/>
        <w:spacing w:after="0" w:line="294" w:lineRule="auto"/>
        <w:tabs>
          <w:tab w:leader="none" w:pos="388" w:val="left"/>
        </w:tabs>
        <w:numPr>
          <w:ilvl w:val="0"/>
          <w:numId w:val="610"/>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the foregoing, if the Company’s common stock has not commenced trading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7159625" cy="698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06" w:name="page807"/>
    <w:bookmarkEnd w:id="806"/>
    <w:p>
      <w:pPr>
        <w:spacing w:after="0"/>
        <w:rPr>
          <w:sz w:val="20"/>
          <w:szCs w:val="20"/>
          <w:color w:val="auto"/>
        </w:rPr>
      </w:pPr>
      <w:r>
        <w:rPr>
          <w:rFonts w:ascii="Arial" w:cs="Arial" w:eastAsia="Arial" w:hAnsi="Arial"/>
          <w:sz w:val="14"/>
          <w:szCs w:val="14"/>
          <w:color w:val="auto"/>
        </w:rPr>
        <w:t>national stock exchange or national market system on or prior to December 31, 2022, this Agreement shall be null and void.</w:t>
      </w:r>
    </w:p>
    <w:p>
      <w:pPr>
        <w:spacing w:after="0" w:line="180" w:lineRule="exact"/>
        <w:rPr>
          <w:sz w:val="20"/>
          <w:szCs w:val="20"/>
          <w:color w:val="auto"/>
        </w:rPr>
      </w:pPr>
    </w:p>
    <w:p>
      <w:pPr>
        <w:ind w:firstLine="6"/>
        <w:spacing w:after="0" w:line="294" w:lineRule="auto"/>
        <w:tabs>
          <w:tab w:leader="none" w:pos="377" w:val="left"/>
        </w:tabs>
        <w:numPr>
          <w:ilvl w:val="0"/>
          <w:numId w:val="611"/>
        </w:numPr>
        <w:rPr>
          <w:rFonts w:ascii="Arial" w:cs="Arial" w:eastAsia="Arial" w:hAnsi="Arial"/>
          <w:sz w:val="14"/>
          <w:szCs w:val="14"/>
          <w:color w:val="auto"/>
        </w:rPr>
      </w:pPr>
      <w:r>
        <w:rPr>
          <w:rFonts w:ascii="Arial" w:cs="Arial" w:eastAsia="Arial" w:hAnsi="Arial"/>
          <w:sz w:val="14"/>
          <w:szCs w:val="14"/>
          <w:b w:val="1"/>
          <w:bCs w:val="1"/>
          <w:u w:val="single" w:color="auto"/>
          <w:color w:val="auto"/>
        </w:rPr>
        <w:t>Place of Performance</w:t>
      </w:r>
      <w:r>
        <w:rPr>
          <w:rFonts w:ascii="Arial" w:cs="Arial" w:eastAsia="Arial" w:hAnsi="Arial"/>
          <w:sz w:val="14"/>
          <w:szCs w:val="14"/>
          <w:color w:val="auto"/>
        </w:rPr>
        <w:t>. Executive will perform services hereunder at the principal executive offices of the Company in a location to be determined by the Board; provided, however, that</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may be required to travel from time to time for business purposes.</w:t>
      </w:r>
    </w:p>
    <w:p>
      <w:pPr>
        <w:spacing w:after="0" w:line="123" w:lineRule="exact"/>
        <w:rPr>
          <w:rFonts w:ascii="Arial" w:cs="Arial" w:eastAsia="Arial" w:hAnsi="Arial"/>
          <w:sz w:val="14"/>
          <w:szCs w:val="14"/>
          <w:color w:val="auto"/>
        </w:rPr>
      </w:pPr>
    </w:p>
    <w:p>
      <w:pPr>
        <w:jc w:val="both"/>
        <w:ind w:firstLine="6"/>
        <w:spacing w:after="0" w:line="276" w:lineRule="auto"/>
        <w:tabs>
          <w:tab w:leader="none" w:pos="377" w:val="left"/>
        </w:tabs>
        <w:numPr>
          <w:ilvl w:val="0"/>
          <w:numId w:val="611"/>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$557,000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of the Board (the “</w:t>
      </w:r>
      <w:r>
        <w:rPr>
          <w:rFonts w:ascii="Arial" w:cs="Arial" w:eastAsia="Arial" w:hAnsi="Arial"/>
          <w:sz w:val="14"/>
          <w:szCs w:val="14"/>
          <w:b w:val="1"/>
          <w:bCs w:val="1"/>
          <w:color w:val="auto"/>
        </w:rPr>
        <w:t>Committee</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6" w:lineRule="auto"/>
        <w:tabs>
          <w:tab w:leader="none" w:pos="377" w:val="left"/>
        </w:tabs>
        <w:numPr>
          <w:ilvl w:val="0"/>
          <w:numId w:val="611"/>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his employment, Executive will have the opportunity to earn an annual bonus with a target amount of 50% of the Base Salary in effect</w:t>
      </w:r>
      <w:r>
        <w:rPr>
          <w:rFonts w:ascii="Arial" w:cs="Arial" w:eastAsia="Arial" w:hAnsi="Arial"/>
          <w:sz w:val="14"/>
          <w:szCs w:val="14"/>
          <w:b w:val="1"/>
          <w:bCs w:val="1"/>
          <w:color w:val="auto"/>
        </w:rPr>
        <w:t xml:space="preserve"> </w:t>
      </w:r>
      <w:r>
        <w:rPr>
          <w:rFonts w:ascii="Arial" w:cs="Arial" w:eastAsia="Arial" w:hAnsi="Arial"/>
          <w:sz w:val="14"/>
          <w:szCs w:val="14"/>
          <w:color w:val="auto"/>
        </w:rPr>
        <w:t>at the end of the applicable year (the “</w:t>
      </w:r>
      <w:r>
        <w:rPr>
          <w:rFonts w:ascii="Arial" w:cs="Arial" w:eastAsia="Arial" w:hAnsi="Arial"/>
          <w:sz w:val="14"/>
          <w:szCs w:val="14"/>
          <w:b w:val="1"/>
          <w:bCs w:val="1"/>
          <w:color w:val="auto"/>
        </w:rPr>
        <w:t>Target Bonus</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3" w:lineRule="exact"/>
        <w:rPr>
          <w:rFonts w:ascii="Arial" w:cs="Arial" w:eastAsia="Arial" w:hAnsi="Arial"/>
          <w:sz w:val="14"/>
          <w:szCs w:val="14"/>
          <w:color w:val="auto"/>
        </w:rPr>
      </w:pPr>
    </w:p>
    <w:p>
      <w:pPr>
        <w:ind w:left="400" w:hanging="394"/>
        <w:spacing w:after="0"/>
        <w:tabs>
          <w:tab w:leader="none" w:pos="400" w:val="left"/>
        </w:tabs>
        <w:numPr>
          <w:ilvl w:val="0"/>
          <w:numId w:val="611"/>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4" w:lineRule="exact"/>
        <w:rPr>
          <w:rFonts w:ascii="Arial" w:cs="Arial" w:eastAsia="Arial" w:hAnsi="Arial"/>
          <w:sz w:val="14"/>
          <w:szCs w:val="14"/>
          <w:color w:val="auto"/>
        </w:rPr>
      </w:pPr>
    </w:p>
    <w:p>
      <w:pPr>
        <w:ind w:left="380" w:hanging="374"/>
        <w:spacing w:after="0"/>
        <w:tabs>
          <w:tab w:leader="none" w:pos="380" w:val="left"/>
        </w:tabs>
        <w:numPr>
          <w:ilvl w:val="0"/>
          <w:numId w:val="611"/>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893" w:val="left"/>
        </w:tabs>
        <w:numPr>
          <w:ilvl w:val="1"/>
          <w:numId w:val="611"/>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4"/>
        <w:spacing w:after="0" w:line="288" w:lineRule="auto"/>
        <w:tabs>
          <w:tab w:leader="none" w:pos="901" w:val="left"/>
        </w:tabs>
        <w:numPr>
          <w:ilvl w:val="1"/>
          <w:numId w:val="611"/>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400" w:hanging="394"/>
        <w:spacing w:after="0"/>
        <w:tabs>
          <w:tab w:leader="none" w:pos="400" w:val="left"/>
        </w:tabs>
        <w:numPr>
          <w:ilvl w:val="0"/>
          <w:numId w:val="61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67" w:lineRule="auto"/>
        <w:tabs>
          <w:tab w:leader="none" w:pos="893" w:val="left"/>
        </w:tabs>
        <w:numPr>
          <w:ilvl w:val="1"/>
          <w:numId w:val="611"/>
        </w:numPr>
        <w:rPr>
          <w:rFonts w:ascii="Arial" w:cs="Arial" w:eastAsia="Arial" w:hAnsi="Arial"/>
          <w:sz w:val="14"/>
          <w:szCs w:val="14"/>
          <w:color w:val="auto"/>
        </w:rPr>
      </w:pPr>
      <w:r>
        <w:rPr>
          <w:rFonts w:ascii="Arial" w:cs="Arial" w:eastAsia="Arial" w:hAnsi="Arial"/>
          <w:sz w:val="14"/>
          <w:szCs w:val="14"/>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807" w:name="page808"/>
    <w:bookmarkEnd w:id="807"/>
    <w:p>
      <w:pPr>
        <w:spacing w:after="0" w:line="288" w:lineRule="auto"/>
        <w:rPr>
          <w:sz w:val="20"/>
          <w:szCs w:val="20"/>
          <w:color w:val="auto"/>
        </w:rPr>
      </w:pPr>
      <w:r>
        <w:rPr>
          <w:rFonts w:ascii="Arial" w:cs="Arial" w:eastAsia="Arial" w:hAnsi="Arial"/>
          <w:sz w:val="14"/>
          <w:szCs w:val="14"/>
          <w:color w:val="auto"/>
        </w:rPr>
        <w:t>of termination to the Company, the Company may unilaterally accelerate the date of termination and such acceleration shall not constitute a termination by the Company for purposes of this Agreement.</w:t>
      </w:r>
    </w:p>
    <w:p>
      <w:pPr>
        <w:spacing w:after="0" w:line="132" w:lineRule="exact"/>
        <w:rPr>
          <w:sz w:val="20"/>
          <w:szCs w:val="20"/>
          <w:color w:val="auto"/>
        </w:rPr>
      </w:pPr>
    </w:p>
    <w:p>
      <w:pPr>
        <w:ind w:firstLine="524"/>
        <w:spacing w:after="0" w:line="329" w:lineRule="auto"/>
        <w:tabs>
          <w:tab w:leader="none" w:pos="901" w:val="left"/>
        </w:tabs>
        <w:numPr>
          <w:ilvl w:val="1"/>
          <w:numId w:val="612"/>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8" w:lineRule="exact"/>
        <w:rPr>
          <w:rFonts w:ascii="Arial" w:cs="Arial" w:eastAsia="Arial" w:hAnsi="Arial"/>
          <w:sz w:val="13"/>
          <w:szCs w:val="13"/>
          <w:color w:val="auto"/>
        </w:rPr>
      </w:pPr>
    </w:p>
    <w:p>
      <w:pPr>
        <w:ind w:left="900" w:hanging="376"/>
        <w:spacing w:after="0"/>
        <w:tabs>
          <w:tab w:leader="none" w:pos="900" w:val="left"/>
        </w:tabs>
        <w:numPr>
          <w:ilvl w:val="1"/>
          <w:numId w:val="612"/>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4" w:lineRule="exact"/>
        <w:rPr>
          <w:rFonts w:ascii="Arial" w:cs="Arial" w:eastAsia="Arial" w:hAnsi="Arial"/>
          <w:sz w:val="14"/>
          <w:szCs w:val="14"/>
          <w:color w:val="auto"/>
        </w:rPr>
      </w:pPr>
    </w:p>
    <w:p>
      <w:pPr>
        <w:jc w:val="both"/>
        <w:ind w:firstLine="524"/>
        <w:spacing w:after="0" w:line="267" w:lineRule="auto"/>
        <w:tabs>
          <w:tab w:leader="none" w:pos="901" w:val="left"/>
        </w:tabs>
        <w:numPr>
          <w:ilvl w:val="1"/>
          <w:numId w:val="612"/>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46" w:lineRule="exact"/>
        <w:rPr>
          <w:rFonts w:ascii="Arial" w:cs="Arial" w:eastAsia="Arial" w:hAnsi="Arial"/>
          <w:sz w:val="14"/>
          <w:szCs w:val="14"/>
          <w:color w:val="auto"/>
        </w:rPr>
      </w:pPr>
    </w:p>
    <w:p>
      <w:pPr>
        <w:jc w:val="both"/>
        <w:ind w:firstLine="524"/>
        <w:spacing w:after="0" w:line="273" w:lineRule="auto"/>
        <w:tabs>
          <w:tab w:leader="none" w:pos="893" w:val="left"/>
        </w:tabs>
        <w:numPr>
          <w:ilvl w:val="1"/>
          <w:numId w:val="612"/>
        </w:numPr>
        <w:rPr>
          <w:rFonts w:ascii="Arial" w:cs="Arial" w:eastAsia="Arial" w:hAnsi="Arial"/>
          <w:sz w:val="14"/>
          <w:szCs w:val="14"/>
          <w:color w:val="auto"/>
        </w:rPr>
      </w:pPr>
      <w:r>
        <w:rPr>
          <w:rFonts w:ascii="Arial" w:cs="Arial" w:eastAsia="Arial" w:hAnsi="Arial"/>
          <w:sz w:val="14"/>
          <w:szCs w:val="14"/>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7" w:lineRule="exact"/>
        <w:rPr>
          <w:rFonts w:ascii="Arial" w:cs="Arial" w:eastAsia="Arial" w:hAnsi="Arial"/>
          <w:sz w:val="14"/>
          <w:szCs w:val="14"/>
          <w:color w:val="auto"/>
        </w:rPr>
      </w:pPr>
    </w:p>
    <w:p>
      <w:pPr>
        <w:ind w:left="400" w:hanging="394"/>
        <w:spacing w:after="0"/>
        <w:tabs>
          <w:tab w:leader="none" w:pos="400" w:val="left"/>
        </w:tabs>
        <w:numPr>
          <w:ilvl w:val="0"/>
          <w:numId w:val="613"/>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524"/>
        <w:spacing w:after="0" w:line="294" w:lineRule="auto"/>
        <w:tabs>
          <w:tab w:leader="none" w:pos="893" w:val="left"/>
        </w:tabs>
        <w:numPr>
          <w:ilvl w:val="1"/>
          <w:numId w:val="613"/>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(as</w:t>
      </w:r>
      <w:r>
        <w:rPr>
          <w:rFonts w:ascii="Arial" w:cs="Arial" w:eastAsia="Arial" w:hAnsi="Arial"/>
          <w:sz w:val="14"/>
          <w:szCs w:val="14"/>
          <w:b w:val="1"/>
          <w:bCs w:val="1"/>
          <w:color w:val="auto"/>
        </w:rPr>
        <w:t xml:space="preserve"> </w:t>
      </w:r>
      <w:r>
        <w:rPr>
          <w:rFonts w:ascii="Arial" w:cs="Arial" w:eastAsia="Arial" w:hAnsi="Arial"/>
          <w:sz w:val="14"/>
          <w:szCs w:val="14"/>
          <w:color w:val="auto"/>
        </w:rPr>
        <w:t>defined below) or a resignation by Executive for Good Reason (as defined below):</w:t>
      </w:r>
    </w:p>
    <w:p>
      <w:pPr>
        <w:spacing w:after="0" w:line="127" w:lineRule="exact"/>
        <w:rPr>
          <w:rFonts w:ascii="Arial" w:cs="Arial" w:eastAsia="Arial" w:hAnsi="Arial"/>
          <w:sz w:val="14"/>
          <w:szCs w:val="14"/>
          <w:color w:val="auto"/>
        </w:rPr>
      </w:pPr>
    </w:p>
    <w:p>
      <w:pPr>
        <w:ind w:right="40" w:firstLine="1042"/>
        <w:spacing w:after="0" w:line="288" w:lineRule="auto"/>
        <w:tabs>
          <w:tab w:leader="none" w:pos="1387" w:val="left"/>
        </w:tabs>
        <w:numPr>
          <w:ilvl w:val="2"/>
          <w:numId w:val="613"/>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42"/>
        <w:spacing w:after="0" w:line="288" w:lineRule="auto"/>
        <w:tabs>
          <w:tab w:leader="none" w:pos="1427" w:val="left"/>
        </w:tabs>
        <w:numPr>
          <w:ilvl w:val="2"/>
          <w:numId w:val="613"/>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449" w:val="left"/>
        </w:tabs>
        <w:numPr>
          <w:ilvl w:val="2"/>
          <w:numId w:val="613"/>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808" w:name="page809"/>
    <w:bookmarkEnd w:id="808"/>
    <w:p>
      <w:pPr>
        <w:jc w:val="both"/>
        <w:ind w:firstLine="1042"/>
        <w:spacing w:after="0" w:line="303" w:lineRule="auto"/>
        <w:tabs>
          <w:tab w:leader="none" w:pos="1477" w:val="left"/>
        </w:tabs>
        <w:numPr>
          <w:ilvl w:val="0"/>
          <w:numId w:val="614"/>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42"/>
        <w:spacing w:after="0" w:line="273" w:lineRule="auto"/>
        <w:tabs>
          <w:tab w:leader="none" w:pos="1401" w:val="left"/>
        </w:tabs>
        <w:numPr>
          <w:ilvl w:val="0"/>
          <w:numId w:val="614"/>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9(a)(ii)- 9(a)(v)</w:t>
      </w:r>
      <w:r>
        <w:rPr>
          <w:rFonts w:ascii="Arial" w:cs="Arial" w:eastAsia="Arial" w:hAnsi="Arial"/>
          <w:sz w:val="13"/>
          <w:szCs w:val="13"/>
          <w:color w:val="auto"/>
        </w:rPr>
        <w:t xml:space="preserve"> are conditioned on Executive’s execution and delivery to the</w:t>
      </w:r>
    </w:p>
    <w:p>
      <w:pPr>
        <w:jc w:val="both"/>
        <w:spacing w:after="0" w:line="236" w:lineRule="auto"/>
        <w:rPr>
          <w:sz w:val="20"/>
          <w:szCs w:val="20"/>
          <w:color w:val="auto"/>
        </w:rPr>
      </w:pPr>
      <w:r>
        <w:rPr>
          <w:rFonts w:ascii="Arial" w:cs="Arial" w:eastAsia="Arial" w:hAnsi="Arial"/>
          <w:sz w:val="14"/>
          <w:szCs w:val="14"/>
          <w:color w:val="auto"/>
        </w:rPr>
        <w:t>Company and the expiration of all applicable statutory revocation periods, by the 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4"/>
          <w:szCs w:val="14"/>
          <w:b w:val="1"/>
          <w:bCs w:val="1"/>
          <w:color w:val="auto"/>
        </w:rPr>
        <w:t>Release</w:t>
      </w:r>
      <w:r>
        <w:rPr>
          <w:rFonts w:ascii="Arial" w:cs="Arial" w:eastAsia="Arial" w:hAnsi="Arial"/>
          <w:sz w:val="14"/>
          <w:szCs w:val="14"/>
          <w:color w:val="auto"/>
        </w:rPr>
        <w:t>”) and on Executive’s continued compliance with the provisions of the Proprietary Information and Assignment Agreement (defined below).</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1" w:lineRule="exact"/>
        <w:rPr>
          <w:sz w:val="20"/>
          <w:szCs w:val="20"/>
          <w:color w:val="auto"/>
        </w:rPr>
      </w:pPr>
    </w:p>
    <w:p>
      <w:pPr>
        <w:ind w:firstLine="524"/>
        <w:spacing w:after="0" w:line="336" w:lineRule="auto"/>
        <w:tabs>
          <w:tab w:leader="none" w:pos="883" w:val="left"/>
        </w:tabs>
        <w:numPr>
          <w:ilvl w:val="0"/>
          <w:numId w:val="615"/>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 obligation to</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09" w:name="page810"/>
    <w:bookmarkEnd w:id="809"/>
    <w:p>
      <w:pPr>
        <w:jc w:val="both"/>
        <w:spacing w:after="0" w:line="267" w:lineRule="auto"/>
        <w:rPr>
          <w:sz w:val="20"/>
          <w:szCs w:val="20"/>
          <w:color w:val="auto"/>
        </w:rPr>
      </w:pPr>
      <w:r>
        <w:rPr>
          <w:rFonts w:ascii="Arial" w:cs="Arial" w:eastAsia="Arial" w:hAnsi="Arial"/>
          <w:sz w:val="14"/>
          <w:szCs w:val="14"/>
          <w:color w:val="auto"/>
        </w:rPr>
        <w:t>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3" w:lineRule="exact"/>
        <w:rPr>
          <w:sz w:val="20"/>
          <w:szCs w:val="20"/>
          <w:color w:val="auto"/>
        </w:rPr>
      </w:pPr>
    </w:p>
    <w:p>
      <w:pPr>
        <w:ind w:left="420" w:hanging="414"/>
        <w:spacing w:after="0"/>
        <w:tabs>
          <w:tab w:leader="none" w:pos="420" w:val="left"/>
        </w:tabs>
        <w:numPr>
          <w:ilvl w:val="0"/>
          <w:numId w:val="616"/>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933" w:val="left"/>
        </w:tabs>
        <w:numPr>
          <w:ilvl w:val="1"/>
          <w:numId w:val="616"/>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4"/>
        <w:spacing w:after="0" w:line="285" w:lineRule="auto"/>
        <w:tabs>
          <w:tab w:leader="none" w:pos="901" w:val="left"/>
        </w:tabs>
        <w:numPr>
          <w:ilvl w:val="1"/>
          <w:numId w:val="616"/>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8" w:lineRule="exact"/>
        <w:rPr>
          <w:rFonts w:ascii="Arial" w:cs="Arial" w:eastAsia="Arial" w:hAnsi="Arial"/>
          <w:sz w:val="13"/>
          <w:szCs w:val="13"/>
          <w:color w:val="auto"/>
        </w:rPr>
      </w:pPr>
    </w:p>
    <w:p>
      <w:pPr>
        <w:jc w:val="both"/>
        <w:ind w:firstLine="524"/>
        <w:spacing w:after="0" w:line="290" w:lineRule="auto"/>
        <w:tabs>
          <w:tab w:leader="none" w:pos="893" w:val="left"/>
        </w:tabs>
        <w:numPr>
          <w:ilvl w:val="1"/>
          <w:numId w:val="616"/>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28" w:lineRule="exact"/>
        <w:rPr>
          <w:rFonts w:ascii="Arial" w:cs="Arial" w:eastAsia="Arial" w:hAnsi="Arial"/>
          <w:sz w:val="13"/>
          <w:szCs w:val="13"/>
          <w:color w:val="auto"/>
        </w:rPr>
      </w:pPr>
    </w:p>
    <w:p>
      <w:pPr>
        <w:ind w:firstLine="6"/>
        <w:spacing w:after="0" w:line="336" w:lineRule="auto"/>
        <w:tabs>
          <w:tab w:leader="none" w:pos="408" w:val="left"/>
        </w:tabs>
        <w:numPr>
          <w:ilvl w:val="0"/>
          <w:numId w:val="616"/>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810" w:name="page811"/>
    <w:bookmarkEnd w:id="810"/>
    <w:p>
      <w:pPr>
        <w:jc w:val="both"/>
        <w:spacing w:after="0" w:line="287"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2" w:lineRule="exact"/>
        <w:rPr>
          <w:sz w:val="20"/>
          <w:szCs w:val="20"/>
          <w:color w:val="auto"/>
        </w:rPr>
      </w:pPr>
    </w:p>
    <w:p>
      <w:pPr>
        <w:ind w:left="420" w:hanging="414"/>
        <w:spacing w:after="0"/>
        <w:tabs>
          <w:tab w:leader="none" w:pos="420" w:val="left"/>
        </w:tabs>
        <w:numPr>
          <w:ilvl w:val="0"/>
          <w:numId w:val="617"/>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4" w:lineRule="exact"/>
        <w:rPr>
          <w:rFonts w:ascii="Arial" w:cs="Arial" w:eastAsia="Arial" w:hAnsi="Arial"/>
          <w:sz w:val="14"/>
          <w:szCs w:val="14"/>
          <w:color w:val="auto"/>
        </w:rPr>
      </w:pPr>
    </w:p>
    <w:p>
      <w:pPr>
        <w:jc w:val="both"/>
        <w:ind w:firstLine="524"/>
        <w:spacing w:after="0" w:line="260" w:lineRule="auto"/>
        <w:tabs>
          <w:tab w:leader="none" w:pos="922" w:val="left"/>
        </w:tabs>
        <w:numPr>
          <w:ilvl w:val="1"/>
          <w:numId w:val="6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xml:space="preserve">”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51" w:lineRule="exact"/>
        <w:rPr>
          <w:rFonts w:ascii="Arial" w:cs="Arial" w:eastAsia="Arial" w:hAnsi="Arial"/>
          <w:sz w:val="14"/>
          <w:szCs w:val="14"/>
          <w:color w:val="auto"/>
        </w:rPr>
      </w:pPr>
    </w:p>
    <w:p>
      <w:pPr>
        <w:ind w:left="920" w:hanging="396"/>
        <w:spacing w:after="0"/>
        <w:tabs>
          <w:tab w:leader="none" w:pos="920" w:val="left"/>
        </w:tabs>
        <w:numPr>
          <w:ilvl w:val="1"/>
          <w:numId w:val="6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4" w:lineRule="exact"/>
        <w:rPr>
          <w:rFonts w:ascii="Arial" w:cs="Arial" w:eastAsia="Arial" w:hAnsi="Arial"/>
          <w:sz w:val="14"/>
          <w:szCs w:val="14"/>
          <w:color w:val="auto"/>
        </w:rPr>
      </w:pPr>
    </w:p>
    <w:p>
      <w:pPr>
        <w:ind w:left="900" w:hanging="376"/>
        <w:spacing w:after="0"/>
        <w:tabs>
          <w:tab w:leader="none" w:pos="900" w:val="left"/>
        </w:tabs>
        <w:numPr>
          <w:ilvl w:val="1"/>
          <w:numId w:val="61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811" w:name="page812"/>
    <w:bookmarkEnd w:id="811"/>
    <w:p>
      <w:pPr>
        <w:jc w:val="both"/>
        <w:ind w:firstLine="524"/>
        <w:spacing w:after="0" w:line="296" w:lineRule="auto"/>
        <w:tabs>
          <w:tab w:leader="none" w:pos="901" w:val="left"/>
        </w:tabs>
        <w:numPr>
          <w:ilvl w:val="1"/>
          <w:numId w:val="61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Disability</w:t>
      </w:r>
      <w:r>
        <w:rPr>
          <w:rFonts w:ascii="Arial" w:cs="Arial" w:eastAsia="Arial" w:hAnsi="Arial"/>
          <w:sz w:val="13"/>
          <w:szCs w:val="13"/>
          <w:color w:val="auto"/>
        </w:rPr>
        <w:t>” means a condition entitling Executive to benefits under the Company’s long term disability plan, policy or arrangement; provided, however, that if no such 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25" w:lineRule="exact"/>
        <w:rPr>
          <w:rFonts w:ascii="Arial" w:cs="Arial" w:eastAsia="Arial" w:hAnsi="Arial"/>
          <w:sz w:val="13"/>
          <w:szCs w:val="13"/>
          <w:color w:val="auto"/>
        </w:rPr>
      </w:pPr>
    </w:p>
    <w:p>
      <w:pPr>
        <w:jc w:val="both"/>
        <w:ind w:firstLine="524"/>
        <w:spacing w:after="0" w:line="264" w:lineRule="auto"/>
        <w:tabs>
          <w:tab w:leader="none" w:pos="893" w:val="left"/>
        </w:tabs>
        <w:numPr>
          <w:ilvl w:val="1"/>
          <w:numId w:val="6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(i) a material diminution in Executive’s title, responsibilities, authority or duties, provided that the failure of the Company’s stockholders to re-elect Executive to the Board will not be construed as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 (y) such event is not reversed or corrected by the Company within 30 days of its receipt of such written objection, and (z) Executive separates from service within 60 days following the expiration of that cure period.</w:t>
      </w:r>
    </w:p>
    <w:p>
      <w:pPr>
        <w:spacing w:after="0" w:line="145" w:lineRule="exact"/>
        <w:rPr>
          <w:rFonts w:ascii="Arial" w:cs="Arial" w:eastAsia="Arial" w:hAnsi="Arial"/>
          <w:sz w:val="14"/>
          <w:szCs w:val="14"/>
          <w:color w:val="auto"/>
        </w:rPr>
      </w:pPr>
    </w:p>
    <w:p>
      <w:pPr>
        <w:jc w:val="both"/>
        <w:ind w:firstLine="524"/>
        <w:spacing w:after="0" w:line="276" w:lineRule="auto"/>
        <w:tabs>
          <w:tab w:leader="none" w:pos="913" w:val="left"/>
        </w:tabs>
        <w:numPr>
          <w:ilvl w:val="1"/>
          <w:numId w:val="61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twelve (12)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eighteen (18) months.</w:t>
      </w:r>
    </w:p>
    <w:p>
      <w:pPr>
        <w:spacing w:after="0" w:line="135" w:lineRule="exact"/>
        <w:rPr>
          <w:rFonts w:ascii="Arial" w:cs="Arial" w:eastAsia="Arial" w:hAnsi="Arial"/>
          <w:sz w:val="14"/>
          <w:szCs w:val="14"/>
          <w:color w:val="auto"/>
        </w:rPr>
      </w:pPr>
    </w:p>
    <w:p>
      <w:pPr>
        <w:ind w:firstLine="6"/>
        <w:spacing w:after="0" w:line="294" w:lineRule="auto"/>
        <w:tabs>
          <w:tab w:leader="none" w:pos="406" w:val="left"/>
        </w:tabs>
        <w:numPr>
          <w:ilvl w:val="0"/>
          <w:numId w:val="619"/>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6" w:lineRule="auto"/>
        <w:tabs>
          <w:tab w:leader="none" w:pos="413" w:val="left"/>
        </w:tabs>
        <w:numPr>
          <w:ilvl w:val="0"/>
          <w:numId w:val="619"/>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99" w:lineRule="exact"/>
        <w:rPr>
          <w:rFonts w:ascii="Arial" w:cs="Arial" w:eastAsia="Arial" w:hAnsi="Arial"/>
          <w:sz w:val="13"/>
          <w:szCs w:val="13"/>
          <w:color w:val="auto"/>
        </w:rPr>
      </w:pPr>
    </w:p>
    <w:p>
      <w:pPr>
        <w:ind w:firstLine="6"/>
        <w:spacing w:after="0" w:line="294" w:lineRule="auto"/>
        <w:tabs>
          <w:tab w:leader="none" w:pos="424" w:val="left"/>
        </w:tabs>
        <w:numPr>
          <w:ilvl w:val="0"/>
          <w:numId w:val="619"/>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ind w:firstLine="6"/>
        <w:spacing w:after="0" w:line="294" w:lineRule="auto"/>
        <w:tabs>
          <w:tab w:leader="none" w:pos="413" w:val="left"/>
        </w:tabs>
        <w:numPr>
          <w:ilvl w:val="0"/>
          <w:numId w:val="619"/>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he is not a party to or otherwise bound by any agreement or restriction that could conflict with, or be violated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his duties to the Company or his obligations under this Agreement. Executive will</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812" w:name="page813"/>
    <w:bookmarkEnd w:id="812"/>
    <w:p>
      <w:pPr>
        <w:spacing w:after="0"/>
        <w:rPr>
          <w:sz w:val="20"/>
          <w:szCs w:val="20"/>
          <w:color w:val="auto"/>
        </w:rPr>
      </w:pPr>
      <w:r>
        <w:rPr>
          <w:rFonts w:ascii="Arial" w:cs="Arial" w:eastAsia="Arial" w:hAnsi="Arial"/>
          <w:sz w:val="14"/>
          <w:szCs w:val="14"/>
          <w:color w:val="auto"/>
        </w:rPr>
        <w:t>not use or misappropriate any intellectual property, trade secrets or confidential information belonging to any third party.</w:t>
      </w:r>
    </w:p>
    <w:p>
      <w:pPr>
        <w:spacing w:after="0" w:line="180" w:lineRule="exact"/>
        <w:rPr>
          <w:sz w:val="20"/>
          <w:szCs w:val="20"/>
          <w:color w:val="auto"/>
        </w:rPr>
      </w:pPr>
    </w:p>
    <w:p>
      <w:pPr>
        <w:ind w:right="340" w:firstLine="6"/>
        <w:spacing w:after="0" w:line="276" w:lineRule="auto"/>
        <w:tabs>
          <w:tab w:leader="none" w:pos="413" w:val="left"/>
        </w:tabs>
        <w:numPr>
          <w:ilvl w:val="0"/>
          <w:numId w:val="620"/>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135" w:lineRule="exact"/>
        <w:rPr>
          <w:rFonts w:ascii="Arial" w:cs="Arial" w:eastAsia="Arial" w:hAnsi="Arial"/>
          <w:sz w:val="14"/>
          <w:szCs w:val="14"/>
          <w:color w:val="auto"/>
        </w:rPr>
      </w:pPr>
    </w:p>
    <w:p>
      <w:pPr>
        <w:ind w:left="420" w:hanging="414"/>
        <w:spacing w:after="0"/>
        <w:tabs>
          <w:tab w:leader="none" w:pos="420" w:val="left"/>
        </w:tabs>
        <w:numPr>
          <w:ilvl w:val="0"/>
          <w:numId w:val="620"/>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73" w:lineRule="auto"/>
        <w:tabs>
          <w:tab w:leader="none" w:pos="893" w:val="left"/>
        </w:tabs>
        <w:numPr>
          <w:ilvl w:val="1"/>
          <w:numId w:val="620"/>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1" w:lineRule="exact"/>
        <w:rPr>
          <w:rFonts w:ascii="Arial" w:cs="Arial" w:eastAsia="Arial" w:hAnsi="Arial"/>
          <w:sz w:val="14"/>
          <w:szCs w:val="14"/>
          <w:color w:val="auto"/>
        </w:rPr>
      </w:pPr>
    </w:p>
    <w:p>
      <w:pPr>
        <w:jc w:val="both"/>
        <w:ind w:firstLine="524"/>
        <w:spacing w:after="0" w:line="303" w:lineRule="auto"/>
        <w:tabs>
          <w:tab w:leader="none" w:pos="901" w:val="left"/>
        </w:tabs>
        <w:numPr>
          <w:ilvl w:val="1"/>
          <w:numId w:val="620"/>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900" w:hanging="376"/>
        <w:spacing w:after="0"/>
        <w:tabs>
          <w:tab w:leader="none" w:pos="900" w:val="left"/>
        </w:tabs>
        <w:numPr>
          <w:ilvl w:val="1"/>
          <w:numId w:val="620"/>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80" w:lineRule="exact"/>
        <w:rPr>
          <w:rFonts w:ascii="Arial" w:cs="Arial" w:eastAsia="Arial" w:hAnsi="Arial"/>
          <w:sz w:val="14"/>
          <w:szCs w:val="14"/>
          <w:color w:val="auto"/>
        </w:rPr>
      </w:pPr>
    </w:p>
    <w:p>
      <w:pPr>
        <w:ind w:left="420" w:hanging="414"/>
        <w:spacing w:after="0"/>
        <w:tabs>
          <w:tab w:leader="none" w:pos="420" w:val="left"/>
        </w:tabs>
        <w:numPr>
          <w:ilvl w:val="0"/>
          <w:numId w:val="620"/>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 without regard to its choice of law provisions.</w:t>
      </w:r>
    </w:p>
    <w:p>
      <w:pPr>
        <w:spacing w:after="0" w:line="195" w:lineRule="exact"/>
        <w:rPr>
          <w:rFonts w:ascii="Arial" w:cs="Arial" w:eastAsia="Arial" w:hAnsi="Arial"/>
          <w:sz w:val="13"/>
          <w:szCs w:val="13"/>
          <w:color w:val="auto"/>
        </w:rPr>
      </w:pPr>
    </w:p>
    <w:p>
      <w:pPr>
        <w:jc w:val="both"/>
        <w:ind w:firstLine="6"/>
        <w:spacing w:after="0" w:line="262" w:lineRule="auto"/>
        <w:tabs>
          <w:tab w:leader="none" w:pos="413" w:val="left"/>
        </w:tabs>
        <w:numPr>
          <w:ilvl w:val="0"/>
          <w:numId w:val="620"/>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813" w:name="page814"/>
    <w:bookmarkEnd w:id="813"/>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80" w:lineRule="exact"/>
        <w:rPr>
          <w:sz w:val="20"/>
          <w:szCs w:val="20"/>
          <w:color w:val="auto"/>
        </w:rPr>
      </w:pPr>
    </w:p>
    <w:p>
      <w:pPr>
        <w:ind w:left="420" w:hanging="414"/>
        <w:spacing w:after="0"/>
        <w:tabs>
          <w:tab w:leader="none" w:pos="420" w:val="left"/>
        </w:tabs>
        <w:numPr>
          <w:ilvl w:val="0"/>
          <w:numId w:val="621"/>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4" w:lineRule="exact"/>
        <w:rPr>
          <w:rFonts w:ascii="Arial" w:cs="Arial" w:eastAsia="Arial" w:hAnsi="Arial"/>
          <w:sz w:val="14"/>
          <w:szCs w:val="14"/>
          <w:color w:val="auto"/>
        </w:rPr>
      </w:pPr>
    </w:p>
    <w:p>
      <w:pPr>
        <w:jc w:val="both"/>
        <w:ind w:firstLine="6"/>
        <w:spacing w:after="0" w:line="264" w:lineRule="auto"/>
        <w:tabs>
          <w:tab w:leader="none" w:pos="413" w:val="left"/>
        </w:tabs>
        <w:numPr>
          <w:ilvl w:val="0"/>
          <w:numId w:val="621"/>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5" w:lineRule="exact"/>
        <w:rPr>
          <w:rFonts w:ascii="Arial" w:cs="Arial" w:eastAsia="Arial" w:hAnsi="Arial"/>
          <w:sz w:val="14"/>
          <w:szCs w:val="14"/>
          <w:color w:val="auto"/>
        </w:rPr>
      </w:pPr>
    </w:p>
    <w:p>
      <w:pPr>
        <w:ind w:firstLine="6"/>
        <w:spacing w:after="0" w:line="294" w:lineRule="auto"/>
        <w:tabs>
          <w:tab w:leader="none" w:pos="424" w:val="left"/>
        </w:tabs>
        <w:numPr>
          <w:ilvl w:val="0"/>
          <w:numId w:val="621"/>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constitute one and the same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02" w:right="319" w:bottom="1440" w:gutter="0" w:footer="0" w:header="0"/>
        </w:sectPr>
      </w:pPr>
    </w:p>
    <w:bookmarkStart w:id="814" w:name="page815"/>
    <w:bookmarkEnd w:id="814"/>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ind w:left="5120"/>
        <w:spacing w:after="0"/>
        <w:tabs>
          <w:tab w:leader="none" w:pos="54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20955</wp:posOffset>
            </wp:positionV>
            <wp:extent cx="3432810" cy="698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3432810" cy="6985"/>
                    </a:xfrm>
                    <a:prstGeom prst="rect">
                      <a:avLst/>
                    </a:prstGeom>
                    <a:noFill/>
                  </pic:spPr>
                </pic:pic>
              </a:graphicData>
            </a:graphic>
          </wp:anchor>
        </w:drawing>
      </w:r>
    </w:p>
    <w:p>
      <w:pPr>
        <w:spacing w:after="0" w:line="175"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Name: Michael Diem, M.D.</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Title: Chief Business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EXECUTIVE</w:t>
      </w:r>
    </w:p>
    <w:p>
      <w:pPr>
        <w:spacing w:after="0" w:line="184"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Osvaldo Flores, Ph.D.</w:t>
      </w:r>
    </w:p>
    <w:p>
      <w:pPr>
        <w:spacing w:after="0" w:line="188" w:lineRule="exact"/>
        <w:rPr>
          <w:sz w:val="20"/>
          <w:szCs w:val="20"/>
          <w:color w:val="auto"/>
        </w:rPr>
      </w:pPr>
    </w:p>
    <w:tbl>
      <w:tblPr>
        <w:tblLayout w:type="fixed"/>
        <w:tblInd w:w="5080" w:type="dxa"/>
        <w:tblCellMar>
          <w:top w:w="0" w:type="dxa"/>
          <w:left w:w="0" w:type="dxa"/>
          <w:bottom w:w="0" w:type="dxa"/>
          <w:right w:w="0" w:type="dxa"/>
        </w:tblCellMar>
      </w:tblPr>
      <w:tr>
        <w:trPr>
          <w:trHeight w:val="185"/>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 Osvaldo Flores, Ph.D.</w:t>
            </w:r>
          </w:p>
        </w:tc>
      </w:tr>
      <w:tr>
        <w:trPr>
          <w:trHeight w:val="183"/>
        </w:trPr>
        <w:tc>
          <w:tcPr>
            <w:tcW w:w="460" w:type="dxa"/>
            <w:vAlign w:val="bottom"/>
          </w:tcPr>
          <w:p>
            <w:pPr>
              <w:spacing w:after="0"/>
              <w:rPr>
                <w:sz w:val="20"/>
                <w:szCs w:val="20"/>
                <w:color w:val="auto"/>
              </w:rPr>
            </w:pPr>
            <w:r>
              <w:rPr>
                <w:rFonts w:ascii="Arial" w:cs="Arial" w:eastAsia="Arial" w:hAnsi="Arial"/>
                <w:sz w:val="14"/>
                <w:szCs w:val="14"/>
                <w:color w:val="auto"/>
              </w:rPr>
              <w:t>Name:</w:t>
            </w:r>
          </w:p>
        </w:tc>
        <w:tc>
          <w:tcPr>
            <w:tcW w:w="5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Osvaldo Flores, Ph.D.</w:t>
            </w:r>
          </w:p>
        </w:tc>
      </w:tr>
    </w:tbl>
    <w:p>
      <w:pPr>
        <w:spacing w:after="0" w:line="162" w:lineRule="exact"/>
        <w:rPr>
          <w:sz w:val="20"/>
          <w:szCs w:val="20"/>
          <w:color w:val="auto"/>
        </w:rPr>
      </w:pPr>
    </w:p>
    <w:p>
      <w:pPr>
        <w:ind w:left="3860"/>
        <w:spacing w:after="0"/>
        <w:rPr>
          <w:sz w:val="20"/>
          <w:szCs w:val="20"/>
          <w:color w:val="auto"/>
        </w:rPr>
      </w:pPr>
      <w:r>
        <w:rPr>
          <w:rFonts w:ascii="Arial" w:cs="Arial" w:eastAsia="Arial" w:hAnsi="Arial"/>
          <w:sz w:val="14"/>
          <w:szCs w:val="14"/>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233680</wp:posOffset>
            </wp:positionV>
            <wp:extent cx="7159625" cy="698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302" w:right="319" w:bottom="1440" w:gutter="0" w:footer="0" w:header="0"/>
        </w:sectPr>
      </w:pPr>
    </w:p>
    <w:bookmarkStart w:id="815" w:name="page816"/>
    <w:bookmarkEnd w:id="815"/>
    <w:p>
      <w:pPr>
        <w:jc w:val="right"/>
        <w:spacing w:after="0"/>
        <w:rPr>
          <w:sz w:val="20"/>
          <w:szCs w:val="20"/>
          <w:color w:val="auto"/>
        </w:rPr>
      </w:pPr>
      <w:r>
        <w:rPr>
          <w:rFonts w:ascii="Arial" w:cs="Arial" w:eastAsia="Arial" w:hAnsi="Arial"/>
          <w:sz w:val="14"/>
          <w:szCs w:val="14"/>
          <w:b w:val="1"/>
          <w:bCs w:val="1"/>
          <w:color w:val="auto"/>
        </w:rPr>
        <w:t>Exhibit 10.31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MICHAEL DIEM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WHEREAS, Executive is currently employed by the Company as its Chief Business Officer in accordance with the terms and conditions of that certain offer letter by and between the Company and Executive dated August 11, 2020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71" w:lineRule="exact"/>
        <w:rPr>
          <w:sz w:val="20"/>
          <w:szCs w:val="20"/>
          <w:color w:val="auto"/>
        </w:rPr>
      </w:pPr>
    </w:p>
    <w:p>
      <w:pPr>
        <w:jc w:val="both"/>
        <w:ind w:firstLine="6"/>
        <w:spacing w:after="0" w:line="291" w:lineRule="auto"/>
        <w:tabs>
          <w:tab w:leader="none" w:pos="359" w:val="left"/>
        </w:tabs>
        <w:numPr>
          <w:ilvl w:val="0"/>
          <w:numId w:val="622"/>
        </w:numPr>
        <w:rPr>
          <w:rFonts w:ascii="Arial" w:cs="Arial" w:eastAsia="Arial" w:hAnsi="Arial"/>
          <w:sz w:val="13"/>
          <w:szCs w:val="13"/>
          <w:color w:val="auto"/>
        </w:rPr>
      </w:pPr>
      <w:r>
        <w:rPr>
          <w:rFonts w:ascii="Arial" w:cs="Arial" w:eastAsia="Arial" w:hAnsi="Arial"/>
          <w:sz w:val="13"/>
          <w:szCs w:val="13"/>
          <w:b w:val="1"/>
          <w:bCs w:val="1"/>
          <w:u w:val="single" w:color="auto"/>
          <w:color w:val="auto"/>
        </w:rPr>
        <w:t>Position</w:t>
      </w:r>
      <w:r>
        <w:rPr>
          <w:rFonts w:ascii="Arial" w:cs="Arial" w:eastAsia="Arial" w:hAnsi="Arial"/>
          <w:sz w:val="13"/>
          <w:szCs w:val="13"/>
          <w:color w:val="auto"/>
        </w:rPr>
        <w:t>. Executive will serve as the Chief Business Officer of the Company and will report directly to the Chief Executive Officer of the Company or his or her delegate.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w:t>
      </w:r>
    </w:p>
    <w:p>
      <w:pPr>
        <w:spacing w:after="0" w:line="129" w:lineRule="exact"/>
        <w:rPr>
          <w:rFonts w:ascii="Arial" w:cs="Arial" w:eastAsia="Arial" w:hAnsi="Arial"/>
          <w:sz w:val="13"/>
          <w:szCs w:val="13"/>
          <w:color w:val="auto"/>
        </w:rPr>
      </w:pPr>
    </w:p>
    <w:p>
      <w:pPr>
        <w:jc w:val="both"/>
        <w:ind w:firstLine="6"/>
        <w:spacing w:after="0" w:line="276" w:lineRule="auto"/>
        <w:tabs>
          <w:tab w:leader="none" w:pos="359" w:val="left"/>
        </w:tabs>
        <w:numPr>
          <w:ilvl w:val="0"/>
          <w:numId w:val="622"/>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w:t>
      </w:r>
      <w:r>
        <w:rPr>
          <w:rFonts w:ascii="Arial" w:cs="Arial" w:eastAsia="Arial" w:hAnsi="Arial"/>
          <w:sz w:val="14"/>
          <w:szCs w:val="14"/>
          <w:b w:val="1"/>
          <w:bCs w:val="1"/>
          <w:color w:val="auto"/>
        </w:rPr>
        <w:t xml:space="preserve"> </w:t>
      </w:r>
      <w:r>
        <w:rPr>
          <w:rFonts w:ascii="Arial" w:cs="Arial" w:eastAsia="Arial" w:hAnsi="Arial"/>
          <w:sz w:val="14"/>
          <w:szCs w:val="14"/>
          <w:color w:val="auto"/>
        </w:rPr>
        <w:t>the 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ind w:firstLine="6"/>
        <w:spacing w:after="0" w:line="294" w:lineRule="auto"/>
        <w:tabs>
          <w:tab w:leader="none" w:pos="359" w:val="left"/>
        </w:tabs>
        <w:numPr>
          <w:ilvl w:val="0"/>
          <w:numId w:val="622"/>
        </w:numPr>
        <w:rPr>
          <w:rFonts w:ascii="Arial" w:cs="Arial" w:eastAsia="Arial" w:hAnsi="Arial"/>
          <w:sz w:val="14"/>
          <w:szCs w:val="14"/>
          <w:color w:val="auto"/>
        </w:rPr>
      </w:pPr>
      <w:r>
        <w:rPr>
          <w:rFonts w:ascii="Arial" w:cs="Arial" w:eastAsia="Arial" w:hAnsi="Arial"/>
          <w:sz w:val="14"/>
          <w:szCs w:val="14"/>
          <w:b w:val="1"/>
          <w:bCs w:val="1"/>
          <w:u w:val="single" w:color="auto"/>
          <w:color w:val="auto"/>
        </w:rPr>
        <w:t>Place of Performance</w:t>
      </w:r>
      <w:r>
        <w:rPr>
          <w:rFonts w:ascii="Arial" w:cs="Arial" w:eastAsia="Arial" w:hAnsi="Arial"/>
          <w:sz w:val="14"/>
          <w:szCs w:val="14"/>
          <w:color w:val="auto"/>
        </w:rPr>
        <w:t>. Executive will perform services hereunder at the principal executive offices of the Company in a location to be determined by the board of directors of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(the “</w:t>
      </w:r>
      <w:r>
        <w:rPr>
          <w:rFonts w:ascii="Arial" w:cs="Arial" w:eastAsia="Arial" w:hAnsi="Arial"/>
          <w:sz w:val="14"/>
          <w:szCs w:val="14"/>
          <w:b w:val="1"/>
          <w:bCs w:val="1"/>
          <w:color w:val="auto"/>
        </w:rPr>
        <w:t>Board</w:t>
      </w:r>
      <w:r>
        <w:rPr>
          <w:rFonts w:ascii="Arial" w:cs="Arial" w:eastAsia="Arial" w:hAnsi="Arial"/>
          <w:sz w:val="14"/>
          <w:szCs w:val="14"/>
          <w:color w:val="auto"/>
        </w:rPr>
        <w:t>”); provided, however, that Executive may be required to travel from time to time for business purposes.</w:t>
      </w:r>
    </w:p>
    <w:p>
      <w:pPr>
        <w:spacing w:after="0" w:line="123" w:lineRule="exact"/>
        <w:rPr>
          <w:rFonts w:ascii="Arial" w:cs="Arial" w:eastAsia="Arial" w:hAnsi="Arial"/>
          <w:sz w:val="14"/>
          <w:szCs w:val="14"/>
          <w:color w:val="auto"/>
        </w:rPr>
      </w:pPr>
    </w:p>
    <w:p>
      <w:pPr>
        <w:ind w:firstLine="6"/>
        <w:spacing w:after="0" w:line="294" w:lineRule="auto"/>
        <w:tabs>
          <w:tab w:leader="none" w:pos="341" w:val="left"/>
        </w:tabs>
        <w:numPr>
          <w:ilvl w:val="0"/>
          <w:numId w:val="622"/>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$437,800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7159625" cy="698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816" w:name="page817"/>
    <w:bookmarkEnd w:id="816"/>
    <w:p>
      <w:pPr>
        <w:spacing w:after="0"/>
        <w:rPr>
          <w:sz w:val="20"/>
          <w:szCs w:val="20"/>
          <w:color w:val="auto"/>
        </w:rPr>
      </w:pPr>
      <w:r>
        <w:rPr>
          <w:rFonts w:ascii="Arial" w:cs="Arial" w:eastAsia="Arial" w:hAnsi="Arial"/>
          <w:sz w:val="14"/>
          <w:szCs w:val="14"/>
          <w:color w:val="auto"/>
        </w:rPr>
        <w:t>reviewed on an annual basis by the Compensation Committee of the Board (the “</w:t>
      </w:r>
      <w:r>
        <w:rPr>
          <w:rFonts w:ascii="Arial" w:cs="Arial" w:eastAsia="Arial" w:hAnsi="Arial"/>
          <w:sz w:val="14"/>
          <w:szCs w:val="14"/>
          <w:b w:val="1"/>
          <w:bCs w:val="1"/>
          <w:color w:val="auto"/>
        </w:rPr>
        <w:t>Committee</w:t>
      </w:r>
      <w:r>
        <w:rPr>
          <w:rFonts w:ascii="Arial" w:cs="Arial" w:eastAsia="Arial" w:hAnsi="Arial"/>
          <w:sz w:val="14"/>
          <w:szCs w:val="14"/>
          <w:color w:val="auto"/>
        </w:rPr>
        <w:t>”) and may be adjusted from time to time by the Committee.</w:t>
      </w:r>
    </w:p>
    <w:p>
      <w:pPr>
        <w:spacing w:after="0" w:line="184" w:lineRule="exact"/>
        <w:rPr>
          <w:sz w:val="20"/>
          <w:szCs w:val="20"/>
          <w:color w:val="auto"/>
        </w:rPr>
      </w:pPr>
    </w:p>
    <w:p>
      <w:pPr>
        <w:jc w:val="both"/>
        <w:ind w:firstLine="6"/>
        <w:spacing w:after="0" w:line="266" w:lineRule="auto"/>
        <w:tabs>
          <w:tab w:leader="none" w:pos="341" w:val="left"/>
        </w:tabs>
        <w:numPr>
          <w:ilvl w:val="0"/>
          <w:numId w:val="623"/>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his employment, Executive will have the opportunity to earn an annual bonus with a target amount of 40% of the Base Salary in effect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 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316" w:lineRule="exact"/>
        <w:rPr>
          <w:rFonts w:ascii="Arial" w:cs="Arial" w:eastAsia="Arial" w:hAnsi="Arial"/>
          <w:sz w:val="14"/>
          <w:szCs w:val="14"/>
          <w:color w:val="auto"/>
        </w:rPr>
      </w:pPr>
    </w:p>
    <w:p>
      <w:pPr>
        <w:ind w:left="360" w:hanging="354"/>
        <w:spacing w:after="0"/>
        <w:tabs>
          <w:tab w:leader="none" w:pos="360" w:val="left"/>
        </w:tabs>
        <w:numPr>
          <w:ilvl w:val="0"/>
          <w:numId w:val="623"/>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4" w:lineRule="exact"/>
        <w:rPr>
          <w:rFonts w:ascii="Arial" w:cs="Arial" w:eastAsia="Arial" w:hAnsi="Arial"/>
          <w:sz w:val="14"/>
          <w:szCs w:val="14"/>
          <w:color w:val="auto"/>
        </w:rPr>
      </w:pPr>
    </w:p>
    <w:p>
      <w:pPr>
        <w:ind w:left="360" w:hanging="354"/>
        <w:spacing w:after="0"/>
        <w:tabs>
          <w:tab w:leader="none" w:pos="360" w:val="left"/>
        </w:tabs>
        <w:numPr>
          <w:ilvl w:val="0"/>
          <w:numId w:val="623"/>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857" w:val="left"/>
        </w:tabs>
        <w:numPr>
          <w:ilvl w:val="1"/>
          <w:numId w:val="623"/>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4"/>
        <w:spacing w:after="0" w:line="288" w:lineRule="auto"/>
        <w:tabs>
          <w:tab w:leader="none" w:pos="876" w:val="left"/>
        </w:tabs>
        <w:numPr>
          <w:ilvl w:val="1"/>
          <w:numId w:val="623"/>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60" w:hanging="354"/>
        <w:spacing w:after="0"/>
        <w:tabs>
          <w:tab w:leader="none" w:pos="360" w:val="left"/>
        </w:tabs>
        <w:numPr>
          <w:ilvl w:val="0"/>
          <w:numId w:val="623"/>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65" w:lineRule="auto"/>
        <w:tabs>
          <w:tab w:leader="none" w:pos="857" w:val="left"/>
        </w:tabs>
        <w:numPr>
          <w:ilvl w:val="1"/>
          <w:numId w:val="623"/>
        </w:numPr>
        <w:rPr>
          <w:rFonts w:ascii="Arial" w:cs="Arial" w:eastAsia="Arial" w:hAnsi="Arial"/>
          <w:sz w:val="14"/>
          <w:szCs w:val="14"/>
          <w:color w:val="auto"/>
        </w:rPr>
      </w:pPr>
      <w:r>
        <w:rPr>
          <w:rFonts w:ascii="Arial" w:cs="Arial" w:eastAsia="Arial" w:hAnsi="Arial"/>
          <w:sz w:val="14"/>
          <w:szCs w:val="14"/>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147" w:lineRule="exact"/>
        <w:rPr>
          <w:rFonts w:ascii="Arial" w:cs="Arial" w:eastAsia="Arial" w:hAnsi="Arial"/>
          <w:sz w:val="14"/>
          <w:szCs w:val="14"/>
          <w:color w:val="auto"/>
        </w:rPr>
      </w:pPr>
    </w:p>
    <w:p>
      <w:pPr>
        <w:ind w:left="860" w:hanging="336"/>
        <w:spacing w:after="0"/>
        <w:tabs>
          <w:tab w:leader="none" w:pos="860" w:val="left"/>
        </w:tabs>
        <w:numPr>
          <w:ilvl w:val="1"/>
          <w:numId w:val="623"/>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17" w:name="page818"/>
    <w:bookmarkEnd w:id="817"/>
    <w:p>
      <w:pPr>
        <w:spacing w:after="0"/>
        <w:rPr>
          <w:sz w:val="20"/>
          <w:szCs w:val="20"/>
          <w:color w:val="auto"/>
        </w:rPr>
      </w:pPr>
      <w:r>
        <w:rPr>
          <w:rFonts w:ascii="Arial" w:cs="Arial" w:eastAsia="Arial" w:hAnsi="Arial"/>
          <w:sz w:val="13"/>
          <w:szCs w:val="13"/>
          <w:color w:val="auto"/>
        </w:rPr>
        <w:t>director and other positions Executive then holds with the Company and its affiliates and agrees to execute such documents as may be requested by the Company to confirm that resignation.</w:t>
      </w:r>
    </w:p>
    <w:p>
      <w:pPr>
        <w:spacing w:after="0" w:line="196" w:lineRule="exact"/>
        <w:rPr>
          <w:sz w:val="20"/>
          <w:szCs w:val="20"/>
          <w:color w:val="auto"/>
        </w:rPr>
      </w:pPr>
    </w:p>
    <w:p>
      <w:pPr>
        <w:ind w:left="860" w:hanging="336"/>
        <w:spacing w:after="0"/>
        <w:tabs>
          <w:tab w:leader="none" w:pos="860" w:val="left"/>
        </w:tabs>
        <w:numPr>
          <w:ilvl w:val="0"/>
          <w:numId w:val="624"/>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4" w:lineRule="exact"/>
        <w:rPr>
          <w:rFonts w:ascii="Arial" w:cs="Arial" w:eastAsia="Arial" w:hAnsi="Arial"/>
          <w:sz w:val="14"/>
          <w:szCs w:val="14"/>
          <w:color w:val="auto"/>
        </w:rPr>
      </w:pPr>
    </w:p>
    <w:p>
      <w:pPr>
        <w:jc w:val="both"/>
        <w:ind w:firstLine="524"/>
        <w:spacing w:after="0" w:line="267" w:lineRule="auto"/>
        <w:tabs>
          <w:tab w:leader="none" w:pos="865" w:val="left"/>
        </w:tabs>
        <w:numPr>
          <w:ilvl w:val="0"/>
          <w:numId w:val="624"/>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46" w:lineRule="exact"/>
        <w:rPr>
          <w:rFonts w:ascii="Arial" w:cs="Arial" w:eastAsia="Arial" w:hAnsi="Arial"/>
          <w:sz w:val="14"/>
          <w:szCs w:val="14"/>
          <w:color w:val="auto"/>
        </w:rPr>
      </w:pPr>
    </w:p>
    <w:p>
      <w:pPr>
        <w:jc w:val="both"/>
        <w:ind w:firstLine="524"/>
        <w:spacing w:after="0" w:line="273" w:lineRule="auto"/>
        <w:tabs>
          <w:tab w:leader="none" w:pos="857" w:val="left"/>
        </w:tabs>
        <w:numPr>
          <w:ilvl w:val="0"/>
          <w:numId w:val="624"/>
        </w:numPr>
        <w:rPr>
          <w:rFonts w:ascii="Arial" w:cs="Arial" w:eastAsia="Arial" w:hAnsi="Arial"/>
          <w:sz w:val="14"/>
          <w:szCs w:val="14"/>
          <w:color w:val="auto"/>
        </w:rPr>
      </w:pPr>
      <w:r>
        <w:rPr>
          <w:rFonts w:ascii="Arial" w:cs="Arial" w:eastAsia="Arial" w:hAnsi="Arial"/>
          <w:sz w:val="14"/>
          <w:szCs w:val="14"/>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7" w:lineRule="exact"/>
        <w:rPr>
          <w:rFonts w:ascii="Arial" w:cs="Arial" w:eastAsia="Arial" w:hAnsi="Arial"/>
          <w:sz w:val="14"/>
          <w:szCs w:val="14"/>
          <w:color w:val="auto"/>
        </w:rPr>
      </w:pPr>
    </w:p>
    <w:p>
      <w:pPr>
        <w:jc w:val="both"/>
        <w:ind w:firstLine="524"/>
        <w:spacing w:after="0" w:line="306" w:lineRule="auto"/>
        <w:tabs>
          <w:tab w:leader="none" w:pos="870" w:val="left"/>
        </w:tabs>
        <w:numPr>
          <w:ilvl w:val="0"/>
          <w:numId w:val="624"/>
        </w:numPr>
        <w:rPr>
          <w:rFonts w:ascii="Arial" w:cs="Arial" w:eastAsia="Arial" w:hAnsi="Arial"/>
          <w:sz w:val="13"/>
          <w:szCs w:val="13"/>
          <w:color w:val="auto"/>
        </w:rPr>
      </w:pPr>
      <w:r>
        <w:rPr>
          <w:rFonts w:ascii="Arial" w:cs="Arial" w:eastAsia="Arial" w:hAnsi="Arial"/>
          <w:sz w:val="13"/>
          <w:szCs w:val="13"/>
          <w:color w:val="auto"/>
        </w:rPr>
        <w:t>Executive acknowledges that, pursuant to Section 4 of the Prior Agreement, he previously received a signing bonus in the gross amount of $125,000 (the “</w:t>
      </w:r>
      <w:r>
        <w:rPr>
          <w:rFonts w:ascii="Arial" w:cs="Arial" w:eastAsia="Arial" w:hAnsi="Arial"/>
          <w:sz w:val="13"/>
          <w:szCs w:val="13"/>
          <w:b w:val="1"/>
          <w:bCs w:val="1"/>
          <w:color w:val="auto"/>
        </w:rPr>
        <w:t>Signing Bonus</w:t>
      </w:r>
      <w:r>
        <w:rPr>
          <w:rFonts w:ascii="Arial" w:cs="Arial" w:eastAsia="Arial" w:hAnsi="Arial"/>
          <w:sz w:val="13"/>
          <w:szCs w:val="13"/>
          <w:color w:val="auto"/>
        </w:rPr>
        <w:t>”). Executive agrees that, upon a cessation of his employment due to a termination by the Company with Cause (as defined below) or resignation by Executive without Good Reason (as defined below), in either case, prior to September 16, 2021, Executive will repay the Signing Bonus to the Company within thirty (30) days of such date of termination as follows:</w:t>
      </w:r>
    </w:p>
    <w:p>
      <w:pPr>
        <w:spacing w:after="0" w:line="122" w:lineRule="exact"/>
        <w:rPr>
          <w:rFonts w:ascii="Arial" w:cs="Arial" w:eastAsia="Arial" w:hAnsi="Arial"/>
          <w:sz w:val="13"/>
          <w:szCs w:val="13"/>
          <w:color w:val="auto"/>
        </w:rPr>
      </w:pPr>
    </w:p>
    <w:p>
      <w:pPr>
        <w:ind w:left="1400" w:hanging="358"/>
        <w:spacing w:after="0"/>
        <w:tabs>
          <w:tab w:leader="none" w:pos="1400" w:val="left"/>
        </w:tabs>
        <w:numPr>
          <w:ilvl w:val="1"/>
          <w:numId w:val="624"/>
        </w:numPr>
        <w:rPr>
          <w:rFonts w:ascii="Arial" w:cs="Arial" w:eastAsia="Arial" w:hAnsi="Arial"/>
          <w:sz w:val="14"/>
          <w:szCs w:val="14"/>
          <w:color w:val="auto"/>
        </w:rPr>
      </w:pPr>
      <w:r>
        <w:rPr>
          <w:rFonts w:ascii="Arial" w:cs="Arial" w:eastAsia="Arial" w:hAnsi="Arial"/>
          <w:sz w:val="14"/>
          <w:szCs w:val="14"/>
          <w:color w:val="auto"/>
        </w:rPr>
        <w:t>if such cessation of employment is due to a termination by the Company for Cause, then Executive will repay the entire gross amount of the Signing Bonus; or</w:t>
      </w:r>
    </w:p>
    <w:p>
      <w:pPr>
        <w:spacing w:after="0" w:line="184" w:lineRule="exact"/>
        <w:rPr>
          <w:rFonts w:ascii="Arial" w:cs="Arial" w:eastAsia="Arial" w:hAnsi="Arial"/>
          <w:sz w:val="14"/>
          <w:szCs w:val="14"/>
          <w:color w:val="auto"/>
        </w:rPr>
      </w:pPr>
    </w:p>
    <w:p>
      <w:pPr>
        <w:jc w:val="both"/>
        <w:ind w:firstLine="1042"/>
        <w:spacing w:after="0" w:line="273" w:lineRule="auto"/>
        <w:tabs>
          <w:tab w:leader="none" w:pos="1409" w:val="left"/>
        </w:tabs>
        <w:numPr>
          <w:ilvl w:val="1"/>
          <w:numId w:val="624"/>
        </w:numPr>
        <w:rPr>
          <w:rFonts w:ascii="Arial" w:cs="Arial" w:eastAsia="Arial" w:hAnsi="Arial"/>
          <w:sz w:val="14"/>
          <w:szCs w:val="14"/>
          <w:color w:val="auto"/>
        </w:rPr>
      </w:pPr>
      <w:r>
        <w:rPr>
          <w:rFonts w:ascii="Arial" w:cs="Arial" w:eastAsia="Arial" w:hAnsi="Arial"/>
          <w:sz w:val="14"/>
          <w:szCs w:val="14"/>
          <w:color w:val="auto"/>
        </w:rPr>
        <w:t>if such cessation of employment is due to a resignation by Executive without Good Reason, then Executive will repay a pro rata portion of the gross amount of the Signing Bonus calculated by multiplying (A) the quotient obtained by dividing (1) the number of days between Executive’s date of termination and September 16, 2021, by (2) 365, and (B) the Signing Bonus.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18" w:name="page819"/>
    <w:bookmarkEnd w:id="818"/>
    <w:p>
      <w:pPr>
        <w:ind w:left="380" w:hanging="374"/>
        <w:spacing w:after="0"/>
        <w:tabs>
          <w:tab w:leader="none" w:pos="380" w:val="left"/>
        </w:tabs>
        <w:numPr>
          <w:ilvl w:val="0"/>
          <w:numId w:val="625"/>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524"/>
        <w:spacing w:after="0" w:line="294" w:lineRule="auto"/>
        <w:tabs>
          <w:tab w:leader="none" w:pos="868" w:val="left"/>
        </w:tabs>
        <w:numPr>
          <w:ilvl w:val="1"/>
          <w:numId w:val="625"/>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or a</w:t>
      </w:r>
      <w:r>
        <w:rPr>
          <w:rFonts w:ascii="Arial" w:cs="Arial" w:eastAsia="Arial" w:hAnsi="Arial"/>
          <w:sz w:val="14"/>
          <w:szCs w:val="14"/>
          <w:b w:val="1"/>
          <w:bCs w:val="1"/>
          <w:color w:val="auto"/>
        </w:rPr>
        <w:t xml:space="preserve"> </w:t>
      </w:r>
      <w:r>
        <w:rPr>
          <w:rFonts w:ascii="Arial" w:cs="Arial" w:eastAsia="Arial" w:hAnsi="Arial"/>
          <w:sz w:val="14"/>
          <w:szCs w:val="14"/>
          <w:color w:val="auto"/>
        </w:rPr>
        <w:t>resignation by Executive for Good Reason:</w:t>
      </w:r>
    </w:p>
    <w:p>
      <w:pPr>
        <w:spacing w:after="0" w:line="127" w:lineRule="exact"/>
        <w:rPr>
          <w:rFonts w:ascii="Arial" w:cs="Arial" w:eastAsia="Arial" w:hAnsi="Arial"/>
          <w:sz w:val="14"/>
          <w:szCs w:val="14"/>
          <w:color w:val="auto"/>
        </w:rPr>
      </w:pPr>
    </w:p>
    <w:p>
      <w:pPr>
        <w:ind w:firstLine="1042"/>
        <w:spacing w:after="0" w:line="288" w:lineRule="auto"/>
        <w:tabs>
          <w:tab w:leader="none" w:pos="1387" w:val="left"/>
        </w:tabs>
        <w:numPr>
          <w:ilvl w:val="2"/>
          <w:numId w:val="625"/>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42"/>
        <w:spacing w:after="0" w:line="288" w:lineRule="auto"/>
        <w:tabs>
          <w:tab w:leader="none" w:pos="1409" w:val="left"/>
        </w:tabs>
        <w:numPr>
          <w:ilvl w:val="2"/>
          <w:numId w:val="625"/>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413" w:val="left"/>
        </w:tabs>
        <w:numPr>
          <w:ilvl w:val="2"/>
          <w:numId w:val="625"/>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141" w:lineRule="exact"/>
        <w:rPr>
          <w:rFonts w:ascii="Arial" w:cs="Arial" w:eastAsia="Arial" w:hAnsi="Arial"/>
          <w:sz w:val="14"/>
          <w:szCs w:val="14"/>
          <w:color w:val="auto"/>
        </w:rPr>
      </w:pPr>
    </w:p>
    <w:p>
      <w:pPr>
        <w:jc w:val="both"/>
        <w:ind w:firstLine="1042"/>
        <w:spacing w:after="0" w:line="303" w:lineRule="auto"/>
        <w:tabs>
          <w:tab w:leader="none" w:pos="1405" w:val="left"/>
        </w:tabs>
        <w:numPr>
          <w:ilvl w:val="2"/>
          <w:numId w:val="625"/>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42"/>
        <w:spacing w:after="0" w:line="273" w:lineRule="auto"/>
        <w:tabs>
          <w:tab w:leader="none" w:pos="1383" w:val="left"/>
        </w:tabs>
        <w:numPr>
          <w:ilvl w:val="2"/>
          <w:numId w:val="625"/>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jc w:val="both"/>
        <w:spacing w:after="0" w:line="232" w:lineRule="auto"/>
        <w:rPr>
          <w:sz w:val="20"/>
          <w:szCs w:val="20"/>
          <w:color w:val="auto"/>
        </w:rPr>
      </w:pPr>
      <w:r>
        <w:rPr>
          <w:rFonts w:ascii="Arial" w:cs="Arial" w:eastAsia="Arial" w:hAnsi="Arial"/>
          <w:sz w:val="14"/>
          <w:szCs w:val="14"/>
          <w:color w:val="auto"/>
        </w:rPr>
        <w:t>Company and the expiration of all applicable statutory revocation periods, by the 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19" w:name="page820"/>
    <w:bookmarkEnd w:id="819"/>
    <w:p>
      <w:pPr>
        <w:jc w:val="both"/>
        <w:spacing w:after="0" w:line="294" w:lineRule="auto"/>
        <w:rPr>
          <w:sz w:val="20"/>
          <w:szCs w:val="20"/>
          <w:color w:val="auto"/>
        </w:rPr>
      </w:pPr>
      <w:r>
        <w:rPr>
          <w:rFonts w:ascii="Arial" w:cs="Arial" w:eastAsia="Arial" w:hAnsi="Arial"/>
          <w:sz w:val="14"/>
          <w:szCs w:val="14"/>
          <w:color w:val="auto"/>
        </w:rPr>
        <w:t>form and manner satisfactory to the Company (the “</w:t>
      </w:r>
      <w:r>
        <w:rPr>
          <w:rFonts w:ascii="Arial" w:cs="Arial" w:eastAsia="Arial" w:hAnsi="Arial"/>
          <w:sz w:val="14"/>
          <w:szCs w:val="14"/>
          <w:b w:val="1"/>
          <w:bCs w:val="1"/>
          <w:color w:val="auto"/>
        </w:rPr>
        <w:t>Release</w:t>
      </w:r>
      <w:r>
        <w:rPr>
          <w:rFonts w:ascii="Arial" w:cs="Arial" w:eastAsia="Arial" w:hAnsi="Arial"/>
          <w:sz w:val="14"/>
          <w:szCs w:val="14"/>
          <w:color w:val="auto"/>
        </w:rPr>
        <w:t>”) and on Executive’s continued compliance with the provisions of the Proprietary Information and Assignment Agreement (defined below).</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1" w:lineRule="exact"/>
        <w:rPr>
          <w:sz w:val="20"/>
          <w:szCs w:val="20"/>
          <w:color w:val="auto"/>
        </w:rPr>
      </w:pPr>
    </w:p>
    <w:p>
      <w:pPr>
        <w:jc w:val="both"/>
        <w:ind w:firstLine="524"/>
        <w:spacing w:after="0" w:line="264" w:lineRule="auto"/>
        <w:tabs>
          <w:tab w:leader="none" w:pos="865" w:val="left"/>
        </w:tabs>
        <w:numPr>
          <w:ilvl w:val="1"/>
          <w:numId w:val="626"/>
        </w:numPr>
        <w:rPr>
          <w:rFonts w:ascii="Arial" w:cs="Arial" w:eastAsia="Arial" w:hAnsi="Arial"/>
          <w:sz w:val="14"/>
          <w:szCs w:val="14"/>
          <w:color w:val="auto"/>
        </w:rPr>
      </w:pPr>
      <w:r>
        <w:rPr>
          <w:rFonts w:ascii="Arial" w:cs="Arial" w:eastAsia="Arial" w:hAnsi="Arial"/>
          <w:sz w:val="14"/>
          <w:szCs w:val="14"/>
          <w:b w:val="1"/>
          <w:bCs w:val="1"/>
          <w:u w:val="single" w:color="auto"/>
          <w:color w:val="auto"/>
        </w:rPr>
        <w:t>Other Terminations</w:t>
      </w:r>
      <w:r>
        <w:rPr>
          <w:rFonts w:ascii="Arial" w:cs="Arial" w:eastAsia="Arial" w:hAnsi="Arial"/>
          <w:sz w:val="14"/>
          <w:szCs w:val="14"/>
          <w:color w:val="auto"/>
        </w:rPr>
        <w:t>. If Executive’s employment with the Company ceases for any reason other than as described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9(a)</w:t>
      </w:r>
      <w:r>
        <w:rPr>
          <w:rFonts w:ascii="Arial" w:cs="Arial" w:eastAsia="Arial" w:hAnsi="Arial"/>
          <w:sz w:val="14"/>
          <w:szCs w:val="14"/>
          <w:b w:val="1"/>
          <w:bCs w:val="1"/>
          <w:color w:val="auto"/>
        </w:rPr>
        <w:t xml:space="preserve"> </w:t>
      </w:r>
      <w:r>
        <w:rPr>
          <w:rFonts w:ascii="Arial" w:cs="Arial" w:eastAsia="Arial" w:hAnsi="Arial"/>
          <w:sz w:val="14"/>
          <w:szCs w:val="14"/>
          <w:color w:val="auto"/>
        </w:rPr>
        <w:t>above (including but not limited to (i) termination</w:t>
      </w:r>
      <w:r>
        <w:rPr>
          <w:rFonts w:ascii="Arial" w:cs="Arial" w:eastAsia="Arial" w:hAnsi="Arial"/>
          <w:sz w:val="14"/>
          <w:szCs w:val="14"/>
          <w:b w:val="1"/>
          <w:bCs w:val="1"/>
          <w:color w:val="auto"/>
        </w:rPr>
        <w:t xml:space="preserve"> </w:t>
      </w:r>
      <w:r>
        <w:rPr>
          <w:rFonts w:ascii="Arial" w:cs="Arial" w:eastAsia="Arial" w:hAnsi="Arial"/>
          <w:sz w:val="14"/>
          <w:szCs w:val="14"/>
          <w:color w:val="auto"/>
        </w:rPr>
        <w:t>by the Company for Cause, (ii) resignation by Executive without Good Reason, (iii) termination as a result of Executive’s Disability, or (iv) Executive’s death), then the Company’s 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5" w:lineRule="exact"/>
        <w:rPr>
          <w:rFonts w:ascii="Arial" w:cs="Arial" w:eastAsia="Arial" w:hAnsi="Arial"/>
          <w:sz w:val="14"/>
          <w:szCs w:val="14"/>
          <w:color w:val="auto"/>
        </w:rPr>
      </w:pPr>
    </w:p>
    <w:p>
      <w:pPr>
        <w:ind w:left="400" w:hanging="394"/>
        <w:spacing w:after="0"/>
        <w:tabs>
          <w:tab w:leader="none" w:pos="400" w:val="left"/>
        </w:tabs>
        <w:numPr>
          <w:ilvl w:val="0"/>
          <w:numId w:val="627"/>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857" w:val="left"/>
        </w:tabs>
        <w:numPr>
          <w:ilvl w:val="1"/>
          <w:numId w:val="627"/>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4"/>
        <w:spacing w:after="0" w:line="265" w:lineRule="auto"/>
        <w:tabs>
          <w:tab w:leader="none" w:pos="876" w:val="left"/>
        </w:tabs>
        <w:numPr>
          <w:ilvl w:val="1"/>
          <w:numId w:val="627"/>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no portion of the benefits or payments to be made under </w:t>
      </w:r>
      <w:r>
        <w:rPr>
          <w:rFonts w:ascii="Arial" w:cs="Arial" w:eastAsia="Arial" w:hAnsi="Arial"/>
          <w:sz w:val="14"/>
          <w:szCs w:val="14"/>
          <w:u w:val="single" w:color="auto"/>
          <w:color w:val="auto"/>
        </w:rPr>
        <w:t>Section 9(a)</w:t>
      </w:r>
      <w:r>
        <w:rPr>
          <w:rFonts w:ascii="Arial" w:cs="Arial" w:eastAsia="Arial" w:hAnsi="Arial"/>
          <w:sz w:val="14"/>
          <w:szCs w:val="14"/>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20" w:name="page821"/>
    <w:bookmarkEnd w:id="820"/>
    <w:p>
      <w:pPr>
        <w:jc w:val="both"/>
        <w:spacing w:after="0" w:line="273" w:lineRule="auto"/>
        <w:rPr>
          <w:sz w:val="20"/>
          <w:szCs w:val="20"/>
          <w:color w:val="auto"/>
        </w:rPr>
      </w:pPr>
      <w:r>
        <w:rPr>
          <w:rFonts w:ascii="Arial" w:cs="Arial" w:eastAsia="Arial" w:hAnsi="Arial"/>
          <w:sz w:val="14"/>
          <w:szCs w:val="14"/>
          <w:color w:val="auto"/>
        </w:rPr>
        <w:t>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41" w:lineRule="exact"/>
        <w:rPr>
          <w:sz w:val="20"/>
          <w:szCs w:val="20"/>
          <w:color w:val="auto"/>
        </w:rPr>
      </w:pPr>
    </w:p>
    <w:p>
      <w:pPr>
        <w:jc w:val="both"/>
        <w:ind w:firstLine="524"/>
        <w:spacing w:after="0" w:line="290" w:lineRule="auto"/>
        <w:tabs>
          <w:tab w:leader="none" w:pos="868" w:val="left"/>
        </w:tabs>
        <w:numPr>
          <w:ilvl w:val="1"/>
          <w:numId w:val="628"/>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28" w:lineRule="exact"/>
        <w:rPr>
          <w:rFonts w:ascii="Arial" w:cs="Arial" w:eastAsia="Arial" w:hAnsi="Arial"/>
          <w:sz w:val="13"/>
          <w:szCs w:val="13"/>
          <w:color w:val="auto"/>
        </w:rPr>
      </w:pPr>
    </w:p>
    <w:p>
      <w:pPr>
        <w:jc w:val="both"/>
        <w:ind w:firstLine="6"/>
        <w:spacing w:after="0" w:line="285" w:lineRule="auto"/>
        <w:tabs>
          <w:tab w:leader="none" w:pos="390" w:val="left"/>
        </w:tabs>
        <w:numPr>
          <w:ilvl w:val="0"/>
          <w:numId w:val="629"/>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 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3" w:lineRule="exact"/>
        <w:rPr>
          <w:rFonts w:ascii="Arial" w:cs="Arial" w:eastAsia="Arial" w:hAnsi="Arial"/>
          <w:sz w:val="13"/>
          <w:szCs w:val="13"/>
          <w:color w:val="auto"/>
        </w:rPr>
      </w:pPr>
    </w:p>
    <w:p>
      <w:pPr>
        <w:ind w:left="400" w:hanging="394"/>
        <w:spacing w:after="0"/>
        <w:tabs>
          <w:tab w:leader="none" w:pos="400" w:val="left"/>
        </w:tabs>
        <w:numPr>
          <w:ilvl w:val="0"/>
          <w:numId w:val="629"/>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4" w:lineRule="exact"/>
        <w:rPr>
          <w:rFonts w:ascii="Arial" w:cs="Arial" w:eastAsia="Arial" w:hAnsi="Arial"/>
          <w:sz w:val="14"/>
          <w:szCs w:val="14"/>
          <w:color w:val="auto"/>
        </w:rPr>
      </w:pPr>
    </w:p>
    <w:p>
      <w:pPr>
        <w:jc w:val="both"/>
        <w:ind w:firstLine="524"/>
        <w:spacing w:after="0" w:line="269" w:lineRule="auto"/>
        <w:tabs>
          <w:tab w:leader="none" w:pos="868" w:val="left"/>
        </w:tabs>
        <w:numPr>
          <w:ilvl w:val="1"/>
          <w:numId w:val="62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821" w:name="page822"/>
    <w:bookmarkEnd w:id="821"/>
    <w:p>
      <w:pPr>
        <w:jc w:val="both"/>
        <w:spacing w:after="0" w:line="261" w:lineRule="auto"/>
        <w:rPr>
          <w:sz w:val="20"/>
          <w:szCs w:val="20"/>
          <w:color w:val="auto"/>
        </w:rPr>
      </w:pPr>
      <w:r>
        <w:rPr>
          <w:rFonts w:ascii="Arial" w:cs="Arial" w:eastAsia="Arial" w:hAnsi="Arial"/>
          <w:sz w:val="14"/>
          <w:szCs w:val="14"/>
          <w:color w:val="auto"/>
        </w:rPr>
        <w:t xml:space="preserve">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49" w:lineRule="exact"/>
        <w:rPr>
          <w:sz w:val="20"/>
          <w:szCs w:val="20"/>
          <w:color w:val="auto"/>
        </w:rPr>
      </w:pPr>
    </w:p>
    <w:p>
      <w:pPr>
        <w:ind w:left="880" w:hanging="356"/>
        <w:spacing w:after="0"/>
        <w:tabs>
          <w:tab w:leader="none" w:pos="880" w:val="left"/>
        </w:tabs>
        <w:numPr>
          <w:ilvl w:val="0"/>
          <w:numId w:val="63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4" w:lineRule="exact"/>
        <w:rPr>
          <w:rFonts w:ascii="Arial" w:cs="Arial" w:eastAsia="Arial" w:hAnsi="Arial"/>
          <w:sz w:val="14"/>
          <w:szCs w:val="14"/>
          <w:color w:val="auto"/>
        </w:rPr>
      </w:pPr>
    </w:p>
    <w:p>
      <w:pPr>
        <w:ind w:left="860" w:hanging="336"/>
        <w:spacing w:after="0"/>
        <w:tabs>
          <w:tab w:leader="none" w:pos="860" w:val="left"/>
        </w:tabs>
        <w:numPr>
          <w:ilvl w:val="0"/>
          <w:numId w:val="63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4" w:lineRule="exact"/>
        <w:rPr>
          <w:rFonts w:ascii="Arial" w:cs="Arial" w:eastAsia="Arial" w:hAnsi="Arial"/>
          <w:sz w:val="14"/>
          <w:szCs w:val="14"/>
          <w:color w:val="auto"/>
        </w:rPr>
      </w:pPr>
    </w:p>
    <w:p>
      <w:pPr>
        <w:jc w:val="both"/>
        <w:ind w:firstLine="524"/>
        <w:spacing w:after="0" w:line="296" w:lineRule="auto"/>
        <w:tabs>
          <w:tab w:leader="none" w:pos="865" w:val="left"/>
        </w:tabs>
        <w:numPr>
          <w:ilvl w:val="0"/>
          <w:numId w:val="63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Disability</w:t>
      </w:r>
      <w:r>
        <w:rPr>
          <w:rFonts w:ascii="Arial" w:cs="Arial" w:eastAsia="Arial" w:hAnsi="Arial"/>
          <w:sz w:val="13"/>
          <w:szCs w:val="13"/>
          <w:color w:val="auto"/>
        </w:rPr>
        <w:t>” means a condition entitling Executive to benefits under the Company’s long term disability plan, policy or arrangement; provided, however, that if no such 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25" w:lineRule="exact"/>
        <w:rPr>
          <w:rFonts w:ascii="Arial" w:cs="Arial" w:eastAsia="Arial" w:hAnsi="Arial"/>
          <w:sz w:val="13"/>
          <w:szCs w:val="13"/>
          <w:color w:val="auto"/>
        </w:rPr>
      </w:pPr>
    </w:p>
    <w:p>
      <w:pPr>
        <w:jc w:val="both"/>
        <w:ind w:firstLine="524"/>
        <w:spacing w:after="0" w:line="266" w:lineRule="auto"/>
        <w:tabs>
          <w:tab w:leader="none" w:pos="857" w:val="left"/>
        </w:tabs>
        <w:numPr>
          <w:ilvl w:val="0"/>
          <w:numId w:val="63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4"/>
          <w:szCs w:val="14"/>
          <w:color w:val="464646"/>
        </w:rPr>
        <w:t>,</w:t>
      </w:r>
      <w:r>
        <w:rPr>
          <w:rFonts w:ascii="Arial" w:cs="Arial" w:eastAsia="Arial" w:hAnsi="Arial"/>
          <w:sz w:val="14"/>
          <w:szCs w:val="14"/>
          <w:color w:val="auto"/>
        </w:rPr>
        <w:t xml:space="preserve"> (y) such event is not reversed or corrected </w:t>
      </w:r>
      <w:r>
        <w:rPr>
          <w:rFonts w:ascii="Arial" w:cs="Arial" w:eastAsia="Arial" w:hAnsi="Arial"/>
          <w:sz w:val="14"/>
          <w:szCs w:val="14"/>
          <w:color w:val="161515"/>
        </w:rPr>
        <w:t>by</w:t>
      </w:r>
      <w:r>
        <w:rPr>
          <w:rFonts w:ascii="Arial" w:cs="Arial" w:eastAsia="Arial" w:hAnsi="Arial"/>
          <w:sz w:val="14"/>
          <w:szCs w:val="14"/>
          <w:color w:val="auto"/>
        </w:rPr>
        <w:t xml:space="preserve"> the Company within 30 days of its receipt of such written objection, and (z) Executive separates from service within 60 days following the expiration of that cure period.</w:t>
      </w:r>
    </w:p>
    <w:p>
      <w:pPr>
        <w:spacing w:after="0" w:line="143" w:lineRule="exact"/>
        <w:rPr>
          <w:rFonts w:ascii="Arial" w:cs="Arial" w:eastAsia="Arial" w:hAnsi="Arial"/>
          <w:sz w:val="14"/>
          <w:szCs w:val="14"/>
          <w:color w:val="auto"/>
        </w:rPr>
      </w:pPr>
    </w:p>
    <w:p>
      <w:pPr>
        <w:ind w:firstLine="524"/>
        <w:spacing w:after="0" w:line="294" w:lineRule="auto"/>
        <w:tabs>
          <w:tab w:leader="none" w:pos="852" w:val="left"/>
        </w:tabs>
        <w:numPr>
          <w:ilvl w:val="0"/>
          <w:numId w:val="63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22" w:name="page823"/>
    <w:bookmarkEnd w:id="822"/>
    <w:p>
      <w:pPr>
        <w:spacing w:after="0"/>
        <w:rPr>
          <w:sz w:val="20"/>
          <w:szCs w:val="20"/>
          <w:color w:val="auto"/>
        </w:rPr>
      </w:pPr>
      <w:r>
        <w:rPr>
          <w:rFonts w:ascii="Arial" w:cs="Arial" w:eastAsia="Arial" w:hAnsi="Arial"/>
          <w:sz w:val="14"/>
          <w:szCs w:val="14"/>
          <w:color w:val="auto"/>
        </w:rPr>
        <w:t>to a Change in Control or twelve (12) months following a Change in Control, “Severance Period” shall mean twelve (12) months.</w:t>
      </w:r>
    </w:p>
    <w:p>
      <w:pPr>
        <w:spacing w:after="0" w:line="180" w:lineRule="exact"/>
        <w:rPr>
          <w:sz w:val="20"/>
          <w:szCs w:val="20"/>
          <w:color w:val="auto"/>
        </w:rPr>
      </w:pPr>
    </w:p>
    <w:p>
      <w:pPr>
        <w:ind w:firstLine="6"/>
        <w:spacing w:after="0" w:line="294" w:lineRule="auto"/>
        <w:tabs>
          <w:tab w:leader="none" w:pos="406" w:val="left"/>
        </w:tabs>
        <w:numPr>
          <w:ilvl w:val="0"/>
          <w:numId w:val="631"/>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6" w:lineRule="auto"/>
        <w:tabs>
          <w:tab w:leader="none" w:pos="395" w:val="left"/>
        </w:tabs>
        <w:numPr>
          <w:ilvl w:val="0"/>
          <w:numId w:val="631"/>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99" w:lineRule="exact"/>
        <w:rPr>
          <w:rFonts w:ascii="Arial" w:cs="Arial" w:eastAsia="Arial" w:hAnsi="Arial"/>
          <w:sz w:val="13"/>
          <w:szCs w:val="13"/>
          <w:color w:val="auto"/>
        </w:rPr>
      </w:pPr>
    </w:p>
    <w:p>
      <w:pPr>
        <w:ind w:firstLine="6"/>
        <w:spacing w:after="0" w:line="294" w:lineRule="auto"/>
        <w:tabs>
          <w:tab w:leader="none" w:pos="406" w:val="left"/>
        </w:tabs>
        <w:numPr>
          <w:ilvl w:val="0"/>
          <w:numId w:val="631"/>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6" w:lineRule="auto"/>
        <w:tabs>
          <w:tab w:leader="none" w:pos="395" w:val="left"/>
        </w:tabs>
        <w:numPr>
          <w:ilvl w:val="0"/>
          <w:numId w:val="631"/>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his duties to the Company or his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jc w:val="both"/>
        <w:ind w:firstLine="6"/>
        <w:spacing w:after="0" w:line="276" w:lineRule="auto"/>
        <w:tabs>
          <w:tab w:leader="none" w:pos="417" w:val="left"/>
        </w:tabs>
        <w:numPr>
          <w:ilvl w:val="0"/>
          <w:numId w:val="631"/>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135" w:lineRule="exact"/>
        <w:rPr>
          <w:rFonts w:ascii="Arial" w:cs="Arial" w:eastAsia="Arial" w:hAnsi="Arial"/>
          <w:sz w:val="14"/>
          <w:szCs w:val="14"/>
          <w:color w:val="auto"/>
        </w:rPr>
      </w:pPr>
    </w:p>
    <w:p>
      <w:pPr>
        <w:ind w:left="400" w:hanging="394"/>
        <w:spacing w:after="0"/>
        <w:tabs>
          <w:tab w:leader="none" w:pos="400" w:val="left"/>
        </w:tabs>
        <w:numPr>
          <w:ilvl w:val="0"/>
          <w:numId w:val="631"/>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73" w:lineRule="auto"/>
        <w:tabs>
          <w:tab w:leader="none" w:pos="857" w:val="left"/>
        </w:tabs>
        <w:numPr>
          <w:ilvl w:val="1"/>
          <w:numId w:val="631"/>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1" w:lineRule="exact"/>
        <w:rPr>
          <w:rFonts w:ascii="Arial" w:cs="Arial" w:eastAsia="Arial" w:hAnsi="Arial"/>
          <w:sz w:val="14"/>
          <w:szCs w:val="14"/>
          <w:color w:val="auto"/>
        </w:rPr>
      </w:pPr>
    </w:p>
    <w:p>
      <w:pPr>
        <w:ind w:firstLine="524"/>
        <w:spacing w:after="0" w:line="329" w:lineRule="auto"/>
        <w:tabs>
          <w:tab w:leader="none" w:pos="865" w:val="left"/>
        </w:tabs>
        <w:numPr>
          <w:ilvl w:val="1"/>
          <w:numId w:val="631"/>
        </w:numPr>
        <w:rPr>
          <w:rFonts w:ascii="Arial" w:cs="Arial" w:eastAsia="Arial" w:hAnsi="Arial"/>
          <w:sz w:val="13"/>
          <w:szCs w:val="13"/>
          <w:color w:val="auto"/>
        </w:rPr>
      </w:pPr>
      <w:r>
        <w:rPr>
          <w:rFonts w:ascii="Arial" w:cs="Arial" w:eastAsia="Arial" w:hAnsi="Arial"/>
          <w:sz w:val="13"/>
          <w:szCs w:val="13"/>
          <w:color w:val="auto"/>
        </w:rPr>
        <w:t>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23" w:name="page824"/>
    <w:bookmarkEnd w:id="823"/>
    <w:p>
      <w:pPr>
        <w:spacing w:after="0"/>
        <w:rPr>
          <w:sz w:val="20"/>
          <w:szCs w:val="20"/>
          <w:color w:val="auto"/>
        </w:rPr>
      </w:pPr>
      <w:r>
        <w:rPr>
          <w:rFonts w:ascii="Arial" w:cs="Arial" w:eastAsia="Arial" w:hAnsi="Arial"/>
          <w:sz w:val="14"/>
          <w:szCs w:val="14"/>
          <w:color w:val="auto"/>
        </w:rPr>
        <w:t xml:space="preserve">by the Company will not entitle Executive to severance benefits under </w:t>
      </w:r>
      <w:r>
        <w:rPr>
          <w:rFonts w:ascii="Arial" w:cs="Arial" w:eastAsia="Arial" w:hAnsi="Arial"/>
          <w:sz w:val="14"/>
          <w:szCs w:val="14"/>
          <w:u w:val="single" w:color="auto"/>
          <w:color w:val="auto"/>
        </w:rPr>
        <w:t>Section 9(a)</w:t>
      </w:r>
      <w:r>
        <w:rPr>
          <w:rFonts w:ascii="Arial" w:cs="Arial" w:eastAsia="Arial" w:hAnsi="Arial"/>
          <w:sz w:val="14"/>
          <w:szCs w:val="14"/>
          <w:color w:val="auto"/>
        </w:rPr>
        <w:t xml:space="preserve"> or otherwise, whether or not Executive accepts employment with the assignee.</w:t>
      </w:r>
    </w:p>
    <w:p>
      <w:pPr>
        <w:spacing w:after="0" w:line="184" w:lineRule="exact"/>
        <w:rPr>
          <w:sz w:val="20"/>
          <w:szCs w:val="20"/>
          <w:color w:val="auto"/>
        </w:rPr>
      </w:pPr>
    </w:p>
    <w:p>
      <w:pPr>
        <w:ind w:left="860" w:hanging="336"/>
        <w:spacing w:after="0"/>
        <w:tabs>
          <w:tab w:leader="none" w:pos="860" w:val="left"/>
        </w:tabs>
        <w:numPr>
          <w:ilvl w:val="1"/>
          <w:numId w:val="632"/>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80" w:lineRule="exact"/>
        <w:rPr>
          <w:rFonts w:ascii="Arial" w:cs="Arial" w:eastAsia="Arial" w:hAnsi="Arial"/>
          <w:sz w:val="14"/>
          <w:szCs w:val="14"/>
          <w:color w:val="auto"/>
        </w:rPr>
      </w:pPr>
    </w:p>
    <w:p>
      <w:pPr>
        <w:ind w:left="400" w:hanging="394"/>
        <w:spacing w:after="0"/>
        <w:tabs>
          <w:tab w:leader="none" w:pos="400" w:val="left"/>
        </w:tabs>
        <w:numPr>
          <w:ilvl w:val="0"/>
          <w:numId w:val="633"/>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5" w:lineRule="exact"/>
        <w:rPr>
          <w:rFonts w:ascii="Arial" w:cs="Arial" w:eastAsia="Arial" w:hAnsi="Arial"/>
          <w:sz w:val="13"/>
          <w:szCs w:val="13"/>
          <w:color w:val="auto"/>
        </w:rPr>
      </w:pPr>
    </w:p>
    <w:p>
      <w:pPr>
        <w:jc w:val="both"/>
        <w:ind w:firstLine="6"/>
        <w:spacing w:after="0" w:line="285" w:lineRule="auto"/>
        <w:tabs>
          <w:tab w:leader="none" w:pos="395" w:val="left"/>
        </w:tabs>
        <w:numPr>
          <w:ilvl w:val="0"/>
          <w:numId w:val="633"/>
        </w:numPr>
        <w:rPr>
          <w:rFonts w:ascii="Arial" w:cs="Arial" w:eastAsia="Arial" w:hAnsi="Arial"/>
          <w:sz w:val="13"/>
          <w:szCs w:val="13"/>
          <w:color w:val="auto"/>
        </w:rPr>
      </w:pPr>
      <w:r>
        <w:rPr>
          <w:rFonts w:ascii="Arial" w:cs="Arial" w:eastAsia="Arial" w:hAnsi="Arial"/>
          <w:sz w:val="13"/>
          <w:szCs w:val="13"/>
          <w:b w:val="1"/>
          <w:bCs w:val="1"/>
          <w:u w:val="single" w:color="auto"/>
          <w:color w:val="auto"/>
        </w:rPr>
        <w:t>Arbitration</w:t>
      </w:r>
      <w:r>
        <w:rPr>
          <w:rFonts w:ascii="Arial" w:cs="Arial" w:eastAsia="Arial" w:hAnsi="Arial"/>
          <w:sz w:val="13"/>
          <w:szCs w:val="13"/>
          <w:color w:val="auto"/>
        </w:rPr>
        <w:t>. In the event of any dispute under the provisions of this Agreement or otherwise regarding Executive’s employment or compensation (other than a dispute in which the primary</w:t>
      </w:r>
      <w:r>
        <w:rPr>
          <w:rFonts w:ascii="Arial" w:cs="Arial" w:eastAsia="Arial" w:hAnsi="Arial"/>
          <w:sz w:val="13"/>
          <w:szCs w:val="13"/>
          <w:b w:val="1"/>
          <w:bCs w:val="1"/>
          <w:color w:val="auto"/>
        </w:rPr>
        <w:t xml:space="preserve"> </w:t>
      </w:r>
      <w:r>
        <w:rPr>
          <w:rFonts w:ascii="Arial" w:cs="Arial" w:eastAsia="Arial" w:hAnsi="Arial"/>
          <w:sz w:val="13"/>
          <w:szCs w:val="13"/>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3"/>
          <w:szCs w:val="13"/>
          <w:b w:val="1"/>
          <w:bCs w:val="1"/>
          <w:color w:val="auto"/>
        </w:rPr>
        <w:t>AAA</w:t>
      </w:r>
      <w:r>
        <w:rPr>
          <w:rFonts w:ascii="Arial" w:cs="Arial" w:eastAsia="Arial" w:hAnsi="Arial"/>
          <w:sz w:val="13"/>
          <w:szCs w:val="13"/>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133" w:lineRule="exact"/>
        <w:rPr>
          <w:rFonts w:ascii="Arial" w:cs="Arial" w:eastAsia="Arial" w:hAnsi="Arial"/>
          <w:sz w:val="13"/>
          <w:szCs w:val="13"/>
          <w:color w:val="auto"/>
        </w:rPr>
      </w:pPr>
    </w:p>
    <w:p>
      <w:pPr>
        <w:ind w:left="400" w:hanging="394"/>
        <w:spacing w:after="0"/>
        <w:tabs>
          <w:tab w:leader="none" w:pos="400" w:val="left"/>
        </w:tabs>
        <w:numPr>
          <w:ilvl w:val="0"/>
          <w:numId w:val="633"/>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4" w:lineRule="exact"/>
        <w:rPr>
          <w:rFonts w:ascii="Arial" w:cs="Arial" w:eastAsia="Arial" w:hAnsi="Arial"/>
          <w:sz w:val="14"/>
          <w:szCs w:val="14"/>
          <w:color w:val="auto"/>
        </w:rPr>
      </w:pPr>
    </w:p>
    <w:p>
      <w:pPr>
        <w:jc w:val="both"/>
        <w:ind w:firstLine="6"/>
        <w:spacing w:after="0" w:line="266" w:lineRule="auto"/>
        <w:tabs>
          <w:tab w:leader="none" w:pos="395" w:val="left"/>
        </w:tabs>
        <w:numPr>
          <w:ilvl w:val="0"/>
          <w:numId w:val="633"/>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24" w:name="page825"/>
    <w:bookmarkEnd w:id="824"/>
    <w:p>
      <w:pPr>
        <w:spacing w:after="0"/>
        <w:rPr>
          <w:sz w:val="20"/>
          <w:szCs w:val="20"/>
          <w:color w:val="auto"/>
        </w:rPr>
      </w:pPr>
      <w:r>
        <w:rPr>
          <w:rFonts w:ascii="Arial" w:cs="Arial" w:eastAsia="Arial" w:hAnsi="Arial"/>
          <w:sz w:val="14"/>
          <w:szCs w:val="14"/>
          <w:color w:val="auto"/>
        </w:rPr>
        <w:t>overnight delivery service, or three days after the date mailed, if otherwise given by first class mail, postage prepaid.</w:t>
      </w:r>
    </w:p>
    <w:p>
      <w:pPr>
        <w:spacing w:after="0" w:line="180" w:lineRule="exact"/>
        <w:rPr>
          <w:sz w:val="20"/>
          <w:szCs w:val="20"/>
          <w:color w:val="auto"/>
        </w:rPr>
      </w:pPr>
    </w:p>
    <w:p>
      <w:pPr>
        <w:ind w:firstLine="6"/>
        <w:spacing w:after="0" w:line="294" w:lineRule="auto"/>
        <w:tabs>
          <w:tab w:leader="none" w:pos="406" w:val="left"/>
        </w:tabs>
        <w:numPr>
          <w:ilvl w:val="0"/>
          <w:numId w:val="634"/>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constitute one and the same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825" w:name="page826"/>
    <w:bookmarkEnd w:id="825"/>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80" w:lineRule="exact"/>
        <w:rPr>
          <w:sz w:val="20"/>
          <w:szCs w:val="20"/>
          <w:color w:val="auto"/>
        </w:rPr>
      </w:pPr>
    </w:p>
    <w:p>
      <w:pPr>
        <w:jc w:val="right"/>
        <w:ind w:right="338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bl>
    <w:p>
      <w:pPr>
        <w:spacing w:after="0" w:line="158"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EXECUTIVE</w:t>
      </w:r>
    </w:p>
    <w:p>
      <w:pPr>
        <w:spacing w:after="0" w:line="184"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Michael Diem, M.D.</w:t>
      </w:r>
    </w:p>
    <w:p>
      <w:pPr>
        <w:spacing w:after="0" w:line="188"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Michael Diem, M.D.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Michael Diem, M.D.</w:t>
            </w:r>
          </w:p>
        </w:tc>
      </w:tr>
    </w:tbl>
    <w:p>
      <w:pPr>
        <w:spacing w:after="0" w:line="162"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233680</wp:posOffset>
            </wp:positionV>
            <wp:extent cx="7159625" cy="698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6" w:right="319" w:bottom="1440" w:gutter="0" w:footer="0" w:header="0"/>
        </w:sectPr>
      </w:pPr>
    </w:p>
    <w:bookmarkStart w:id="826" w:name="page827"/>
    <w:bookmarkEnd w:id="826"/>
    <w:p>
      <w:pPr>
        <w:jc w:val="right"/>
        <w:spacing w:after="0"/>
        <w:rPr>
          <w:sz w:val="20"/>
          <w:szCs w:val="20"/>
          <w:color w:val="auto"/>
        </w:rPr>
      </w:pPr>
      <w:r>
        <w:rPr>
          <w:rFonts w:ascii="Arial" w:cs="Arial" w:eastAsia="Arial" w:hAnsi="Arial"/>
          <w:sz w:val="14"/>
          <w:szCs w:val="14"/>
          <w:b w:val="1"/>
          <w:bCs w:val="1"/>
          <w:color w:val="auto"/>
        </w:rPr>
        <w:t>EXHIBIT 10.32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HYAM LEVITSKY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WHEREAS, Executive is currently employed by the Company as its President of Research and Development in accordance with the terms and conditions of that certain employment agreement by and between the Company and Executive dated May 1, 2019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71" w:lineRule="exact"/>
        <w:rPr>
          <w:sz w:val="20"/>
          <w:szCs w:val="20"/>
          <w:color w:val="auto"/>
        </w:rPr>
      </w:pPr>
    </w:p>
    <w:p>
      <w:pPr>
        <w:jc w:val="both"/>
        <w:ind w:firstLine="6"/>
        <w:spacing w:after="0" w:line="264" w:lineRule="auto"/>
        <w:tabs>
          <w:tab w:leader="none" w:pos="341" w:val="left"/>
        </w:tabs>
        <w:numPr>
          <w:ilvl w:val="0"/>
          <w:numId w:val="635"/>
        </w:numPr>
        <w:rPr>
          <w:rFonts w:ascii="Arial" w:cs="Arial" w:eastAsia="Arial" w:hAnsi="Arial"/>
          <w:sz w:val="14"/>
          <w:szCs w:val="14"/>
          <w:color w:val="auto"/>
        </w:rPr>
      </w:pPr>
      <w:r>
        <w:rPr>
          <w:rFonts w:ascii="Arial" w:cs="Arial" w:eastAsia="Arial" w:hAnsi="Arial"/>
          <w:sz w:val="14"/>
          <w:szCs w:val="14"/>
          <w:b w:val="1"/>
          <w:bCs w:val="1"/>
          <w:u w:val="single" w:color="auto"/>
          <w:color w:val="auto"/>
        </w:rPr>
        <w:t>Position</w:t>
      </w:r>
      <w:r>
        <w:rPr>
          <w:rFonts w:ascii="Arial" w:cs="Arial" w:eastAsia="Arial" w:hAnsi="Arial"/>
          <w:sz w:val="14"/>
          <w:szCs w:val="14"/>
          <w:color w:val="auto"/>
        </w:rPr>
        <w:t>. Executive will serve as the President of Research and Development of the Company and will report directly to the Chief Executive Officer of the Company or his or her delegate.</w:t>
      </w:r>
      <w:r>
        <w:rPr>
          <w:rFonts w:ascii="Arial" w:cs="Arial" w:eastAsia="Arial" w:hAnsi="Arial"/>
          <w:sz w:val="14"/>
          <w:szCs w:val="14"/>
          <w:b w:val="1"/>
          <w:bCs w:val="1"/>
          <w:color w:val="auto"/>
        </w:rPr>
        <w:t xml:space="preserve"> </w:t>
      </w:r>
      <w:r>
        <w:rPr>
          <w:rFonts w:ascii="Arial" w:cs="Arial" w:eastAsia="Arial" w:hAnsi="Arial"/>
          <w:sz w:val="14"/>
          <w:szCs w:val="14"/>
          <w:color w:val="auto"/>
        </w:rPr>
        <w:t>In addition to 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w:t>
      </w:r>
    </w:p>
    <w:p>
      <w:pPr>
        <w:spacing w:after="0" w:line="145" w:lineRule="exact"/>
        <w:rPr>
          <w:rFonts w:ascii="Arial" w:cs="Arial" w:eastAsia="Arial" w:hAnsi="Arial"/>
          <w:sz w:val="14"/>
          <w:szCs w:val="14"/>
          <w:color w:val="auto"/>
        </w:rPr>
      </w:pPr>
    </w:p>
    <w:p>
      <w:pPr>
        <w:jc w:val="both"/>
        <w:ind w:firstLine="6"/>
        <w:spacing w:after="0" w:line="276" w:lineRule="auto"/>
        <w:tabs>
          <w:tab w:leader="none" w:pos="341" w:val="left"/>
        </w:tabs>
        <w:numPr>
          <w:ilvl w:val="0"/>
          <w:numId w:val="635"/>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ind w:left="340" w:hanging="334"/>
        <w:spacing w:after="0"/>
        <w:tabs>
          <w:tab w:leader="none" w:pos="340" w:val="left"/>
        </w:tabs>
        <w:numPr>
          <w:ilvl w:val="0"/>
          <w:numId w:val="635"/>
        </w:numPr>
        <w:rPr>
          <w:rFonts w:ascii="Arial" w:cs="Arial" w:eastAsia="Arial" w:hAnsi="Arial"/>
          <w:sz w:val="13"/>
          <w:szCs w:val="13"/>
          <w:color w:val="auto"/>
        </w:rPr>
      </w:pPr>
      <w:r>
        <w:rPr>
          <w:rFonts w:ascii="Arial" w:cs="Arial" w:eastAsia="Arial" w:hAnsi="Arial"/>
          <w:sz w:val="13"/>
          <w:szCs w:val="13"/>
          <w:b w:val="1"/>
          <w:bCs w:val="1"/>
          <w:u w:val="single" w:color="auto"/>
          <w:color w:val="auto"/>
        </w:rPr>
        <w:t>Place of Performance</w:t>
      </w:r>
      <w:r>
        <w:rPr>
          <w:rFonts w:ascii="Arial" w:cs="Arial" w:eastAsia="Arial" w:hAnsi="Arial"/>
          <w:sz w:val="13"/>
          <w:szCs w:val="13"/>
          <w:color w:val="auto"/>
        </w:rPr>
        <w:t>. Executive will perform services hereunder at the principal executive offices of the Company in a location to be determined by the board of directors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490220</wp:posOffset>
            </wp:positionV>
            <wp:extent cx="7159625" cy="698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9" w:right="319" w:bottom="1440" w:gutter="0" w:footer="0" w:header="0"/>
        </w:sectPr>
      </w:pPr>
    </w:p>
    <w:bookmarkStart w:id="827" w:name="page828"/>
    <w:bookmarkEnd w:id="827"/>
    <w:p>
      <w:pPr>
        <w:spacing w:after="0"/>
        <w:rPr>
          <w:sz w:val="20"/>
          <w:szCs w:val="20"/>
          <w:color w:val="auto"/>
        </w:rPr>
      </w:pPr>
      <w:r>
        <w:rPr>
          <w:rFonts w:ascii="Arial" w:cs="Arial" w:eastAsia="Arial" w:hAnsi="Arial"/>
          <w:sz w:val="14"/>
          <w:szCs w:val="14"/>
          <w:color w:val="auto"/>
        </w:rPr>
        <w:t>Company (the “</w:t>
      </w:r>
      <w:r>
        <w:rPr>
          <w:rFonts w:ascii="Arial" w:cs="Arial" w:eastAsia="Arial" w:hAnsi="Arial"/>
          <w:sz w:val="14"/>
          <w:szCs w:val="14"/>
          <w:b w:val="1"/>
          <w:bCs w:val="1"/>
          <w:color w:val="auto"/>
        </w:rPr>
        <w:t>Board</w:t>
      </w:r>
      <w:r>
        <w:rPr>
          <w:rFonts w:ascii="Arial" w:cs="Arial" w:eastAsia="Arial" w:hAnsi="Arial"/>
          <w:sz w:val="14"/>
          <w:szCs w:val="14"/>
          <w:color w:val="auto"/>
        </w:rPr>
        <w:t>”); provided, however, that Executive may be required to travel from time to time for business purposes.</w:t>
      </w:r>
    </w:p>
    <w:p>
      <w:pPr>
        <w:spacing w:after="0" w:line="184" w:lineRule="exact"/>
        <w:rPr>
          <w:sz w:val="20"/>
          <w:szCs w:val="20"/>
          <w:color w:val="auto"/>
        </w:rPr>
      </w:pPr>
    </w:p>
    <w:p>
      <w:pPr>
        <w:jc w:val="both"/>
        <w:ind w:firstLine="6"/>
        <w:spacing w:after="0" w:line="276" w:lineRule="auto"/>
        <w:tabs>
          <w:tab w:leader="none" w:pos="341" w:val="left"/>
        </w:tabs>
        <w:numPr>
          <w:ilvl w:val="0"/>
          <w:numId w:val="636"/>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$430,700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of the Board (the “</w:t>
      </w:r>
      <w:r>
        <w:rPr>
          <w:rFonts w:ascii="Arial" w:cs="Arial" w:eastAsia="Arial" w:hAnsi="Arial"/>
          <w:sz w:val="14"/>
          <w:szCs w:val="14"/>
          <w:b w:val="1"/>
          <w:bCs w:val="1"/>
          <w:color w:val="auto"/>
        </w:rPr>
        <w:t>Committee</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6" w:lineRule="auto"/>
        <w:tabs>
          <w:tab w:leader="none" w:pos="341" w:val="left"/>
        </w:tabs>
        <w:numPr>
          <w:ilvl w:val="0"/>
          <w:numId w:val="636"/>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his employment, Executive will have the opportunity to earn an annual bonus with a target amount of 40% of the Base Salary in effect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 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3" w:lineRule="exact"/>
        <w:rPr>
          <w:rFonts w:ascii="Arial" w:cs="Arial" w:eastAsia="Arial" w:hAnsi="Arial"/>
          <w:sz w:val="14"/>
          <w:szCs w:val="14"/>
          <w:color w:val="auto"/>
        </w:rPr>
      </w:pPr>
    </w:p>
    <w:p>
      <w:pPr>
        <w:ind w:left="360" w:hanging="354"/>
        <w:spacing w:after="0"/>
        <w:tabs>
          <w:tab w:leader="none" w:pos="360" w:val="left"/>
        </w:tabs>
        <w:numPr>
          <w:ilvl w:val="0"/>
          <w:numId w:val="636"/>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4" w:lineRule="exact"/>
        <w:rPr>
          <w:rFonts w:ascii="Arial" w:cs="Arial" w:eastAsia="Arial" w:hAnsi="Arial"/>
          <w:sz w:val="14"/>
          <w:szCs w:val="14"/>
          <w:color w:val="auto"/>
        </w:rPr>
      </w:pPr>
    </w:p>
    <w:p>
      <w:pPr>
        <w:ind w:left="340" w:hanging="334"/>
        <w:spacing w:after="0"/>
        <w:tabs>
          <w:tab w:leader="none" w:pos="340" w:val="left"/>
        </w:tabs>
        <w:numPr>
          <w:ilvl w:val="0"/>
          <w:numId w:val="636"/>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875" w:val="left"/>
        </w:tabs>
        <w:numPr>
          <w:ilvl w:val="1"/>
          <w:numId w:val="636"/>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4"/>
        <w:spacing w:after="0" w:line="288" w:lineRule="auto"/>
        <w:tabs>
          <w:tab w:leader="none" w:pos="881" w:val="left"/>
        </w:tabs>
        <w:numPr>
          <w:ilvl w:val="1"/>
          <w:numId w:val="636"/>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40" w:hanging="334"/>
        <w:spacing w:after="0"/>
        <w:tabs>
          <w:tab w:leader="none" w:pos="340" w:val="left"/>
        </w:tabs>
        <w:numPr>
          <w:ilvl w:val="0"/>
          <w:numId w:val="636"/>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94" w:lineRule="auto"/>
        <w:tabs>
          <w:tab w:leader="none" w:pos="875" w:val="left"/>
        </w:tabs>
        <w:numPr>
          <w:ilvl w:val="1"/>
          <w:numId w:val="636"/>
        </w:numPr>
        <w:rPr>
          <w:rFonts w:ascii="Arial" w:cs="Arial" w:eastAsia="Arial" w:hAnsi="Arial"/>
          <w:sz w:val="13"/>
          <w:szCs w:val="13"/>
          <w:color w:val="auto"/>
        </w:rPr>
      </w:pPr>
      <w:r>
        <w:rPr>
          <w:rFonts w:ascii="Arial" w:cs="Arial" w:eastAsia="Arial" w:hAnsi="Arial"/>
          <w:sz w:val="13"/>
          <w:szCs w:val="13"/>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828" w:name="page829"/>
    <w:bookmarkEnd w:id="828"/>
    <w:p>
      <w:pPr>
        <w:spacing w:after="0"/>
        <w:rPr>
          <w:sz w:val="20"/>
          <w:szCs w:val="20"/>
          <w:color w:val="auto"/>
        </w:rPr>
      </w:pPr>
      <w:r>
        <w:rPr>
          <w:rFonts w:ascii="Arial" w:cs="Arial" w:eastAsia="Arial" w:hAnsi="Arial"/>
          <w:sz w:val="14"/>
          <w:szCs w:val="14"/>
          <w:color w:val="auto"/>
        </w:rPr>
        <w:t>and such acceleration shall not constitute a termination by the Company for purposes of this Agreement.</w:t>
      </w:r>
    </w:p>
    <w:p>
      <w:pPr>
        <w:spacing w:after="0" w:line="184" w:lineRule="exact"/>
        <w:rPr>
          <w:sz w:val="20"/>
          <w:szCs w:val="20"/>
          <w:color w:val="auto"/>
        </w:rPr>
      </w:pPr>
    </w:p>
    <w:p>
      <w:pPr>
        <w:ind w:firstLine="524"/>
        <w:spacing w:after="0" w:line="329" w:lineRule="auto"/>
        <w:tabs>
          <w:tab w:leader="none" w:pos="883" w:val="left"/>
        </w:tabs>
        <w:numPr>
          <w:ilvl w:val="1"/>
          <w:numId w:val="637"/>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8" w:lineRule="exact"/>
        <w:rPr>
          <w:rFonts w:ascii="Arial" w:cs="Arial" w:eastAsia="Arial" w:hAnsi="Arial"/>
          <w:sz w:val="13"/>
          <w:szCs w:val="13"/>
          <w:color w:val="auto"/>
        </w:rPr>
      </w:pPr>
    </w:p>
    <w:p>
      <w:pPr>
        <w:ind w:left="880" w:hanging="356"/>
        <w:spacing w:after="0"/>
        <w:tabs>
          <w:tab w:leader="none" w:pos="880" w:val="left"/>
        </w:tabs>
        <w:numPr>
          <w:ilvl w:val="1"/>
          <w:numId w:val="637"/>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4" w:lineRule="exact"/>
        <w:rPr>
          <w:rFonts w:ascii="Arial" w:cs="Arial" w:eastAsia="Arial" w:hAnsi="Arial"/>
          <w:sz w:val="14"/>
          <w:szCs w:val="14"/>
          <w:color w:val="auto"/>
        </w:rPr>
      </w:pPr>
    </w:p>
    <w:p>
      <w:pPr>
        <w:jc w:val="both"/>
        <w:ind w:firstLine="524"/>
        <w:spacing w:after="0" w:line="267" w:lineRule="auto"/>
        <w:tabs>
          <w:tab w:leader="none" w:pos="883" w:val="left"/>
        </w:tabs>
        <w:numPr>
          <w:ilvl w:val="1"/>
          <w:numId w:val="637"/>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46"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37"/>
        </w:numPr>
        <w:rPr>
          <w:rFonts w:ascii="Arial" w:cs="Arial" w:eastAsia="Arial" w:hAnsi="Arial"/>
          <w:sz w:val="14"/>
          <w:szCs w:val="14"/>
          <w:color w:val="auto"/>
        </w:rPr>
      </w:pPr>
      <w:r>
        <w:rPr>
          <w:rFonts w:ascii="Arial" w:cs="Arial" w:eastAsia="Arial" w:hAnsi="Arial"/>
          <w:sz w:val="14"/>
          <w:szCs w:val="14"/>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7" w:lineRule="exact"/>
        <w:rPr>
          <w:rFonts w:ascii="Arial" w:cs="Arial" w:eastAsia="Arial" w:hAnsi="Arial"/>
          <w:sz w:val="14"/>
          <w:szCs w:val="14"/>
          <w:color w:val="auto"/>
        </w:rPr>
      </w:pPr>
    </w:p>
    <w:p>
      <w:pPr>
        <w:ind w:left="340" w:hanging="334"/>
        <w:spacing w:after="0"/>
        <w:tabs>
          <w:tab w:leader="none" w:pos="340" w:val="left"/>
        </w:tabs>
        <w:numPr>
          <w:ilvl w:val="0"/>
          <w:numId w:val="638"/>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524"/>
        <w:spacing w:after="0" w:line="294" w:lineRule="auto"/>
        <w:tabs>
          <w:tab w:leader="none" w:pos="922" w:val="left"/>
        </w:tabs>
        <w:numPr>
          <w:ilvl w:val="1"/>
          <w:numId w:val="638"/>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(as</w:t>
      </w:r>
      <w:r>
        <w:rPr>
          <w:rFonts w:ascii="Arial" w:cs="Arial" w:eastAsia="Arial" w:hAnsi="Arial"/>
          <w:sz w:val="14"/>
          <w:szCs w:val="14"/>
          <w:b w:val="1"/>
          <w:bCs w:val="1"/>
          <w:color w:val="auto"/>
        </w:rPr>
        <w:t xml:space="preserve"> </w:t>
      </w:r>
      <w:r>
        <w:rPr>
          <w:rFonts w:ascii="Arial" w:cs="Arial" w:eastAsia="Arial" w:hAnsi="Arial"/>
          <w:sz w:val="14"/>
          <w:szCs w:val="14"/>
          <w:color w:val="auto"/>
        </w:rPr>
        <w:t>defined below) or a resignation by Executive for Good Reason (as defined below):</w:t>
      </w:r>
    </w:p>
    <w:p>
      <w:pPr>
        <w:spacing w:after="0" w:line="127" w:lineRule="exact"/>
        <w:rPr>
          <w:rFonts w:ascii="Arial" w:cs="Arial" w:eastAsia="Arial" w:hAnsi="Arial"/>
          <w:sz w:val="14"/>
          <w:szCs w:val="14"/>
          <w:color w:val="auto"/>
        </w:rPr>
      </w:pPr>
    </w:p>
    <w:p>
      <w:pPr>
        <w:ind w:firstLine="1042"/>
        <w:spacing w:after="0" w:line="288" w:lineRule="auto"/>
        <w:tabs>
          <w:tab w:leader="none" w:pos="1405" w:val="left"/>
        </w:tabs>
        <w:numPr>
          <w:ilvl w:val="2"/>
          <w:numId w:val="638"/>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42"/>
        <w:spacing w:after="0" w:line="288" w:lineRule="auto"/>
        <w:tabs>
          <w:tab w:leader="none" w:pos="1427" w:val="left"/>
        </w:tabs>
        <w:numPr>
          <w:ilvl w:val="2"/>
          <w:numId w:val="638"/>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449" w:val="left"/>
        </w:tabs>
        <w:numPr>
          <w:ilvl w:val="2"/>
          <w:numId w:val="638"/>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29" w:name="page830"/>
    <w:bookmarkEnd w:id="829"/>
    <w:p>
      <w:pPr>
        <w:jc w:val="both"/>
        <w:ind w:firstLine="1042"/>
        <w:spacing w:after="0" w:line="303" w:lineRule="auto"/>
        <w:tabs>
          <w:tab w:leader="none" w:pos="1427" w:val="left"/>
        </w:tabs>
        <w:numPr>
          <w:ilvl w:val="0"/>
          <w:numId w:val="639"/>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42"/>
        <w:spacing w:after="0" w:line="273" w:lineRule="auto"/>
        <w:tabs>
          <w:tab w:leader="none" w:pos="1401" w:val="left"/>
        </w:tabs>
        <w:numPr>
          <w:ilvl w:val="0"/>
          <w:numId w:val="639"/>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jc w:val="both"/>
        <w:spacing w:after="0" w:line="236" w:lineRule="auto"/>
        <w:rPr>
          <w:sz w:val="20"/>
          <w:szCs w:val="20"/>
          <w:color w:val="auto"/>
        </w:rPr>
      </w:pPr>
      <w:r>
        <w:rPr>
          <w:rFonts w:ascii="Arial" w:cs="Arial" w:eastAsia="Arial" w:hAnsi="Arial"/>
          <w:sz w:val="14"/>
          <w:szCs w:val="14"/>
          <w:color w:val="auto"/>
        </w:rPr>
        <w:t>Company and the expiration of all applicable statutory revocation periods, by the 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4"/>
          <w:szCs w:val="14"/>
          <w:b w:val="1"/>
          <w:bCs w:val="1"/>
          <w:color w:val="auto"/>
        </w:rPr>
        <w:t>Release</w:t>
      </w:r>
      <w:r>
        <w:rPr>
          <w:rFonts w:ascii="Arial" w:cs="Arial" w:eastAsia="Arial" w:hAnsi="Arial"/>
          <w:sz w:val="14"/>
          <w:szCs w:val="14"/>
          <w:color w:val="auto"/>
        </w:rPr>
        <w:t>”) and on Executive’s continued compliance with the provisions of the Proprietary Information and Assignment Agreement (defined below).</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1" w:lineRule="exact"/>
        <w:rPr>
          <w:sz w:val="20"/>
          <w:szCs w:val="20"/>
          <w:color w:val="auto"/>
        </w:rPr>
      </w:pPr>
    </w:p>
    <w:p>
      <w:pPr>
        <w:ind w:firstLine="524"/>
        <w:spacing w:after="0" w:line="336" w:lineRule="auto"/>
        <w:tabs>
          <w:tab w:leader="none" w:pos="901" w:val="left"/>
        </w:tabs>
        <w:numPr>
          <w:ilvl w:val="0"/>
          <w:numId w:val="640"/>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30" w:name="page831"/>
    <w:bookmarkEnd w:id="830"/>
    <w:p>
      <w:pPr>
        <w:jc w:val="both"/>
        <w:spacing w:after="0" w:line="267" w:lineRule="auto"/>
        <w:rPr>
          <w:sz w:val="20"/>
          <w:szCs w:val="20"/>
          <w:color w:val="auto"/>
        </w:rPr>
      </w:pPr>
      <w:r>
        <w:rPr>
          <w:rFonts w:ascii="Arial" w:cs="Arial" w:eastAsia="Arial" w:hAnsi="Arial"/>
          <w:sz w:val="14"/>
          <w:szCs w:val="14"/>
          <w:color w:val="auto"/>
        </w:rPr>
        <w:t>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3" w:lineRule="exact"/>
        <w:rPr>
          <w:sz w:val="20"/>
          <w:szCs w:val="20"/>
          <w:color w:val="auto"/>
        </w:rPr>
      </w:pPr>
    </w:p>
    <w:p>
      <w:pPr>
        <w:ind w:left="400" w:hanging="394"/>
        <w:spacing w:after="0"/>
        <w:tabs>
          <w:tab w:leader="none" w:pos="400" w:val="left"/>
        </w:tabs>
        <w:numPr>
          <w:ilvl w:val="0"/>
          <w:numId w:val="641"/>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915" w:val="left"/>
        </w:tabs>
        <w:numPr>
          <w:ilvl w:val="1"/>
          <w:numId w:val="641"/>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4"/>
        <w:spacing w:after="0" w:line="285" w:lineRule="auto"/>
        <w:tabs>
          <w:tab w:leader="none" w:pos="883" w:val="left"/>
        </w:tabs>
        <w:numPr>
          <w:ilvl w:val="1"/>
          <w:numId w:val="641"/>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8" w:lineRule="exact"/>
        <w:rPr>
          <w:rFonts w:ascii="Arial" w:cs="Arial" w:eastAsia="Arial" w:hAnsi="Arial"/>
          <w:sz w:val="13"/>
          <w:szCs w:val="13"/>
          <w:color w:val="auto"/>
        </w:rPr>
      </w:pPr>
    </w:p>
    <w:p>
      <w:pPr>
        <w:jc w:val="both"/>
        <w:ind w:firstLine="524"/>
        <w:spacing w:after="0" w:line="290" w:lineRule="auto"/>
        <w:tabs>
          <w:tab w:leader="none" w:pos="875" w:val="left"/>
        </w:tabs>
        <w:numPr>
          <w:ilvl w:val="1"/>
          <w:numId w:val="641"/>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28" w:lineRule="exact"/>
        <w:rPr>
          <w:rFonts w:ascii="Arial" w:cs="Arial" w:eastAsia="Arial" w:hAnsi="Arial"/>
          <w:sz w:val="13"/>
          <w:szCs w:val="13"/>
          <w:color w:val="auto"/>
        </w:rPr>
      </w:pPr>
    </w:p>
    <w:p>
      <w:pPr>
        <w:ind w:firstLine="6"/>
        <w:spacing w:after="0" w:line="336" w:lineRule="auto"/>
        <w:tabs>
          <w:tab w:leader="none" w:pos="372" w:val="left"/>
        </w:tabs>
        <w:numPr>
          <w:ilvl w:val="0"/>
          <w:numId w:val="641"/>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31" w:name="page832"/>
    <w:bookmarkEnd w:id="831"/>
    <w:p>
      <w:pPr>
        <w:jc w:val="both"/>
        <w:spacing w:after="0" w:line="287"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2" w:lineRule="exact"/>
        <w:rPr>
          <w:sz w:val="20"/>
          <w:szCs w:val="20"/>
          <w:color w:val="auto"/>
        </w:rPr>
      </w:pPr>
    </w:p>
    <w:p>
      <w:pPr>
        <w:ind w:left="380" w:hanging="374"/>
        <w:spacing w:after="0"/>
        <w:tabs>
          <w:tab w:leader="none" w:pos="380" w:val="left"/>
        </w:tabs>
        <w:numPr>
          <w:ilvl w:val="0"/>
          <w:numId w:val="642"/>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4" w:lineRule="exact"/>
        <w:rPr>
          <w:rFonts w:ascii="Arial" w:cs="Arial" w:eastAsia="Arial" w:hAnsi="Arial"/>
          <w:sz w:val="14"/>
          <w:szCs w:val="14"/>
          <w:color w:val="auto"/>
        </w:rPr>
      </w:pPr>
    </w:p>
    <w:p>
      <w:pPr>
        <w:jc w:val="both"/>
        <w:ind w:firstLine="524"/>
        <w:spacing w:after="0" w:line="260" w:lineRule="auto"/>
        <w:tabs>
          <w:tab w:leader="none" w:pos="875" w:val="left"/>
        </w:tabs>
        <w:numPr>
          <w:ilvl w:val="1"/>
          <w:numId w:val="64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xml:space="preserve">”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51" w:lineRule="exact"/>
        <w:rPr>
          <w:rFonts w:ascii="Arial" w:cs="Arial" w:eastAsia="Arial" w:hAnsi="Arial"/>
          <w:sz w:val="14"/>
          <w:szCs w:val="14"/>
          <w:color w:val="auto"/>
        </w:rPr>
      </w:pPr>
    </w:p>
    <w:p>
      <w:pPr>
        <w:ind w:left="880" w:hanging="356"/>
        <w:spacing w:after="0"/>
        <w:tabs>
          <w:tab w:leader="none" w:pos="880" w:val="left"/>
        </w:tabs>
        <w:numPr>
          <w:ilvl w:val="1"/>
          <w:numId w:val="64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4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4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condition entitling Executive to benefits under the Company’s long term disability plan, policy or arrangement; provided, however, that if no such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32" w:name="page833"/>
    <w:bookmarkEnd w:id="832"/>
    <w:p>
      <w:pPr>
        <w:jc w:val="both"/>
        <w:spacing w:after="0" w:line="306" w:lineRule="auto"/>
        <w:rPr>
          <w:sz w:val="20"/>
          <w:szCs w:val="20"/>
          <w:color w:val="auto"/>
        </w:rPr>
      </w:pPr>
      <w:r>
        <w:rPr>
          <w:rFonts w:ascii="Arial" w:cs="Arial" w:eastAsia="Arial" w:hAnsi="Arial"/>
          <w:sz w:val="13"/>
          <w:szCs w:val="13"/>
          <w:color w:val="auto"/>
        </w:rPr>
        <w:t>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19" w:lineRule="exact"/>
        <w:rPr>
          <w:sz w:val="20"/>
          <w:szCs w:val="20"/>
          <w:color w:val="auto"/>
        </w:rPr>
      </w:pPr>
    </w:p>
    <w:p>
      <w:pPr>
        <w:jc w:val="both"/>
        <w:ind w:firstLine="524"/>
        <w:spacing w:after="0" w:line="266" w:lineRule="auto"/>
        <w:tabs>
          <w:tab w:leader="none" w:pos="893" w:val="left"/>
        </w:tabs>
        <w:numPr>
          <w:ilvl w:val="1"/>
          <w:numId w:val="6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4"/>
          <w:szCs w:val="14"/>
          <w:color w:val="464646"/>
        </w:rPr>
        <w:t>,</w:t>
      </w:r>
      <w:r>
        <w:rPr>
          <w:rFonts w:ascii="Arial" w:cs="Arial" w:eastAsia="Arial" w:hAnsi="Arial"/>
          <w:sz w:val="14"/>
          <w:szCs w:val="14"/>
          <w:color w:val="auto"/>
        </w:rPr>
        <w:t xml:space="preserve"> (y) such event is not reversed or corrected </w:t>
      </w:r>
      <w:r>
        <w:rPr>
          <w:rFonts w:ascii="Arial" w:cs="Arial" w:eastAsia="Arial" w:hAnsi="Arial"/>
          <w:sz w:val="14"/>
          <w:szCs w:val="14"/>
          <w:color w:val="161515"/>
        </w:rPr>
        <w:t>by</w:t>
      </w:r>
      <w:r>
        <w:rPr>
          <w:rFonts w:ascii="Arial" w:cs="Arial" w:eastAsia="Arial" w:hAnsi="Arial"/>
          <w:sz w:val="14"/>
          <w:szCs w:val="14"/>
          <w:color w:val="auto"/>
        </w:rPr>
        <w:t xml:space="preserve"> the Company within 30 days of its receipt of such written objection, and (z) Executive separates from service within 60 days following the expiration of that cure period.</w:t>
      </w:r>
    </w:p>
    <w:p>
      <w:pPr>
        <w:spacing w:after="0" w:line="143" w:lineRule="exact"/>
        <w:rPr>
          <w:rFonts w:ascii="Arial" w:cs="Arial" w:eastAsia="Arial" w:hAnsi="Arial"/>
          <w:sz w:val="14"/>
          <w:szCs w:val="14"/>
          <w:color w:val="auto"/>
        </w:rPr>
      </w:pPr>
    </w:p>
    <w:p>
      <w:pPr>
        <w:jc w:val="both"/>
        <w:ind w:firstLine="524"/>
        <w:spacing w:after="0" w:line="276" w:lineRule="auto"/>
        <w:tabs>
          <w:tab w:leader="none" w:pos="877" w:val="left"/>
        </w:tabs>
        <w:numPr>
          <w:ilvl w:val="1"/>
          <w:numId w:val="6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44"/>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6" w:lineRule="auto"/>
        <w:tabs>
          <w:tab w:leader="none" w:pos="377" w:val="left"/>
        </w:tabs>
        <w:numPr>
          <w:ilvl w:val="0"/>
          <w:numId w:val="644"/>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99" w:lineRule="exact"/>
        <w:rPr>
          <w:rFonts w:ascii="Arial" w:cs="Arial" w:eastAsia="Arial" w:hAnsi="Arial"/>
          <w:sz w:val="13"/>
          <w:szCs w:val="13"/>
          <w:color w:val="auto"/>
        </w:rPr>
      </w:pPr>
    </w:p>
    <w:p>
      <w:pPr>
        <w:ind w:firstLine="6"/>
        <w:spacing w:after="0" w:line="294" w:lineRule="auto"/>
        <w:tabs>
          <w:tab w:leader="none" w:pos="377" w:val="left"/>
        </w:tabs>
        <w:numPr>
          <w:ilvl w:val="0"/>
          <w:numId w:val="644"/>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6" w:lineRule="auto"/>
        <w:tabs>
          <w:tab w:leader="none" w:pos="377" w:val="left"/>
        </w:tabs>
        <w:numPr>
          <w:ilvl w:val="0"/>
          <w:numId w:val="644"/>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his duties to the Company or his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44"/>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33" w:name="page834"/>
    <w:bookmarkEnd w:id="833"/>
    <w:p>
      <w:pPr>
        <w:spacing w:after="0"/>
        <w:rPr>
          <w:sz w:val="20"/>
          <w:szCs w:val="20"/>
          <w:color w:val="auto"/>
        </w:rPr>
      </w:pPr>
      <w:r>
        <w:rPr>
          <w:rFonts w:ascii="Arial" w:cs="Arial" w:eastAsia="Arial" w:hAnsi="Arial"/>
          <w:sz w:val="13"/>
          <w:szCs w:val="13"/>
          <w:color w:val="auto"/>
        </w:rPr>
        <w:t>manner that minimizes Executive’s tax liabilities, and Executive not make any claim against the Company or its board of directors related to tax liabilities arising from his compensation.</w:t>
      </w:r>
    </w:p>
    <w:p>
      <w:pPr>
        <w:spacing w:after="0" w:line="192" w:lineRule="exact"/>
        <w:rPr>
          <w:sz w:val="20"/>
          <w:szCs w:val="20"/>
          <w:color w:val="auto"/>
        </w:rPr>
      </w:pPr>
    </w:p>
    <w:p>
      <w:pPr>
        <w:ind w:left="380" w:hanging="374"/>
        <w:spacing w:after="0"/>
        <w:tabs>
          <w:tab w:leader="none" w:pos="380" w:val="left"/>
        </w:tabs>
        <w:numPr>
          <w:ilvl w:val="0"/>
          <w:numId w:val="645"/>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45"/>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1" w:lineRule="exact"/>
        <w:rPr>
          <w:rFonts w:ascii="Arial" w:cs="Arial" w:eastAsia="Arial" w:hAnsi="Arial"/>
          <w:sz w:val="14"/>
          <w:szCs w:val="14"/>
          <w:color w:val="auto"/>
        </w:rPr>
      </w:pPr>
    </w:p>
    <w:p>
      <w:pPr>
        <w:jc w:val="both"/>
        <w:ind w:firstLine="524"/>
        <w:spacing w:after="0" w:line="303" w:lineRule="auto"/>
        <w:tabs>
          <w:tab w:leader="none" w:pos="883" w:val="left"/>
        </w:tabs>
        <w:numPr>
          <w:ilvl w:val="1"/>
          <w:numId w:val="645"/>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880" w:hanging="356"/>
        <w:spacing w:after="0"/>
        <w:tabs>
          <w:tab w:leader="none" w:pos="880" w:val="left"/>
        </w:tabs>
        <w:numPr>
          <w:ilvl w:val="1"/>
          <w:numId w:val="645"/>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80" w:lineRule="exact"/>
        <w:rPr>
          <w:rFonts w:ascii="Arial" w:cs="Arial" w:eastAsia="Arial" w:hAnsi="Arial"/>
          <w:sz w:val="14"/>
          <w:szCs w:val="14"/>
          <w:color w:val="auto"/>
        </w:rPr>
      </w:pPr>
    </w:p>
    <w:p>
      <w:pPr>
        <w:ind w:left="400" w:hanging="394"/>
        <w:spacing w:after="0"/>
        <w:tabs>
          <w:tab w:leader="none" w:pos="400" w:val="left"/>
        </w:tabs>
        <w:numPr>
          <w:ilvl w:val="0"/>
          <w:numId w:val="645"/>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5" w:lineRule="exact"/>
        <w:rPr>
          <w:rFonts w:ascii="Arial" w:cs="Arial" w:eastAsia="Arial" w:hAnsi="Arial"/>
          <w:sz w:val="13"/>
          <w:szCs w:val="13"/>
          <w:color w:val="auto"/>
        </w:rPr>
      </w:pPr>
    </w:p>
    <w:p>
      <w:pPr>
        <w:jc w:val="both"/>
        <w:ind w:firstLine="6"/>
        <w:spacing w:after="0" w:line="262" w:lineRule="auto"/>
        <w:tabs>
          <w:tab w:leader="none" w:pos="395" w:val="left"/>
        </w:tabs>
        <w:numPr>
          <w:ilvl w:val="0"/>
          <w:numId w:val="645"/>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34" w:name="page835"/>
    <w:bookmarkEnd w:id="834"/>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80" w:lineRule="exact"/>
        <w:rPr>
          <w:sz w:val="20"/>
          <w:szCs w:val="20"/>
          <w:color w:val="auto"/>
        </w:rPr>
      </w:pPr>
    </w:p>
    <w:p>
      <w:pPr>
        <w:ind w:left="400" w:hanging="394"/>
        <w:spacing w:after="0"/>
        <w:tabs>
          <w:tab w:leader="none" w:pos="400" w:val="left"/>
        </w:tabs>
        <w:numPr>
          <w:ilvl w:val="0"/>
          <w:numId w:val="646"/>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4" w:lineRule="exact"/>
        <w:rPr>
          <w:rFonts w:ascii="Arial" w:cs="Arial" w:eastAsia="Arial" w:hAnsi="Arial"/>
          <w:sz w:val="14"/>
          <w:szCs w:val="14"/>
          <w:color w:val="auto"/>
        </w:rPr>
      </w:pPr>
    </w:p>
    <w:p>
      <w:pPr>
        <w:jc w:val="both"/>
        <w:ind w:firstLine="6"/>
        <w:spacing w:after="0" w:line="264" w:lineRule="auto"/>
        <w:tabs>
          <w:tab w:leader="none" w:pos="395" w:val="left"/>
        </w:tabs>
        <w:numPr>
          <w:ilvl w:val="0"/>
          <w:numId w:val="646"/>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5" w:lineRule="exact"/>
        <w:rPr>
          <w:rFonts w:ascii="Arial" w:cs="Arial" w:eastAsia="Arial" w:hAnsi="Arial"/>
          <w:sz w:val="14"/>
          <w:szCs w:val="14"/>
          <w:color w:val="auto"/>
        </w:rPr>
      </w:pPr>
    </w:p>
    <w:p>
      <w:pPr>
        <w:ind w:firstLine="6"/>
        <w:spacing w:after="0" w:line="294" w:lineRule="auto"/>
        <w:tabs>
          <w:tab w:leader="none" w:pos="377" w:val="left"/>
        </w:tabs>
        <w:numPr>
          <w:ilvl w:val="0"/>
          <w:numId w:val="646"/>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constitute one and the same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35" w:name="page836"/>
    <w:bookmarkEnd w:id="835"/>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4"/>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r>
      <w:tr>
        <w:trPr>
          <w:trHeight w:val="34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Hyam Levitsky, M.D.</w:t>
            </w:r>
          </w:p>
        </w:tc>
      </w:tr>
      <w:tr>
        <w:trPr>
          <w:trHeight w:val="345"/>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Hyam Levitsky, M.D.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Hyam Levitsky, M.D.</w:t>
            </w:r>
          </w:p>
        </w:tc>
      </w:tr>
    </w:tbl>
    <w:p>
      <w:pPr>
        <w:spacing w:after="0" w:line="162"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5" w:right="319" w:bottom="1440" w:gutter="0" w:footer="0" w:header="0"/>
        </w:sectPr>
      </w:pPr>
    </w:p>
    <w:bookmarkStart w:id="836" w:name="page837"/>
    <w:bookmarkEnd w:id="836"/>
    <w:p>
      <w:pPr>
        <w:jc w:val="right"/>
        <w:spacing w:after="0"/>
        <w:rPr>
          <w:sz w:val="20"/>
          <w:szCs w:val="20"/>
          <w:color w:val="auto"/>
        </w:rPr>
      </w:pPr>
      <w:r>
        <w:rPr>
          <w:rFonts w:ascii="Arial" w:cs="Arial" w:eastAsia="Arial" w:hAnsi="Arial"/>
          <w:sz w:val="14"/>
          <w:szCs w:val="14"/>
          <w:b w:val="1"/>
          <w:bCs w:val="1"/>
          <w:color w:val="auto"/>
        </w:rPr>
        <w:t>EXHIBIT 10.33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LUIS BORGES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WHEREAS, Executive is currently employed by the Company as its Chief Scientific Officer in accordance with the terms and conditions of that certain offer letter by and between the Company and Executive dated February 15, 2019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71" w:lineRule="exact"/>
        <w:rPr>
          <w:sz w:val="20"/>
          <w:szCs w:val="20"/>
          <w:color w:val="auto"/>
        </w:rPr>
      </w:pPr>
    </w:p>
    <w:p>
      <w:pPr>
        <w:jc w:val="both"/>
        <w:ind w:firstLine="6"/>
        <w:spacing w:after="0" w:line="291" w:lineRule="auto"/>
        <w:tabs>
          <w:tab w:leader="none" w:pos="341" w:val="left"/>
        </w:tabs>
        <w:numPr>
          <w:ilvl w:val="0"/>
          <w:numId w:val="647"/>
        </w:numPr>
        <w:rPr>
          <w:rFonts w:ascii="Arial" w:cs="Arial" w:eastAsia="Arial" w:hAnsi="Arial"/>
          <w:sz w:val="13"/>
          <w:szCs w:val="13"/>
          <w:color w:val="auto"/>
        </w:rPr>
      </w:pPr>
      <w:r>
        <w:rPr>
          <w:rFonts w:ascii="Arial" w:cs="Arial" w:eastAsia="Arial" w:hAnsi="Arial"/>
          <w:sz w:val="13"/>
          <w:szCs w:val="13"/>
          <w:b w:val="1"/>
          <w:bCs w:val="1"/>
          <w:u w:val="single" w:color="auto"/>
          <w:color w:val="auto"/>
        </w:rPr>
        <w:t>Position</w:t>
      </w:r>
      <w:r>
        <w:rPr>
          <w:rFonts w:ascii="Arial" w:cs="Arial" w:eastAsia="Arial" w:hAnsi="Arial"/>
          <w:sz w:val="13"/>
          <w:szCs w:val="13"/>
          <w:color w:val="auto"/>
        </w:rPr>
        <w:t>. Executive will serve as the Chief Scientific Officer of the Company and will report directly to the Chief Executive Officer of the Company or his or her delegate.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w:t>
      </w:r>
    </w:p>
    <w:p>
      <w:pPr>
        <w:spacing w:after="0" w:line="129" w:lineRule="exact"/>
        <w:rPr>
          <w:rFonts w:ascii="Arial" w:cs="Arial" w:eastAsia="Arial" w:hAnsi="Arial"/>
          <w:sz w:val="13"/>
          <w:szCs w:val="13"/>
          <w:color w:val="auto"/>
        </w:rPr>
      </w:pPr>
    </w:p>
    <w:p>
      <w:pPr>
        <w:jc w:val="both"/>
        <w:ind w:firstLine="6"/>
        <w:spacing w:after="0" w:line="276" w:lineRule="auto"/>
        <w:tabs>
          <w:tab w:leader="none" w:pos="341" w:val="left"/>
        </w:tabs>
        <w:numPr>
          <w:ilvl w:val="0"/>
          <w:numId w:val="647"/>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ind w:left="340" w:hanging="334"/>
        <w:spacing w:after="0"/>
        <w:tabs>
          <w:tab w:leader="none" w:pos="340" w:val="left"/>
        </w:tabs>
        <w:numPr>
          <w:ilvl w:val="0"/>
          <w:numId w:val="647"/>
        </w:numPr>
        <w:rPr>
          <w:rFonts w:ascii="Arial" w:cs="Arial" w:eastAsia="Arial" w:hAnsi="Arial"/>
          <w:sz w:val="13"/>
          <w:szCs w:val="13"/>
          <w:color w:val="auto"/>
        </w:rPr>
      </w:pPr>
      <w:r>
        <w:rPr>
          <w:rFonts w:ascii="Arial" w:cs="Arial" w:eastAsia="Arial" w:hAnsi="Arial"/>
          <w:sz w:val="13"/>
          <w:szCs w:val="13"/>
          <w:b w:val="1"/>
          <w:bCs w:val="1"/>
          <w:u w:val="single" w:color="auto"/>
          <w:color w:val="auto"/>
        </w:rPr>
        <w:t>Place of Performance</w:t>
      </w:r>
      <w:r>
        <w:rPr>
          <w:rFonts w:ascii="Arial" w:cs="Arial" w:eastAsia="Arial" w:hAnsi="Arial"/>
          <w:sz w:val="13"/>
          <w:szCs w:val="13"/>
          <w:color w:val="auto"/>
        </w:rPr>
        <w:t>. Executive will perform services hereunder at the principal executive offices of the Company in a location to be determined by the board of directors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490220</wp:posOffset>
            </wp:positionV>
            <wp:extent cx="7159625" cy="698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37" w:name="page838"/>
    <w:bookmarkEnd w:id="837"/>
    <w:p>
      <w:pPr>
        <w:spacing w:after="0"/>
        <w:rPr>
          <w:sz w:val="20"/>
          <w:szCs w:val="20"/>
          <w:color w:val="auto"/>
        </w:rPr>
      </w:pPr>
      <w:r>
        <w:rPr>
          <w:rFonts w:ascii="Arial" w:cs="Arial" w:eastAsia="Arial" w:hAnsi="Arial"/>
          <w:sz w:val="14"/>
          <w:szCs w:val="14"/>
          <w:color w:val="auto"/>
        </w:rPr>
        <w:t>Company (the “</w:t>
      </w:r>
      <w:r>
        <w:rPr>
          <w:rFonts w:ascii="Arial" w:cs="Arial" w:eastAsia="Arial" w:hAnsi="Arial"/>
          <w:sz w:val="14"/>
          <w:szCs w:val="14"/>
          <w:b w:val="1"/>
          <w:bCs w:val="1"/>
          <w:color w:val="auto"/>
        </w:rPr>
        <w:t>Board</w:t>
      </w:r>
      <w:r>
        <w:rPr>
          <w:rFonts w:ascii="Arial" w:cs="Arial" w:eastAsia="Arial" w:hAnsi="Arial"/>
          <w:sz w:val="14"/>
          <w:szCs w:val="14"/>
          <w:color w:val="auto"/>
        </w:rPr>
        <w:t>”); provided, however, that Executive may be required to travel from time to time for business purposes.</w:t>
      </w:r>
    </w:p>
    <w:p>
      <w:pPr>
        <w:spacing w:after="0" w:line="184" w:lineRule="exact"/>
        <w:rPr>
          <w:sz w:val="20"/>
          <w:szCs w:val="20"/>
          <w:color w:val="auto"/>
        </w:rPr>
      </w:pPr>
    </w:p>
    <w:p>
      <w:pPr>
        <w:jc w:val="both"/>
        <w:ind w:firstLine="6"/>
        <w:spacing w:after="0" w:line="276" w:lineRule="auto"/>
        <w:tabs>
          <w:tab w:leader="none" w:pos="341" w:val="left"/>
        </w:tabs>
        <w:numPr>
          <w:ilvl w:val="0"/>
          <w:numId w:val="648"/>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$430,700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of the Board (the “</w:t>
      </w:r>
      <w:r>
        <w:rPr>
          <w:rFonts w:ascii="Arial" w:cs="Arial" w:eastAsia="Arial" w:hAnsi="Arial"/>
          <w:sz w:val="14"/>
          <w:szCs w:val="14"/>
          <w:b w:val="1"/>
          <w:bCs w:val="1"/>
          <w:color w:val="auto"/>
        </w:rPr>
        <w:t>Committee</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6" w:lineRule="auto"/>
        <w:tabs>
          <w:tab w:leader="none" w:pos="341" w:val="left"/>
        </w:tabs>
        <w:numPr>
          <w:ilvl w:val="0"/>
          <w:numId w:val="648"/>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his employment, Executive will have the opportunity to earn an annual bonus with a target amount of 40% of the Base Salary in effect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 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3" w:lineRule="exact"/>
        <w:rPr>
          <w:rFonts w:ascii="Arial" w:cs="Arial" w:eastAsia="Arial" w:hAnsi="Arial"/>
          <w:sz w:val="14"/>
          <w:szCs w:val="14"/>
          <w:color w:val="auto"/>
        </w:rPr>
      </w:pPr>
    </w:p>
    <w:p>
      <w:pPr>
        <w:ind w:left="360" w:hanging="354"/>
        <w:spacing w:after="0"/>
        <w:tabs>
          <w:tab w:leader="none" w:pos="360" w:val="left"/>
        </w:tabs>
        <w:numPr>
          <w:ilvl w:val="0"/>
          <w:numId w:val="648"/>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4" w:lineRule="exact"/>
        <w:rPr>
          <w:rFonts w:ascii="Arial" w:cs="Arial" w:eastAsia="Arial" w:hAnsi="Arial"/>
          <w:sz w:val="14"/>
          <w:szCs w:val="14"/>
          <w:color w:val="auto"/>
        </w:rPr>
      </w:pPr>
    </w:p>
    <w:p>
      <w:pPr>
        <w:ind w:left="340" w:hanging="334"/>
        <w:spacing w:after="0"/>
        <w:tabs>
          <w:tab w:leader="none" w:pos="340" w:val="left"/>
        </w:tabs>
        <w:numPr>
          <w:ilvl w:val="0"/>
          <w:numId w:val="648"/>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875" w:val="left"/>
        </w:tabs>
        <w:numPr>
          <w:ilvl w:val="1"/>
          <w:numId w:val="648"/>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4"/>
        <w:spacing w:after="0" w:line="288" w:lineRule="auto"/>
        <w:tabs>
          <w:tab w:leader="none" w:pos="881" w:val="left"/>
        </w:tabs>
        <w:numPr>
          <w:ilvl w:val="1"/>
          <w:numId w:val="648"/>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40" w:hanging="334"/>
        <w:spacing w:after="0"/>
        <w:tabs>
          <w:tab w:leader="none" w:pos="340" w:val="left"/>
        </w:tabs>
        <w:numPr>
          <w:ilvl w:val="0"/>
          <w:numId w:val="648"/>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94" w:lineRule="auto"/>
        <w:tabs>
          <w:tab w:leader="none" w:pos="875" w:val="left"/>
        </w:tabs>
        <w:numPr>
          <w:ilvl w:val="1"/>
          <w:numId w:val="648"/>
        </w:numPr>
        <w:rPr>
          <w:rFonts w:ascii="Arial" w:cs="Arial" w:eastAsia="Arial" w:hAnsi="Arial"/>
          <w:sz w:val="13"/>
          <w:szCs w:val="13"/>
          <w:color w:val="auto"/>
        </w:rPr>
      </w:pPr>
      <w:r>
        <w:rPr>
          <w:rFonts w:ascii="Arial" w:cs="Arial" w:eastAsia="Arial" w:hAnsi="Arial"/>
          <w:sz w:val="13"/>
          <w:szCs w:val="13"/>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838" w:name="page839"/>
    <w:bookmarkEnd w:id="838"/>
    <w:p>
      <w:pPr>
        <w:spacing w:after="0"/>
        <w:rPr>
          <w:sz w:val="20"/>
          <w:szCs w:val="20"/>
          <w:color w:val="auto"/>
        </w:rPr>
      </w:pPr>
      <w:r>
        <w:rPr>
          <w:rFonts w:ascii="Arial" w:cs="Arial" w:eastAsia="Arial" w:hAnsi="Arial"/>
          <w:sz w:val="14"/>
          <w:szCs w:val="14"/>
          <w:color w:val="auto"/>
        </w:rPr>
        <w:t>and such acceleration shall not constitute a termination by the Company for purposes of this Agreement.</w:t>
      </w:r>
    </w:p>
    <w:p>
      <w:pPr>
        <w:spacing w:after="0" w:line="184" w:lineRule="exact"/>
        <w:rPr>
          <w:sz w:val="20"/>
          <w:szCs w:val="20"/>
          <w:color w:val="auto"/>
        </w:rPr>
      </w:pPr>
    </w:p>
    <w:p>
      <w:pPr>
        <w:ind w:firstLine="524"/>
        <w:spacing w:after="0" w:line="329" w:lineRule="auto"/>
        <w:tabs>
          <w:tab w:leader="none" w:pos="883" w:val="left"/>
        </w:tabs>
        <w:numPr>
          <w:ilvl w:val="1"/>
          <w:numId w:val="649"/>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8" w:lineRule="exact"/>
        <w:rPr>
          <w:rFonts w:ascii="Arial" w:cs="Arial" w:eastAsia="Arial" w:hAnsi="Arial"/>
          <w:sz w:val="13"/>
          <w:szCs w:val="13"/>
          <w:color w:val="auto"/>
        </w:rPr>
      </w:pPr>
    </w:p>
    <w:p>
      <w:pPr>
        <w:ind w:left="880" w:hanging="356"/>
        <w:spacing w:after="0"/>
        <w:tabs>
          <w:tab w:leader="none" w:pos="880" w:val="left"/>
        </w:tabs>
        <w:numPr>
          <w:ilvl w:val="1"/>
          <w:numId w:val="649"/>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4" w:lineRule="exact"/>
        <w:rPr>
          <w:rFonts w:ascii="Arial" w:cs="Arial" w:eastAsia="Arial" w:hAnsi="Arial"/>
          <w:sz w:val="14"/>
          <w:szCs w:val="14"/>
          <w:color w:val="auto"/>
        </w:rPr>
      </w:pPr>
    </w:p>
    <w:p>
      <w:pPr>
        <w:jc w:val="both"/>
        <w:ind w:firstLine="524"/>
        <w:spacing w:after="0" w:line="267" w:lineRule="auto"/>
        <w:tabs>
          <w:tab w:leader="none" w:pos="883" w:val="left"/>
        </w:tabs>
        <w:numPr>
          <w:ilvl w:val="1"/>
          <w:numId w:val="649"/>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46"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49"/>
        </w:numPr>
        <w:rPr>
          <w:rFonts w:ascii="Arial" w:cs="Arial" w:eastAsia="Arial" w:hAnsi="Arial"/>
          <w:sz w:val="14"/>
          <w:szCs w:val="14"/>
          <w:color w:val="auto"/>
        </w:rPr>
      </w:pPr>
      <w:r>
        <w:rPr>
          <w:rFonts w:ascii="Arial" w:cs="Arial" w:eastAsia="Arial" w:hAnsi="Arial"/>
          <w:sz w:val="14"/>
          <w:szCs w:val="14"/>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7" w:lineRule="exact"/>
        <w:rPr>
          <w:rFonts w:ascii="Arial" w:cs="Arial" w:eastAsia="Arial" w:hAnsi="Arial"/>
          <w:sz w:val="14"/>
          <w:szCs w:val="14"/>
          <w:color w:val="auto"/>
        </w:rPr>
      </w:pPr>
    </w:p>
    <w:p>
      <w:pPr>
        <w:ind w:left="340" w:hanging="334"/>
        <w:spacing w:after="0"/>
        <w:tabs>
          <w:tab w:leader="none" w:pos="340" w:val="left"/>
        </w:tabs>
        <w:numPr>
          <w:ilvl w:val="0"/>
          <w:numId w:val="650"/>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524"/>
        <w:spacing w:after="0" w:line="294" w:lineRule="auto"/>
        <w:tabs>
          <w:tab w:leader="none" w:pos="922" w:val="left"/>
        </w:tabs>
        <w:numPr>
          <w:ilvl w:val="1"/>
          <w:numId w:val="650"/>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(as</w:t>
      </w:r>
      <w:r>
        <w:rPr>
          <w:rFonts w:ascii="Arial" w:cs="Arial" w:eastAsia="Arial" w:hAnsi="Arial"/>
          <w:sz w:val="14"/>
          <w:szCs w:val="14"/>
          <w:b w:val="1"/>
          <w:bCs w:val="1"/>
          <w:color w:val="auto"/>
        </w:rPr>
        <w:t xml:space="preserve"> </w:t>
      </w:r>
      <w:r>
        <w:rPr>
          <w:rFonts w:ascii="Arial" w:cs="Arial" w:eastAsia="Arial" w:hAnsi="Arial"/>
          <w:sz w:val="14"/>
          <w:szCs w:val="14"/>
          <w:color w:val="auto"/>
        </w:rPr>
        <w:t>defined below) or a resignation by Executive for Good Reason (as defined below):</w:t>
      </w:r>
    </w:p>
    <w:p>
      <w:pPr>
        <w:spacing w:after="0" w:line="127" w:lineRule="exact"/>
        <w:rPr>
          <w:rFonts w:ascii="Arial" w:cs="Arial" w:eastAsia="Arial" w:hAnsi="Arial"/>
          <w:sz w:val="14"/>
          <w:szCs w:val="14"/>
          <w:color w:val="auto"/>
        </w:rPr>
      </w:pPr>
    </w:p>
    <w:p>
      <w:pPr>
        <w:ind w:firstLine="1042"/>
        <w:spacing w:after="0" w:line="288" w:lineRule="auto"/>
        <w:tabs>
          <w:tab w:leader="none" w:pos="1405" w:val="left"/>
        </w:tabs>
        <w:numPr>
          <w:ilvl w:val="2"/>
          <w:numId w:val="650"/>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42"/>
        <w:spacing w:after="0" w:line="288" w:lineRule="auto"/>
        <w:tabs>
          <w:tab w:leader="none" w:pos="1427" w:val="left"/>
        </w:tabs>
        <w:numPr>
          <w:ilvl w:val="2"/>
          <w:numId w:val="650"/>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449" w:val="left"/>
        </w:tabs>
        <w:numPr>
          <w:ilvl w:val="2"/>
          <w:numId w:val="650"/>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39" w:name="page840"/>
    <w:bookmarkEnd w:id="839"/>
    <w:p>
      <w:pPr>
        <w:jc w:val="both"/>
        <w:ind w:firstLine="1042"/>
        <w:spacing w:after="0" w:line="303" w:lineRule="auto"/>
        <w:tabs>
          <w:tab w:leader="none" w:pos="1427" w:val="left"/>
        </w:tabs>
        <w:numPr>
          <w:ilvl w:val="0"/>
          <w:numId w:val="651"/>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42"/>
        <w:spacing w:after="0" w:line="273" w:lineRule="auto"/>
        <w:tabs>
          <w:tab w:leader="none" w:pos="1401" w:val="left"/>
        </w:tabs>
        <w:numPr>
          <w:ilvl w:val="0"/>
          <w:numId w:val="651"/>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jc w:val="both"/>
        <w:spacing w:after="0" w:line="236" w:lineRule="auto"/>
        <w:rPr>
          <w:sz w:val="20"/>
          <w:szCs w:val="20"/>
          <w:color w:val="auto"/>
        </w:rPr>
      </w:pPr>
      <w:r>
        <w:rPr>
          <w:rFonts w:ascii="Arial" w:cs="Arial" w:eastAsia="Arial" w:hAnsi="Arial"/>
          <w:sz w:val="14"/>
          <w:szCs w:val="14"/>
          <w:color w:val="auto"/>
        </w:rPr>
        <w:t>Company and the expiration of all applicable statutory revocation periods, by the 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4"/>
          <w:szCs w:val="14"/>
          <w:b w:val="1"/>
          <w:bCs w:val="1"/>
          <w:color w:val="auto"/>
        </w:rPr>
        <w:t>Release</w:t>
      </w:r>
      <w:r>
        <w:rPr>
          <w:rFonts w:ascii="Arial" w:cs="Arial" w:eastAsia="Arial" w:hAnsi="Arial"/>
          <w:sz w:val="14"/>
          <w:szCs w:val="14"/>
          <w:color w:val="auto"/>
        </w:rPr>
        <w:t>”) and on Executive’s continued compliance with the provisions of the Proprietary Information and Assignment Agreement (defined below).</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1" w:lineRule="exact"/>
        <w:rPr>
          <w:sz w:val="20"/>
          <w:szCs w:val="20"/>
          <w:color w:val="auto"/>
        </w:rPr>
      </w:pPr>
    </w:p>
    <w:p>
      <w:pPr>
        <w:ind w:firstLine="524"/>
        <w:spacing w:after="0" w:line="336" w:lineRule="auto"/>
        <w:tabs>
          <w:tab w:leader="none" w:pos="901" w:val="left"/>
        </w:tabs>
        <w:numPr>
          <w:ilvl w:val="0"/>
          <w:numId w:val="652"/>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40" w:name="page841"/>
    <w:bookmarkEnd w:id="840"/>
    <w:p>
      <w:pPr>
        <w:jc w:val="both"/>
        <w:spacing w:after="0" w:line="267" w:lineRule="auto"/>
        <w:rPr>
          <w:sz w:val="20"/>
          <w:szCs w:val="20"/>
          <w:color w:val="auto"/>
        </w:rPr>
      </w:pPr>
      <w:r>
        <w:rPr>
          <w:rFonts w:ascii="Arial" w:cs="Arial" w:eastAsia="Arial" w:hAnsi="Arial"/>
          <w:sz w:val="14"/>
          <w:szCs w:val="14"/>
          <w:color w:val="auto"/>
        </w:rPr>
        <w:t>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3" w:lineRule="exact"/>
        <w:rPr>
          <w:sz w:val="20"/>
          <w:szCs w:val="20"/>
          <w:color w:val="auto"/>
        </w:rPr>
      </w:pPr>
    </w:p>
    <w:p>
      <w:pPr>
        <w:ind w:left="400" w:hanging="394"/>
        <w:spacing w:after="0"/>
        <w:tabs>
          <w:tab w:leader="none" w:pos="400" w:val="left"/>
        </w:tabs>
        <w:numPr>
          <w:ilvl w:val="0"/>
          <w:numId w:val="653"/>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915" w:val="left"/>
        </w:tabs>
        <w:numPr>
          <w:ilvl w:val="1"/>
          <w:numId w:val="653"/>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4"/>
        <w:spacing w:after="0" w:line="285" w:lineRule="auto"/>
        <w:tabs>
          <w:tab w:leader="none" w:pos="883" w:val="left"/>
        </w:tabs>
        <w:numPr>
          <w:ilvl w:val="1"/>
          <w:numId w:val="653"/>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8" w:lineRule="exact"/>
        <w:rPr>
          <w:rFonts w:ascii="Arial" w:cs="Arial" w:eastAsia="Arial" w:hAnsi="Arial"/>
          <w:sz w:val="13"/>
          <w:szCs w:val="13"/>
          <w:color w:val="auto"/>
        </w:rPr>
      </w:pPr>
    </w:p>
    <w:p>
      <w:pPr>
        <w:jc w:val="both"/>
        <w:ind w:firstLine="524"/>
        <w:spacing w:after="0" w:line="290" w:lineRule="auto"/>
        <w:tabs>
          <w:tab w:leader="none" w:pos="875" w:val="left"/>
        </w:tabs>
        <w:numPr>
          <w:ilvl w:val="1"/>
          <w:numId w:val="653"/>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28" w:lineRule="exact"/>
        <w:rPr>
          <w:rFonts w:ascii="Arial" w:cs="Arial" w:eastAsia="Arial" w:hAnsi="Arial"/>
          <w:sz w:val="13"/>
          <w:szCs w:val="13"/>
          <w:color w:val="auto"/>
        </w:rPr>
      </w:pPr>
    </w:p>
    <w:p>
      <w:pPr>
        <w:ind w:firstLine="6"/>
        <w:spacing w:after="0" w:line="336" w:lineRule="auto"/>
        <w:tabs>
          <w:tab w:leader="none" w:pos="372" w:val="left"/>
        </w:tabs>
        <w:numPr>
          <w:ilvl w:val="0"/>
          <w:numId w:val="653"/>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41" w:name="page842"/>
    <w:bookmarkEnd w:id="841"/>
    <w:p>
      <w:pPr>
        <w:jc w:val="both"/>
        <w:spacing w:after="0" w:line="287"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2" w:lineRule="exact"/>
        <w:rPr>
          <w:sz w:val="20"/>
          <w:szCs w:val="20"/>
          <w:color w:val="auto"/>
        </w:rPr>
      </w:pPr>
    </w:p>
    <w:p>
      <w:pPr>
        <w:ind w:left="380" w:hanging="374"/>
        <w:spacing w:after="0"/>
        <w:tabs>
          <w:tab w:leader="none" w:pos="380" w:val="left"/>
        </w:tabs>
        <w:numPr>
          <w:ilvl w:val="0"/>
          <w:numId w:val="654"/>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4" w:lineRule="exact"/>
        <w:rPr>
          <w:rFonts w:ascii="Arial" w:cs="Arial" w:eastAsia="Arial" w:hAnsi="Arial"/>
          <w:sz w:val="14"/>
          <w:szCs w:val="14"/>
          <w:color w:val="auto"/>
        </w:rPr>
      </w:pPr>
    </w:p>
    <w:p>
      <w:pPr>
        <w:jc w:val="both"/>
        <w:ind w:firstLine="524"/>
        <w:spacing w:after="0" w:line="260" w:lineRule="auto"/>
        <w:tabs>
          <w:tab w:leader="none" w:pos="875" w:val="left"/>
        </w:tabs>
        <w:numPr>
          <w:ilvl w:val="1"/>
          <w:numId w:val="65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xml:space="preserve">”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51" w:lineRule="exact"/>
        <w:rPr>
          <w:rFonts w:ascii="Arial" w:cs="Arial" w:eastAsia="Arial" w:hAnsi="Arial"/>
          <w:sz w:val="14"/>
          <w:szCs w:val="14"/>
          <w:color w:val="auto"/>
        </w:rPr>
      </w:pPr>
    </w:p>
    <w:p>
      <w:pPr>
        <w:ind w:left="880" w:hanging="356"/>
        <w:spacing w:after="0"/>
        <w:tabs>
          <w:tab w:leader="none" w:pos="880" w:val="left"/>
        </w:tabs>
        <w:numPr>
          <w:ilvl w:val="1"/>
          <w:numId w:val="65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5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5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condition entitling Executive to benefits under the Company’s long term disability plan, policy or arrangement; provided, however, that if no such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42" w:name="page843"/>
    <w:bookmarkEnd w:id="842"/>
    <w:p>
      <w:pPr>
        <w:jc w:val="both"/>
        <w:spacing w:after="0" w:line="306" w:lineRule="auto"/>
        <w:rPr>
          <w:sz w:val="20"/>
          <w:szCs w:val="20"/>
          <w:color w:val="auto"/>
        </w:rPr>
      </w:pPr>
      <w:r>
        <w:rPr>
          <w:rFonts w:ascii="Arial" w:cs="Arial" w:eastAsia="Arial" w:hAnsi="Arial"/>
          <w:sz w:val="13"/>
          <w:szCs w:val="13"/>
          <w:color w:val="auto"/>
        </w:rPr>
        <w:t>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19" w:lineRule="exact"/>
        <w:rPr>
          <w:sz w:val="20"/>
          <w:szCs w:val="20"/>
          <w:color w:val="auto"/>
        </w:rPr>
      </w:pPr>
    </w:p>
    <w:p>
      <w:pPr>
        <w:jc w:val="both"/>
        <w:ind w:firstLine="524"/>
        <w:spacing w:after="0" w:line="266" w:lineRule="auto"/>
        <w:tabs>
          <w:tab w:leader="none" w:pos="893" w:val="left"/>
        </w:tabs>
        <w:numPr>
          <w:ilvl w:val="1"/>
          <w:numId w:val="65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4"/>
          <w:szCs w:val="14"/>
          <w:color w:val="464646"/>
        </w:rPr>
        <w:t>,</w:t>
      </w:r>
      <w:r>
        <w:rPr>
          <w:rFonts w:ascii="Arial" w:cs="Arial" w:eastAsia="Arial" w:hAnsi="Arial"/>
          <w:sz w:val="14"/>
          <w:szCs w:val="14"/>
          <w:color w:val="auto"/>
        </w:rPr>
        <w:t xml:space="preserve"> (y) such event is not reversed or corrected </w:t>
      </w:r>
      <w:r>
        <w:rPr>
          <w:rFonts w:ascii="Arial" w:cs="Arial" w:eastAsia="Arial" w:hAnsi="Arial"/>
          <w:sz w:val="14"/>
          <w:szCs w:val="14"/>
          <w:color w:val="161515"/>
        </w:rPr>
        <w:t>by</w:t>
      </w:r>
      <w:r>
        <w:rPr>
          <w:rFonts w:ascii="Arial" w:cs="Arial" w:eastAsia="Arial" w:hAnsi="Arial"/>
          <w:sz w:val="14"/>
          <w:szCs w:val="14"/>
          <w:color w:val="auto"/>
        </w:rPr>
        <w:t xml:space="preserve"> the Company within 30 days of its receipt of such written objection, and (z) Executive separates from service within 60 days following the expiration of that cure period.</w:t>
      </w:r>
    </w:p>
    <w:p>
      <w:pPr>
        <w:spacing w:after="0" w:line="143" w:lineRule="exact"/>
        <w:rPr>
          <w:rFonts w:ascii="Arial" w:cs="Arial" w:eastAsia="Arial" w:hAnsi="Arial"/>
          <w:sz w:val="14"/>
          <w:szCs w:val="14"/>
          <w:color w:val="auto"/>
        </w:rPr>
      </w:pPr>
    </w:p>
    <w:p>
      <w:pPr>
        <w:jc w:val="both"/>
        <w:ind w:firstLine="524"/>
        <w:spacing w:after="0" w:line="276" w:lineRule="auto"/>
        <w:tabs>
          <w:tab w:leader="none" w:pos="877" w:val="left"/>
        </w:tabs>
        <w:numPr>
          <w:ilvl w:val="1"/>
          <w:numId w:val="65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56"/>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6" w:lineRule="auto"/>
        <w:tabs>
          <w:tab w:leader="none" w:pos="377" w:val="left"/>
        </w:tabs>
        <w:numPr>
          <w:ilvl w:val="0"/>
          <w:numId w:val="656"/>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99" w:lineRule="exact"/>
        <w:rPr>
          <w:rFonts w:ascii="Arial" w:cs="Arial" w:eastAsia="Arial" w:hAnsi="Arial"/>
          <w:sz w:val="13"/>
          <w:szCs w:val="13"/>
          <w:color w:val="auto"/>
        </w:rPr>
      </w:pPr>
    </w:p>
    <w:p>
      <w:pPr>
        <w:ind w:firstLine="6"/>
        <w:spacing w:after="0" w:line="294" w:lineRule="auto"/>
        <w:tabs>
          <w:tab w:leader="none" w:pos="377" w:val="left"/>
        </w:tabs>
        <w:numPr>
          <w:ilvl w:val="0"/>
          <w:numId w:val="656"/>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6" w:lineRule="auto"/>
        <w:tabs>
          <w:tab w:leader="none" w:pos="377" w:val="left"/>
        </w:tabs>
        <w:numPr>
          <w:ilvl w:val="0"/>
          <w:numId w:val="656"/>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his duties to the Company or his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56"/>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43" w:name="page844"/>
    <w:bookmarkEnd w:id="843"/>
    <w:p>
      <w:pPr>
        <w:spacing w:after="0"/>
        <w:rPr>
          <w:sz w:val="20"/>
          <w:szCs w:val="20"/>
          <w:color w:val="auto"/>
        </w:rPr>
      </w:pPr>
      <w:r>
        <w:rPr>
          <w:rFonts w:ascii="Arial" w:cs="Arial" w:eastAsia="Arial" w:hAnsi="Arial"/>
          <w:sz w:val="13"/>
          <w:szCs w:val="13"/>
          <w:color w:val="auto"/>
        </w:rPr>
        <w:t>manner that minimizes Executive’s tax liabilities, and Executive not make any claim against the Company or its board of directors related to tax liabilities arising from his compensation.</w:t>
      </w:r>
    </w:p>
    <w:p>
      <w:pPr>
        <w:spacing w:after="0" w:line="192" w:lineRule="exact"/>
        <w:rPr>
          <w:sz w:val="20"/>
          <w:szCs w:val="20"/>
          <w:color w:val="auto"/>
        </w:rPr>
      </w:pPr>
    </w:p>
    <w:p>
      <w:pPr>
        <w:ind w:left="380" w:hanging="374"/>
        <w:spacing w:after="0"/>
        <w:tabs>
          <w:tab w:leader="none" w:pos="380" w:val="left"/>
        </w:tabs>
        <w:numPr>
          <w:ilvl w:val="0"/>
          <w:numId w:val="657"/>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57"/>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1" w:lineRule="exact"/>
        <w:rPr>
          <w:rFonts w:ascii="Arial" w:cs="Arial" w:eastAsia="Arial" w:hAnsi="Arial"/>
          <w:sz w:val="14"/>
          <w:szCs w:val="14"/>
          <w:color w:val="auto"/>
        </w:rPr>
      </w:pPr>
    </w:p>
    <w:p>
      <w:pPr>
        <w:jc w:val="both"/>
        <w:ind w:firstLine="524"/>
        <w:spacing w:after="0" w:line="303" w:lineRule="auto"/>
        <w:tabs>
          <w:tab w:leader="none" w:pos="883" w:val="left"/>
        </w:tabs>
        <w:numPr>
          <w:ilvl w:val="1"/>
          <w:numId w:val="657"/>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880" w:hanging="356"/>
        <w:spacing w:after="0"/>
        <w:tabs>
          <w:tab w:leader="none" w:pos="880" w:val="left"/>
        </w:tabs>
        <w:numPr>
          <w:ilvl w:val="1"/>
          <w:numId w:val="657"/>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80" w:lineRule="exact"/>
        <w:rPr>
          <w:rFonts w:ascii="Arial" w:cs="Arial" w:eastAsia="Arial" w:hAnsi="Arial"/>
          <w:sz w:val="14"/>
          <w:szCs w:val="14"/>
          <w:color w:val="auto"/>
        </w:rPr>
      </w:pPr>
    </w:p>
    <w:p>
      <w:pPr>
        <w:ind w:left="400" w:hanging="394"/>
        <w:spacing w:after="0"/>
        <w:tabs>
          <w:tab w:leader="none" w:pos="400" w:val="left"/>
        </w:tabs>
        <w:numPr>
          <w:ilvl w:val="0"/>
          <w:numId w:val="657"/>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5" w:lineRule="exact"/>
        <w:rPr>
          <w:rFonts w:ascii="Arial" w:cs="Arial" w:eastAsia="Arial" w:hAnsi="Arial"/>
          <w:sz w:val="13"/>
          <w:szCs w:val="13"/>
          <w:color w:val="auto"/>
        </w:rPr>
      </w:pPr>
    </w:p>
    <w:p>
      <w:pPr>
        <w:jc w:val="both"/>
        <w:ind w:firstLine="6"/>
        <w:spacing w:after="0" w:line="262" w:lineRule="auto"/>
        <w:tabs>
          <w:tab w:leader="none" w:pos="395" w:val="left"/>
        </w:tabs>
        <w:numPr>
          <w:ilvl w:val="0"/>
          <w:numId w:val="657"/>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44" w:name="page845"/>
    <w:bookmarkEnd w:id="844"/>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80" w:lineRule="exact"/>
        <w:rPr>
          <w:sz w:val="20"/>
          <w:szCs w:val="20"/>
          <w:color w:val="auto"/>
        </w:rPr>
      </w:pPr>
    </w:p>
    <w:p>
      <w:pPr>
        <w:ind w:left="400" w:hanging="394"/>
        <w:spacing w:after="0"/>
        <w:tabs>
          <w:tab w:leader="none" w:pos="400" w:val="left"/>
        </w:tabs>
        <w:numPr>
          <w:ilvl w:val="0"/>
          <w:numId w:val="658"/>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4" w:lineRule="exact"/>
        <w:rPr>
          <w:rFonts w:ascii="Arial" w:cs="Arial" w:eastAsia="Arial" w:hAnsi="Arial"/>
          <w:sz w:val="14"/>
          <w:szCs w:val="14"/>
          <w:color w:val="auto"/>
        </w:rPr>
      </w:pPr>
    </w:p>
    <w:p>
      <w:pPr>
        <w:jc w:val="both"/>
        <w:ind w:firstLine="6"/>
        <w:spacing w:after="0" w:line="264" w:lineRule="auto"/>
        <w:tabs>
          <w:tab w:leader="none" w:pos="395" w:val="left"/>
        </w:tabs>
        <w:numPr>
          <w:ilvl w:val="0"/>
          <w:numId w:val="658"/>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5" w:lineRule="exact"/>
        <w:rPr>
          <w:rFonts w:ascii="Arial" w:cs="Arial" w:eastAsia="Arial" w:hAnsi="Arial"/>
          <w:sz w:val="14"/>
          <w:szCs w:val="14"/>
          <w:color w:val="auto"/>
        </w:rPr>
      </w:pPr>
    </w:p>
    <w:p>
      <w:pPr>
        <w:ind w:firstLine="6"/>
        <w:spacing w:after="0" w:line="294" w:lineRule="auto"/>
        <w:tabs>
          <w:tab w:leader="none" w:pos="377" w:val="left"/>
        </w:tabs>
        <w:numPr>
          <w:ilvl w:val="0"/>
          <w:numId w:val="658"/>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constitute one and the same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45" w:name="page846"/>
    <w:bookmarkEnd w:id="845"/>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4"/>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r>
      <w:tr>
        <w:trPr>
          <w:trHeight w:val="34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Hyam Levitsky, M.D.</w:t>
            </w:r>
          </w:p>
        </w:tc>
      </w:tr>
      <w:tr>
        <w:trPr>
          <w:trHeight w:val="345"/>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Luis Borges,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Luis Borges, Ph.D.</w:t>
            </w:r>
          </w:p>
        </w:tc>
      </w:tr>
    </w:tbl>
    <w:p>
      <w:pPr>
        <w:spacing w:after="0" w:line="162"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6" w:right="319" w:bottom="1440" w:gutter="0" w:footer="0" w:header="0"/>
        </w:sectPr>
      </w:pPr>
    </w:p>
    <w:bookmarkStart w:id="846" w:name="page847"/>
    <w:bookmarkEnd w:id="846"/>
    <w:p>
      <w:pPr>
        <w:jc w:val="right"/>
        <w:spacing w:after="0"/>
        <w:rPr>
          <w:sz w:val="20"/>
          <w:szCs w:val="20"/>
          <w:color w:val="auto"/>
        </w:rPr>
      </w:pPr>
      <w:r>
        <w:rPr>
          <w:rFonts w:ascii="Arial" w:cs="Arial" w:eastAsia="Arial" w:hAnsi="Arial"/>
          <w:sz w:val="14"/>
          <w:szCs w:val="14"/>
          <w:b w:val="1"/>
          <w:bCs w:val="1"/>
          <w:color w:val="auto"/>
        </w:rPr>
        <w:t>EXHIBIT 10.34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ADRIENNE FARID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WHEREAS, Executive is currently employed by the Company as its Chief Operations Officer in accordance with the terms and conditions of that certain offer letter by and between the Company and Executive dated January 29, 2019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71" w:lineRule="exact"/>
        <w:rPr>
          <w:sz w:val="20"/>
          <w:szCs w:val="20"/>
          <w:color w:val="auto"/>
        </w:rPr>
      </w:pPr>
    </w:p>
    <w:p>
      <w:pPr>
        <w:jc w:val="both"/>
        <w:ind w:firstLine="6"/>
        <w:spacing w:after="0" w:line="291" w:lineRule="auto"/>
        <w:tabs>
          <w:tab w:leader="none" w:pos="341" w:val="left"/>
        </w:tabs>
        <w:numPr>
          <w:ilvl w:val="0"/>
          <w:numId w:val="659"/>
        </w:numPr>
        <w:rPr>
          <w:rFonts w:ascii="Arial" w:cs="Arial" w:eastAsia="Arial" w:hAnsi="Arial"/>
          <w:sz w:val="13"/>
          <w:szCs w:val="13"/>
          <w:color w:val="auto"/>
        </w:rPr>
      </w:pPr>
      <w:r>
        <w:rPr>
          <w:rFonts w:ascii="Arial" w:cs="Arial" w:eastAsia="Arial" w:hAnsi="Arial"/>
          <w:sz w:val="13"/>
          <w:szCs w:val="13"/>
          <w:b w:val="1"/>
          <w:bCs w:val="1"/>
          <w:u w:val="single" w:color="auto"/>
          <w:color w:val="auto"/>
        </w:rPr>
        <w:t>Position</w:t>
      </w:r>
      <w:r>
        <w:rPr>
          <w:rFonts w:ascii="Arial" w:cs="Arial" w:eastAsia="Arial" w:hAnsi="Arial"/>
          <w:sz w:val="13"/>
          <w:szCs w:val="13"/>
          <w:color w:val="auto"/>
        </w:rPr>
        <w:t>. Executive will serve as the Chief Operations Officer of the Company and will report directly to the Chief Executive Officer of the Company or his or her delegate.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performing the duties and responsibilities associated with that position, from time to time the Company may assign to Executive other duties and responsibilities reasonable and consistent with such position. Executive agrees to devote her full business time and best efforts to the performance of her duties and to the furtherance of the Company’s interests. Executive also agrees that during her employment with the Company, she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her duties and obligations to the Company.</w:t>
      </w:r>
    </w:p>
    <w:p>
      <w:pPr>
        <w:spacing w:after="0" w:line="129" w:lineRule="exact"/>
        <w:rPr>
          <w:rFonts w:ascii="Arial" w:cs="Arial" w:eastAsia="Arial" w:hAnsi="Arial"/>
          <w:sz w:val="13"/>
          <w:szCs w:val="13"/>
          <w:color w:val="auto"/>
        </w:rPr>
      </w:pPr>
    </w:p>
    <w:p>
      <w:pPr>
        <w:jc w:val="both"/>
        <w:ind w:firstLine="6"/>
        <w:spacing w:after="0" w:line="276" w:lineRule="auto"/>
        <w:tabs>
          <w:tab w:leader="none" w:pos="341" w:val="left"/>
        </w:tabs>
        <w:numPr>
          <w:ilvl w:val="0"/>
          <w:numId w:val="659"/>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ind w:left="340" w:hanging="334"/>
        <w:spacing w:after="0"/>
        <w:tabs>
          <w:tab w:leader="none" w:pos="340" w:val="left"/>
        </w:tabs>
        <w:numPr>
          <w:ilvl w:val="0"/>
          <w:numId w:val="659"/>
        </w:numPr>
        <w:rPr>
          <w:rFonts w:ascii="Arial" w:cs="Arial" w:eastAsia="Arial" w:hAnsi="Arial"/>
          <w:sz w:val="13"/>
          <w:szCs w:val="13"/>
          <w:color w:val="auto"/>
        </w:rPr>
      </w:pPr>
      <w:r>
        <w:rPr>
          <w:rFonts w:ascii="Arial" w:cs="Arial" w:eastAsia="Arial" w:hAnsi="Arial"/>
          <w:sz w:val="13"/>
          <w:szCs w:val="13"/>
          <w:b w:val="1"/>
          <w:bCs w:val="1"/>
          <w:u w:val="single" w:color="auto"/>
          <w:color w:val="auto"/>
        </w:rPr>
        <w:t>Place of Performance</w:t>
      </w:r>
      <w:r>
        <w:rPr>
          <w:rFonts w:ascii="Arial" w:cs="Arial" w:eastAsia="Arial" w:hAnsi="Arial"/>
          <w:sz w:val="13"/>
          <w:szCs w:val="13"/>
          <w:color w:val="auto"/>
        </w:rPr>
        <w:t>. Executive will perform services hereunder at the principal executive offices of the Company in a location to be determined by the board of directors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490220</wp:posOffset>
            </wp:positionV>
            <wp:extent cx="7159625" cy="698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47" w:name="page848"/>
    <w:bookmarkEnd w:id="847"/>
    <w:p>
      <w:pPr>
        <w:spacing w:after="0"/>
        <w:rPr>
          <w:sz w:val="20"/>
          <w:szCs w:val="20"/>
          <w:color w:val="auto"/>
        </w:rPr>
      </w:pPr>
      <w:r>
        <w:rPr>
          <w:rFonts w:ascii="Arial" w:cs="Arial" w:eastAsia="Arial" w:hAnsi="Arial"/>
          <w:sz w:val="14"/>
          <w:szCs w:val="14"/>
          <w:color w:val="auto"/>
        </w:rPr>
        <w:t>Company (the “</w:t>
      </w:r>
      <w:r>
        <w:rPr>
          <w:rFonts w:ascii="Arial" w:cs="Arial" w:eastAsia="Arial" w:hAnsi="Arial"/>
          <w:sz w:val="14"/>
          <w:szCs w:val="14"/>
          <w:b w:val="1"/>
          <w:bCs w:val="1"/>
          <w:color w:val="auto"/>
        </w:rPr>
        <w:t>Board</w:t>
      </w:r>
      <w:r>
        <w:rPr>
          <w:rFonts w:ascii="Arial" w:cs="Arial" w:eastAsia="Arial" w:hAnsi="Arial"/>
          <w:sz w:val="14"/>
          <w:szCs w:val="14"/>
          <w:color w:val="auto"/>
        </w:rPr>
        <w:t>”); provided, however, that Executive may be required to travel from time to time for business purposes.</w:t>
      </w:r>
    </w:p>
    <w:p>
      <w:pPr>
        <w:spacing w:after="0" w:line="184" w:lineRule="exact"/>
        <w:rPr>
          <w:sz w:val="20"/>
          <w:szCs w:val="20"/>
          <w:color w:val="auto"/>
        </w:rPr>
      </w:pPr>
    </w:p>
    <w:p>
      <w:pPr>
        <w:jc w:val="both"/>
        <w:ind w:firstLine="6"/>
        <w:spacing w:after="0" w:line="276" w:lineRule="auto"/>
        <w:tabs>
          <w:tab w:leader="none" w:pos="341" w:val="left"/>
        </w:tabs>
        <w:numPr>
          <w:ilvl w:val="0"/>
          <w:numId w:val="660"/>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$437,800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of the Board (the “</w:t>
      </w:r>
      <w:r>
        <w:rPr>
          <w:rFonts w:ascii="Arial" w:cs="Arial" w:eastAsia="Arial" w:hAnsi="Arial"/>
          <w:sz w:val="14"/>
          <w:szCs w:val="14"/>
          <w:b w:val="1"/>
          <w:bCs w:val="1"/>
          <w:color w:val="auto"/>
        </w:rPr>
        <w:t>Committee</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6" w:lineRule="auto"/>
        <w:tabs>
          <w:tab w:leader="none" w:pos="341" w:val="left"/>
        </w:tabs>
        <w:numPr>
          <w:ilvl w:val="0"/>
          <w:numId w:val="660"/>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her employment, Executive will have the opportunity to earn an annual bonus with a target amount of 40% of the Base Salary in effect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 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3" w:lineRule="exact"/>
        <w:rPr>
          <w:rFonts w:ascii="Arial" w:cs="Arial" w:eastAsia="Arial" w:hAnsi="Arial"/>
          <w:sz w:val="14"/>
          <w:szCs w:val="14"/>
          <w:color w:val="auto"/>
        </w:rPr>
      </w:pPr>
    </w:p>
    <w:p>
      <w:pPr>
        <w:ind w:left="360" w:hanging="354"/>
        <w:spacing w:after="0"/>
        <w:tabs>
          <w:tab w:leader="none" w:pos="360" w:val="left"/>
        </w:tabs>
        <w:numPr>
          <w:ilvl w:val="0"/>
          <w:numId w:val="660"/>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4" w:lineRule="exact"/>
        <w:rPr>
          <w:rFonts w:ascii="Arial" w:cs="Arial" w:eastAsia="Arial" w:hAnsi="Arial"/>
          <w:sz w:val="14"/>
          <w:szCs w:val="14"/>
          <w:color w:val="auto"/>
        </w:rPr>
      </w:pPr>
    </w:p>
    <w:p>
      <w:pPr>
        <w:ind w:left="340" w:hanging="334"/>
        <w:spacing w:after="0"/>
        <w:tabs>
          <w:tab w:leader="none" w:pos="340" w:val="left"/>
        </w:tabs>
        <w:numPr>
          <w:ilvl w:val="0"/>
          <w:numId w:val="660"/>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875" w:val="left"/>
        </w:tabs>
        <w:numPr>
          <w:ilvl w:val="1"/>
          <w:numId w:val="660"/>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4"/>
        <w:spacing w:after="0" w:line="288" w:lineRule="auto"/>
        <w:tabs>
          <w:tab w:leader="none" w:pos="881" w:val="left"/>
        </w:tabs>
        <w:numPr>
          <w:ilvl w:val="1"/>
          <w:numId w:val="660"/>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her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40" w:hanging="334"/>
        <w:spacing w:after="0"/>
        <w:tabs>
          <w:tab w:leader="none" w:pos="340" w:val="left"/>
        </w:tabs>
        <w:numPr>
          <w:ilvl w:val="0"/>
          <w:numId w:val="660"/>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94" w:lineRule="auto"/>
        <w:tabs>
          <w:tab w:leader="none" w:pos="875" w:val="left"/>
        </w:tabs>
        <w:numPr>
          <w:ilvl w:val="1"/>
          <w:numId w:val="660"/>
        </w:numPr>
        <w:rPr>
          <w:rFonts w:ascii="Arial" w:cs="Arial" w:eastAsia="Arial" w:hAnsi="Arial"/>
          <w:sz w:val="13"/>
          <w:szCs w:val="13"/>
          <w:color w:val="auto"/>
        </w:rPr>
      </w:pPr>
      <w:r>
        <w:rPr>
          <w:rFonts w:ascii="Arial" w:cs="Arial" w:eastAsia="Arial" w:hAnsi="Arial"/>
          <w:sz w:val="13"/>
          <w:szCs w:val="13"/>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848" w:name="page849"/>
    <w:bookmarkEnd w:id="848"/>
    <w:p>
      <w:pPr>
        <w:spacing w:after="0"/>
        <w:rPr>
          <w:sz w:val="20"/>
          <w:szCs w:val="20"/>
          <w:color w:val="auto"/>
        </w:rPr>
      </w:pPr>
      <w:r>
        <w:rPr>
          <w:rFonts w:ascii="Arial" w:cs="Arial" w:eastAsia="Arial" w:hAnsi="Arial"/>
          <w:sz w:val="14"/>
          <w:szCs w:val="14"/>
          <w:color w:val="auto"/>
        </w:rPr>
        <w:t>and such acceleration shall not constitute a termination by the Company for purposes of this Agreement.</w:t>
      </w:r>
    </w:p>
    <w:p>
      <w:pPr>
        <w:spacing w:after="0" w:line="184" w:lineRule="exact"/>
        <w:rPr>
          <w:sz w:val="20"/>
          <w:szCs w:val="20"/>
          <w:color w:val="auto"/>
        </w:rPr>
      </w:pPr>
    </w:p>
    <w:p>
      <w:pPr>
        <w:ind w:firstLine="524"/>
        <w:spacing w:after="0" w:line="329" w:lineRule="auto"/>
        <w:tabs>
          <w:tab w:leader="none" w:pos="883" w:val="left"/>
        </w:tabs>
        <w:numPr>
          <w:ilvl w:val="1"/>
          <w:numId w:val="661"/>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8" w:lineRule="exact"/>
        <w:rPr>
          <w:rFonts w:ascii="Arial" w:cs="Arial" w:eastAsia="Arial" w:hAnsi="Arial"/>
          <w:sz w:val="13"/>
          <w:szCs w:val="13"/>
          <w:color w:val="auto"/>
        </w:rPr>
      </w:pPr>
    </w:p>
    <w:p>
      <w:pPr>
        <w:ind w:left="880" w:hanging="356"/>
        <w:spacing w:after="0"/>
        <w:tabs>
          <w:tab w:leader="none" w:pos="880" w:val="left"/>
        </w:tabs>
        <w:numPr>
          <w:ilvl w:val="1"/>
          <w:numId w:val="661"/>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4" w:lineRule="exact"/>
        <w:rPr>
          <w:rFonts w:ascii="Arial" w:cs="Arial" w:eastAsia="Arial" w:hAnsi="Arial"/>
          <w:sz w:val="14"/>
          <w:szCs w:val="14"/>
          <w:color w:val="auto"/>
        </w:rPr>
      </w:pPr>
    </w:p>
    <w:p>
      <w:pPr>
        <w:jc w:val="both"/>
        <w:ind w:firstLine="524"/>
        <w:spacing w:after="0" w:line="267" w:lineRule="auto"/>
        <w:tabs>
          <w:tab w:leader="none" w:pos="883" w:val="left"/>
        </w:tabs>
        <w:numPr>
          <w:ilvl w:val="1"/>
          <w:numId w:val="661"/>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her employment and subject to reimbursement of her reasonable expenses, she will cooperate with the Company and its counsel with respect to any matter (including litigation, investigations, or governmental proceedings) in which Executive was in any way involved during her employment with the Company. Executive agrees to render such cooperation in a timely manner on reasonable notice from the Company, provided the Company exercises reasonable efforts to limit and schedule the need for Executive’s cooperation so as not to materially interfere with her other professional obligations.</w:t>
      </w:r>
    </w:p>
    <w:p>
      <w:pPr>
        <w:spacing w:after="0" w:line="146"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61"/>
        </w:numPr>
        <w:rPr>
          <w:rFonts w:ascii="Arial" w:cs="Arial" w:eastAsia="Arial" w:hAnsi="Arial"/>
          <w:sz w:val="14"/>
          <w:szCs w:val="14"/>
          <w:color w:val="auto"/>
        </w:rPr>
      </w:pPr>
      <w:r>
        <w:rPr>
          <w:rFonts w:ascii="Arial" w:cs="Arial" w:eastAsia="Arial" w:hAnsi="Arial"/>
          <w:sz w:val="14"/>
          <w:szCs w:val="14"/>
          <w:color w:val="auto"/>
        </w:rPr>
        <w:t>Executive agrees that, upon any cessation of her employment, she will deliver to the Company (and will not retain in her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7" w:lineRule="exact"/>
        <w:rPr>
          <w:rFonts w:ascii="Arial" w:cs="Arial" w:eastAsia="Arial" w:hAnsi="Arial"/>
          <w:sz w:val="14"/>
          <w:szCs w:val="14"/>
          <w:color w:val="auto"/>
        </w:rPr>
      </w:pPr>
    </w:p>
    <w:p>
      <w:pPr>
        <w:ind w:left="340" w:hanging="334"/>
        <w:spacing w:after="0"/>
        <w:tabs>
          <w:tab w:leader="none" w:pos="340" w:val="left"/>
        </w:tabs>
        <w:numPr>
          <w:ilvl w:val="0"/>
          <w:numId w:val="662"/>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524"/>
        <w:spacing w:after="0" w:line="294" w:lineRule="auto"/>
        <w:tabs>
          <w:tab w:leader="none" w:pos="922" w:val="left"/>
        </w:tabs>
        <w:numPr>
          <w:ilvl w:val="1"/>
          <w:numId w:val="662"/>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(as</w:t>
      </w:r>
      <w:r>
        <w:rPr>
          <w:rFonts w:ascii="Arial" w:cs="Arial" w:eastAsia="Arial" w:hAnsi="Arial"/>
          <w:sz w:val="14"/>
          <w:szCs w:val="14"/>
          <w:b w:val="1"/>
          <w:bCs w:val="1"/>
          <w:color w:val="auto"/>
        </w:rPr>
        <w:t xml:space="preserve"> </w:t>
      </w:r>
      <w:r>
        <w:rPr>
          <w:rFonts w:ascii="Arial" w:cs="Arial" w:eastAsia="Arial" w:hAnsi="Arial"/>
          <w:sz w:val="14"/>
          <w:szCs w:val="14"/>
          <w:color w:val="auto"/>
        </w:rPr>
        <w:t>defined below) or a resignation by Executive for Good Reason (as defined below):</w:t>
      </w:r>
    </w:p>
    <w:p>
      <w:pPr>
        <w:spacing w:after="0" w:line="127" w:lineRule="exact"/>
        <w:rPr>
          <w:rFonts w:ascii="Arial" w:cs="Arial" w:eastAsia="Arial" w:hAnsi="Arial"/>
          <w:sz w:val="14"/>
          <w:szCs w:val="14"/>
          <w:color w:val="auto"/>
        </w:rPr>
      </w:pPr>
    </w:p>
    <w:p>
      <w:pPr>
        <w:ind w:firstLine="1042"/>
        <w:spacing w:after="0" w:line="288" w:lineRule="auto"/>
        <w:tabs>
          <w:tab w:leader="none" w:pos="1405" w:val="left"/>
        </w:tabs>
        <w:numPr>
          <w:ilvl w:val="2"/>
          <w:numId w:val="662"/>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42"/>
        <w:spacing w:after="0" w:line="288" w:lineRule="auto"/>
        <w:tabs>
          <w:tab w:leader="none" w:pos="1427" w:val="left"/>
        </w:tabs>
        <w:numPr>
          <w:ilvl w:val="2"/>
          <w:numId w:val="662"/>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449" w:val="left"/>
        </w:tabs>
        <w:numPr>
          <w:ilvl w:val="2"/>
          <w:numId w:val="662"/>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49" w:name="page850"/>
    <w:bookmarkEnd w:id="849"/>
    <w:p>
      <w:pPr>
        <w:jc w:val="both"/>
        <w:ind w:firstLine="1042"/>
        <w:spacing w:after="0" w:line="303" w:lineRule="auto"/>
        <w:tabs>
          <w:tab w:leader="none" w:pos="1427" w:val="left"/>
        </w:tabs>
        <w:numPr>
          <w:ilvl w:val="0"/>
          <w:numId w:val="663"/>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herself and her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42"/>
        <w:spacing w:after="0" w:line="273" w:lineRule="auto"/>
        <w:tabs>
          <w:tab w:leader="none" w:pos="1401" w:val="left"/>
        </w:tabs>
        <w:numPr>
          <w:ilvl w:val="0"/>
          <w:numId w:val="663"/>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jc w:val="both"/>
        <w:spacing w:after="0" w:line="236" w:lineRule="auto"/>
        <w:rPr>
          <w:sz w:val="20"/>
          <w:szCs w:val="20"/>
          <w:color w:val="auto"/>
        </w:rPr>
      </w:pPr>
      <w:r>
        <w:rPr>
          <w:rFonts w:ascii="Arial" w:cs="Arial" w:eastAsia="Arial" w:hAnsi="Arial"/>
          <w:sz w:val="14"/>
          <w:szCs w:val="14"/>
          <w:color w:val="auto"/>
        </w:rPr>
        <w:t>Company and the expiration of all applicable statutory revocation periods, by the 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4"/>
          <w:szCs w:val="14"/>
          <w:b w:val="1"/>
          <w:bCs w:val="1"/>
          <w:color w:val="auto"/>
        </w:rPr>
        <w:t>Release</w:t>
      </w:r>
      <w:r>
        <w:rPr>
          <w:rFonts w:ascii="Arial" w:cs="Arial" w:eastAsia="Arial" w:hAnsi="Arial"/>
          <w:sz w:val="14"/>
          <w:szCs w:val="14"/>
          <w:color w:val="auto"/>
        </w:rPr>
        <w:t>”) and on Executive’s continued compliance with the provisions of the Proprietary Information and Assignment Agreement (defined below).</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1" w:lineRule="exact"/>
        <w:rPr>
          <w:sz w:val="20"/>
          <w:szCs w:val="20"/>
          <w:color w:val="auto"/>
        </w:rPr>
      </w:pPr>
    </w:p>
    <w:p>
      <w:pPr>
        <w:ind w:firstLine="524"/>
        <w:spacing w:after="0" w:line="336" w:lineRule="auto"/>
        <w:tabs>
          <w:tab w:leader="none" w:pos="901" w:val="left"/>
        </w:tabs>
        <w:numPr>
          <w:ilvl w:val="0"/>
          <w:numId w:val="664"/>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50" w:name="page851"/>
    <w:bookmarkEnd w:id="850"/>
    <w:p>
      <w:pPr>
        <w:jc w:val="both"/>
        <w:spacing w:after="0" w:line="267" w:lineRule="auto"/>
        <w:rPr>
          <w:sz w:val="20"/>
          <w:szCs w:val="20"/>
          <w:color w:val="auto"/>
        </w:rPr>
      </w:pPr>
      <w:r>
        <w:rPr>
          <w:rFonts w:ascii="Arial" w:cs="Arial" w:eastAsia="Arial" w:hAnsi="Arial"/>
          <w:sz w:val="14"/>
          <w:szCs w:val="14"/>
          <w:color w:val="auto"/>
        </w:rPr>
        <w:t>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3" w:lineRule="exact"/>
        <w:rPr>
          <w:sz w:val="20"/>
          <w:szCs w:val="20"/>
          <w:color w:val="auto"/>
        </w:rPr>
      </w:pPr>
    </w:p>
    <w:p>
      <w:pPr>
        <w:ind w:left="400" w:hanging="394"/>
        <w:spacing w:after="0"/>
        <w:tabs>
          <w:tab w:leader="none" w:pos="400" w:val="left"/>
        </w:tabs>
        <w:numPr>
          <w:ilvl w:val="0"/>
          <w:numId w:val="665"/>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915" w:val="left"/>
        </w:tabs>
        <w:numPr>
          <w:ilvl w:val="1"/>
          <w:numId w:val="665"/>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4"/>
        <w:spacing w:after="0" w:line="285" w:lineRule="auto"/>
        <w:tabs>
          <w:tab w:leader="none" w:pos="883" w:val="left"/>
        </w:tabs>
        <w:numPr>
          <w:ilvl w:val="1"/>
          <w:numId w:val="665"/>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her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8" w:lineRule="exact"/>
        <w:rPr>
          <w:rFonts w:ascii="Arial" w:cs="Arial" w:eastAsia="Arial" w:hAnsi="Arial"/>
          <w:sz w:val="13"/>
          <w:szCs w:val="13"/>
          <w:color w:val="auto"/>
        </w:rPr>
      </w:pPr>
    </w:p>
    <w:p>
      <w:pPr>
        <w:jc w:val="both"/>
        <w:ind w:firstLine="524"/>
        <w:spacing w:after="0" w:line="290" w:lineRule="auto"/>
        <w:tabs>
          <w:tab w:leader="none" w:pos="875" w:val="left"/>
        </w:tabs>
        <w:numPr>
          <w:ilvl w:val="1"/>
          <w:numId w:val="665"/>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28" w:lineRule="exact"/>
        <w:rPr>
          <w:rFonts w:ascii="Arial" w:cs="Arial" w:eastAsia="Arial" w:hAnsi="Arial"/>
          <w:sz w:val="13"/>
          <w:szCs w:val="13"/>
          <w:color w:val="auto"/>
        </w:rPr>
      </w:pPr>
    </w:p>
    <w:p>
      <w:pPr>
        <w:ind w:firstLine="6"/>
        <w:spacing w:after="0" w:line="336" w:lineRule="auto"/>
        <w:tabs>
          <w:tab w:leader="none" w:pos="372" w:val="left"/>
        </w:tabs>
        <w:numPr>
          <w:ilvl w:val="0"/>
          <w:numId w:val="665"/>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51" w:name="page852"/>
    <w:bookmarkEnd w:id="851"/>
    <w:p>
      <w:pPr>
        <w:jc w:val="both"/>
        <w:spacing w:after="0" w:line="287"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2" w:lineRule="exact"/>
        <w:rPr>
          <w:sz w:val="20"/>
          <w:szCs w:val="20"/>
          <w:color w:val="auto"/>
        </w:rPr>
      </w:pPr>
    </w:p>
    <w:p>
      <w:pPr>
        <w:ind w:left="380" w:hanging="374"/>
        <w:spacing w:after="0"/>
        <w:tabs>
          <w:tab w:leader="none" w:pos="380" w:val="left"/>
        </w:tabs>
        <w:numPr>
          <w:ilvl w:val="0"/>
          <w:numId w:val="666"/>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4" w:lineRule="exact"/>
        <w:rPr>
          <w:rFonts w:ascii="Arial" w:cs="Arial" w:eastAsia="Arial" w:hAnsi="Arial"/>
          <w:sz w:val="14"/>
          <w:szCs w:val="14"/>
          <w:color w:val="auto"/>
        </w:rPr>
      </w:pPr>
    </w:p>
    <w:p>
      <w:pPr>
        <w:jc w:val="both"/>
        <w:ind w:firstLine="524"/>
        <w:spacing w:after="0" w:line="260" w:lineRule="auto"/>
        <w:tabs>
          <w:tab w:leader="none" w:pos="875" w:val="left"/>
        </w:tabs>
        <w:numPr>
          <w:ilvl w:val="1"/>
          <w:numId w:val="66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xml:space="preserve">”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her duties hereunder (other than by reason of 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her Disability will not constitute a termination without Cause.</w:t>
      </w:r>
    </w:p>
    <w:p>
      <w:pPr>
        <w:spacing w:after="0" w:line="151" w:lineRule="exact"/>
        <w:rPr>
          <w:rFonts w:ascii="Arial" w:cs="Arial" w:eastAsia="Arial" w:hAnsi="Arial"/>
          <w:sz w:val="14"/>
          <w:szCs w:val="14"/>
          <w:color w:val="auto"/>
        </w:rPr>
      </w:pPr>
    </w:p>
    <w:p>
      <w:pPr>
        <w:ind w:left="880" w:hanging="356"/>
        <w:spacing w:after="0"/>
        <w:tabs>
          <w:tab w:leader="none" w:pos="880" w:val="left"/>
        </w:tabs>
        <w:numPr>
          <w:ilvl w:val="1"/>
          <w:numId w:val="66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6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6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condition entitling Executive to benefits under the Company’s long term disability plan, policy or arrangement; provided, however, that if no such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852" w:name="page853"/>
    <w:bookmarkEnd w:id="852"/>
    <w:p>
      <w:pPr>
        <w:jc w:val="both"/>
        <w:spacing w:after="0" w:line="306" w:lineRule="auto"/>
        <w:rPr>
          <w:sz w:val="20"/>
          <w:szCs w:val="20"/>
          <w:color w:val="auto"/>
        </w:rPr>
      </w:pPr>
      <w:r>
        <w:rPr>
          <w:rFonts w:ascii="Arial" w:cs="Arial" w:eastAsia="Arial" w:hAnsi="Arial"/>
          <w:sz w:val="13"/>
          <w:szCs w:val="13"/>
          <w:color w:val="auto"/>
        </w:rPr>
        <w:t>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her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19" w:lineRule="exact"/>
        <w:rPr>
          <w:sz w:val="20"/>
          <w:szCs w:val="20"/>
          <w:color w:val="auto"/>
        </w:rPr>
      </w:pPr>
    </w:p>
    <w:p>
      <w:pPr>
        <w:jc w:val="both"/>
        <w:ind w:firstLine="524"/>
        <w:spacing w:after="0" w:line="266" w:lineRule="auto"/>
        <w:tabs>
          <w:tab w:leader="none" w:pos="893" w:val="left"/>
        </w:tabs>
        <w:numPr>
          <w:ilvl w:val="1"/>
          <w:numId w:val="6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Reason</w:t>
      </w:r>
      <w:r>
        <w:rPr>
          <w:rFonts w:ascii="Arial" w:cs="Arial" w:eastAsia="Arial" w:hAnsi="Arial"/>
          <w:sz w:val="14"/>
          <w:szCs w:val="14"/>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(iii) a change of more than 50 miles in the geographic location at which Executive provide services to the Company; or (iv)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4"/>
          <w:szCs w:val="14"/>
          <w:color w:val="464646"/>
        </w:rPr>
        <w:t>,</w:t>
      </w:r>
      <w:r>
        <w:rPr>
          <w:rFonts w:ascii="Arial" w:cs="Arial" w:eastAsia="Arial" w:hAnsi="Arial"/>
          <w:sz w:val="14"/>
          <w:szCs w:val="14"/>
          <w:color w:val="auto"/>
        </w:rPr>
        <w:t xml:space="preserve"> (y) such event is not reversed or corrected </w:t>
      </w:r>
      <w:r>
        <w:rPr>
          <w:rFonts w:ascii="Arial" w:cs="Arial" w:eastAsia="Arial" w:hAnsi="Arial"/>
          <w:sz w:val="14"/>
          <w:szCs w:val="14"/>
          <w:color w:val="161515"/>
        </w:rPr>
        <w:t>by</w:t>
      </w:r>
      <w:r>
        <w:rPr>
          <w:rFonts w:ascii="Arial" w:cs="Arial" w:eastAsia="Arial" w:hAnsi="Arial"/>
          <w:sz w:val="14"/>
          <w:szCs w:val="14"/>
          <w:color w:val="auto"/>
        </w:rPr>
        <w:t xml:space="preserve"> the Company within 30 days of its receipt of such written objection, and (z) Executive separates from service within 60 days following the expiration of that cure period.</w:t>
      </w:r>
    </w:p>
    <w:p>
      <w:pPr>
        <w:spacing w:after="0" w:line="143" w:lineRule="exact"/>
        <w:rPr>
          <w:rFonts w:ascii="Arial" w:cs="Arial" w:eastAsia="Arial" w:hAnsi="Arial"/>
          <w:sz w:val="14"/>
          <w:szCs w:val="14"/>
          <w:color w:val="auto"/>
        </w:rPr>
      </w:pPr>
    </w:p>
    <w:p>
      <w:pPr>
        <w:jc w:val="both"/>
        <w:ind w:firstLine="524"/>
        <w:spacing w:after="0" w:line="276" w:lineRule="auto"/>
        <w:tabs>
          <w:tab w:leader="none" w:pos="877" w:val="left"/>
        </w:tabs>
        <w:numPr>
          <w:ilvl w:val="1"/>
          <w:numId w:val="66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68"/>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6" w:lineRule="auto"/>
        <w:tabs>
          <w:tab w:leader="none" w:pos="377" w:val="left"/>
        </w:tabs>
        <w:numPr>
          <w:ilvl w:val="0"/>
          <w:numId w:val="668"/>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99" w:lineRule="exact"/>
        <w:rPr>
          <w:rFonts w:ascii="Arial" w:cs="Arial" w:eastAsia="Arial" w:hAnsi="Arial"/>
          <w:sz w:val="13"/>
          <w:szCs w:val="13"/>
          <w:color w:val="auto"/>
        </w:rPr>
      </w:pPr>
    </w:p>
    <w:p>
      <w:pPr>
        <w:ind w:firstLine="6"/>
        <w:spacing w:after="0" w:line="294" w:lineRule="auto"/>
        <w:tabs>
          <w:tab w:leader="none" w:pos="377" w:val="left"/>
        </w:tabs>
        <w:numPr>
          <w:ilvl w:val="0"/>
          <w:numId w:val="668"/>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6" w:lineRule="auto"/>
        <w:tabs>
          <w:tab w:leader="none" w:pos="377" w:val="left"/>
        </w:tabs>
        <w:numPr>
          <w:ilvl w:val="0"/>
          <w:numId w:val="668"/>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she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her duties to the Company or her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68"/>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53" w:name="page854"/>
    <w:bookmarkEnd w:id="853"/>
    <w:p>
      <w:pPr>
        <w:spacing w:after="0"/>
        <w:rPr>
          <w:sz w:val="20"/>
          <w:szCs w:val="20"/>
          <w:color w:val="auto"/>
        </w:rPr>
      </w:pPr>
      <w:r>
        <w:rPr>
          <w:rFonts w:ascii="Arial" w:cs="Arial" w:eastAsia="Arial" w:hAnsi="Arial"/>
          <w:sz w:val="13"/>
          <w:szCs w:val="13"/>
          <w:color w:val="auto"/>
        </w:rPr>
        <w:t>manner that minimizes Executive’s tax liabilities, and Executive not make any claim against the Company or its board of directors related to tax liabilities arising from her compensation.</w:t>
      </w:r>
    </w:p>
    <w:p>
      <w:pPr>
        <w:spacing w:after="0" w:line="192" w:lineRule="exact"/>
        <w:rPr>
          <w:sz w:val="20"/>
          <w:szCs w:val="20"/>
          <w:color w:val="auto"/>
        </w:rPr>
      </w:pPr>
    </w:p>
    <w:p>
      <w:pPr>
        <w:ind w:left="380" w:hanging="374"/>
        <w:spacing w:after="0"/>
        <w:tabs>
          <w:tab w:leader="none" w:pos="380" w:val="left"/>
        </w:tabs>
        <w:numPr>
          <w:ilvl w:val="0"/>
          <w:numId w:val="669"/>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69"/>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1" w:lineRule="exact"/>
        <w:rPr>
          <w:rFonts w:ascii="Arial" w:cs="Arial" w:eastAsia="Arial" w:hAnsi="Arial"/>
          <w:sz w:val="14"/>
          <w:szCs w:val="14"/>
          <w:color w:val="auto"/>
        </w:rPr>
      </w:pPr>
    </w:p>
    <w:p>
      <w:pPr>
        <w:jc w:val="both"/>
        <w:ind w:firstLine="524"/>
        <w:spacing w:after="0" w:line="303" w:lineRule="auto"/>
        <w:tabs>
          <w:tab w:leader="none" w:pos="883" w:val="left"/>
        </w:tabs>
        <w:numPr>
          <w:ilvl w:val="1"/>
          <w:numId w:val="669"/>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880" w:hanging="356"/>
        <w:spacing w:after="0"/>
        <w:tabs>
          <w:tab w:leader="none" w:pos="880" w:val="left"/>
        </w:tabs>
        <w:numPr>
          <w:ilvl w:val="1"/>
          <w:numId w:val="669"/>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80" w:lineRule="exact"/>
        <w:rPr>
          <w:rFonts w:ascii="Arial" w:cs="Arial" w:eastAsia="Arial" w:hAnsi="Arial"/>
          <w:sz w:val="14"/>
          <w:szCs w:val="14"/>
          <w:color w:val="auto"/>
        </w:rPr>
      </w:pPr>
    </w:p>
    <w:p>
      <w:pPr>
        <w:ind w:left="400" w:hanging="394"/>
        <w:spacing w:after="0"/>
        <w:tabs>
          <w:tab w:leader="none" w:pos="400" w:val="left"/>
        </w:tabs>
        <w:numPr>
          <w:ilvl w:val="0"/>
          <w:numId w:val="669"/>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5" w:lineRule="exact"/>
        <w:rPr>
          <w:rFonts w:ascii="Arial" w:cs="Arial" w:eastAsia="Arial" w:hAnsi="Arial"/>
          <w:sz w:val="13"/>
          <w:szCs w:val="13"/>
          <w:color w:val="auto"/>
        </w:rPr>
      </w:pPr>
    </w:p>
    <w:p>
      <w:pPr>
        <w:jc w:val="both"/>
        <w:ind w:firstLine="6"/>
        <w:spacing w:after="0" w:line="262" w:lineRule="auto"/>
        <w:tabs>
          <w:tab w:leader="none" w:pos="395" w:val="left"/>
        </w:tabs>
        <w:numPr>
          <w:ilvl w:val="0"/>
          <w:numId w:val="669"/>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54" w:name="page855"/>
    <w:bookmarkEnd w:id="854"/>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80" w:lineRule="exact"/>
        <w:rPr>
          <w:sz w:val="20"/>
          <w:szCs w:val="20"/>
          <w:color w:val="auto"/>
        </w:rPr>
      </w:pPr>
    </w:p>
    <w:p>
      <w:pPr>
        <w:ind w:left="400" w:hanging="394"/>
        <w:spacing w:after="0"/>
        <w:tabs>
          <w:tab w:leader="none" w:pos="400" w:val="left"/>
        </w:tabs>
        <w:numPr>
          <w:ilvl w:val="0"/>
          <w:numId w:val="670"/>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4" w:lineRule="exact"/>
        <w:rPr>
          <w:rFonts w:ascii="Arial" w:cs="Arial" w:eastAsia="Arial" w:hAnsi="Arial"/>
          <w:sz w:val="14"/>
          <w:szCs w:val="14"/>
          <w:color w:val="auto"/>
        </w:rPr>
      </w:pPr>
    </w:p>
    <w:p>
      <w:pPr>
        <w:jc w:val="both"/>
        <w:ind w:firstLine="6"/>
        <w:spacing w:after="0" w:line="264" w:lineRule="auto"/>
        <w:tabs>
          <w:tab w:leader="none" w:pos="395" w:val="left"/>
        </w:tabs>
        <w:numPr>
          <w:ilvl w:val="0"/>
          <w:numId w:val="670"/>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5" w:lineRule="exact"/>
        <w:rPr>
          <w:rFonts w:ascii="Arial" w:cs="Arial" w:eastAsia="Arial" w:hAnsi="Arial"/>
          <w:sz w:val="14"/>
          <w:szCs w:val="14"/>
          <w:color w:val="auto"/>
        </w:rPr>
      </w:pPr>
    </w:p>
    <w:p>
      <w:pPr>
        <w:ind w:firstLine="6"/>
        <w:spacing w:after="0" w:line="294" w:lineRule="auto"/>
        <w:tabs>
          <w:tab w:leader="none" w:pos="377" w:val="left"/>
        </w:tabs>
        <w:numPr>
          <w:ilvl w:val="0"/>
          <w:numId w:val="670"/>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constitute one and the same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55" w:name="page856"/>
    <w:bookmarkEnd w:id="855"/>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4"/>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r>
      <w:tr>
        <w:trPr>
          <w:trHeight w:val="34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Hyam Levitsky, M.D.</w:t>
            </w:r>
          </w:p>
        </w:tc>
      </w:tr>
      <w:tr>
        <w:trPr>
          <w:trHeight w:val="345"/>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Adrienne Farid,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Adrienne Farid, Ph.D.</w:t>
            </w:r>
          </w:p>
        </w:tc>
      </w:tr>
    </w:tbl>
    <w:p>
      <w:pPr>
        <w:spacing w:after="0" w:line="162"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6" w:right="319" w:bottom="1440" w:gutter="0" w:footer="0" w:header="0"/>
        </w:sectPr>
      </w:pPr>
    </w:p>
    <w:bookmarkStart w:id="856" w:name="page857"/>
    <w:bookmarkEnd w:id="856"/>
    <w:p>
      <w:pPr>
        <w:jc w:val="right"/>
        <w:spacing w:after="0"/>
        <w:rPr>
          <w:sz w:val="20"/>
          <w:szCs w:val="20"/>
          <w:color w:val="auto"/>
        </w:rPr>
      </w:pPr>
      <w:r>
        <w:rPr>
          <w:rFonts w:ascii="Arial" w:cs="Arial" w:eastAsia="Arial" w:hAnsi="Arial"/>
          <w:sz w:val="14"/>
          <w:szCs w:val="14"/>
          <w:b w:val="1"/>
          <w:bCs w:val="1"/>
          <w:color w:val="auto"/>
        </w:rPr>
        <w:t>EXHIBIT 10.35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EMPLOYMENT AGREEMENT</w:t>
      </w:r>
    </w:p>
    <w:p>
      <w:pPr>
        <w:spacing w:after="0" w:line="184"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4"/>
          <w:szCs w:val="14"/>
          <w:color w:val="auto"/>
        </w:rPr>
        <w:t>This Executive Employment Agreement (the “</w:t>
      </w:r>
      <w:r>
        <w:rPr>
          <w:rFonts w:ascii="Arial" w:cs="Arial" w:eastAsia="Arial" w:hAnsi="Arial"/>
          <w:sz w:val="14"/>
          <w:szCs w:val="14"/>
          <w:b w:val="1"/>
          <w:bCs w:val="1"/>
          <w:color w:val="auto"/>
        </w:rPr>
        <w:t>Agreement</w:t>
      </w:r>
      <w:r>
        <w:rPr>
          <w:rFonts w:ascii="Arial" w:cs="Arial" w:eastAsia="Arial" w:hAnsi="Arial"/>
          <w:sz w:val="14"/>
          <w:szCs w:val="14"/>
          <w:color w:val="auto"/>
        </w:rPr>
        <w:t>”), dated May 26, 2021, is made and entered into by and between CENTURY THERAPEUTICS,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GREGORY RUSSOTTI (“</w:t>
      </w:r>
      <w:r>
        <w:rPr>
          <w:rFonts w:ascii="Arial" w:cs="Arial" w:eastAsia="Arial" w:hAnsi="Arial"/>
          <w:sz w:val="14"/>
          <w:szCs w:val="14"/>
          <w:b w:val="1"/>
          <w:bCs w:val="1"/>
          <w:color w:val="auto"/>
        </w:rPr>
        <w:t>Executive</w:t>
      </w:r>
      <w:r>
        <w:rPr>
          <w:rFonts w:ascii="Arial" w:cs="Arial" w:eastAsia="Arial" w:hAnsi="Arial"/>
          <w:sz w:val="14"/>
          <w:szCs w:val="14"/>
          <w:color w:val="auto"/>
        </w:rPr>
        <w:t>”), and will become effective on the first date that the Company’s common stock is traded on a national stock exchange or national market system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Introduction</w:t>
      </w:r>
    </w:p>
    <w:p>
      <w:pPr>
        <w:spacing w:after="0" w:line="184"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4"/>
          <w:szCs w:val="14"/>
          <w:color w:val="auto"/>
        </w:rPr>
        <w:t>WHEREAS, Executive is currently employed by the Company as its Chief Technology Officer in accordance with the terms and conditions of that certain offer letter by and between the Company and Executive dated June 30, 2019 (the “</w:t>
      </w:r>
      <w:r>
        <w:rPr>
          <w:rFonts w:ascii="Arial" w:cs="Arial" w:eastAsia="Arial" w:hAnsi="Arial"/>
          <w:sz w:val="14"/>
          <w:szCs w:val="14"/>
          <w:b w:val="1"/>
          <w:bCs w:val="1"/>
          <w:color w:val="auto"/>
        </w:rPr>
        <w:t>Prior Agreement</w:t>
      </w:r>
      <w:r>
        <w:rPr>
          <w:rFonts w:ascii="Arial" w:cs="Arial" w:eastAsia="Arial" w:hAnsi="Arial"/>
          <w:sz w:val="14"/>
          <w:szCs w:val="14"/>
          <w:color w:val="auto"/>
        </w:rPr>
        <w:t>”); and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parties desire to replace the Prior Agreement with this Agreement, effective as of the Effective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and intending to be legally bound hereby, the parties agree as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171" w:lineRule="exact"/>
        <w:rPr>
          <w:sz w:val="20"/>
          <w:szCs w:val="20"/>
          <w:color w:val="auto"/>
        </w:rPr>
      </w:pPr>
    </w:p>
    <w:p>
      <w:pPr>
        <w:jc w:val="both"/>
        <w:ind w:firstLine="6"/>
        <w:spacing w:after="0" w:line="291" w:lineRule="auto"/>
        <w:tabs>
          <w:tab w:leader="none" w:pos="341" w:val="left"/>
        </w:tabs>
        <w:numPr>
          <w:ilvl w:val="0"/>
          <w:numId w:val="671"/>
        </w:numPr>
        <w:rPr>
          <w:rFonts w:ascii="Arial" w:cs="Arial" w:eastAsia="Arial" w:hAnsi="Arial"/>
          <w:sz w:val="13"/>
          <w:szCs w:val="13"/>
          <w:color w:val="auto"/>
        </w:rPr>
      </w:pPr>
      <w:r>
        <w:rPr>
          <w:rFonts w:ascii="Arial" w:cs="Arial" w:eastAsia="Arial" w:hAnsi="Arial"/>
          <w:sz w:val="13"/>
          <w:szCs w:val="13"/>
          <w:b w:val="1"/>
          <w:bCs w:val="1"/>
          <w:u w:val="single" w:color="auto"/>
          <w:color w:val="auto"/>
        </w:rPr>
        <w:t>Position</w:t>
      </w:r>
      <w:r>
        <w:rPr>
          <w:rFonts w:ascii="Arial" w:cs="Arial" w:eastAsia="Arial" w:hAnsi="Arial"/>
          <w:sz w:val="13"/>
          <w:szCs w:val="13"/>
          <w:color w:val="auto"/>
        </w:rPr>
        <w:t>. Executive will serve as the Chief Technology Officer of the Company and will report directly to the Chief Executive Officer of the Company or his or her delegate.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performing the duties and responsibilities associated with that position, from time to time the Company may assign to Executive other duties and responsibilities reasonable and consistent with such position. Executive agrees to devote his full business time and best efforts to the performance of his duties and to the furtherance of the Company’s interests. Executive also agrees that during his employment with the Company, he will not engage in any other employment, consulting or business services without the written consent of the Company; provided, however, that without such consent, Executive may engage in charitable or public service, so long as such activities do not interfere with the performance of his duties and obligations to the Company.</w:t>
      </w:r>
    </w:p>
    <w:p>
      <w:pPr>
        <w:spacing w:after="0" w:line="129" w:lineRule="exact"/>
        <w:rPr>
          <w:rFonts w:ascii="Arial" w:cs="Arial" w:eastAsia="Arial" w:hAnsi="Arial"/>
          <w:sz w:val="13"/>
          <w:szCs w:val="13"/>
          <w:color w:val="auto"/>
        </w:rPr>
      </w:pPr>
    </w:p>
    <w:p>
      <w:pPr>
        <w:jc w:val="both"/>
        <w:ind w:firstLine="6"/>
        <w:spacing w:after="0" w:line="276" w:lineRule="auto"/>
        <w:tabs>
          <w:tab w:leader="none" w:pos="341" w:val="left"/>
        </w:tabs>
        <w:numPr>
          <w:ilvl w:val="0"/>
          <w:numId w:val="671"/>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color w:val="auto"/>
        </w:rPr>
        <w:t>. Executive’s employment pursuant to this Agreement will commence on the Effective Date and will continue until terminated in accordance with</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8</w:t>
      </w:r>
      <w:r>
        <w:rPr>
          <w:rFonts w:ascii="Arial" w:cs="Arial" w:eastAsia="Arial" w:hAnsi="Arial"/>
          <w:sz w:val="14"/>
          <w:szCs w:val="14"/>
          <w:b w:val="1"/>
          <w:bCs w:val="1"/>
          <w:color w:val="auto"/>
        </w:rPr>
        <w:t xml:space="preserve"> </w:t>
      </w:r>
      <w:r>
        <w:rPr>
          <w:rFonts w:ascii="Arial" w:cs="Arial" w:eastAsia="Arial" w:hAnsi="Arial"/>
          <w:sz w:val="14"/>
          <w:szCs w:val="14"/>
          <w:color w:val="auto"/>
        </w:rPr>
        <w:t>hereof. Notwithstanding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if the Company’s common stock has not commenced trading on a national stock exchange or national market system on or prior to December 31, 2022, this Agreement shall be null and void.</w:t>
      </w:r>
    </w:p>
    <w:p>
      <w:pPr>
        <w:spacing w:after="0" w:line="135" w:lineRule="exact"/>
        <w:rPr>
          <w:rFonts w:ascii="Arial" w:cs="Arial" w:eastAsia="Arial" w:hAnsi="Arial"/>
          <w:sz w:val="14"/>
          <w:szCs w:val="14"/>
          <w:color w:val="auto"/>
        </w:rPr>
      </w:pPr>
    </w:p>
    <w:p>
      <w:pPr>
        <w:jc w:val="both"/>
        <w:ind w:firstLine="6"/>
        <w:spacing w:after="0" w:line="266" w:lineRule="auto"/>
        <w:tabs>
          <w:tab w:leader="none" w:pos="341" w:val="left"/>
        </w:tabs>
        <w:numPr>
          <w:ilvl w:val="0"/>
          <w:numId w:val="671"/>
        </w:numPr>
        <w:rPr>
          <w:rFonts w:ascii="Arial" w:cs="Arial" w:eastAsia="Arial" w:hAnsi="Arial"/>
          <w:sz w:val="14"/>
          <w:szCs w:val="14"/>
          <w:color w:val="auto"/>
        </w:rPr>
      </w:pPr>
      <w:r>
        <w:rPr>
          <w:rFonts w:ascii="Arial" w:cs="Arial" w:eastAsia="Arial" w:hAnsi="Arial"/>
          <w:sz w:val="14"/>
          <w:szCs w:val="14"/>
          <w:b w:val="1"/>
          <w:bCs w:val="1"/>
          <w:u w:val="single" w:color="auto"/>
          <w:color w:val="auto"/>
        </w:rPr>
        <w:t>Place of Performance</w:t>
      </w:r>
      <w:r>
        <w:rPr>
          <w:rFonts w:ascii="Arial" w:cs="Arial" w:eastAsia="Arial" w:hAnsi="Arial"/>
          <w:sz w:val="14"/>
          <w:szCs w:val="14"/>
          <w:color w:val="auto"/>
        </w:rPr>
        <w:t>. Executive’s primary worksite will be as follows: (a) until the Company’s New Jersey manufacturing site opens, Executive will work at the Company’s principal</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offices (up to three days per week, on average, as requested by the Company) and remotely from home (for the remainder of his time), and (b) after the Company’s New Jersey manufacturing site opens, Executive will work primarily at that New Jersey manufacturing site. In addition, Executive may be required to travel from time to time for business purposes. Executive’s worksite assignment will be subject to change based on the Company’s business needs and other factors, including the Company’s assessment of the effectiveness of the arrangement, as determined by the Company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456565</wp:posOffset>
            </wp:positionV>
            <wp:extent cx="7159625" cy="698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57" w:name="page858"/>
    <w:bookmarkEnd w:id="857"/>
    <w:p>
      <w:pPr>
        <w:jc w:val="both"/>
        <w:ind w:firstLine="6"/>
        <w:spacing w:after="0" w:line="276" w:lineRule="auto"/>
        <w:tabs>
          <w:tab w:leader="none" w:pos="341" w:val="left"/>
        </w:tabs>
        <w:numPr>
          <w:ilvl w:val="0"/>
          <w:numId w:val="672"/>
        </w:numPr>
        <w:rPr>
          <w:rFonts w:ascii="Arial" w:cs="Arial" w:eastAsia="Arial" w:hAnsi="Arial"/>
          <w:sz w:val="14"/>
          <w:szCs w:val="14"/>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color w:val="auto"/>
        </w:rPr>
        <w:t>. This is a full-time exempt position. The Company will pay Executive a salary at an annual rate of $430,700 (“</w:t>
      </w:r>
      <w:r>
        <w:rPr>
          <w:rFonts w:ascii="Arial" w:cs="Arial" w:eastAsia="Arial" w:hAnsi="Arial"/>
          <w:sz w:val="14"/>
          <w:szCs w:val="14"/>
          <w:b w:val="1"/>
          <w:bCs w:val="1"/>
          <w:color w:val="auto"/>
        </w:rPr>
        <w:t>Base Salary</w:t>
      </w:r>
      <w:r>
        <w:rPr>
          <w:rFonts w:ascii="Arial" w:cs="Arial" w:eastAsia="Arial" w:hAnsi="Arial"/>
          <w:sz w:val="14"/>
          <w:szCs w:val="14"/>
          <w:color w:val="auto"/>
        </w:rPr>
        <w:t>”), payable in accordance with the Company’s standard</w:t>
      </w:r>
      <w:r>
        <w:rPr>
          <w:rFonts w:ascii="Arial" w:cs="Arial" w:eastAsia="Arial" w:hAnsi="Arial"/>
          <w:sz w:val="14"/>
          <w:szCs w:val="14"/>
          <w:b w:val="1"/>
          <w:bCs w:val="1"/>
          <w:color w:val="auto"/>
        </w:rPr>
        <w:t xml:space="preserve"> </w:t>
      </w:r>
      <w:r>
        <w:rPr>
          <w:rFonts w:ascii="Arial" w:cs="Arial" w:eastAsia="Arial" w:hAnsi="Arial"/>
          <w:sz w:val="14"/>
          <w:szCs w:val="14"/>
          <w:color w:val="auto"/>
        </w:rPr>
        <w:t>payroll schedule and subject to applicable deductions and withholdings. The Base Salary shall be reviewed on an annual basis by the Compensation Committee (the “</w:t>
      </w:r>
      <w:r>
        <w:rPr>
          <w:rFonts w:ascii="Arial" w:cs="Arial" w:eastAsia="Arial" w:hAnsi="Arial"/>
          <w:sz w:val="14"/>
          <w:szCs w:val="14"/>
          <w:b w:val="1"/>
          <w:bCs w:val="1"/>
          <w:color w:val="auto"/>
        </w:rPr>
        <w:t>Committee</w:t>
      </w:r>
      <w:r>
        <w:rPr>
          <w:rFonts w:ascii="Arial" w:cs="Arial" w:eastAsia="Arial" w:hAnsi="Arial"/>
          <w:sz w:val="14"/>
          <w:szCs w:val="14"/>
          <w:color w:val="auto"/>
        </w:rPr>
        <w:t xml:space="preserve">”) of the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and may be adjusted from time to time by the Committee.</w:t>
      </w:r>
    </w:p>
    <w:p>
      <w:pPr>
        <w:spacing w:after="0" w:line="135" w:lineRule="exact"/>
        <w:rPr>
          <w:rFonts w:ascii="Arial" w:cs="Arial" w:eastAsia="Arial" w:hAnsi="Arial"/>
          <w:sz w:val="14"/>
          <w:szCs w:val="14"/>
          <w:color w:val="auto"/>
        </w:rPr>
      </w:pPr>
    </w:p>
    <w:p>
      <w:pPr>
        <w:jc w:val="both"/>
        <w:ind w:firstLine="6"/>
        <w:spacing w:after="0" w:line="266" w:lineRule="auto"/>
        <w:tabs>
          <w:tab w:leader="none" w:pos="341" w:val="left"/>
        </w:tabs>
        <w:numPr>
          <w:ilvl w:val="0"/>
          <w:numId w:val="672"/>
        </w:numPr>
        <w:rPr>
          <w:rFonts w:ascii="Arial" w:cs="Arial" w:eastAsia="Arial" w:hAnsi="Arial"/>
          <w:sz w:val="14"/>
          <w:szCs w:val="14"/>
          <w:color w:val="auto"/>
        </w:rPr>
      </w:pPr>
      <w:r>
        <w:rPr>
          <w:rFonts w:ascii="Arial" w:cs="Arial" w:eastAsia="Arial" w:hAnsi="Arial"/>
          <w:sz w:val="14"/>
          <w:szCs w:val="14"/>
          <w:b w:val="1"/>
          <w:bCs w:val="1"/>
          <w:u w:val="single" w:color="auto"/>
          <w:color w:val="auto"/>
        </w:rPr>
        <w:t>Annual Bonus</w:t>
      </w:r>
      <w:r>
        <w:rPr>
          <w:rFonts w:ascii="Arial" w:cs="Arial" w:eastAsia="Arial" w:hAnsi="Arial"/>
          <w:sz w:val="14"/>
          <w:szCs w:val="14"/>
          <w:color w:val="auto"/>
        </w:rPr>
        <w:t>. For each calendar year ending during his employment, Executive will have the opportunity to earn an annual bonus with a target amount of 40% of the Base Salary in effect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 the end of the applicable year (the </w:t>
      </w:r>
      <w:r>
        <w:rPr>
          <w:rFonts w:ascii="Arial" w:cs="Arial" w:eastAsia="Arial" w:hAnsi="Arial"/>
          <w:sz w:val="14"/>
          <w:szCs w:val="14"/>
          <w:color w:val="4B4B4B"/>
        </w:rPr>
        <w:t>“</w:t>
      </w:r>
      <w:r>
        <w:rPr>
          <w:rFonts w:ascii="Arial" w:cs="Arial" w:eastAsia="Arial" w:hAnsi="Arial"/>
          <w:sz w:val="14"/>
          <w:szCs w:val="14"/>
          <w:b w:val="1"/>
          <w:bCs w:val="1"/>
          <w:color w:val="auto"/>
        </w:rPr>
        <w:t>Target</w:t>
      </w:r>
      <w:r>
        <w:rPr>
          <w:rFonts w:ascii="Arial" w:cs="Arial" w:eastAsia="Arial" w:hAnsi="Arial"/>
          <w:sz w:val="14"/>
          <w:szCs w:val="14"/>
          <w:color w:val="auto"/>
        </w:rPr>
        <w:t xml:space="preserve"> </w:t>
      </w:r>
      <w:r>
        <w:rPr>
          <w:rFonts w:ascii="Arial" w:cs="Arial" w:eastAsia="Arial" w:hAnsi="Arial"/>
          <w:sz w:val="14"/>
          <w:szCs w:val="14"/>
          <w:b w:val="1"/>
          <w:bCs w:val="1"/>
          <w:color w:val="1A1A1A"/>
        </w:rPr>
        <w:t>Bonus</w:t>
      </w:r>
      <w:r>
        <w:rPr>
          <w:rFonts w:ascii="Arial" w:cs="Arial" w:eastAsia="Arial" w:hAnsi="Arial"/>
          <w:sz w:val="14"/>
          <w:szCs w:val="14"/>
          <w:color w:val="3B3B3B"/>
        </w:rPr>
        <w:t>”)</w:t>
      </w:r>
      <w:r>
        <w:rPr>
          <w:rFonts w:ascii="Arial" w:cs="Arial" w:eastAsia="Arial" w:hAnsi="Arial"/>
          <w:sz w:val="14"/>
          <w:szCs w:val="14"/>
          <w:color w:val="auto"/>
        </w:rPr>
        <w:t>. The actual bonus payable to Executive, if any, with respect to any year may be more or less than the Target Bonus and will be determined by the Committee, in its sole discretion, based on the achievement of corporate and/or personal objectives established by the Committee</w:t>
      </w:r>
      <w:r>
        <w:rPr>
          <w:rFonts w:ascii="Arial" w:cs="Arial" w:eastAsia="Arial" w:hAnsi="Arial"/>
          <w:sz w:val="14"/>
          <w:szCs w:val="14"/>
          <w:color w:val="1A1A1A"/>
        </w:rPr>
        <w:t>.</w:t>
      </w:r>
      <w:r>
        <w:rPr>
          <w:rFonts w:ascii="Arial" w:cs="Arial" w:eastAsia="Arial" w:hAnsi="Arial"/>
          <w:sz w:val="14"/>
          <w:szCs w:val="14"/>
          <w:color w:val="auto"/>
        </w:rPr>
        <w:t xml:space="preserve"> Except as otherwise provided herein or determined by the Committee, payment of any otherwise earned bonus will be conditioned on Executive’s continued service through the date that annual bonuses are paid to the Company’s executive officers generally with respect to the applicable year.</w:t>
      </w:r>
    </w:p>
    <w:p>
      <w:pPr>
        <w:spacing w:after="0" w:line="143" w:lineRule="exact"/>
        <w:rPr>
          <w:rFonts w:ascii="Arial" w:cs="Arial" w:eastAsia="Arial" w:hAnsi="Arial"/>
          <w:sz w:val="14"/>
          <w:szCs w:val="14"/>
          <w:color w:val="auto"/>
        </w:rPr>
      </w:pPr>
    </w:p>
    <w:p>
      <w:pPr>
        <w:ind w:left="360" w:hanging="354"/>
        <w:spacing w:after="0"/>
        <w:tabs>
          <w:tab w:leader="none" w:pos="360" w:val="left"/>
        </w:tabs>
        <w:numPr>
          <w:ilvl w:val="0"/>
          <w:numId w:val="672"/>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Incentives</w:t>
      </w:r>
      <w:r>
        <w:rPr>
          <w:rFonts w:ascii="Arial" w:cs="Arial" w:eastAsia="Arial" w:hAnsi="Arial"/>
          <w:sz w:val="14"/>
          <w:szCs w:val="14"/>
          <w:color w:val="auto"/>
        </w:rPr>
        <w:t>. Executive may receive additional equity awards, at times and on terms determined by the Committee in its discretion.</w:t>
      </w:r>
    </w:p>
    <w:p>
      <w:pPr>
        <w:spacing w:after="0" w:line="184" w:lineRule="exact"/>
        <w:rPr>
          <w:rFonts w:ascii="Arial" w:cs="Arial" w:eastAsia="Arial" w:hAnsi="Arial"/>
          <w:sz w:val="14"/>
          <w:szCs w:val="14"/>
          <w:color w:val="auto"/>
        </w:rPr>
      </w:pPr>
    </w:p>
    <w:p>
      <w:pPr>
        <w:ind w:left="340" w:hanging="334"/>
        <w:spacing w:after="0"/>
        <w:tabs>
          <w:tab w:leader="none" w:pos="340" w:val="left"/>
        </w:tabs>
        <w:numPr>
          <w:ilvl w:val="0"/>
          <w:numId w:val="672"/>
        </w:numPr>
        <w:rPr>
          <w:rFonts w:ascii="Arial" w:cs="Arial" w:eastAsia="Arial" w:hAnsi="Arial"/>
          <w:sz w:val="14"/>
          <w:szCs w:val="14"/>
          <w:color w:val="auto"/>
        </w:rPr>
      </w:pPr>
      <w:r>
        <w:rPr>
          <w:rFonts w:ascii="Arial" w:cs="Arial" w:eastAsia="Arial" w:hAnsi="Arial"/>
          <w:sz w:val="14"/>
          <w:szCs w:val="14"/>
          <w:b w:val="1"/>
          <w:bCs w:val="1"/>
          <w:u w:val="single" w:color="auto"/>
          <w:color w:val="auto"/>
        </w:rPr>
        <w:t>Benefits; Business Expenses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875" w:val="left"/>
        </w:tabs>
        <w:numPr>
          <w:ilvl w:val="1"/>
          <w:numId w:val="672"/>
        </w:numPr>
        <w:rPr>
          <w:rFonts w:ascii="Arial" w:cs="Arial" w:eastAsia="Arial" w:hAnsi="Arial"/>
          <w:sz w:val="14"/>
          <w:szCs w:val="14"/>
          <w:color w:val="auto"/>
        </w:rPr>
      </w:pPr>
      <w:r>
        <w:rPr>
          <w:rFonts w:ascii="Arial" w:cs="Arial" w:eastAsia="Arial" w:hAnsi="Arial"/>
          <w:sz w:val="14"/>
          <w:szCs w:val="14"/>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w:t>
      </w:r>
    </w:p>
    <w:p>
      <w:pPr>
        <w:spacing w:after="0" w:line="131" w:lineRule="exact"/>
        <w:rPr>
          <w:rFonts w:ascii="Arial" w:cs="Arial" w:eastAsia="Arial" w:hAnsi="Arial"/>
          <w:sz w:val="14"/>
          <w:szCs w:val="14"/>
          <w:color w:val="auto"/>
        </w:rPr>
      </w:pPr>
    </w:p>
    <w:p>
      <w:pPr>
        <w:ind w:firstLine="524"/>
        <w:spacing w:after="0" w:line="288" w:lineRule="auto"/>
        <w:tabs>
          <w:tab w:leader="none" w:pos="881" w:val="left"/>
        </w:tabs>
        <w:numPr>
          <w:ilvl w:val="1"/>
          <w:numId w:val="672"/>
        </w:numPr>
        <w:rPr>
          <w:rFonts w:ascii="Arial" w:cs="Arial" w:eastAsia="Arial" w:hAnsi="Arial"/>
          <w:sz w:val="14"/>
          <w:szCs w:val="14"/>
          <w:color w:val="auto"/>
        </w:rPr>
      </w:pPr>
      <w:r>
        <w:rPr>
          <w:rFonts w:ascii="Arial" w:cs="Arial" w:eastAsia="Arial" w:hAnsi="Arial"/>
          <w:sz w:val="14"/>
          <w:szCs w:val="14"/>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27" w:lineRule="exact"/>
        <w:rPr>
          <w:rFonts w:ascii="Arial" w:cs="Arial" w:eastAsia="Arial" w:hAnsi="Arial"/>
          <w:sz w:val="14"/>
          <w:szCs w:val="14"/>
          <w:color w:val="auto"/>
        </w:rPr>
      </w:pPr>
    </w:p>
    <w:p>
      <w:pPr>
        <w:ind w:left="340" w:hanging="334"/>
        <w:spacing w:after="0"/>
        <w:tabs>
          <w:tab w:leader="none" w:pos="340" w:val="left"/>
        </w:tabs>
        <w:numPr>
          <w:ilvl w:val="0"/>
          <w:numId w:val="672"/>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94" w:lineRule="auto"/>
        <w:tabs>
          <w:tab w:leader="none" w:pos="875" w:val="left"/>
        </w:tabs>
        <w:numPr>
          <w:ilvl w:val="1"/>
          <w:numId w:val="672"/>
        </w:numPr>
        <w:rPr>
          <w:rFonts w:ascii="Arial" w:cs="Arial" w:eastAsia="Arial" w:hAnsi="Arial"/>
          <w:sz w:val="13"/>
          <w:szCs w:val="13"/>
          <w:color w:val="auto"/>
        </w:rPr>
      </w:pPr>
      <w:r>
        <w:rPr>
          <w:rFonts w:ascii="Arial" w:cs="Arial" w:eastAsia="Arial" w:hAnsi="Arial"/>
          <w:sz w:val="13"/>
          <w:szCs w:val="13"/>
          <w:color w:val="auto"/>
        </w:rPr>
        <w:t>Executive’s employment hereunder shall terminate on the earliest of: (i) on the date set forth in a written notice to Executive from the Board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Board that Executive’s employment is terminated on account of Executive’s Disability, as determined by the Board. Notwithstanding the foregoing, in the event that Executive gives notice of termination to the Company, the Company may unilaterally accelerate the date of termination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858" w:name="page859"/>
    <w:bookmarkEnd w:id="858"/>
    <w:p>
      <w:pPr>
        <w:spacing w:after="0"/>
        <w:rPr>
          <w:sz w:val="20"/>
          <w:szCs w:val="20"/>
          <w:color w:val="auto"/>
        </w:rPr>
      </w:pPr>
      <w:r>
        <w:rPr>
          <w:rFonts w:ascii="Arial" w:cs="Arial" w:eastAsia="Arial" w:hAnsi="Arial"/>
          <w:sz w:val="14"/>
          <w:szCs w:val="14"/>
          <w:color w:val="auto"/>
        </w:rPr>
        <w:t>and such acceleration shall not constitute a termination by the Company for purposes of this Agreement.</w:t>
      </w:r>
    </w:p>
    <w:p>
      <w:pPr>
        <w:spacing w:after="0" w:line="184" w:lineRule="exact"/>
        <w:rPr>
          <w:sz w:val="20"/>
          <w:szCs w:val="20"/>
          <w:color w:val="auto"/>
        </w:rPr>
      </w:pPr>
    </w:p>
    <w:p>
      <w:pPr>
        <w:ind w:firstLine="524"/>
        <w:spacing w:after="0" w:line="329" w:lineRule="auto"/>
        <w:tabs>
          <w:tab w:leader="none" w:pos="883" w:val="left"/>
        </w:tabs>
        <w:numPr>
          <w:ilvl w:val="1"/>
          <w:numId w:val="673"/>
        </w:numPr>
        <w:rPr>
          <w:rFonts w:ascii="Arial" w:cs="Arial" w:eastAsia="Arial" w:hAnsi="Arial"/>
          <w:sz w:val="13"/>
          <w:szCs w:val="13"/>
          <w:color w:val="auto"/>
        </w:rPr>
      </w:pPr>
      <w:r>
        <w:rPr>
          <w:rFonts w:ascii="Arial" w:cs="Arial" w:eastAsia="Arial" w:hAnsi="Arial"/>
          <w:sz w:val="13"/>
          <w:szCs w:val="13"/>
          <w:color w:val="auto"/>
        </w:rPr>
        <w:t>Upon cessation of Executive’s employment for any reason, unless otherwise consented to in writing by the Board,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08" w:lineRule="exact"/>
        <w:rPr>
          <w:rFonts w:ascii="Arial" w:cs="Arial" w:eastAsia="Arial" w:hAnsi="Arial"/>
          <w:sz w:val="13"/>
          <w:szCs w:val="13"/>
          <w:color w:val="auto"/>
        </w:rPr>
      </w:pPr>
    </w:p>
    <w:p>
      <w:pPr>
        <w:ind w:left="880" w:hanging="356"/>
        <w:spacing w:after="0"/>
        <w:tabs>
          <w:tab w:leader="none" w:pos="880" w:val="left"/>
        </w:tabs>
        <w:numPr>
          <w:ilvl w:val="1"/>
          <w:numId w:val="673"/>
        </w:numPr>
        <w:rPr>
          <w:rFonts w:ascii="Arial" w:cs="Arial" w:eastAsia="Arial" w:hAnsi="Arial"/>
          <w:sz w:val="14"/>
          <w:szCs w:val="14"/>
          <w:color w:val="auto"/>
        </w:rPr>
      </w:pPr>
      <w:r>
        <w:rPr>
          <w:rFonts w:ascii="Arial" w:cs="Arial" w:eastAsia="Arial" w:hAnsi="Arial"/>
          <w:sz w:val="14"/>
          <w:szCs w:val="14"/>
          <w:color w:val="auto"/>
        </w:rPr>
        <w:t xml:space="preserve">Upon any cessation of Executive’s employment with the Company, Executive will be entitled only to such compensation and benefits as described in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below.</w:t>
      </w:r>
    </w:p>
    <w:p>
      <w:pPr>
        <w:spacing w:after="0" w:line="184" w:lineRule="exact"/>
        <w:rPr>
          <w:rFonts w:ascii="Arial" w:cs="Arial" w:eastAsia="Arial" w:hAnsi="Arial"/>
          <w:sz w:val="14"/>
          <w:szCs w:val="14"/>
          <w:color w:val="auto"/>
        </w:rPr>
      </w:pPr>
    </w:p>
    <w:p>
      <w:pPr>
        <w:jc w:val="both"/>
        <w:ind w:firstLine="524"/>
        <w:spacing w:after="0" w:line="267" w:lineRule="auto"/>
        <w:tabs>
          <w:tab w:leader="none" w:pos="883" w:val="left"/>
        </w:tabs>
        <w:numPr>
          <w:ilvl w:val="1"/>
          <w:numId w:val="673"/>
        </w:numPr>
        <w:rPr>
          <w:rFonts w:ascii="Arial" w:cs="Arial" w:eastAsia="Arial" w:hAnsi="Arial"/>
          <w:sz w:val="14"/>
          <w:szCs w:val="14"/>
          <w:color w:val="auto"/>
        </w:rPr>
      </w:pPr>
      <w:r>
        <w:rPr>
          <w:rFonts w:ascii="Arial" w:cs="Arial" w:eastAsia="Arial" w:hAnsi="Arial"/>
          <w:sz w:val="14"/>
          <w:szCs w:val="14"/>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46"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73"/>
        </w:numPr>
        <w:rPr>
          <w:rFonts w:ascii="Arial" w:cs="Arial" w:eastAsia="Arial" w:hAnsi="Arial"/>
          <w:sz w:val="14"/>
          <w:szCs w:val="14"/>
          <w:color w:val="auto"/>
        </w:rPr>
      </w:pPr>
      <w:r>
        <w:rPr>
          <w:rFonts w:ascii="Arial" w:cs="Arial" w:eastAsia="Arial" w:hAnsi="Arial"/>
          <w:sz w:val="14"/>
          <w:szCs w:val="14"/>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pacing w:after="0" w:line="137" w:lineRule="exact"/>
        <w:rPr>
          <w:rFonts w:ascii="Arial" w:cs="Arial" w:eastAsia="Arial" w:hAnsi="Arial"/>
          <w:sz w:val="14"/>
          <w:szCs w:val="14"/>
          <w:color w:val="auto"/>
        </w:rPr>
      </w:pPr>
    </w:p>
    <w:p>
      <w:pPr>
        <w:jc w:val="both"/>
        <w:ind w:firstLine="524"/>
        <w:spacing w:after="0" w:line="306" w:lineRule="auto"/>
        <w:tabs>
          <w:tab w:leader="none" w:pos="930" w:val="left"/>
        </w:tabs>
        <w:numPr>
          <w:ilvl w:val="1"/>
          <w:numId w:val="673"/>
        </w:numPr>
        <w:rPr>
          <w:rFonts w:ascii="Arial" w:cs="Arial" w:eastAsia="Arial" w:hAnsi="Arial"/>
          <w:sz w:val="13"/>
          <w:szCs w:val="13"/>
          <w:color w:val="auto"/>
        </w:rPr>
      </w:pPr>
      <w:r>
        <w:rPr>
          <w:rFonts w:ascii="Arial" w:cs="Arial" w:eastAsia="Arial" w:hAnsi="Arial"/>
          <w:sz w:val="13"/>
          <w:szCs w:val="13"/>
          <w:color w:val="auto"/>
        </w:rPr>
        <w:t>Executive acknowledges that, pursuant to Section 4 of the Prior Agreement, he previously received a signing bonus in the gross amount of $100,000 (the “</w:t>
      </w:r>
      <w:r>
        <w:rPr>
          <w:rFonts w:ascii="Arial" w:cs="Arial" w:eastAsia="Arial" w:hAnsi="Arial"/>
          <w:sz w:val="13"/>
          <w:szCs w:val="13"/>
          <w:b w:val="1"/>
          <w:bCs w:val="1"/>
          <w:color w:val="auto"/>
        </w:rPr>
        <w:t>Signing Bonus</w:t>
      </w:r>
      <w:r>
        <w:rPr>
          <w:rFonts w:ascii="Arial" w:cs="Arial" w:eastAsia="Arial" w:hAnsi="Arial"/>
          <w:sz w:val="13"/>
          <w:szCs w:val="13"/>
          <w:color w:val="auto"/>
        </w:rPr>
        <w:t>”). Executive agrees that, upon a cessation of his employment due to a termination by the Company with Cause (as defined below) or resignation by Executive without Good Reason (as defined below), in either case, prior to February 17, 2022, Executive will repay the Signing Bonus to the Company within thirty (30) days of such date of termination as follows:</w:t>
      </w:r>
    </w:p>
    <w:p>
      <w:pPr>
        <w:spacing w:after="0" w:line="122" w:lineRule="exact"/>
        <w:rPr>
          <w:rFonts w:ascii="Arial" w:cs="Arial" w:eastAsia="Arial" w:hAnsi="Arial"/>
          <w:sz w:val="13"/>
          <w:szCs w:val="13"/>
          <w:color w:val="auto"/>
        </w:rPr>
      </w:pPr>
    </w:p>
    <w:p>
      <w:pPr>
        <w:ind w:left="1460" w:hanging="418"/>
        <w:spacing w:after="0"/>
        <w:tabs>
          <w:tab w:leader="none" w:pos="1460" w:val="left"/>
        </w:tabs>
        <w:numPr>
          <w:ilvl w:val="2"/>
          <w:numId w:val="673"/>
        </w:numPr>
        <w:rPr>
          <w:rFonts w:ascii="Arial" w:cs="Arial" w:eastAsia="Arial" w:hAnsi="Arial"/>
          <w:sz w:val="14"/>
          <w:szCs w:val="14"/>
          <w:color w:val="auto"/>
        </w:rPr>
      </w:pPr>
      <w:r>
        <w:rPr>
          <w:rFonts w:ascii="Arial" w:cs="Arial" w:eastAsia="Arial" w:hAnsi="Arial"/>
          <w:sz w:val="14"/>
          <w:szCs w:val="14"/>
          <w:color w:val="auto"/>
        </w:rPr>
        <w:t>if such cessation of employment is due to a termination by the Company for Cause, then Executive will repay the entire gross amount of the Signing Bonus; or</w:t>
      </w:r>
    </w:p>
    <w:p>
      <w:pPr>
        <w:spacing w:after="0" w:line="184" w:lineRule="exact"/>
        <w:rPr>
          <w:rFonts w:ascii="Arial" w:cs="Arial" w:eastAsia="Arial" w:hAnsi="Arial"/>
          <w:sz w:val="14"/>
          <w:szCs w:val="14"/>
          <w:color w:val="auto"/>
        </w:rPr>
      </w:pPr>
    </w:p>
    <w:p>
      <w:pPr>
        <w:jc w:val="both"/>
        <w:ind w:firstLine="1042"/>
        <w:spacing w:after="0" w:line="273" w:lineRule="auto"/>
        <w:tabs>
          <w:tab w:leader="none" w:pos="1496" w:val="left"/>
        </w:tabs>
        <w:numPr>
          <w:ilvl w:val="2"/>
          <w:numId w:val="673"/>
        </w:numPr>
        <w:rPr>
          <w:rFonts w:ascii="Arial" w:cs="Arial" w:eastAsia="Arial" w:hAnsi="Arial"/>
          <w:sz w:val="14"/>
          <w:szCs w:val="14"/>
          <w:color w:val="auto"/>
        </w:rPr>
      </w:pPr>
      <w:r>
        <w:rPr>
          <w:rFonts w:ascii="Arial" w:cs="Arial" w:eastAsia="Arial" w:hAnsi="Arial"/>
          <w:sz w:val="14"/>
          <w:szCs w:val="14"/>
          <w:color w:val="auto"/>
        </w:rPr>
        <w:t>if such cessation of employment is due to a resignation by Executive without Good Reason, then Executive will repay a pro rata portion of the gross amount of the Signing Bonus calculated by multiplying (A) the quotient obtained by dividing (1) the number of days between Executive’s date of termination and February 17, 2022, by (2) 730, and (B) the Signing Bonus.</w:t>
      </w:r>
    </w:p>
    <w:p>
      <w:pPr>
        <w:spacing w:after="0" w:line="309" w:lineRule="exact"/>
        <w:rPr>
          <w:rFonts w:ascii="Arial" w:cs="Arial" w:eastAsia="Arial" w:hAnsi="Arial"/>
          <w:sz w:val="14"/>
          <w:szCs w:val="14"/>
          <w:color w:val="auto"/>
        </w:rPr>
      </w:pPr>
    </w:p>
    <w:p>
      <w:pPr>
        <w:ind w:left="340" w:hanging="334"/>
        <w:spacing w:after="0"/>
        <w:tabs>
          <w:tab w:leader="none" w:pos="340" w:val="left"/>
        </w:tabs>
        <w:numPr>
          <w:ilvl w:val="0"/>
          <w:numId w:val="674"/>
        </w:numPr>
        <w:rPr>
          <w:rFonts w:ascii="Arial" w:cs="Arial" w:eastAsia="Arial" w:hAnsi="Arial"/>
          <w:sz w:val="14"/>
          <w:szCs w:val="14"/>
          <w:color w:val="auto"/>
        </w:rPr>
      </w:pPr>
      <w:r>
        <w:rPr>
          <w:rFonts w:ascii="Arial" w:cs="Arial" w:eastAsia="Arial" w:hAnsi="Arial"/>
          <w:sz w:val="14"/>
          <w:szCs w:val="14"/>
          <w:b w:val="1"/>
          <w:bCs w:val="1"/>
          <w:u w:val="single" w:color="auto"/>
          <w:color w:val="auto"/>
        </w:rPr>
        <w:t>Rights Upon Termination</w:t>
      </w: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firstLine="524"/>
        <w:spacing w:after="0" w:line="294" w:lineRule="auto"/>
        <w:tabs>
          <w:tab w:leader="none" w:pos="922" w:val="left"/>
        </w:tabs>
        <w:numPr>
          <w:ilvl w:val="1"/>
          <w:numId w:val="674"/>
        </w:numPr>
        <w:rPr>
          <w:rFonts w:ascii="Arial" w:cs="Arial" w:eastAsia="Arial" w:hAnsi="Arial"/>
          <w:sz w:val="14"/>
          <w:szCs w:val="14"/>
          <w:color w:val="auto"/>
        </w:rPr>
      </w:pPr>
      <w:r>
        <w:rPr>
          <w:rFonts w:ascii="Arial" w:cs="Arial" w:eastAsia="Arial" w:hAnsi="Arial"/>
          <w:sz w:val="14"/>
          <w:szCs w:val="14"/>
          <w:b w:val="1"/>
          <w:bCs w:val="1"/>
          <w:u w:val="single" w:color="auto"/>
          <w:color w:val="auto"/>
        </w:rPr>
        <w:t>Termination without Cause or Resignation for Good Reason</w:t>
      </w:r>
      <w:r>
        <w:rPr>
          <w:rFonts w:ascii="Arial" w:cs="Arial" w:eastAsia="Arial" w:hAnsi="Arial"/>
          <w:sz w:val="14"/>
          <w:szCs w:val="14"/>
          <w:color w:val="auto"/>
        </w:rPr>
        <w:t>. If Executive’s employment by the Company ceases due to a termination by the Company without Cause or a</w:t>
      </w:r>
      <w:r>
        <w:rPr>
          <w:rFonts w:ascii="Arial" w:cs="Arial" w:eastAsia="Arial" w:hAnsi="Arial"/>
          <w:sz w:val="14"/>
          <w:szCs w:val="14"/>
          <w:b w:val="1"/>
          <w:bCs w:val="1"/>
          <w:color w:val="auto"/>
        </w:rPr>
        <w:t xml:space="preserve"> </w:t>
      </w:r>
      <w:r>
        <w:rPr>
          <w:rFonts w:ascii="Arial" w:cs="Arial" w:eastAsia="Arial" w:hAnsi="Arial"/>
          <w:sz w:val="14"/>
          <w:szCs w:val="14"/>
          <w:color w:val="auto"/>
        </w:rPr>
        <w:t>resignation by Executive for Good Reason:</w:t>
      </w:r>
    </w:p>
    <w:p>
      <w:pPr>
        <w:spacing w:after="0" w:line="127" w:lineRule="exact"/>
        <w:rPr>
          <w:rFonts w:ascii="Arial" w:cs="Arial" w:eastAsia="Arial" w:hAnsi="Arial"/>
          <w:sz w:val="14"/>
          <w:szCs w:val="14"/>
          <w:color w:val="auto"/>
        </w:rPr>
      </w:pPr>
    </w:p>
    <w:p>
      <w:pPr>
        <w:ind w:firstLine="1042"/>
        <w:spacing w:after="0" w:line="288" w:lineRule="auto"/>
        <w:tabs>
          <w:tab w:leader="none" w:pos="1405" w:val="left"/>
        </w:tabs>
        <w:numPr>
          <w:ilvl w:val="2"/>
          <w:numId w:val="674"/>
        </w:numPr>
        <w:rPr>
          <w:rFonts w:ascii="Arial" w:cs="Arial" w:eastAsia="Arial" w:hAnsi="Arial"/>
          <w:sz w:val="14"/>
          <w:szCs w:val="14"/>
          <w:color w:val="auto"/>
        </w:rPr>
      </w:pPr>
      <w:r>
        <w:rPr>
          <w:rFonts w:ascii="Arial" w:cs="Arial" w:eastAsia="Arial" w:hAnsi="Arial"/>
          <w:sz w:val="14"/>
          <w:szCs w:val="14"/>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131" w:lineRule="exact"/>
        <w:rPr>
          <w:rFonts w:ascii="Arial" w:cs="Arial" w:eastAsia="Arial" w:hAnsi="Arial"/>
          <w:sz w:val="14"/>
          <w:szCs w:val="14"/>
          <w:color w:val="auto"/>
        </w:rPr>
      </w:pPr>
    </w:p>
    <w:p>
      <w:pPr>
        <w:ind w:firstLine="1042"/>
        <w:spacing w:after="0" w:line="288" w:lineRule="auto"/>
        <w:tabs>
          <w:tab w:leader="none" w:pos="1427" w:val="left"/>
        </w:tabs>
        <w:numPr>
          <w:ilvl w:val="2"/>
          <w:numId w:val="674"/>
        </w:numPr>
        <w:rPr>
          <w:rFonts w:ascii="Arial" w:cs="Arial" w:eastAsia="Arial" w:hAnsi="Arial"/>
          <w:sz w:val="14"/>
          <w:szCs w:val="14"/>
          <w:color w:val="auto"/>
        </w:rPr>
      </w:pPr>
      <w:r>
        <w:rPr>
          <w:rFonts w:ascii="Arial" w:cs="Arial" w:eastAsia="Arial" w:hAnsi="Arial"/>
          <w:sz w:val="14"/>
          <w:szCs w:val="14"/>
          <w:color w:val="auto"/>
        </w:rPr>
        <w:t>to the extent then unpaid, the Company shall pay to Executive the annual bonus (if any) earned with respect to the fiscal year ended immediately prior to the cessation of Executive’s employment;</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449" w:val="left"/>
        </w:tabs>
        <w:numPr>
          <w:ilvl w:val="2"/>
          <w:numId w:val="674"/>
        </w:numPr>
        <w:rPr>
          <w:rFonts w:ascii="Arial" w:cs="Arial" w:eastAsia="Arial" w:hAnsi="Arial"/>
          <w:sz w:val="14"/>
          <w:szCs w:val="14"/>
          <w:color w:val="auto"/>
        </w:rPr>
      </w:pPr>
      <w:r>
        <w:rPr>
          <w:rFonts w:ascii="Arial" w:cs="Arial" w:eastAsia="Arial" w:hAnsi="Arial"/>
          <w:sz w:val="14"/>
          <w:szCs w:val="14"/>
          <w:color w:val="auto"/>
        </w:rPr>
        <w:t>the Company shall make monthly severance payments equal to one-twelfth of Executive’s Base Salary as in effect immediately prior to such cessation of employment (or, if such cessation is due to the Good Reason described in clause (ii) of that definition, the Base Salary in effect immediately prior to such material diminution) for a period equal to the Severance Period;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59" w:name="page860"/>
    <w:bookmarkEnd w:id="859"/>
    <w:p>
      <w:pPr>
        <w:jc w:val="both"/>
        <w:ind w:firstLine="1042"/>
        <w:spacing w:after="0" w:line="303" w:lineRule="auto"/>
        <w:tabs>
          <w:tab w:leader="none" w:pos="1427" w:val="left"/>
        </w:tabs>
        <w:numPr>
          <w:ilvl w:val="0"/>
          <w:numId w:val="675"/>
        </w:numPr>
        <w:rPr>
          <w:rFonts w:ascii="Arial" w:cs="Arial" w:eastAsia="Arial" w:hAnsi="Arial"/>
          <w:sz w:val="13"/>
          <w:szCs w:val="13"/>
          <w:color w:val="auto"/>
        </w:rPr>
      </w:pPr>
      <w:r>
        <w:rPr>
          <w:rFonts w:ascii="Arial" w:cs="Arial" w:eastAsia="Arial" w:hAnsi="Arial"/>
          <w:sz w:val="13"/>
          <w:szCs w:val="13"/>
          <w:color w:val="auto"/>
        </w:rPr>
        <w:t>if Executive validly elects to receive continuation coverage under the Company’s group health plan (if any) pursuant to the Consolidated Omnibus Budget Reconciliation Act of 1985 (“</w:t>
      </w:r>
      <w:r>
        <w:rPr>
          <w:rFonts w:ascii="Arial" w:cs="Arial" w:eastAsia="Arial" w:hAnsi="Arial"/>
          <w:sz w:val="13"/>
          <w:szCs w:val="13"/>
          <w:b w:val="1"/>
          <w:bCs w:val="1"/>
          <w:color w:val="auto"/>
        </w:rPr>
        <w:t>COBRA</w:t>
      </w:r>
      <w:r>
        <w:rPr>
          <w:rFonts w:ascii="Arial" w:cs="Arial" w:eastAsia="Arial" w:hAnsi="Arial"/>
          <w:sz w:val="13"/>
          <w:szCs w:val="13"/>
          <w:color w:val="auto"/>
        </w:rPr>
        <w:t>”), the Company shall reimburse Executive the applicable premium otherwise payable for COBRA continuation coverage for himself and his eligible dependents for the Severance Period, to the extent such premium exceeds the monthly amount charged to active similarly-situated employees of the Company for the same coverage; and</w:t>
      </w:r>
    </w:p>
    <w:p>
      <w:pPr>
        <w:spacing w:after="0" w:line="124" w:lineRule="exact"/>
        <w:rPr>
          <w:rFonts w:ascii="Arial" w:cs="Arial" w:eastAsia="Arial" w:hAnsi="Arial"/>
          <w:sz w:val="13"/>
          <w:szCs w:val="13"/>
          <w:color w:val="auto"/>
        </w:rPr>
      </w:pPr>
    </w:p>
    <w:p>
      <w:pPr>
        <w:jc w:val="both"/>
        <w:ind w:firstLine="1042"/>
        <w:spacing w:after="0" w:line="273" w:lineRule="auto"/>
        <w:tabs>
          <w:tab w:leader="none" w:pos="1401" w:val="left"/>
        </w:tabs>
        <w:numPr>
          <w:ilvl w:val="0"/>
          <w:numId w:val="675"/>
        </w:numPr>
        <w:rPr>
          <w:rFonts w:ascii="Arial" w:cs="Arial" w:eastAsia="Arial" w:hAnsi="Arial"/>
          <w:sz w:val="14"/>
          <w:szCs w:val="14"/>
          <w:color w:val="auto"/>
        </w:rPr>
      </w:pPr>
      <w:r>
        <w:rPr>
          <w:rFonts w:ascii="Arial" w:cs="Arial" w:eastAsia="Arial" w:hAnsi="Arial"/>
          <w:sz w:val="14"/>
          <w:szCs w:val="14"/>
          <w:color w:val="auto"/>
        </w:rPr>
        <w:t>to the extent such cessation of employment occurs within three (3) months prior to or twelve (12) months following a Change in Control (as defined below), (x) the Company shall pay to Executive an amount equal to the Target Bonus, and (y) all outstanding equity awards that are subject to vesting solely based on the passage of time and Executive’s continued employment shall become vested upon the later of the date of Executive’s cessation of employment and the Change in Control.</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Except as otherwise provided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are in lieu of, and not in addition to, any other severance arrangement maintained by the Company. Notwithstanding any provision of this Agreement, the payments and benefits described in </w:t>
      </w:r>
      <w:r>
        <w:rPr>
          <w:rFonts w:ascii="Arial" w:cs="Arial" w:eastAsia="Arial" w:hAnsi="Arial"/>
          <w:sz w:val="13"/>
          <w:szCs w:val="13"/>
          <w:u w:val="single" w:color="auto"/>
          <w:color w:val="auto"/>
        </w:rPr>
        <w:t>Section 9(a)(ii) - 9(a)(v)</w:t>
      </w:r>
      <w:r>
        <w:rPr>
          <w:rFonts w:ascii="Arial" w:cs="Arial" w:eastAsia="Arial" w:hAnsi="Arial"/>
          <w:sz w:val="13"/>
          <w:szCs w:val="13"/>
          <w:color w:val="auto"/>
        </w:rPr>
        <w:t xml:space="preserve"> are conditioned on Executive’s execution and delivery to the</w:t>
      </w:r>
    </w:p>
    <w:p>
      <w:pPr>
        <w:jc w:val="both"/>
        <w:spacing w:after="0" w:line="236" w:lineRule="auto"/>
        <w:rPr>
          <w:sz w:val="20"/>
          <w:szCs w:val="20"/>
          <w:color w:val="auto"/>
        </w:rPr>
      </w:pPr>
      <w:r>
        <w:rPr>
          <w:rFonts w:ascii="Arial" w:cs="Arial" w:eastAsia="Arial" w:hAnsi="Arial"/>
          <w:sz w:val="14"/>
          <w:szCs w:val="14"/>
          <w:color w:val="auto"/>
        </w:rPr>
        <w:t>Company and the expiration of all applicable statutory revocation periods, by the 60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day following the effective date of Executive’s cessation of employment, of a general release of claims against the Company and its affiliates (which shall have customary exclusions relating to Executive’s equity in the Company, any claims that Executive may have relating to accrued vested benefits under the Company’s benefit plans, subject to the terms and conditions of such plans, and any claims for indemnification in Executive’s role as an officer and director of the Company) in a form and manner satisfactory to the Company (the “</w:t>
      </w:r>
      <w:r>
        <w:rPr>
          <w:rFonts w:ascii="Arial" w:cs="Arial" w:eastAsia="Arial" w:hAnsi="Arial"/>
          <w:sz w:val="14"/>
          <w:szCs w:val="14"/>
          <w:b w:val="1"/>
          <w:bCs w:val="1"/>
          <w:color w:val="auto"/>
        </w:rPr>
        <w:t>Release</w:t>
      </w:r>
      <w:r>
        <w:rPr>
          <w:rFonts w:ascii="Arial" w:cs="Arial" w:eastAsia="Arial" w:hAnsi="Arial"/>
          <w:sz w:val="14"/>
          <w:szCs w:val="14"/>
          <w:color w:val="auto"/>
        </w:rPr>
        <w:t>”) and on Executive’s continued compliance with the provisions of the Proprietary Information and Assignment Agreement (defined below).</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below (to the extent applicable) and provided the Release requirement described above has been timely satisfied: (x) the payment described in </w:t>
      </w:r>
      <w:r>
        <w:rPr>
          <w:rFonts w:ascii="Arial" w:cs="Arial" w:eastAsia="Arial" w:hAnsi="Arial"/>
          <w:sz w:val="13"/>
          <w:szCs w:val="13"/>
          <w:u w:val="single" w:color="auto"/>
          <w:color w:val="auto"/>
        </w:rPr>
        <w:t>Section 9(a)(ii)</w:t>
      </w:r>
      <w:r>
        <w:rPr>
          <w:rFonts w:ascii="Arial" w:cs="Arial" w:eastAsia="Arial" w:hAnsi="Arial"/>
          <w:sz w:val="13"/>
          <w:szCs w:val="13"/>
          <w:color w:val="auto"/>
        </w:rPr>
        <w:t xml:space="preserve"> will be paid on the later of the sixty-fifth (65</w:t>
      </w:r>
      <w:r>
        <w:rPr>
          <w:rFonts w:ascii="Arial" w:cs="Arial" w:eastAsia="Arial" w:hAnsi="Arial"/>
          <w:sz w:val="21"/>
          <w:szCs w:val="21"/>
          <w:color w:val="auto"/>
          <w:vertAlign w:val="superscript"/>
        </w:rPr>
        <w:t>th</w:t>
      </w:r>
      <w:r>
        <w:rPr>
          <w:rFonts w:ascii="Arial" w:cs="Arial" w:eastAsia="Arial" w:hAnsi="Arial"/>
          <w:sz w:val="13"/>
          <w:szCs w:val="13"/>
          <w:color w:val="auto"/>
        </w:rPr>
        <w:t>) day following Executive’s cessation of employment (the “</w:t>
      </w:r>
      <w:r>
        <w:rPr>
          <w:rFonts w:ascii="Arial" w:cs="Arial" w:eastAsia="Arial" w:hAnsi="Arial"/>
          <w:sz w:val="13"/>
          <w:szCs w:val="13"/>
          <w:b w:val="1"/>
          <w:bCs w:val="1"/>
          <w:color w:val="auto"/>
        </w:rPr>
        <w:t>Settlement Date</w:t>
      </w:r>
      <w:r>
        <w:rPr>
          <w:rFonts w:ascii="Arial" w:cs="Arial" w:eastAsia="Arial" w:hAnsi="Arial"/>
          <w:sz w:val="13"/>
          <w:szCs w:val="13"/>
          <w:color w:val="auto"/>
        </w:rPr>
        <w:t xml:space="preserve">”), or the date such annual bonus would have otherwise been paid, absent Executive’s cessation of employment; (y) the payments described in </w:t>
      </w:r>
      <w:r>
        <w:rPr>
          <w:rFonts w:ascii="Arial" w:cs="Arial" w:eastAsia="Arial" w:hAnsi="Arial"/>
          <w:sz w:val="13"/>
          <w:szCs w:val="13"/>
          <w:u w:val="single" w:color="auto"/>
          <w:color w:val="auto"/>
        </w:rPr>
        <w:t>Section 9(a)(iii) and 9(a)(iv)</w:t>
      </w:r>
      <w:r>
        <w:rPr>
          <w:rFonts w:ascii="Arial" w:cs="Arial" w:eastAsia="Arial" w:hAnsi="Arial"/>
          <w:sz w:val="13"/>
          <w:szCs w:val="13"/>
          <w:color w:val="auto"/>
        </w:rPr>
        <w:t xml:space="preserve"> will commence to be paid on the Settlement Date, provided that the initial payment will include any payments that, but for the above-described timing rule, would have otherwise been paid since the date of Executive’s cessation of employment; and (z) the payment of an amount equal to the Target Bonus described in </w:t>
      </w:r>
      <w:r>
        <w:rPr>
          <w:rFonts w:ascii="Arial" w:cs="Arial" w:eastAsia="Arial" w:hAnsi="Arial"/>
          <w:sz w:val="13"/>
          <w:szCs w:val="13"/>
          <w:u w:val="single" w:color="auto"/>
          <w:color w:val="auto"/>
        </w:rPr>
        <w:t>Section 9(a)(v)</w:t>
      </w:r>
      <w:r>
        <w:rPr>
          <w:rFonts w:ascii="Arial" w:cs="Arial" w:eastAsia="Arial" w:hAnsi="Arial"/>
          <w:sz w:val="13"/>
          <w:szCs w:val="13"/>
          <w:color w:val="auto"/>
        </w:rPr>
        <w:t xml:space="preserve"> will be paid on the later of the Settlement Date or the tenth (10</w:t>
      </w:r>
      <w:r>
        <w:rPr>
          <w:rFonts w:ascii="Arial" w:cs="Arial" w:eastAsia="Arial" w:hAnsi="Arial"/>
          <w:sz w:val="21"/>
          <w:szCs w:val="21"/>
          <w:color w:val="auto"/>
          <w:vertAlign w:val="superscript"/>
        </w:rPr>
        <w:t>th</w:t>
      </w:r>
      <w:r>
        <w:rPr>
          <w:rFonts w:ascii="Arial" w:cs="Arial" w:eastAsia="Arial" w:hAnsi="Arial"/>
          <w:sz w:val="13"/>
          <w:szCs w:val="13"/>
          <w:color w:val="auto"/>
        </w:rPr>
        <w:t>) day following the Change in Control.</w:t>
      </w:r>
    </w:p>
    <w:p>
      <w:pPr>
        <w:spacing w:after="0" w:line="41" w:lineRule="exact"/>
        <w:rPr>
          <w:sz w:val="20"/>
          <w:szCs w:val="20"/>
          <w:color w:val="auto"/>
        </w:rPr>
      </w:pPr>
    </w:p>
    <w:p>
      <w:pPr>
        <w:ind w:firstLine="524"/>
        <w:spacing w:after="0" w:line="336" w:lineRule="auto"/>
        <w:tabs>
          <w:tab w:leader="none" w:pos="901" w:val="left"/>
        </w:tabs>
        <w:numPr>
          <w:ilvl w:val="0"/>
          <w:numId w:val="676"/>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Terminations</w:t>
      </w:r>
      <w:r>
        <w:rPr>
          <w:rFonts w:ascii="Arial" w:cs="Arial" w:eastAsia="Arial" w:hAnsi="Arial"/>
          <w:sz w:val="13"/>
          <w:szCs w:val="13"/>
          <w:color w:val="auto"/>
        </w:rPr>
        <w:t>. If Executive’s employment with the Company ceases for any reason other than as described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9(a)</w:t>
      </w:r>
      <w:r>
        <w:rPr>
          <w:rFonts w:ascii="Arial" w:cs="Arial" w:eastAsia="Arial" w:hAnsi="Arial"/>
          <w:sz w:val="13"/>
          <w:szCs w:val="13"/>
          <w:b w:val="1"/>
          <w:bCs w:val="1"/>
          <w:color w:val="auto"/>
        </w:rPr>
        <w:t xml:space="preserve"> </w:t>
      </w:r>
      <w:r>
        <w:rPr>
          <w:rFonts w:ascii="Arial" w:cs="Arial" w:eastAsia="Arial" w:hAnsi="Arial"/>
          <w:sz w:val="13"/>
          <w:szCs w:val="13"/>
          <w:color w:val="auto"/>
        </w:rPr>
        <w:t>above (including but not limited to (i)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for Cause, (ii) resignation by Executive without Good Reason, (iii) termination as a result of Executive’s Disability, or (iv) Executive’s death), then the Company’s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60" w:name="page861"/>
    <w:bookmarkEnd w:id="860"/>
    <w:p>
      <w:pPr>
        <w:jc w:val="both"/>
        <w:spacing w:after="0" w:line="267" w:lineRule="auto"/>
        <w:rPr>
          <w:sz w:val="20"/>
          <w:szCs w:val="20"/>
          <w:color w:val="auto"/>
        </w:rPr>
      </w:pPr>
      <w:r>
        <w:rPr>
          <w:rFonts w:ascii="Arial" w:cs="Arial" w:eastAsia="Arial" w:hAnsi="Arial"/>
          <w:sz w:val="14"/>
          <w:szCs w:val="14"/>
          <w:color w:val="auto"/>
        </w:rPr>
        <w:t>obligation to Executive will be limited solely to the payment of accrued and unpaid Base Salary through the date of such cessation of employment. All compensation and benefits will cease at the time of such cessation of employment and, except as otherwise provided by COBRA, the Company will have no further liability or obligation by reason of such termination. The foregoing will not be construed to limit Executive’s right to payment or reimbursement for claims incurred prior to the date of such termination under any insurance contract funding an employee benefit plan, policy or arrangement of the Company in accordance with the terms of such insurance contract.</w:t>
      </w:r>
    </w:p>
    <w:p>
      <w:pPr>
        <w:spacing w:after="0" w:line="143" w:lineRule="exact"/>
        <w:rPr>
          <w:sz w:val="20"/>
          <w:szCs w:val="20"/>
          <w:color w:val="auto"/>
        </w:rPr>
      </w:pPr>
    </w:p>
    <w:p>
      <w:pPr>
        <w:ind w:left="400" w:hanging="394"/>
        <w:spacing w:after="0"/>
        <w:tabs>
          <w:tab w:leader="none" w:pos="400" w:val="left"/>
        </w:tabs>
        <w:numPr>
          <w:ilvl w:val="0"/>
          <w:numId w:val="677"/>
        </w:numPr>
        <w:rPr>
          <w:rFonts w:ascii="Arial" w:cs="Arial" w:eastAsia="Arial" w:hAnsi="Arial"/>
          <w:sz w:val="14"/>
          <w:szCs w:val="14"/>
          <w:color w:val="auto"/>
        </w:rPr>
      </w:pPr>
      <w:r>
        <w:rPr>
          <w:rFonts w:ascii="Arial" w:cs="Arial" w:eastAsia="Arial" w:hAnsi="Arial"/>
          <w:sz w:val="14"/>
          <w:szCs w:val="14"/>
          <w:b w:val="1"/>
          <w:bCs w:val="1"/>
          <w:u w:val="single" w:color="auto"/>
          <w:color w:val="auto"/>
        </w:rPr>
        <w:t>Section 409A</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firstLine="524"/>
        <w:spacing w:after="0" w:line="288" w:lineRule="auto"/>
        <w:tabs>
          <w:tab w:leader="none" w:pos="915" w:val="left"/>
        </w:tabs>
        <w:numPr>
          <w:ilvl w:val="1"/>
          <w:numId w:val="677"/>
        </w:numPr>
        <w:rPr>
          <w:rFonts w:ascii="Arial" w:cs="Arial" w:eastAsia="Arial" w:hAnsi="Arial"/>
          <w:sz w:val="14"/>
          <w:szCs w:val="14"/>
          <w:color w:val="auto"/>
        </w:rPr>
      </w:pPr>
      <w:r>
        <w:rPr>
          <w:rFonts w:ascii="Arial" w:cs="Arial" w:eastAsia="Arial" w:hAnsi="Arial"/>
          <w:sz w:val="14"/>
          <w:szCs w:val="14"/>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31" w:lineRule="exact"/>
        <w:rPr>
          <w:rFonts w:ascii="Arial" w:cs="Arial" w:eastAsia="Arial" w:hAnsi="Arial"/>
          <w:sz w:val="14"/>
          <w:szCs w:val="14"/>
          <w:color w:val="auto"/>
        </w:rPr>
      </w:pPr>
    </w:p>
    <w:p>
      <w:pPr>
        <w:jc w:val="both"/>
        <w:ind w:firstLine="524"/>
        <w:spacing w:after="0" w:line="285" w:lineRule="auto"/>
        <w:tabs>
          <w:tab w:leader="none" w:pos="883" w:val="left"/>
        </w:tabs>
        <w:numPr>
          <w:ilvl w:val="1"/>
          <w:numId w:val="677"/>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 portion of the benefits or payments to be made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38" w:lineRule="exact"/>
        <w:rPr>
          <w:rFonts w:ascii="Arial" w:cs="Arial" w:eastAsia="Arial" w:hAnsi="Arial"/>
          <w:sz w:val="13"/>
          <w:szCs w:val="13"/>
          <w:color w:val="auto"/>
        </w:rPr>
      </w:pPr>
    </w:p>
    <w:p>
      <w:pPr>
        <w:jc w:val="both"/>
        <w:ind w:firstLine="524"/>
        <w:spacing w:after="0" w:line="290" w:lineRule="auto"/>
        <w:tabs>
          <w:tab w:leader="none" w:pos="875" w:val="left"/>
        </w:tabs>
        <w:numPr>
          <w:ilvl w:val="1"/>
          <w:numId w:val="677"/>
        </w:numPr>
        <w:rPr>
          <w:rFonts w:ascii="Arial" w:cs="Arial" w:eastAsia="Arial" w:hAnsi="Arial"/>
          <w:sz w:val="13"/>
          <w:szCs w:val="13"/>
          <w:color w:val="auto"/>
        </w:rPr>
      </w:pPr>
      <w:r>
        <w:rPr>
          <w:rFonts w:ascii="Arial" w:cs="Arial" w:eastAsia="Arial" w:hAnsi="Arial"/>
          <w:sz w:val="13"/>
          <w:szCs w:val="13"/>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28" w:lineRule="exact"/>
        <w:rPr>
          <w:rFonts w:ascii="Arial" w:cs="Arial" w:eastAsia="Arial" w:hAnsi="Arial"/>
          <w:sz w:val="13"/>
          <w:szCs w:val="13"/>
          <w:color w:val="auto"/>
        </w:rPr>
      </w:pPr>
    </w:p>
    <w:p>
      <w:pPr>
        <w:ind w:firstLine="6"/>
        <w:spacing w:after="0" w:line="336" w:lineRule="auto"/>
        <w:tabs>
          <w:tab w:leader="none" w:pos="372" w:val="left"/>
        </w:tabs>
        <w:numPr>
          <w:ilvl w:val="0"/>
          <w:numId w:val="677"/>
        </w:numPr>
        <w:rPr>
          <w:rFonts w:ascii="Arial" w:cs="Arial" w:eastAsia="Arial" w:hAnsi="Arial"/>
          <w:sz w:val="13"/>
          <w:szCs w:val="13"/>
          <w:color w:val="auto"/>
        </w:rPr>
      </w:pPr>
      <w:r>
        <w:rPr>
          <w:rFonts w:ascii="Arial" w:cs="Arial" w:eastAsia="Arial" w:hAnsi="Arial"/>
          <w:sz w:val="13"/>
          <w:szCs w:val="13"/>
          <w:b w:val="1"/>
          <w:bCs w:val="1"/>
          <w:u w:val="single" w:color="auto"/>
          <w:color w:val="auto"/>
        </w:rPr>
        <w:t>Section 280G</w:t>
      </w:r>
      <w:r>
        <w:rPr>
          <w:rFonts w:ascii="Arial" w:cs="Arial" w:eastAsia="Arial" w:hAnsi="Arial"/>
          <w:sz w:val="13"/>
          <w:szCs w:val="13"/>
          <w:color w:val="auto"/>
        </w:rPr>
        <w:t>. Notwithstanding any contrary provision of this Agreement (or any plan, policy, agreement or other arrangement covering Executive), if any payment, right or benefit paid,</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or due to Executive, whether pursuant to this Agreement or otherwise (each, a “Payment,” and collectively, the “Total Payments”), would subject Executive to the excise tax</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61" w:name="page862"/>
    <w:bookmarkEnd w:id="861"/>
    <w:p>
      <w:pPr>
        <w:jc w:val="both"/>
        <w:spacing w:after="0" w:line="287" w:lineRule="auto"/>
        <w:rPr>
          <w:sz w:val="20"/>
          <w:szCs w:val="20"/>
          <w:color w:val="auto"/>
        </w:rPr>
      </w:pPr>
      <w:r>
        <w:rPr>
          <w:rFonts w:ascii="Arial" w:cs="Arial" w:eastAsia="Arial" w:hAnsi="Arial"/>
          <w:sz w:val="13"/>
          <w:szCs w:val="13"/>
          <w:color w:val="auto"/>
        </w:rPr>
        <w:t>imposed by Section 4999 of the Code (the “Excise Tax”),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on an after-tax basis). Any reduction of the Total Payments required by this paragraph will be implemented by determining the Parachute Ratio (as defined below)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“Parachute Ratio” means a fraction, (x) the numerator of which is the value of the applicable Payment, as calculated for purposes of Section 280G of the Code, and (y) the denominator of which is the economic value of the applicable Payment.</w:t>
      </w:r>
    </w:p>
    <w:p>
      <w:pPr>
        <w:spacing w:after="0" w:line="132" w:lineRule="exact"/>
        <w:rPr>
          <w:sz w:val="20"/>
          <w:szCs w:val="20"/>
          <w:color w:val="auto"/>
        </w:rPr>
      </w:pPr>
    </w:p>
    <w:p>
      <w:pPr>
        <w:ind w:left="380" w:hanging="374"/>
        <w:spacing w:after="0"/>
        <w:tabs>
          <w:tab w:leader="none" w:pos="380" w:val="left"/>
        </w:tabs>
        <w:numPr>
          <w:ilvl w:val="0"/>
          <w:numId w:val="678"/>
        </w:numPr>
        <w:rPr>
          <w:rFonts w:ascii="Arial" w:cs="Arial" w:eastAsia="Arial" w:hAnsi="Arial"/>
          <w:sz w:val="14"/>
          <w:szCs w:val="14"/>
          <w:color w:val="auto"/>
        </w:rPr>
      </w:pPr>
      <w:r>
        <w:rPr>
          <w:rFonts w:ascii="Arial" w:cs="Arial" w:eastAsia="Arial" w:hAnsi="Arial"/>
          <w:sz w:val="14"/>
          <w:szCs w:val="14"/>
          <w:b w:val="1"/>
          <w:bCs w:val="1"/>
          <w:u w:val="single" w:color="auto"/>
          <w:color w:val="auto"/>
        </w:rPr>
        <w:t>Certain Definitions</w:t>
      </w:r>
      <w:r>
        <w:rPr>
          <w:rFonts w:ascii="Arial" w:cs="Arial" w:eastAsia="Arial" w:hAnsi="Arial"/>
          <w:sz w:val="14"/>
          <w:szCs w:val="14"/>
          <w:color w:val="auto"/>
        </w:rPr>
        <w:t>. For purposes of this Agreement:</w:t>
      </w:r>
    </w:p>
    <w:p>
      <w:pPr>
        <w:spacing w:after="0" w:line="184" w:lineRule="exact"/>
        <w:rPr>
          <w:rFonts w:ascii="Arial" w:cs="Arial" w:eastAsia="Arial" w:hAnsi="Arial"/>
          <w:sz w:val="14"/>
          <w:szCs w:val="14"/>
          <w:color w:val="auto"/>
        </w:rPr>
      </w:pPr>
    </w:p>
    <w:p>
      <w:pPr>
        <w:jc w:val="both"/>
        <w:ind w:firstLine="524"/>
        <w:spacing w:after="0" w:line="260" w:lineRule="auto"/>
        <w:tabs>
          <w:tab w:leader="none" w:pos="875" w:val="left"/>
        </w:tabs>
        <w:numPr>
          <w:ilvl w:val="1"/>
          <w:numId w:val="67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Cause</w:t>
      </w:r>
      <w:r>
        <w:rPr>
          <w:rFonts w:ascii="Arial" w:cs="Arial" w:eastAsia="Arial" w:hAnsi="Arial"/>
          <w:sz w:val="14"/>
          <w:szCs w:val="14"/>
          <w:color w:val="auto"/>
        </w:rPr>
        <w:t xml:space="preserve">” means (i) conduct by Executive constituting a material act of misconduct in connection with the performance of Executive’s duties, including, without limitation, a material misappropriation of funds or property of the Company or any of its subsidiaries or affiliates; (ii) the commission by Executive of any felony or a misdemeanor involving moral turpitude, deceit, dishonesty or fraud, or any conduct by Executive that would reasonably be expected to result in material injury or reputational harm to the Company or any of its subsidiaries and affiliates; (iii) continued material non-performance by Executive of his duties hereunder (other than by reason of Executive’s physical or mental illness, incapacity or disability) which has continued for more than 10 days following written notice of such non-performance from the Board; (iv) a material breach by Executive of the Proprietary Information and Assignment Agreement (defined below), any other agreement with the Company or its affiliates, or of any duty owed to the Company or its affiliates, which breach is not cured (if curable) within 10 days after the delivery of written notice thereof; (v) a material violation by Executive of the Company’s written employment policies, including policies prohibiting sexual harassment, which violation is not cured (if curable) within 10 days after the delivery of written notice thereof; (vi) alcohol abuse or use of controlled substances (other than prescription drugs taken in accordance with a physician’s prescription); or (vii) failure to cooperate with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For avoidance of doubt, a termination of Executive’s employment due to his Disability will not constitute a termination without Cause.</w:t>
      </w:r>
    </w:p>
    <w:p>
      <w:pPr>
        <w:spacing w:after="0" w:line="151" w:lineRule="exact"/>
        <w:rPr>
          <w:rFonts w:ascii="Arial" w:cs="Arial" w:eastAsia="Arial" w:hAnsi="Arial"/>
          <w:sz w:val="14"/>
          <w:szCs w:val="14"/>
          <w:color w:val="auto"/>
        </w:rPr>
      </w:pPr>
    </w:p>
    <w:p>
      <w:pPr>
        <w:ind w:left="880" w:hanging="356"/>
        <w:spacing w:after="0"/>
        <w:tabs>
          <w:tab w:leader="none" w:pos="880" w:val="left"/>
        </w:tabs>
        <w:numPr>
          <w:ilvl w:val="1"/>
          <w:numId w:val="67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shall mean the occurrence of a “change in control event” with respect to the Company, within the meaning of Treas. Reg. § 1.409A-3(i)(5)(i).</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7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w:t>
      </w:r>
    </w:p>
    <w:p>
      <w:pPr>
        <w:spacing w:after="0" w:line="184" w:lineRule="exact"/>
        <w:rPr>
          <w:rFonts w:ascii="Arial" w:cs="Arial" w:eastAsia="Arial" w:hAnsi="Arial"/>
          <w:sz w:val="14"/>
          <w:szCs w:val="14"/>
          <w:color w:val="auto"/>
        </w:rPr>
      </w:pPr>
    </w:p>
    <w:p>
      <w:pPr>
        <w:ind w:left="880" w:hanging="356"/>
        <w:spacing w:after="0"/>
        <w:tabs>
          <w:tab w:leader="none" w:pos="880" w:val="left"/>
        </w:tabs>
        <w:numPr>
          <w:ilvl w:val="1"/>
          <w:numId w:val="67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Disability</w:t>
      </w:r>
      <w:r>
        <w:rPr>
          <w:rFonts w:ascii="Arial" w:cs="Arial" w:eastAsia="Arial" w:hAnsi="Arial"/>
          <w:sz w:val="14"/>
          <w:szCs w:val="14"/>
          <w:color w:val="auto"/>
        </w:rPr>
        <w:t>” means a condition entitling Executive to benefits under the Company’s long term disability plan, policy or arrangement; provided, however, that if no such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28" w:right="319" w:bottom="1440" w:gutter="0" w:footer="0" w:header="0"/>
        </w:sectPr>
      </w:pPr>
    </w:p>
    <w:bookmarkStart w:id="862" w:name="page863"/>
    <w:bookmarkEnd w:id="862"/>
    <w:p>
      <w:pPr>
        <w:jc w:val="both"/>
        <w:spacing w:after="0" w:line="306" w:lineRule="auto"/>
        <w:rPr>
          <w:sz w:val="20"/>
          <w:szCs w:val="20"/>
          <w:color w:val="auto"/>
        </w:rPr>
      </w:pPr>
      <w:r>
        <w:rPr>
          <w:rFonts w:ascii="Arial" w:cs="Arial" w:eastAsia="Arial" w:hAnsi="Arial"/>
          <w:sz w:val="13"/>
          <w:szCs w:val="13"/>
          <w:color w:val="auto"/>
        </w:rPr>
        <w:t>plan, policy or arrangement is then maintained by the Company and applicable to Executive, “</w:t>
      </w:r>
      <w:r>
        <w:rPr>
          <w:rFonts w:ascii="Arial" w:cs="Arial" w:eastAsia="Arial" w:hAnsi="Arial"/>
          <w:sz w:val="13"/>
          <w:szCs w:val="13"/>
          <w:b w:val="1"/>
          <w:bCs w:val="1"/>
          <w:color w:val="auto"/>
        </w:rPr>
        <w:t>Disability</w:t>
      </w:r>
      <w:r>
        <w:rPr>
          <w:rFonts w:ascii="Arial" w:cs="Arial" w:eastAsia="Arial" w:hAnsi="Arial"/>
          <w:sz w:val="13"/>
          <w:szCs w:val="13"/>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19" w:lineRule="exact"/>
        <w:rPr>
          <w:sz w:val="20"/>
          <w:szCs w:val="20"/>
          <w:color w:val="auto"/>
        </w:rPr>
      </w:pPr>
    </w:p>
    <w:p>
      <w:pPr>
        <w:jc w:val="both"/>
        <w:ind w:firstLine="524"/>
        <w:spacing w:after="0" w:line="296" w:lineRule="auto"/>
        <w:tabs>
          <w:tab w:leader="none" w:pos="893" w:val="left"/>
        </w:tabs>
        <w:numPr>
          <w:ilvl w:val="1"/>
          <w:numId w:val="6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means: (i) a material diminution in Executive’s title, responsibilities, authority or duties; (ii) a material diminution in Executive’s Base Salary, except for across-the-board salary reductions similarly affecting all or substantially all C-level executives of the Company; or (iii) the material breach of this Agreement by the Company; provided, however, that no such event will constitute Good Reason unless (x) Executive provides the Company with written objection to such event within 60 days after the initial occurrence thereof</w:t>
      </w:r>
      <w:r>
        <w:rPr>
          <w:rFonts w:ascii="Arial" w:cs="Arial" w:eastAsia="Arial" w:hAnsi="Arial"/>
          <w:sz w:val="13"/>
          <w:szCs w:val="13"/>
          <w:color w:val="464646"/>
        </w:rPr>
        <w:t>,</w:t>
      </w:r>
      <w:r>
        <w:rPr>
          <w:rFonts w:ascii="Arial" w:cs="Arial" w:eastAsia="Arial" w:hAnsi="Arial"/>
          <w:sz w:val="13"/>
          <w:szCs w:val="13"/>
          <w:color w:val="auto"/>
        </w:rPr>
        <w:t xml:space="preserve"> (y) such event is not reversed or corrected </w:t>
      </w:r>
      <w:r>
        <w:rPr>
          <w:rFonts w:ascii="Arial" w:cs="Arial" w:eastAsia="Arial" w:hAnsi="Arial"/>
          <w:sz w:val="13"/>
          <w:szCs w:val="13"/>
          <w:color w:val="161515"/>
        </w:rPr>
        <w:t>by</w:t>
      </w:r>
      <w:r>
        <w:rPr>
          <w:rFonts w:ascii="Arial" w:cs="Arial" w:eastAsia="Arial" w:hAnsi="Arial"/>
          <w:sz w:val="13"/>
          <w:szCs w:val="13"/>
          <w:color w:val="auto"/>
        </w:rPr>
        <w:t xml:space="preserve"> the Company within 30 days of its receipt of such written objection, and (z) Executive separates from service within 60 days following the expiration of that cure period.</w:t>
      </w:r>
    </w:p>
    <w:p>
      <w:pPr>
        <w:spacing w:after="0" w:line="125" w:lineRule="exact"/>
        <w:rPr>
          <w:rFonts w:ascii="Arial" w:cs="Arial" w:eastAsia="Arial" w:hAnsi="Arial"/>
          <w:sz w:val="13"/>
          <w:szCs w:val="13"/>
          <w:color w:val="auto"/>
        </w:rPr>
      </w:pPr>
    </w:p>
    <w:p>
      <w:pPr>
        <w:jc w:val="both"/>
        <w:ind w:firstLine="524"/>
        <w:spacing w:after="0" w:line="276" w:lineRule="auto"/>
        <w:tabs>
          <w:tab w:leader="none" w:pos="877" w:val="left"/>
        </w:tabs>
        <w:numPr>
          <w:ilvl w:val="1"/>
          <w:numId w:val="67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Severance Period</w:t>
      </w:r>
      <w:r>
        <w:rPr>
          <w:rFonts w:ascii="Arial" w:cs="Arial" w:eastAsia="Arial" w:hAnsi="Arial"/>
          <w:sz w:val="14"/>
          <w:szCs w:val="14"/>
          <w:color w:val="auto"/>
        </w:rPr>
        <w:t>” means nine (9) months. Notwithstanding the foregoing, with respect to a cessation of employment due to a termination by the Company without Cause or resignation by Executive for Good Reason that occurs (in either case) within three (3) months prior to a Change in Control or twelve (12) months following a Change in Control, “Severance Period” shall mean twelve (12) months.</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80"/>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 Policies</w:t>
      </w:r>
      <w:r>
        <w:rPr>
          <w:rFonts w:ascii="Arial" w:cs="Arial" w:eastAsia="Arial" w:hAnsi="Arial"/>
          <w:sz w:val="14"/>
          <w:szCs w:val="14"/>
          <w:color w:val="auto"/>
        </w:rPr>
        <w:t>. Executive will comply with all policies of the Company in effect from time to time, including (without limitation) policies regarding ethics, personal conduct, stock</w:t>
      </w:r>
      <w:r>
        <w:rPr>
          <w:rFonts w:ascii="Arial" w:cs="Arial" w:eastAsia="Arial" w:hAnsi="Arial"/>
          <w:sz w:val="14"/>
          <w:szCs w:val="14"/>
          <w:b w:val="1"/>
          <w:bCs w:val="1"/>
          <w:color w:val="auto"/>
        </w:rPr>
        <w:t xml:space="preserve"> </w:t>
      </w:r>
      <w:r>
        <w:rPr>
          <w:rFonts w:ascii="Arial" w:cs="Arial" w:eastAsia="Arial" w:hAnsi="Arial"/>
          <w:sz w:val="14"/>
          <w:szCs w:val="14"/>
          <w:color w:val="auto"/>
        </w:rPr>
        <w:t>ownership, securities trading, clawback and hedging and pledging of securities.</w:t>
      </w:r>
    </w:p>
    <w:p>
      <w:pPr>
        <w:spacing w:after="0" w:line="123" w:lineRule="exact"/>
        <w:rPr>
          <w:rFonts w:ascii="Arial" w:cs="Arial" w:eastAsia="Arial" w:hAnsi="Arial"/>
          <w:sz w:val="14"/>
          <w:szCs w:val="14"/>
          <w:color w:val="auto"/>
        </w:rPr>
      </w:pPr>
    </w:p>
    <w:p>
      <w:pPr>
        <w:ind w:firstLine="6"/>
        <w:spacing w:after="0" w:line="336" w:lineRule="auto"/>
        <w:tabs>
          <w:tab w:leader="none" w:pos="377" w:val="left"/>
        </w:tabs>
        <w:numPr>
          <w:ilvl w:val="0"/>
          <w:numId w:val="680"/>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In addition to any rights to indemnification to which Executive may be entitled under the Company’s governing documents, the Company shall obtain and maintain an</w:t>
      </w:r>
      <w:r>
        <w:rPr>
          <w:rFonts w:ascii="Arial" w:cs="Arial" w:eastAsia="Arial" w:hAnsi="Arial"/>
          <w:sz w:val="13"/>
          <w:szCs w:val="13"/>
          <w:b w:val="1"/>
          <w:bCs w:val="1"/>
          <w:color w:val="auto"/>
        </w:rPr>
        <w:t xml:space="preserve"> </w:t>
      </w:r>
      <w:r>
        <w:rPr>
          <w:rFonts w:ascii="Arial" w:cs="Arial" w:eastAsia="Arial" w:hAnsi="Arial"/>
          <w:sz w:val="13"/>
          <w:szCs w:val="13"/>
          <w:color w:val="auto"/>
        </w:rPr>
        <w:t>appropriate level of Directors and Officers Liability insurance coverage for Executive’s benefit on the same terms as applicable to other directors and C-level executives of the Company.</w:t>
      </w:r>
    </w:p>
    <w:p>
      <w:pPr>
        <w:spacing w:after="0" w:line="99" w:lineRule="exact"/>
        <w:rPr>
          <w:rFonts w:ascii="Arial" w:cs="Arial" w:eastAsia="Arial" w:hAnsi="Arial"/>
          <w:sz w:val="13"/>
          <w:szCs w:val="13"/>
          <w:color w:val="auto"/>
        </w:rPr>
      </w:pPr>
    </w:p>
    <w:p>
      <w:pPr>
        <w:ind w:firstLine="6"/>
        <w:spacing w:after="0" w:line="294" w:lineRule="auto"/>
        <w:tabs>
          <w:tab w:leader="none" w:pos="377" w:val="left"/>
        </w:tabs>
        <w:numPr>
          <w:ilvl w:val="0"/>
          <w:numId w:val="680"/>
        </w:numPr>
        <w:rPr>
          <w:rFonts w:ascii="Arial" w:cs="Arial" w:eastAsia="Arial" w:hAnsi="Arial"/>
          <w:sz w:val="14"/>
          <w:szCs w:val="14"/>
          <w:color w:val="auto"/>
        </w:rPr>
      </w:pPr>
      <w:r>
        <w:rPr>
          <w:rFonts w:ascii="Arial" w:cs="Arial" w:eastAsia="Arial" w:hAnsi="Arial"/>
          <w:sz w:val="14"/>
          <w:szCs w:val="14"/>
          <w:b w:val="1"/>
          <w:bCs w:val="1"/>
          <w:u w:val="single" w:color="auto"/>
          <w:color w:val="auto"/>
        </w:rPr>
        <w:t>Proprietary Information and Assignment Agreement</w:t>
      </w:r>
      <w:r>
        <w:rPr>
          <w:rFonts w:ascii="Arial" w:cs="Arial" w:eastAsia="Arial" w:hAnsi="Arial"/>
          <w:sz w:val="14"/>
          <w:szCs w:val="14"/>
          <w:color w:val="auto"/>
        </w:rPr>
        <w:t>. On the same date this Agreement is executed, Executive will execute the Proprietary Information and Assignment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attached hereto as Exhibit A (the “</w:t>
      </w:r>
      <w:r>
        <w:rPr>
          <w:rFonts w:ascii="Arial" w:cs="Arial" w:eastAsia="Arial" w:hAnsi="Arial"/>
          <w:sz w:val="14"/>
          <w:szCs w:val="14"/>
          <w:b w:val="1"/>
          <w:bCs w:val="1"/>
          <w:color w:val="auto"/>
        </w:rPr>
        <w:t>Proprietary Information and Assignment Agreement</w:t>
      </w:r>
      <w:r>
        <w:rPr>
          <w:rFonts w:ascii="Arial" w:cs="Arial" w:eastAsia="Arial" w:hAnsi="Arial"/>
          <w:sz w:val="14"/>
          <w:szCs w:val="14"/>
          <w:color w:val="auto"/>
        </w:rPr>
        <w:t>”).</w:t>
      </w:r>
    </w:p>
    <w:p>
      <w:pPr>
        <w:spacing w:after="0" w:line="123" w:lineRule="exact"/>
        <w:rPr>
          <w:rFonts w:ascii="Arial" w:cs="Arial" w:eastAsia="Arial" w:hAnsi="Arial"/>
          <w:sz w:val="14"/>
          <w:szCs w:val="14"/>
          <w:color w:val="auto"/>
        </w:rPr>
      </w:pPr>
    </w:p>
    <w:p>
      <w:pPr>
        <w:jc w:val="both"/>
        <w:ind w:firstLine="6"/>
        <w:spacing w:after="0" w:line="276" w:lineRule="auto"/>
        <w:tabs>
          <w:tab w:leader="none" w:pos="377" w:val="left"/>
        </w:tabs>
        <w:numPr>
          <w:ilvl w:val="0"/>
          <w:numId w:val="680"/>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Conflicting Agreements</w:t>
      </w:r>
      <w:r>
        <w:rPr>
          <w:rFonts w:ascii="Arial" w:cs="Arial" w:eastAsia="Arial" w:hAnsi="Arial"/>
          <w:sz w:val="14"/>
          <w:szCs w:val="14"/>
          <w:color w:val="auto"/>
        </w:rPr>
        <w:t>. Executive represents and warrants that he is not a party to or otherwise bound by any agreement or restriction that could conflict with</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or be violated by</w:t>
      </w:r>
      <w:r>
        <w:rPr>
          <w:rFonts w:ascii="Arial" w:cs="Arial" w:eastAsia="Arial" w:hAnsi="Arial"/>
          <w:sz w:val="14"/>
          <w:szCs w:val="14"/>
          <w:color w:val="494949"/>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of his duties to the Company or his obligations under this Agreement. Executive will not use or misappropriate any intellectual property, trade secrets or confidential information belonging to any third party.</w:t>
      </w:r>
    </w:p>
    <w:p>
      <w:pPr>
        <w:spacing w:after="0" w:line="135" w:lineRule="exact"/>
        <w:rPr>
          <w:rFonts w:ascii="Arial" w:cs="Arial" w:eastAsia="Arial" w:hAnsi="Arial"/>
          <w:sz w:val="14"/>
          <w:szCs w:val="14"/>
          <w:color w:val="auto"/>
        </w:rPr>
      </w:pPr>
    </w:p>
    <w:p>
      <w:pPr>
        <w:ind w:firstLine="6"/>
        <w:spacing w:after="0" w:line="294" w:lineRule="auto"/>
        <w:tabs>
          <w:tab w:leader="none" w:pos="377" w:val="left"/>
        </w:tabs>
        <w:numPr>
          <w:ilvl w:val="0"/>
          <w:numId w:val="680"/>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All compensation payable to Executive are subject to reduction to reflect applicable withholding and payroll taxes and other deductions required by law. Executive hereby</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acknowledges that the Company does not have a duty to design its compensation policies in a</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863" w:name="page864"/>
    <w:bookmarkEnd w:id="863"/>
    <w:p>
      <w:pPr>
        <w:spacing w:after="0"/>
        <w:rPr>
          <w:sz w:val="20"/>
          <w:szCs w:val="20"/>
          <w:color w:val="auto"/>
        </w:rPr>
      </w:pPr>
      <w:r>
        <w:rPr>
          <w:rFonts w:ascii="Arial" w:cs="Arial" w:eastAsia="Arial" w:hAnsi="Arial"/>
          <w:sz w:val="13"/>
          <w:szCs w:val="13"/>
          <w:color w:val="auto"/>
        </w:rPr>
        <w:t>manner that minimizes Executive’s tax liabilities, and Executive not make any claim against the Company or its board of directors related to tax liabilities arising from his compensation.</w:t>
      </w:r>
    </w:p>
    <w:p>
      <w:pPr>
        <w:spacing w:after="0" w:line="192" w:lineRule="exact"/>
        <w:rPr>
          <w:sz w:val="20"/>
          <w:szCs w:val="20"/>
          <w:color w:val="auto"/>
        </w:rPr>
      </w:pPr>
    </w:p>
    <w:p>
      <w:pPr>
        <w:ind w:left="380" w:hanging="374"/>
        <w:spacing w:after="0"/>
        <w:tabs>
          <w:tab w:leader="none" w:pos="380" w:val="left"/>
        </w:tabs>
        <w:numPr>
          <w:ilvl w:val="0"/>
          <w:numId w:val="681"/>
        </w:numPr>
        <w:rPr>
          <w:rFonts w:ascii="Arial" w:cs="Arial" w:eastAsia="Arial" w:hAnsi="Arial"/>
          <w:sz w:val="14"/>
          <w:szCs w:val="14"/>
          <w:color w:val="auto"/>
        </w:rPr>
      </w:pPr>
      <w:r>
        <w:rPr>
          <w:rFonts w:ascii="Arial" w:cs="Arial" w:eastAsia="Arial" w:hAnsi="Arial"/>
          <w:sz w:val="14"/>
          <w:szCs w:val="14"/>
          <w:b w:val="1"/>
          <w:bCs w:val="1"/>
          <w:u w:val="single" w:color="auto"/>
          <w:color w:val="auto"/>
        </w:rPr>
        <w:t>Entire Agreement; Assignment; Amendment</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jc w:val="both"/>
        <w:ind w:firstLine="524"/>
        <w:spacing w:after="0" w:line="273" w:lineRule="auto"/>
        <w:tabs>
          <w:tab w:leader="none" w:pos="875" w:val="left"/>
        </w:tabs>
        <w:numPr>
          <w:ilvl w:val="1"/>
          <w:numId w:val="681"/>
        </w:numPr>
        <w:rPr>
          <w:rFonts w:ascii="Arial" w:cs="Arial" w:eastAsia="Arial" w:hAnsi="Arial"/>
          <w:sz w:val="14"/>
          <w:szCs w:val="14"/>
          <w:color w:val="auto"/>
        </w:rPr>
      </w:pPr>
      <w:r>
        <w:rPr>
          <w:rFonts w:ascii="Arial" w:cs="Arial" w:eastAsia="Arial" w:hAnsi="Arial"/>
          <w:sz w:val="14"/>
          <w:szCs w:val="14"/>
          <w:color w:val="auto"/>
        </w:rPr>
        <w:t>This Agreement, together with the Proprietary Information and Assignment Agreement, constitute the final and entire agreement of the parties with respect to the matters covered hereby and replace and supersede all prior agreements, discussions, negotiations, representations or understandings (whether written, oral or implied) relating to Executive’s employment by the Company, including without limitation the Prior Agreement.</w:t>
      </w:r>
    </w:p>
    <w:p>
      <w:pPr>
        <w:spacing w:after="0" w:line="141" w:lineRule="exact"/>
        <w:rPr>
          <w:rFonts w:ascii="Arial" w:cs="Arial" w:eastAsia="Arial" w:hAnsi="Arial"/>
          <w:sz w:val="14"/>
          <w:szCs w:val="14"/>
          <w:color w:val="auto"/>
        </w:rPr>
      </w:pPr>
    </w:p>
    <w:p>
      <w:pPr>
        <w:jc w:val="both"/>
        <w:ind w:firstLine="524"/>
        <w:spacing w:after="0" w:line="303" w:lineRule="auto"/>
        <w:tabs>
          <w:tab w:leader="none" w:pos="883" w:val="left"/>
        </w:tabs>
        <w:numPr>
          <w:ilvl w:val="1"/>
          <w:numId w:val="681"/>
        </w:numPr>
        <w:rPr>
          <w:rFonts w:ascii="Arial" w:cs="Arial" w:eastAsia="Arial" w:hAnsi="Arial"/>
          <w:sz w:val="13"/>
          <w:szCs w:val="13"/>
          <w:color w:val="auto"/>
        </w:rPr>
      </w:pPr>
      <w:r>
        <w:rPr>
          <w:rFonts w:ascii="Arial" w:cs="Arial" w:eastAsia="Arial" w:hAnsi="Arial"/>
          <w:sz w:val="13"/>
          <w:szCs w:val="13"/>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3"/>
          <w:szCs w:val="13"/>
          <w:u w:val="single" w:color="auto"/>
          <w:color w:val="auto"/>
        </w:rPr>
        <w:t>Section 9(a)</w:t>
      </w:r>
      <w:r>
        <w:rPr>
          <w:rFonts w:ascii="Arial" w:cs="Arial" w:eastAsia="Arial" w:hAnsi="Arial"/>
          <w:sz w:val="13"/>
          <w:szCs w:val="13"/>
          <w:color w:val="auto"/>
        </w:rPr>
        <w:t xml:space="preserve"> or otherwise, whether or not Executive accepts employment with the assignee.</w:t>
      </w:r>
    </w:p>
    <w:p>
      <w:pPr>
        <w:spacing w:after="0" w:line="124" w:lineRule="exact"/>
        <w:rPr>
          <w:rFonts w:ascii="Arial" w:cs="Arial" w:eastAsia="Arial" w:hAnsi="Arial"/>
          <w:sz w:val="13"/>
          <w:szCs w:val="13"/>
          <w:color w:val="auto"/>
        </w:rPr>
      </w:pPr>
    </w:p>
    <w:p>
      <w:pPr>
        <w:ind w:left="880" w:hanging="356"/>
        <w:spacing w:after="0"/>
        <w:tabs>
          <w:tab w:leader="none" w:pos="880" w:val="left"/>
        </w:tabs>
        <w:numPr>
          <w:ilvl w:val="1"/>
          <w:numId w:val="681"/>
        </w:numPr>
        <w:rPr>
          <w:rFonts w:ascii="Arial" w:cs="Arial" w:eastAsia="Arial" w:hAnsi="Arial"/>
          <w:sz w:val="14"/>
          <w:szCs w:val="14"/>
          <w:color w:val="auto"/>
        </w:rPr>
      </w:pPr>
      <w:r>
        <w:rPr>
          <w:rFonts w:ascii="Arial" w:cs="Arial" w:eastAsia="Arial" w:hAnsi="Arial"/>
          <w:sz w:val="14"/>
          <w:szCs w:val="14"/>
          <w:color w:val="auto"/>
        </w:rPr>
        <w:t>This Agreement may be amended or modified only by a written instrument signed by a duly authorized officer of the Company and Executive.</w:t>
      </w:r>
    </w:p>
    <w:p>
      <w:pPr>
        <w:spacing w:after="0" w:line="180" w:lineRule="exact"/>
        <w:rPr>
          <w:rFonts w:ascii="Arial" w:cs="Arial" w:eastAsia="Arial" w:hAnsi="Arial"/>
          <w:sz w:val="14"/>
          <w:szCs w:val="14"/>
          <w:color w:val="auto"/>
        </w:rPr>
      </w:pPr>
    </w:p>
    <w:p>
      <w:pPr>
        <w:ind w:left="400" w:hanging="394"/>
        <w:spacing w:after="0"/>
        <w:tabs>
          <w:tab w:leader="none" w:pos="400" w:val="left"/>
        </w:tabs>
        <w:numPr>
          <w:ilvl w:val="0"/>
          <w:numId w:val="681"/>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shall be governed by and construed in accordance with the internal laws of the State of Delaware</w:t>
      </w:r>
      <w:r>
        <w:rPr>
          <w:rFonts w:ascii="Arial" w:cs="Arial" w:eastAsia="Arial" w:hAnsi="Arial"/>
          <w:sz w:val="13"/>
          <w:szCs w:val="13"/>
          <w:color w:val="494949"/>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choice of law provisions.</w:t>
      </w:r>
    </w:p>
    <w:p>
      <w:pPr>
        <w:spacing w:after="0" w:line="195" w:lineRule="exact"/>
        <w:rPr>
          <w:rFonts w:ascii="Arial" w:cs="Arial" w:eastAsia="Arial" w:hAnsi="Arial"/>
          <w:sz w:val="13"/>
          <w:szCs w:val="13"/>
          <w:color w:val="auto"/>
        </w:rPr>
      </w:pPr>
    </w:p>
    <w:p>
      <w:pPr>
        <w:jc w:val="both"/>
        <w:ind w:firstLine="6"/>
        <w:spacing w:after="0" w:line="262" w:lineRule="auto"/>
        <w:tabs>
          <w:tab w:leader="none" w:pos="395" w:val="left"/>
        </w:tabs>
        <w:numPr>
          <w:ilvl w:val="0"/>
          <w:numId w:val="681"/>
        </w:numPr>
        <w:rPr>
          <w:rFonts w:ascii="Arial" w:cs="Arial" w:eastAsia="Arial" w:hAnsi="Arial"/>
          <w:sz w:val="14"/>
          <w:szCs w:val="14"/>
          <w:color w:val="auto"/>
        </w:rPr>
      </w:pPr>
      <w:r>
        <w:rPr>
          <w:rFonts w:ascii="Arial" w:cs="Arial" w:eastAsia="Arial" w:hAnsi="Arial"/>
          <w:sz w:val="14"/>
          <w:szCs w:val="14"/>
          <w:b w:val="1"/>
          <w:bCs w:val="1"/>
          <w:u w:val="single" w:color="auto"/>
          <w:color w:val="auto"/>
        </w:rPr>
        <w:t>Arbitration</w:t>
      </w:r>
      <w:r>
        <w:rPr>
          <w:rFonts w:ascii="Arial" w:cs="Arial" w:eastAsia="Arial" w:hAnsi="Arial"/>
          <w:sz w:val="14"/>
          <w:szCs w:val="14"/>
          <w:color w:val="auto"/>
        </w:rPr>
        <w:t>. In the event of any dispute under the provisions of this Agreement or otherwise regarding Executive’s employment or compensation (other than a dispute in which the primary</w:t>
      </w:r>
      <w:r>
        <w:rPr>
          <w:rFonts w:ascii="Arial" w:cs="Arial" w:eastAsia="Arial" w:hAnsi="Arial"/>
          <w:sz w:val="14"/>
          <w:szCs w:val="14"/>
          <w:b w:val="1"/>
          <w:bCs w:val="1"/>
          <w:color w:val="auto"/>
        </w:rPr>
        <w:t xml:space="preserve"> </w:t>
      </w:r>
      <w:r>
        <w:rPr>
          <w:rFonts w:ascii="Arial" w:cs="Arial" w:eastAsia="Arial" w:hAnsi="Arial"/>
          <w:sz w:val="14"/>
          <w:szCs w:val="14"/>
          <w:color w:val="auto"/>
        </w:rPr>
        <w:t>relief sought is an injunction or other equitable remedy, such as an action to enforce compliance with the Proprietary Information and Assignment Agreement), the parties shall be required to have the dispute, controversy or claim settled by arbitration in Philadelphia County, Commonwealth of Pennsylvania, in accordance with the National Rules for the Resolution of Employment Disputes then in effect of the American Arbitration Association (“</w:t>
      </w:r>
      <w:r>
        <w:rPr>
          <w:rFonts w:ascii="Arial" w:cs="Arial" w:eastAsia="Arial" w:hAnsi="Arial"/>
          <w:sz w:val="14"/>
          <w:szCs w:val="14"/>
          <w:b w:val="1"/>
          <w:bCs w:val="1"/>
          <w:color w:val="auto"/>
        </w:rPr>
        <w:t>AAA</w:t>
      </w:r>
      <w:r>
        <w:rPr>
          <w:rFonts w:ascii="Arial" w:cs="Arial" w:eastAsia="Arial" w:hAnsi="Arial"/>
          <w:sz w:val="14"/>
          <w:szCs w:val="14"/>
          <w:color w:val="auto"/>
        </w:rPr>
        <w:t>”), by one arbitrator mutually agreed upon by the parties (or, if no agreement can be reached within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64" w:name="page865"/>
    <w:bookmarkEnd w:id="864"/>
    <w:p>
      <w:pPr>
        <w:spacing w:after="0"/>
        <w:rPr>
          <w:sz w:val="20"/>
          <w:szCs w:val="20"/>
          <w:color w:val="auto"/>
        </w:rPr>
      </w:pPr>
      <w:r>
        <w:rPr>
          <w:rFonts w:ascii="Arial" w:cs="Arial" w:eastAsia="Arial" w:hAnsi="Arial"/>
          <w:sz w:val="14"/>
          <w:szCs w:val="14"/>
          <w:color w:val="auto"/>
        </w:rPr>
        <w:t>conduct of the arbitration (including reasonable attorneys’ fees and expenses) and will share equally the fees of the arbitrator.</w:t>
      </w:r>
    </w:p>
    <w:p>
      <w:pPr>
        <w:spacing w:after="0" w:line="180" w:lineRule="exact"/>
        <w:rPr>
          <w:sz w:val="20"/>
          <w:szCs w:val="20"/>
          <w:color w:val="auto"/>
        </w:rPr>
      </w:pPr>
    </w:p>
    <w:p>
      <w:pPr>
        <w:ind w:left="400" w:hanging="394"/>
        <w:spacing w:after="0"/>
        <w:tabs>
          <w:tab w:leader="none" w:pos="400" w:val="left"/>
        </w:tabs>
        <w:numPr>
          <w:ilvl w:val="0"/>
          <w:numId w:val="682"/>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color w:val="auto"/>
        </w:rPr>
        <w:t>. The headings of the sections of this Agreement are inserted for convenience only and shall not the meaning of this Agreement.</w:t>
      </w:r>
    </w:p>
    <w:p>
      <w:pPr>
        <w:spacing w:after="0" w:line="184" w:lineRule="exact"/>
        <w:rPr>
          <w:rFonts w:ascii="Arial" w:cs="Arial" w:eastAsia="Arial" w:hAnsi="Arial"/>
          <w:sz w:val="14"/>
          <w:szCs w:val="14"/>
          <w:color w:val="auto"/>
        </w:rPr>
      </w:pPr>
    </w:p>
    <w:p>
      <w:pPr>
        <w:jc w:val="both"/>
        <w:ind w:firstLine="6"/>
        <w:spacing w:after="0" w:line="264" w:lineRule="auto"/>
        <w:tabs>
          <w:tab w:leader="none" w:pos="395" w:val="left"/>
        </w:tabs>
        <w:numPr>
          <w:ilvl w:val="0"/>
          <w:numId w:val="682"/>
        </w:numPr>
        <w:rPr>
          <w:rFonts w:ascii="Arial" w:cs="Arial" w:eastAsia="Arial" w:hAnsi="Arial"/>
          <w:sz w:val="14"/>
          <w:szCs w:val="14"/>
          <w:color w:val="auto"/>
        </w:rPr>
      </w:pPr>
      <w:r>
        <w:rPr>
          <w:rFonts w:ascii="Arial" w:cs="Arial" w:eastAsia="Arial" w:hAnsi="Arial"/>
          <w:sz w:val="14"/>
          <w:szCs w:val="14"/>
          <w:b w:val="1"/>
          <w:bCs w:val="1"/>
          <w:u w:val="single" w:color="auto"/>
          <w:color w:val="auto"/>
        </w:rPr>
        <w:t>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All notices, demands or other communications hereunder shall be in writing and shall be deemed to have been duly given if delivered in person, by e-mail or fax, by United States</w:t>
      </w:r>
      <w:r>
        <w:rPr>
          <w:rFonts w:ascii="Arial" w:cs="Arial" w:eastAsia="Arial" w:hAnsi="Arial"/>
          <w:sz w:val="14"/>
          <w:szCs w:val="14"/>
          <w:b w:val="1"/>
          <w:bCs w:val="1"/>
          <w:color w:val="auto"/>
        </w:rPr>
        <w:t xml:space="preserve"> </w:t>
      </w:r>
      <w:r>
        <w:rPr>
          <w:rFonts w:ascii="Arial" w:cs="Arial" w:eastAsia="Arial" w:hAnsi="Arial"/>
          <w:sz w:val="14"/>
          <w:szCs w:val="14"/>
          <w:color w:val="auto"/>
        </w:rPr>
        <w:t>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145" w:lineRule="exact"/>
        <w:rPr>
          <w:rFonts w:ascii="Arial" w:cs="Arial" w:eastAsia="Arial" w:hAnsi="Arial"/>
          <w:sz w:val="14"/>
          <w:szCs w:val="14"/>
          <w:color w:val="auto"/>
        </w:rPr>
      </w:pPr>
    </w:p>
    <w:p>
      <w:pPr>
        <w:ind w:firstLine="6"/>
        <w:spacing w:after="0" w:line="294" w:lineRule="auto"/>
        <w:tabs>
          <w:tab w:leader="none" w:pos="377" w:val="left"/>
        </w:tabs>
        <w:numPr>
          <w:ilvl w:val="0"/>
          <w:numId w:val="682"/>
        </w:numPr>
        <w:rPr>
          <w:rFonts w:ascii="Arial" w:cs="Arial" w:eastAsia="Arial" w:hAnsi="Arial"/>
          <w:sz w:val="14"/>
          <w:szCs w:val="14"/>
          <w:color w:val="auto"/>
        </w:rPr>
      </w:pP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This Agreement may be executed in separate counterparts, any one of which need not contain signatures of more than one party, but all of which taken together will</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constitute one and the same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9625" cy="698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65" w:name="page866"/>
    <w:bookmarkEnd w:id="865"/>
    <w:p>
      <w:pPr>
        <w:spacing w:after="0"/>
        <w:rPr>
          <w:sz w:val="20"/>
          <w:szCs w:val="20"/>
          <w:color w:val="auto"/>
        </w:rPr>
      </w:pPr>
      <w:r>
        <w:rPr>
          <w:rFonts w:ascii="Arial" w:cs="Arial" w:eastAsia="Arial" w:hAnsi="Arial"/>
          <w:sz w:val="14"/>
          <w:szCs w:val="14"/>
          <w:color w:val="auto"/>
        </w:rPr>
        <w:t>This Agreement has been executed and delivered on the date first above written.</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tbl>
      <w:tblPr>
        <w:tblLayout w:type="fixed"/>
        <w:tblInd w:w="5120" w:type="dxa"/>
        <w:tblCellMar>
          <w:top w:w="0" w:type="dxa"/>
          <w:left w:w="0" w:type="dxa"/>
          <w:bottom w:w="0" w:type="dxa"/>
          <w:right w:w="0" w:type="dxa"/>
        </w:tblCellMar>
      </w:tblPr>
      <w:tr>
        <w:trPr>
          <w:trHeight w:val="182"/>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 Ph.D.</w:t>
            </w:r>
          </w:p>
        </w:tc>
      </w:tr>
      <w:tr>
        <w:trPr>
          <w:trHeight w:val="163"/>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President and Chief Executive Officer</w:t>
            </w:r>
          </w:p>
        </w:tc>
      </w:tr>
      <w:tr>
        <w:trPr>
          <w:trHeight w:val="324"/>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r>
      <w:tr>
        <w:trPr>
          <w:trHeight w:val="34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Hyam Levitsky, M.D.</w:t>
            </w:r>
          </w:p>
        </w:tc>
      </w:tr>
      <w:tr>
        <w:trPr>
          <w:trHeight w:val="345"/>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Gregory Russotti, Ph.D.</w:t>
            </w:r>
          </w:p>
        </w:tc>
      </w:tr>
      <w:tr>
        <w:trPr>
          <w:trHeight w:val="165"/>
        </w:trPr>
        <w:tc>
          <w:tcPr>
            <w:tcW w:w="580" w:type="dxa"/>
            <w:vAlign w:val="bottom"/>
          </w:tcPr>
          <w:p>
            <w:pPr>
              <w:spacing w:after="0"/>
              <w:rPr>
                <w:sz w:val="20"/>
                <w:szCs w:val="20"/>
                <w:color w:val="auto"/>
              </w:rPr>
            </w:pPr>
            <w:r>
              <w:rPr>
                <w:rFonts w:ascii="Arial" w:cs="Arial" w:eastAsia="Arial" w:hAnsi="Arial"/>
                <w:sz w:val="14"/>
                <w:szCs w:val="14"/>
                <w:color w:val="auto"/>
              </w:rPr>
              <w:t>Name:</w:t>
            </w:r>
          </w:p>
        </w:tc>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Gregory Russotti, Ph.D.</w:t>
            </w:r>
          </w:p>
        </w:tc>
      </w:tr>
    </w:tbl>
    <w:p>
      <w:pPr>
        <w:spacing w:after="0" w:line="162"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Employment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356870</wp:posOffset>
            </wp:positionV>
            <wp:extent cx="7159625" cy="698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56" w:right="319" w:bottom="1440" w:gutter="0" w:footer="0" w:header="0"/>
        </w:sectPr>
      </w:pPr>
    </w:p>
    <w:bookmarkStart w:id="866" w:name="page867"/>
    <w:bookmarkEnd w:id="866"/>
    <w:p>
      <w:pPr>
        <w:ind w:left="10440"/>
        <w:spacing w:after="0"/>
        <w:rPr>
          <w:sz w:val="20"/>
          <w:szCs w:val="20"/>
          <w:color w:val="auto"/>
        </w:rPr>
      </w:pPr>
      <w:r>
        <w:rPr>
          <w:rFonts w:ascii="Arial" w:cs="Arial" w:eastAsia="Arial" w:hAnsi="Arial"/>
          <w:sz w:val="13"/>
          <w:szCs w:val="13"/>
          <w:b w:val="1"/>
          <w:bCs w:val="1"/>
          <w:color w:val="auto"/>
        </w:rPr>
        <w:t>Exhibit 10.36</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February 16, 2021</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Via e-mail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Joseph Jimenez</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122 Pepperwood Ct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Danville, CA 94506</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joe.jimenez@aditumbio.com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Dear Joe:</w:t>
      </w:r>
    </w:p>
    <w:p>
      <w:pPr>
        <w:spacing w:after="0" w:line="184"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Following our recent discussions, I am very pleased to invite you to serve as Chairman of the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of Century Therapeutics, Inc. (f/k/a Century Therapeutics, LLC, the “</w:t>
      </w:r>
      <w:r>
        <w:rPr>
          <w:rFonts w:ascii="Arial" w:cs="Arial" w:eastAsia="Arial" w:hAnsi="Arial"/>
          <w:sz w:val="14"/>
          <w:szCs w:val="14"/>
          <w:u w:val="single" w:color="auto"/>
          <w:color w:val="auto"/>
        </w:rPr>
        <w:t>Company</w:t>
      </w:r>
      <w:r>
        <w:rPr>
          <w:rFonts w:ascii="Arial" w:cs="Arial" w:eastAsia="Arial" w:hAnsi="Arial"/>
          <w:sz w:val="14"/>
          <w:szCs w:val="14"/>
          <w:color w:val="auto"/>
        </w:rPr>
        <w:t>”), on the terms and subject to the conditions set forth below.</w:t>
      </w:r>
    </w:p>
    <w:p>
      <w:pPr>
        <w:spacing w:after="0" w:line="132" w:lineRule="exact"/>
        <w:rPr>
          <w:sz w:val="20"/>
          <w:szCs w:val="20"/>
          <w:color w:val="auto"/>
        </w:rPr>
      </w:pPr>
    </w:p>
    <w:p>
      <w:pPr>
        <w:jc w:val="both"/>
        <w:ind w:firstLine="1042"/>
        <w:spacing w:after="0" w:line="265" w:lineRule="auto"/>
        <w:tabs>
          <w:tab w:leader="none" w:pos="1794" w:val="left"/>
        </w:tabs>
        <w:numPr>
          <w:ilvl w:val="0"/>
          <w:numId w:val="683"/>
        </w:numPr>
        <w:rPr>
          <w:rFonts w:ascii="Arial" w:cs="Arial" w:eastAsia="Arial" w:hAnsi="Arial"/>
          <w:sz w:val="14"/>
          <w:szCs w:val="14"/>
          <w:color w:val="auto"/>
        </w:rPr>
      </w:pPr>
      <w:r>
        <w:rPr>
          <w:rFonts w:ascii="Arial" w:cs="Arial" w:eastAsia="Arial" w:hAnsi="Arial"/>
          <w:sz w:val="14"/>
          <w:szCs w:val="14"/>
          <w:u w:val="single" w:color="auto"/>
          <w:color w:val="auto"/>
        </w:rPr>
        <w:t>Appointment</w:t>
      </w:r>
      <w:r>
        <w:rPr>
          <w:rFonts w:ascii="Arial" w:cs="Arial" w:eastAsia="Arial" w:hAnsi="Arial"/>
          <w:sz w:val="14"/>
          <w:szCs w:val="14"/>
          <w:color w:val="auto"/>
        </w:rPr>
        <w:t>. Upon your acceptance of this letter, in connection with the conversion of the Company from a Delaware limited liability company to a Delaware corporation (which is anticipated to occur on or before February 24, 2021) (the “</w:t>
      </w:r>
      <w:r>
        <w:rPr>
          <w:rFonts w:ascii="Arial" w:cs="Arial" w:eastAsia="Arial" w:hAnsi="Arial"/>
          <w:sz w:val="14"/>
          <w:szCs w:val="14"/>
          <w:u w:val="single" w:color="auto"/>
          <w:color w:val="auto"/>
        </w:rPr>
        <w:t>Conversion</w:t>
      </w:r>
      <w:r>
        <w:rPr>
          <w:rFonts w:ascii="Arial" w:cs="Arial" w:eastAsia="Arial" w:hAnsi="Arial"/>
          <w:sz w:val="14"/>
          <w:szCs w:val="14"/>
          <w:color w:val="auto"/>
        </w:rPr>
        <w:t>”), your nomination to serve as Chairman of the Board will be submitted to the other members of the Board for approval. In connection with your appointment, you shall hold office until such time that your successor is duly elected and qualified, or until your earlier death, retirement, resignation or removal from office. The terms and obligations under this letter agreement shall remain in full force and effect until your earlier death, retirement, resignation or removal from the Board; provided that the obligations under Section 6 shall survive indefinitely.</w:t>
      </w:r>
    </w:p>
    <w:p>
      <w:pPr>
        <w:spacing w:after="0" w:line="147" w:lineRule="exact"/>
        <w:rPr>
          <w:rFonts w:ascii="Arial" w:cs="Arial" w:eastAsia="Arial" w:hAnsi="Arial"/>
          <w:sz w:val="14"/>
          <w:szCs w:val="14"/>
          <w:color w:val="auto"/>
        </w:rPr>
      </w:pPr>
    </w:p>
    <w:p>
      <w:pPr>
        <w:jc w:val="both"/>
        <w:ind w:firstLine="1042"/>
        <w:spacing w:after="0" w:line="273" w:lineRule="auto"/>
        <w:tabs>
          <w:tab w:leader="none" w:pos="1719" w:val="left"/>
        </w:tabs>
        <w:numPr>
          <w:ilvl w:val="0"/>
          <w:numId w:val="683"/>
        </w:numPr>
        <w:rPr>
          <w:rFonts w:ascii="Arial" w:cs="Arial" w:eastAsia="Arial" w:hAnsi="Arial"/>
          <w:sz w:val="14"/>
          <w:szCs w:val="14"/>
          <w:color w:val="auto"/>
        </w:rPr>
      </w:pPr>
      <w:r>
        <w:rPr>
          <w:rFonts w:ascii="Arial" w:cs="Arial" w:eastAsia="Arial" w:hAnsi="Arial"/>
          <w:sz w:val="14"/>
          <w:szCs w:val="14"/>
          <w:u w:val="single" w:color="auto"/>
          <w:color w:val="auto"/>
        </w:rPr>
        <w:t>Duties</w:t>
      </w:r>
      <w:r>
        <w:rPr>
          <w:rFonts w:ascii="Arial" w:cs="Arial" w:eastAsia="Arial" w:hAnsi="Arial"/>
          <w:sz w:val="14"/>
          <w:szCs w:val="14"/>
          <w:color w:val="auto"/>
        </w:rPr>
        <w:t>. As an independent director, you will be expected to attend the meetings of the Board and the Committees of the Board on which you serve, as regularly or specially called. Board meetings are scheduled upon prior consultation with directors and are typically held in Philadelphia, PA. You may attend and participate at each such meeting via teleconference, video conference or in person.</w:t>
      </w:r>
    </w:p>
    <w:p>
      <w:pPr>
        <w:spacing w:after="0" w:line="141" w:lineRule="exact"/>
        <w:rPr>
          <w:rFonts w:ascii="Arial" w:cs="Arial" w:eastAsia="Arial" w:hAnsi="Arial"/>
          <w:sz w:val="14"/>
          <w:szCs w:val="14"/>
          <w:color w:val="auto"/>
        </w:rPr>
      </w:pPr>
    </w:p>
    <w:p>
      <w:pPr>
        <w:jc w:val="both"/>
        <w:ind w:firstLine="1042"/>
        <w:spacing w:after="0" w:line="303" w:lineRule="auto"/>
        <w:tabs>
          <w:tab w:leader="none" w:pos="1665" w:val="left"/>
        </w:tabs>
        <w:numPr>
          <w:ilvl w:val="0"/>
          <w:numId w:val="683"/>
        </w:numPr>
        <w:rPr>
          <w:rFonts w:ascii="Arial" w:cs="Arial" w:eastAsia="Arial" w:hAnsi="Arial"/>
          <w:sz w:val="13"/>
          <w:szCs w:val="13"/>
          <w:color w:val="auto"/>
        </w:rPr>
      </w:pPr>
      <w:r>
        <w:rPr>
          <w:rFonts w:ascii="Arial" w:cs="Arial" w:eastAsia="Arial" w:hAnsi="Arial"/>
          <w:sz w:val="13"/>
          <w:szCs w:val="13"/>
          <w:u w:val="single" w:color="auto"/>
          <w:color w:val="auto"/>
        </w:rPr>
        <w:t>Fiduciary Obligations; Governance</w:t>
      </w:r>
      <w:r>
        <w:rPr>
          <w:rFonts w:ascii="Arial" w:cs="Arial" w:eastAsia="Arial" w:hAnsi="Arial"/>
          <w:sz w:val="13"/>
          <w:szCs w:val="13"/>
          <w:color w:val="auto"/>
        </w:rPr>
        <w:t>: The Company is governed by Delaware law. The structure, practices and authority of the Board, including matters relating to the size and composition of the Board, the election and removal of directors, requirements relating to Board action and the appointment of executive officers, effective as of the Conversion, will be governed by the Company’s Amended and Restated Certificate of Incorporation and Bylaws, as each may be amended from time to time (the “</w:t>
      </w:r>
      <w:r>
        <w:rPr>
          <w:rFonts w:ascii="Arial" w:cs="Arial" w:eastAsia="Arial" w:hAnsi="Arial"/>
          <w:sz w:val="13"/>
          <w:szCs w:val="13"/>
          <w:u w:val="single" w:color="auto"/>
          <w:color w:val="auto"/>
        </w:rPr>
        <w:t>Organizational Documents</w:t>
      </w:r>
      <w:r>
        <w:rPr>
          <w:rFonts w:ascii="Arial" w:cs="Arial" w:eastAsia="Arial" w:hAnsi="Arial"/>
          <w:sz w:val="13"/>
          <w:szCs w:val="13"/>
          <w:color w:val="auto"/>
        </w:rPr>
        <w:t>”).</w:t>
      </w:r>
    </w:p>
    <w:p>
      <w:pPr>
        <w:spacing w:after="0" w:line="124" w:lineRule="exact"/>
        <w:rPr>
          <w:rFonts w:ascii="Arial" w:cs="Arial" w:eastAsia="Arial" w:hAnsi="Arial"/>
          <w:sz w:val="13"/>
          <w:szCs w:val="13"/>
          <w:color w:val="auto"/>
        </w:rPr>
      </w:pPr>
    </w:p>
    <w:p>
      <w:pPr>
        <w:ind w:left="1620" w:hanging="578"/>
        <w:spacing w:after="0"/>
        <w:tabs>
          <w:tab w:leader="none" w:pos="1620" w:val="left"/>
        </w:tabs>
        <w:numPr>
          <w:ilvl w:val="0"/>
          <w:numId w:val="683"/>
        </w:numPr>
        <w:rPr>
          <w:rFonts w:ascii="Arial" w:cs="Arial" w:eastAsia="Arial" w:hAnsi="Arial"/>
          <w:sz w:val="14"/>
          <w:szCs w:val="14"/>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 As consideration for your service as a member of the Board, the Company will pay you the following compensation:</w:t>
      </w:r>
    </w:p>
    <w:p>
      <w:pPr>
        <w:spacing w:after="0" w:line="184" w:lineRule="exact"/>
        <w:rPr>
          <w:rFonts w:ascii="Arial" w:cs="Arial" w:eastAsia="Arial" w:hAnsi="Arial"/>
          <w:sz w:val="14"/>
          <w:szCs w:val="14"/>
          <w:color w:val="auto"/>
        </w:rPr>
      </w:pPr>
    </w:p>
    <w:p>
      <w:pPr>
        <w:jc w:val="both"/>
        <w:ind w:firstLine="1560"/>
        <w:spacing w:after="0" w:line="273" w:lineRule="auto"/>
        <w:tabs>
          <w:tab w:leader="none" w:pos="2335" w:val="left"/>
        </w:tabs>
        <w:numPr>
          <w:ilvl w:val="1"/>
          <w:numId w:val="683"/>
        </w:numPr>
        <w:rPr>
          <w:rFonts w:ascii="Arial" w:cs="Arial" w:eastAsia="Arial" w:hAnsi="Arial"/>
          <w:sz w:val="14"/>
          <w:szCs w:val="14"/>
          <w:color w:val="auto"/>
        </w:rPr>
      </w:pPr>
      <w:r>
        <w:rPr>
          <w:rFonts w:ascii="Arial" w:cs="Arial" w:eastAsia="Arial" w:hAnsi="Arial"/>
          <w:sz w:val="14"/>
          <w:szCs w:val="14"/>
          <w:u w:val="single" w:color="auto"/>
          <w:color w:val="auto"/>
        </w:rPr>
        <w:t>Equity Award</w:t>
      </w:r>
      <w:r>
        <w:rPr>
          <w:rFonts w:ascii="Arial" w:cs="Arial" w:eastAsia="Arial" w:hAnsi="Arial"/>
          <w:sz w:val="14"/>
          <w:szCs w:val="14"/>
          <w:color w:val="auto"/>
        </w:rPr>
        <w:t>. Subject to the approval of the Board, upon the closing of an equity financing resulting in gross proceeds to the Company of at least $155,000,000 (the “</w:t>
      </w:r>
      <w:r>
        <w:rPr>
          <w:rFonts w:ascii="Arial" w:cs="Arial" w:eastAsia="Arial" w:hAnsi="Arial"/>
          <w:sz w:val="14"/>
          <w:szCs w:val="14"/>
          <w:u w:val="single" w:color="auto"/>
          <w:color w:val="auto"/>
        </w:rPr>
        <w:t>Series C Financing</w:t>
      </w:r>
      <w:r>
        <w:rPr>
          <w:rFonts w:ascii="Arial" w:cs="Arial" w:eastAsia="Arial" w:hAnsi="Arial"/>
          <w:sz w:val="14"/>
          <w:szCs w:val="14"/>
          <w:color w:val="auto"/>
        </w:rPr>
        <w:t>”), the Company will grant to you a one-time nonqualified stock option exercisable for the purchase of 683,601 shares of the Company’s common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329565</wp:posOffset>
            </wp:positionV>
            <wp:extent cx="7159625" cy="698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67" w:name="page868"/>
    <w:bookmarkEnd w:id="867"/>
    <w:p>
      <w:pPr>
        <w:jc w:val="both"/>
        <w:spacing w:after="0" w:line="261" w:lineRule="auto"/>
        <w:rPr>
          <w:sz w:val="20"/>
          <w:szCs w:val="20"/>
          <w:color w:val="auto"/>
        </w:rPr>
      </w:pPr>
      <w:r>
        <w:rPr>
          <w:rFonts w:ascii="Arial" w:cs="Arial" w:eastAsia="Arial" w:hAnsi="Arial"/>
          <w:sz w:val="14"/>
          <w:szCs w:val="14"/>
          <w:color w:val="auto"/>
        </w:rPr>
        <w:t>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(the “</w:t>
      </w:r>
      <w:r>
        <w:rPr>
          <w:rFonts w:ascii="Arial" w:cs="Arial" w:eastAsia="Arial" w:hAnsi="Arial"/>
          <w:sz w:val="14"/>
          <w:szCs w:val="14"/>
          <w:u w:val="single" w:color="auto"/>
          <w:color w:val="auto"/>
        </w:rPr>
        <w:t>Option</w:t>
      </w:r>
      <w:r>
        <w:rPr>
          <w:rFonts w:ascii="Arial" w:cs="Arial" w:eastAsia="Arial" w:hAnsi="Arial"/>
          <w:sz w:val="14"/>
          <w:szCs w:val="14"/>
          <w:color w:val="auto"/>
        </w:rPr>
        <w:t>”), which, together with existing awards previously granted to you by the Company, brings your equity ownership in the Company following the closing of the Series C Financing to 1% of the Company measured on a fully diluted basis. The Option will: (i) be subject to the terms and conditions of the Century Therapeutics, Inc. 2018 Stock Option and Grant Plan (as amended, restated or otherwise modified from time to time, the “</w:t>
      </w:r>
      <w:r>
        <w:rPr>
          <w:rFonts w:ascii="Arial" w:cs="Arial" w:eastAsia="Arial" w:hAnsi="Arial"/>
          <w:sz w:val="14"/>
          <w:szCs w:val="14"/>
          <w:u w:val="single" w:color="auto"/>
          <w:color w:val="auto"/>
        </w:rPr>
        <w:t>Plan</w:t>
      </w:r>
      <w:r>
        <w:rPr>
          <w:rFonts w:ascii="Arial" w:cs="Arial" w:eastAsia="Arial" w:hAnsi="Arial"/>
          <w:sz w:val="14"/>
          <w:szCs w:val="14"/>
          <w:color w:val="auto"/>
        </w:rPr>
        <w:t>”) and the Non-Qualified Stock Option Agreement by and between you and the Company (the “</w:t>
      </w:r>
      <w:r>
        <w:rPr>
          <w:rFonts w:ascii="Arial" w:cs="Arial" w:eastAsia="Arial" w:hAnsi="Arial"/>
          <w:sz w:val="14"/>
          <w:szCs w:val="14"/>
          <w:u w:val="single" w:color="auto"/>
          <w:color w:val="auto"/>
        </w:rPr>
        <w:t>Award Agreement</w:t>
      </w:r>
      <w:r>
        <w:rPr>
          <w:rFonts w:ascii="Arial" w:cs="Arial" w:eastAsia="Arial" w:hAnsi="Arial"/>
          <w:sz w:val="14"/>
          <w:szCs w:val="14"/>
          <w:color w:val="auto"/>
        </w:rPr>
        <w:t xml:space="preserve">”), (ii) have an exercise price per share equal to the fair market value per share of Common Stock on the date of the grant, as determined by the Board, and (iii) be subject to vesting requirements such that 25% of the shares of Common Stock underlying the Option shall vest on the first anniversary of the date of grant, and thereafter, the remaining 75% of the shares of Common Stock underlying the Option shall vest in 36 substantially equal monthly installments, in each case if you continue to provide services to the Company as of the applicable vesting date;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any then-unvested portion of the Option shall automatically vest upon the closing of a Sale Event (as defined in the Plan) if you continue to provide services to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through such event.</w:t>
      </w:r>
    </w:p>
    <w:p>
      <w:pPr>
        <w:spacing w:after="0" w:line="153" w:lineRule="exact"/>
        <w:rPr>
          <w:sz w:val="20"/>
          <w:szCs w:val="20"/>
          <w:color w:val="auto"/>
        </w:rPr>
      </w:pPr>
    </w:p>
    <w:p>
      <w:pPr>
        <w:ind w:firstLine="1560"/>
        <w:spacing w:after="0" w:line="288" w:lineRule="auto"/>
        <w:tabs>
          <w:tab w:leader="none" w:pos="2091" w:val="left"/>
        </w:tabs>
        <w:numPr>
          <w:ilvl w:val="1"/>
          <w:numId w:val="684"/>
        </w:numPr>
        <w:rPr>
          <w:rFonts w:ascii="Arial" w:cs="Arial" w:eastAsia="Arial" w:hAnsi="Arial"/>
          <w:sz w:val="14"/>
          <w:szCs w:val="14"/>
          <w:color w:val="auto"/>
        </w:rPr>
      </w:pPr>
      <w:r>
        <w:rPr>
          <w:rFonts w:ascii="Arial" w:cs="Arial" w:eastAsia="Arial" w:hAnsi="Arial"/>
          <w:sz w:val="14"/>
          <w:szCs w:val="14"/>
          <w:u w:val="single" w:color="auto"/>
          <w:color w:val="auto"/>
        </w:rPr>
        <w:t>Annual Retainer</w:t>
      </w:r>
      <w:r>
        <w:rPr>
          <w:rFonts w:ascii="Arial" w:cs="Arial" w:eastAsia="Arial" w:hAnsi="Arial"/>
          <w:sz w:val="14"/>
          <w:szCs w:val="14"/>
          <w:color w:val="auto"/>
        </w:rPr>
        <w:t>. Subject to approval by the Board, for so long as you continue to serve as a director of the Company, you shall be entitled to receive an annual retainer of $50,000, payable on a quarterly basis. Such retainer shall be pro-rated for any partial year.</w:t>
      </w:r>
    </w:p>
    <w:p>
      <w:pPr>
        <w:spacing w:after="0" w:line="131" w:lineRule="exact"/>
        <w:rPr>
          <w:rFonts w:ascii="Arial" w:cs="Arial" w:eastAsia="Arial" w:hAnsi="Arial"/>
          <w:sz w:val="14"/>
          <w:szCs w:val="14"/>
          <w:color w:val="auto"/>
        </w:rPr>
      </w:pPr>
    </w:p>
    <w:p>
      <w:pPr>
        <w:ind w:firstLine="1042"/>
        <w:spacing w:after="0" w:line="288" w:lineRule="auto"/>
        <w:tabs>
          <w:tab w:leader="none" w:pos="1622" w:val="left"/>
        </w:tabs>
        <w:numPr>
          <w:ilvl w:val="0"/>
          <w:numId w:val="685"/>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Company will pay or reimburse the reasonable, authorized expenses incurred by you in the discharge of your duties as a director, in accordance with the general practices and policies of the Company and upon the submission of appropriate documentation.</w:t>
      </w:r>
    </w:p>
    <w:p>
      <w:pPr>
        <w:spacing w:after="0" w:line="131" w:lineRule="exact"/>
        <w:rPr>
          <w:rFonts w:ascii="Arial" w:cs="Arial" w:eastAsia="Arial" w:hAnsi="Arial"/>
          <w:sz w:val="14"/>
          <w:szCs w:val="14"/>
          <w:color w:val="auto"/>
        </w:rPr>
      </w:pPr>
    </w:p>
    <w:p>
      <w:pPr>
        <w:jc w:val="both"/>
        <w:ind w:firstLine="1042"/>
        <w:spacing w:after="0" w:line="267" w:lineRule="auto"/>
        <w:tabs>
          <w:tab w:leader="none" w:pos="1729" w:val="left"/>
        </w:tabs>
        <w:numPr>
          <w:ilvl w:val="0"/>
          <w:numId w:val="685"/>
        </w:numPr>
        <w:rPr>
          <w:rFonts w:ascii="Arial" w:cs="Arial" w:eastAsia="Arial" w:hAnsi="Arial"/>
          <w:sz w:val="14"/>
          <w:szCs w:val="14"/>
          <w:color w:val="auto"/>
        </w:rPr>
      </w:pPr>
      <w:r>
        <w:rPr>
          <w:rFonts w:ascii="Arial" w:cs="Arial" w:eastAsia="Arial" w:hAnsi="Arial"/>
          <w:sz w:val="14"/>
          <w:szCs w:val="14"/>
          <w:u w:val="single" w:color="auto"/>
          <w:color w:val="auto"/>
        </w:rPr>
        <w:t>Indemnification; Insurance</w:t>
      </w:r>
      <w:r>
        <w:rPr>
          <w:rFonts w:ascii="Arial" w:cs="Arial" w:eastAsia="Arial" w:hAnsi="Arial"/>
          <w:sz w:val="14"/>
          <w:szCs w:val="14"/>
          <w:color w:val="auto"/>
        </w:rPr>
        <w:t>. As a director, you will be entitled to indemnification under the Company’s Organizational Documents and that certain Indemnification Agreement by and between the Company and you, effective as of August 19, 2019 (as the same may be amended, restated, modified, superseded or replaced from time to time, the “</w:t>
      </w:r>
      <w:r>
        <w:rPr>
          <w:rFonts w:ascii="Arial" w:cs="Arial" w:eastAsia="Arial" w:hAnsi="Arial"/>
          <w:sz w:val="14"/>
          <w:szCs w:val="14"/>
          <w:u w:val="single" w:color="auto"/>
          <w:color w:val="auto"/>
        </w:rPr>
        <w:t>Indemnification Agreement</w:t>
      </w:r>
      <w:r>
        <w:rPr>
          <w:rFonts w:ascii="Arial" w:cs="Arial" w:eastAsia="Arial" w:hAnsi="Arial"/>
          <w:sz w:val="14"/>
          <w:szCs w:val="14"/>
          <w:color w:val="auto"/>
        </w:rPr>
        <w:t>”). In addition, the Company will also carry director and officer liability insurance and you will be a covered person under any such policy maintained by the Company during the term of your service on the Board.</w:t>
      </w:r>
    </w:p>
    <w:p>
      <w:pPr>
        <w:spacing w:after="0" w:line="146" w:lineRule="exact"/>
        <w:rPr>
          <w:rFonts w:ascii="Arial" w:cs="Arial" w:eastAsia="Arial" w:hAnsi="Arial"/>
          <w:sz w:val="14"/>
          <w:szCs w:val="14"/>
          <w:color w:val="auto"/>
        </w:rPr>
      </w:pPr>
    </w:p>
    <w:p>
      <w:pPr>
        <w:jc w:val="both"/>
        <w:ind w:firstLine="1042"/>
        <w:spacing w:after="0" w:line="262" w:lineRule="auto"/>
        <w:tabs>
          <w:tab w:leader="none" w:pos="1805" w:val="left"/>
        </w:tabs>
        <w:numPr>
          <w:ilvl w:val="0"/>
          <w:numId w:val="685"/>
        </w:numPr>
        <w:rPr>
          <w:rFonts w:ascii="Arial" w:cs="Arial" w:eastAsia="Arial" w:hAnsi="Arial"/>
          <w:sz w:val="14"/>
          <w:szCs w:val="14"/>
          <w:color w:val="auto"/>
        </w:rPr>
      </w:pPr>
      <w:r>
        <w:rPr>
          <w:rFonts w:ascii="Arial" w:cs="Arial" w:eastAsia="Arial" w:hAnsi="Arial"/>
          <w:sz w:val="14"/>
          <w:szCs w:val="14"/>
          <w:u w:val="single" w:color="auto"/>
          <w:color w:val="auto"/>
        </w:rPr>
        <w:t>Proprietary Information</w:t>
      </w:r>
      <w:r>
        <w:rPr>
          <w:rFonts w:ascii="Arial" w:cs="Arial" w:eastAsia="Arial" w:hAnsi="Arial"/>
          <w:sz w:val="14"/>
          <w:szCs w:val="14"/>
          <w:color w:val="auto"/>
        </w:rPr>
        <w:t>. In your capacity as a Board member the Company will you with information of a private, secret or confidential nature concerning the Company’s business, business relationships or financial affairs (collectively, “</w:t>
      </w:r>
      <w:r>
        <w:rPr>
          <w:rFonts w:ascii="Arial" w:cs="Arial" w:eastAsia="Arial" w:hAnsi="Arial"/>
          <w:sz w:val="14"/>
          <w:szCs w:val="14"/>
          <w:u w:val="single" w:color="auto"/>
          <w:color w:val="auto"/>
        </w:rPr>
        <w:t>Proprietary Information</w:t>
      </w:r>
      <w:r>
        <w:rPr>
          <w:rFonts w:ascii="Arial" w:cs="Arial" w:eastAsia="Arial" w:hAnsi="Arial"/>
          <w:sz w:val="14"/>
          <w:szCs w:val="14"/>
          <w:color w:val="auto"/>
        </w:rPr>
        <w:t>”). In consideration for the Company sharing with you the Company’s Proprietary Information, you agree that you will not disclose any Proprietary Information to any person or entity other than employees or advisors of the Company or use the same for any purposes (other than in the performance of your duties as a member of the Board) without written approval by an officer of the Company, either during or after you serve as a member of the Board, unless and until such Proprietary Information has become public knowledge without your fault. All such materials or copies thereof and all tangible property of the Company in your custody or possession shall be delivered to the Company or destroyed, at the Company’s election, upon the earlier of (i) the Company’s request or (ii) termination of your service on the Board. After such delivery or destruction, you shall not retain any such materials or copies thereof or any such tangible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335280</wp:posOffset>
            </wp:positionV>
            <wp:extent cx="7159625" cy="698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68" w:name="page869"/>
    <w:bookmarkEnd w:id="868"/>
    <w:p>
      <w:pPr>
        <w:jc w:val="both"/>
        <w:spacing w:after="0" w:line="273" w:lineRule="auto"/>
        <w:rPr>
          <w:sz w:val="20"/>
          <w:szCs w:val="20"/>
          <w:color w:val="auto"/>
        </w:rPr>
      </w:pPr>
      <w:r>
        <w:rPr>
          <w:rFonts w:ascii="Arial" w:cs="Arial" w:eastAsia="Arial" w:hAnsi="Arial"/>
          <w:sz w:val="14"/>
          <w:szCs w:val="14"/>
          <w:color w:val="auto"/>
        </w:rPr>
        <w:t>You agree that your obligations not to disclose or to use Proprietary Information and materials containing Proprietary Information and to return materials and tangible property also extends to such types of information, materials and tangible property of customers of the Company or suppliers to the Company or other third parties who may have disclosed or entrusted the same to you or the Company.</w:t>
      </w:r>
    </w:p>
    <w:p>
      <w:pPr>
        <w:spacing w:after="0" w:line="141" w:lineRule="exact"/>
        <w:rPr>
          <w:sz w:val="20"/>
          <w:szCs w:val="20"/>
          <w:color w:val="auto"/>
        </w:rPr>
      </w:pPr>
    </w:p>
    <w:p>
      <w:pPr>
        <w:jc w:val="both"/>
        <w:ind w:firstLine="1042"/>
        <w:spacing w:after="0" w:line="273" w:lineRule="auto"/>
        <w:tabs>
          <w:tab w:leader="none" w:pos="1611" w:val="left"/>
        </w:tabs>
        <w:numPr>
          <w:ilvl w:val="0"/>
          <w:numId w:val="686"/>
        </w:numPr>
        <w:rPr>
          <w:rFonts w:ascii="Arial" w:cs="Arial" w:eastAsia="Arial" w:hAnsi="Arial"/>
          <w:sz w:val="14"/>
          <w:szCs w:val="14"/>
          <w:color w:val="auto"/>
        </w:rPr>
      </w:pPr>
      <w:r>
        <w:rPr>
          <w:rFonts w:ascii="Arial" w:cs="Arial" w:eastAsia="Arial" w:hAnsi="Arial"/>
          <w:sz w:val="14"/>
          <w:szCs w:val="14"/>
          <w:u w:val="single" w:color="auto"/>
          <w:color w:val="auto"/>
        </w:rPr>
        <w:t>Obligations to Third Parties</w:t>
      </w:r>
      <w:r>
        <w:rPr>
          <w:rFonts w:ascii="Arial" w:cs="Arial" w:eastAsia="Arial" w:hAnsi="Arial"/>
          <w:sz w:val="14"/>
          <w:szCs w:val="14"/>
          <w:color w:val="auto"/>
        </w:rPr>
        <w:t>. You represent that your service as a member of the Board does not and will not breach any agreement you have with any current or former employer or any other person (including without limitation any nondisclosure or non-competition agreement), and that you will not disclose to the Company or induce the Company to use any confidential or proprietary information or material belonging to any current or previous employer or others.</w:t>
      </w:r>
    </w:p>
    <w:p>
      <w:pPr>
        <w:spacing w:after="0" w:line="141" w:lineRule="exact"/>
        <w:rPr>
          <w:rFonts w:ascii="Arial" w:cs="Arial" w:eastAsia="Arial" w:hAnsi="Arial"/>
          <w:sz w:val="14"/>
          <w:szCs w:val="14"/>
          <w:color w:val="auto"/>
        </w:rPr>
      </w:pPr>
    </w:p>
    <w:p>
      <w:pPr>
        <w:ind w:firstLine="1042"/>
        <w:spacing w:after="0" w:line="288" w:lineRule="auto"/>
        <w:tabs>
          <w:tab w:leader="none" w:pos="1632" w:val="left"/>
        </w:tabs>
        <w:numPr>
          <w:ilvl w:val="0"/>
          <w:numId w:val="686"/>
        </w:numPr>
        <w:rPr>
          <w:rFonts w:ascii="Arial" w:cs="Arial" w:eastAsia="Arial" w:hAnsi="Arial"/>
          <w:sz w:val="14"/>
          <w:szCs w:val="14"/>
          <w:color w:val="auto"/>
        </w:rPr>
      </w:pP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Nothing contained in this letter agreement shall be construed to create an employer/employee, joint venture, partnership, or principal-agent relationship between you and the Company.</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773" w:val="left"/>
        </w:tabs>
        <w:numPr>
          <w:ilvl w:val="0"/>
          <w:numId w:val="686"/>
        </w:numPr>
        <w:rPr>
          <w:rFonts w:ascii="Arial" w:cs="Arial" w:eastAsia="Arial" w:hAnsi="Arial"/>
          <w:sz w:val="14"/>
          <w:szCs w:val="14"/>
          <w:color w:val="auto"/>
        </w:rPr>
      </w:pPr>
      <w:r>
        <w:rPr>
          <w:rFonts w:ascii="Arial" w:cs="Arial" w:eastAsia="Arial" w:hAnsi="Arial"/>
          <w:sz w:val="14"/>
          <w:szCs w:val="14"/>
          <w:u w:val="single" w:color="auto"/>
          <w:color w:val="auto"/>
        </w:rPr>
        <w:t>Governing Law; Consent to Jurisdiction</w:t>
      </w:r>
      <w:r>
        <w:rPr>
          <w:rFonts w:ascii="Arial" w:cs="Arial" w:eastAsia="Arial" w:hAnsi="Arial"/>
          <w:sz w:val="14"/>
          <w:szCs w:val="14"/>
          <w:color w:val="auto"/>
        </w:rPr>
        <w:t>. This letter agreement shall be interpreted according to and governed by the law of the State of Delaware applicable to agreements made and performed within the State of Delaware without reference to its choice of law rules. The parties to this Agreement hereby consent to the jurisdiction of the courts located in New Castle County, Delaware for any proceeding arising out of or relating to this letter agreement.</w:t>
      </w:r>
    </w:p>
    <w:p>
      <w:pPr>
        <w:spacing w:after="0" w:line="141" w:lineRule="exact"/>
        <w:rPr>
          <w:rFonts w:ascii="Arial" w:cs="Arial" w:eastAsia="Arial" w:hAnsi="Arial"/>
          <w:sz w:val="14"/>
          <w:szCs w:val="14"/>
          <w:color w:val="auto"/>
        </w:rPr>
      </w:pPr>
    </w:p>
    <w:p>
      <w:pPr>
        <w:ind w:firstLine="1042"/>
        <w:spacing w:after="0" w:line="288" w:lineRule="auto"/>
        <w:tabs>
          <w:tab w:leader="none" w:pos="1659" w:val="left"/>
        </w:tabs>
        <w:numPr>
          <w:ilvl w:val="0"/>
          <w:numId w:val="686"/>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letter agreement and the Indemnification Agreement constitute the entire understanding between the parties with respect to the subject matter hereof and supersedes any and all prior understandings, statements, warranties, representations and agreements, both oral and written, relating hereto.</w:t>
      </w:r>
    </w:p>
    <w:p>
      <w:pPr>
        <w:spacing w:after="0" w:line="131" w:lineRule="exact"/>
        <w:rPr>
          <w:rFonts w:ascii="Arial" w:cs="Arial" w:eastAsia="Arial" w:hAnsi="Arial"/>
          <w:sz w:val="14"/>
          <w:szCs w:val="14"/>
          <w:color w:val="auto"/>
        </w:rPr>
      </w:pPr>
    </w:p>
    <w:p>
      <w:pPr>
        <w:ind w:firstLine="1042"/>
        <w:spacing w:after="0" w:line="288" w:lineRule="auto"/>
        <w:tabs>
          <w:tab w:leader="none" w:pos="1751" w:val="left"/>
        </w:tabs>
        <w:numPr>
          <w:ilvl w:val="0"/>
          <w:numId w:val="686"/>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of this letter agreement is held invalid, illegal, or unenforceable by a court of competent jurisdiction, that term shall be severed and the remaining terms shall continue in full force.</w:t>
      </w:r>
    </w:p>
    <w:p>
      <w:pPr>
        <w:spacing w:after="0" w:line="131" w:lineRule="exact"/>
        <w:rPr>
          <w:rFonts w:ascii="Arial" w:cs="Arial" w:eastAsia="Arial" w:hAnsi="Arial"/>
          <w:sz w:val="14"/>
          <w:szCs w:val="14"/>
          <w:color w:val="auto"/>
        </w:rPr>
      </w:pPr>
    </w:p>
    <w:p>
      <w:pPr>
        <w:ind w:firstLine="1042"/>
        <w:spacing w:after="0" w:line="288" w:lineRule="auto"/>
        <w:tabs>
          <w:tab w:leader="none" w:pos="1611" w:val="left"/>
        </w:tabs>
        <w:numPr>
          <w:ilvl w:val="0"/>
          <w:numId w:val="686"/>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letter agreement may be executed in counterparts, including by facsimile signature, each of which shall be deemed an original but all of which taken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69" w:name="page870"/>
    <w:bookmarkEnd w:id="869"/>
    <w:p>
      <w:pPr>
        <w:ind w:left="1040"/>
        <w:spacing w:after="0"/>
        <w:rPr>
          <w:sz w:val="20"/>
          <w:szCs w:val="20"/>
          <w:color w:val="auto"/>
        </w:rPr>
      </w:pPr>
      <w:r>
        <w:rPr>
          <w:rFonts w:ascii="Arial" w:cs="Arial" w:eastAsia="Arial" w:hAnsi="Arial"/>
          <w:sz w:val="13"/>
          <w:szCs w:val="13"/>
          <w:color w:val="auto"/>
        </w:rPr>
        <w:t>If you are in agreement with the terms described above, please return a countersigned copy of this letter to me. We look forward to your continued participation as a member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 Board.</w:t>
      </w:r>
    </w:p>
    <w:p>
      <w:pPr>
        <w:spacing w:after="0" w:line="17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Very truly yours,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Osvaldo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13970</wp:posOffset>
            </wp:positionV>
            <wp:extent cx="1431925" cy="698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431925" cy="6985"/>
                    </a:xfrm>
                    <a:prstGeom prst="rect">
                      <a:avLst/>
                    </a:prstGeom>
                    <a:noFill/>
                  </pic:spPr>
                </pic:pic>
              </a:graphicData>
            </a:graphic>
          </wp:anchor>
        </w:drawing>
      </w:r>
    </w:p>
    <w:p>
      <w:pPr>
        <w:spacing w:after="0" w:line="17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Osvaldo Flores, Ph.D.</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President &amp; 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ACCEPTED AND AGREED TO:</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40" w:type="dxa"/>
            <w:vAlign w:val="bottom"/>
            <w:gridSpan w:val="2"/>
          </w:tcPr>
          <w:p>
            <w:pPr>
              <w:spacing w:after="0"/>
              <w:rPr>
                <w:sz w:val="20"/>
                <w:szCs w:val="20"/>
                <w:color w:val="auto"/>
              </w:rPr>
            </w:pPr>
            <w:r>
              <w:rPr>
                <w:rFonts w:ascii="Arial" w:cs="Arial" w:eastAsia="Arial" w:hAnsi="Arial"/>
                <w:sz w:val="14"/>
                <w:szCs w:val="14"/>
                <w:color w:val="auto"/>
              </w:rPr>
              <w:t>/s/ Joseph Jimenez</w:t>
            </w:r>
          </w:p>
        </w:tc>
        <w:tc>
          <w:tcPr>
            <w:tcW w:w="2260" w:type="dxa"/>
            <w:vAlign w:val="bottom"/>
          </w:tcPr>
          <w:p>
            <w:pPr>
              <w:spacing w:after="0"/>
              <w:rPr>
                <w:sz w:val="20"/>
                <w:szCs w:val="20"/>
                <w:color w:val="auto"/>
              </w:rPr>
            </w:pPr>
            <w:r>
              <w:rPr>
                <w:rFonts w:ascii="Arial" w:cs="Arial" w:eastAsia="Arial" w:hAnsi="Arial"/>
                <w:sz w:val="14"/>
                <w:szCs w:val="14"/>
                <w:color w:val="auto"/>
              </w:rPr>
              <w:t>Feb 16 2021</w:t>
            </w:r>
          </w:p>
        </w:tc>
        <w:tc>
          <w:tcPr>
            <w:tcW w:w="3380" w:type="dxa"/>
            <w:vAlign w:val="bottom"/>
          </w:tcPr>
          <w:p>
            <w:pPr>
              <w:spacing w:after="0"/>
              <w:rPr>
                <w:sz w:val="15"/>
                <w:szCs w:val="15"/>
                <w:color w:val="auto"/>
              </w:rPr>
            </w:pPr>
          </w:p>
        </w:tc>
      </w:tr>
      <w:tr>
        <w:trPr>
          <w:trHeight w:val="174"/>
        </w:trPr>
        <w:tc>
          <w:tcPr>
            <w:tcW w:w="22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Joseph Jimenez</w:t>
            </w:r>
          </w:p>
        </w:tc>
        <w:tc>
          <w:tcPr>
            <w:tcW w:w="3360" w:type="dxa"/>
            <w:vAlign w:val="bottom"/>
          </w:tcPr>
          <w:p>
            <w:pPr>
              <w:spacing w:after="0"/>
              <w:rPr>
                <w:sz w:val="15"/>
                <w:szCs w:val="15"/>
                <w:color w:val="auto"/>
              </w:rPr>
            </w:pPr>
          </w:p>
        </w:tc>
        <w:tc>
          <w:tcPr>
            <w:tcW w:w="2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c>
          <w:tcPr>
            <w:tcW w:w="3380" w:type="dxa"/>
            <w:vAlign w:val="bottom"/>
          </w:tcPr>
          <w:p>
            <w:pPr>
              <w:spacing w:after="0"/>
              <w:rPr>
                <w:sz w:val="15"/>
                <w:szCs w:val="15"/>
                <w:color w:val="auto"/>
              </w:rPr>
            </w:pPr>
          </w:p>
        </w:tc>
      </w:tr>
      <w:tr>
        <w:trPr>
          <w:trHeight w:val="530"/>
        </w:trPr>
        <w:tc>
          <w:tcPr>
            <w:tcW w:w="22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5" w:right="319" w:bottom="1440" w:gutter="0" w:footer="0" w:header="0"/>
        </w:sectPr>
      </w:pPr>
    </w:p>
    <w:bookmarkStart w:id="870" w:name="page871"/>
    <w:bookmarkEnd w:id="870"/>
    <w:p>
      <w:pPr>
        <w:jc w:val="right"/>
        <w:spacing w:after="0"/>
        <w:rPr>
          <w:sz w:val="20"/>
          <w:szCs w:val="20"/>
          <w:color w:val="auto"/>
        </w:rPr>
      </w:pPr>
      <w:r>
        <w:rPr>
          <w:rFonts w:ascii="Arial" w:cs="Arial" w:eastAsia="Arial" w:hAnsi="Arial"/>
          <w:sz w:val="14"/>
          <w:szCs w:val="14"/>
          <w:b w:val="1"/>
          <w:bCs w:val="1"/>
          <w:color w:val="auto"/>
        </w:rPr>
        <w:t>Exhibit 10.37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CENTURY THERAPEUTICS, INC.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2021</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Via e-mail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Cynthia Butitta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21 Montage Way</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Laguna Beach, CA</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92651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E-mail:cynthiabutitta@gmail.com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Dear Cynthia:</w:t>
      </w:r>
    </w:p>
    <w:p>
      <w:pPr>
        <w:spacing w:after="0" w:line="184"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Following our recent discussions, I am very pleased to invite you to serve as member of the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of Century Therapeutics, Inc. (f/k/a Century Therapeutics, LLC, the “</w:t>
      </w:r>
      <w:r>
        <w:rPr>
          <w:rFonts w:ascii="Arial" w:cs="Arial" w:eastAsia="Arial" w:hAnsi="Arial"/>
          <w:sz w:val="14"/>
          <w:szCs w:val="14"/>
          <w:u w:val="single" w:color="auto"/>
          <w:color w:val="auto"/>
        </w:rPr>
        <w:t>Company</w:t>
      </w:r>
      <w:r>
        <w:rPr>
          <w:rFonts w:ascii="Arial" w:cs="Arial" w:eastAsia="Arial" w:hAnsi="Arial"/>
          <w:sz w:val="14"/>
          <w:szCs w:val="14"/>
          <w:color w:val="auto"/>
        </w:rPr>
        <w:t>”), on the terms and subject to the conditions set forth below.</w:t>
      </w:r>
    </w:p>
    <w:p>
      <w:pPr>
        <w:spacing w:after="0" w:line="132" w:lineRule="exact"/>
        <w:rPr>
          <w:sz w:val="20"/>
          <w:szCs w:val="20"/>
          <w:color w:val="auto"/>
        </w:rPr>
      </w:pPr>
    </w:p>
    <w:p>
      <w:pPr>
        <w:jc w:val="both"/>
        <w:ind w:firstLine="1042"/>
        <w:spacing w:after="0" w:line="263" w:lineRule="auto"/>
        <w:tabs>
          <w:tab w:leader="none" w:pos="1805" w:val="left"/>
        </w:tabs>
        <w:numPr>
          <w:ilvl w:val="0"/>
          <w:numId w:val="687"/>
        </w:numPr>
        <w:rPr>
          <w:rFonts w:ascii="Arial" w:cs="Arial" w:eastAsia="Arial" w:hAnsi="Arial"/>
          <w:sz w:val="14"/>
          <w:szCs w:val="14"/>
          <w:color w:val="auto"/>
        </w:rPr>
      </w:pPr>
      <w:r>
        <w:rPr>
          <w:rFonts w:ascii="Arial" w:cs="Arial" w:eastAsia="Arial" w:hAnsi="Arial"/>
          <w:sz w:val="14"/>
          <w:szCs w:val="14"/>
          <w:u w:val="single" w:color="auto"/>
          <w:color w:val="auto"/>
        </w:rPr>
        <w:t>Appointment</w:t>
      </w:r>
      <w:r>
        <w:rPr>
          <w:rFonts w:ascii="Arial" w:cs="Arial" w:eastAsia="Arial" w:hAnsi="Arial"/>
          <w:sz w:val="14"/>
          <w:szCs w:val="14"/>
          <w:color w:val="auto"/>
        </w:rPr>
        <w:t>. Upon your acceptance of this letter, following the conversion of the Company from a Delaware limited liability company to a Delaware corporation (which is anticipated to occur on or before February 25, 2021) (the “</w:t>
      </w:r>
      <w:r>
        <w:rPr>
          <w:rFonts w:ascii="Arial" w:cs="Arial" w:eastAsia="Arial" w:hAnsi="Arial"/>
          <w:sz w:val="14"/>
          <w:szCs w:val="14"/>
          <w:u w:val="single" w:color="auto"/>
          <w:color w:val="auto"/>
        </w:rPr>
        <w:t>Conversion</w:t>
      </w:r>
      <w:r>
        <w:rPr>
          <w:rFonts w:ascii="Arial" w:cs="Arial" w:eastAsia="Arial" w:hAnsi="Arial"/>
          <w:sz w:val="14"/>
          <w:szCs w:val="14"/>
          <w:color w:val="auto"/>
        </w:rPr>
        <w:t>”), and the consummation of an equity financing resulting in gross proceeds to the Company of at least $160,000,000 (the “</w:t>
      </w:r>
      <w:r>
        <w:rPr>
          <w:rFonts w:ascii="Arial" w:cs="Arial" w:eastAsia="Arial" w:hAnsi="Arial"/>
          <w:sz w:val="14"/>
          <w:szCs w:val="14"/>
          <w:u w:val="single" w:color="auto"/>
          <w:color w:val="auto"/>
        </w:rPr>
        <w:t>Series C Financing</w:t>
      </w:r>
      <w:r>
        <w:rPr>
          <w:rFonts w:ascii="Arial" w:cs="Arial" w:eastAsia="Arial" w:hAnsi="Arial"/>
          <w:sz w:val="14"/>
          <w:szCs w:val="14"/>
          <w:color w:val="auto"/>
        </w:rPr>
        <w:t>”), your nomination and election as an independent director will be submitted to the stockholders of the Company for approval. Following your nomination and election, you shall hold office until such time that your successor is duly elected and qualified, or until your earlier death, retirement, resignation or removal from office. The terms and obligations under this letter agreement shall remain in full force and effect until your earlier death, retirement, resignation or removal from the Board; provided that the obligations under Section 6 shall survive indefinitely.</w:t>
      </w:r>
    </w:p>
    <w:p>
      <w:pPr>
        <w:spacing w:after="0" w:line="149" w:lineRule="exact"/>
        <w:rPr>
          <w:rFonts w:ascii="Arial" w:cs="Arial" w:eastAsia="Arial" w:hAnsi="Arial"/>
          <w:sz w:val="14"/>
          <w:szCs w:val="14"/>
          <w:color w:val="auto"/>
        </w:rPr>
      </w:pPr>
    </w:p>
    <w:p>
      <w:pPr>
        <w:jc w:val="both"/>
        <w:ind w:firstLine="1042"/>
        <w:spacing w:after="0" w:line="273" w:lineRule="auto"/>
        <w:tabs>
          <w:tab w:leader="none" w:pos="1805" w:val="left"/>
        </w:tabs>
        <w:numPr>
          <w:ilvl w:val="0"/>
          <w:numId w:val="687"/>
        </w:numPr>
        <w:rPr>
          <w:rFonts w:ascii="Arial" w:cs="Arial" w:eastAsia="Arial" w:hAnsi="Arial"/>
          <w:sz w:val="14"/>
          <w:szCs w:val="14"/>
          <w:color w:val="auto"/>
        </w:rPr>
      </w:pPr>
      <w:r>
        <w:rPr>
          <w:rFonts w:ascii="Arial" w:cs="Arial" w:eastAsia="Arial" w:hAnsi="Arial"/>
          <w:sz w:val="14"/>
          <w:szCs w:val="14"/>
          <w:u w:val="single" w:color="auto"/>
          <w:color w:val="auto"/>
        </w:rPr>
        <w:t>Duties</w:t>
      </w:r>
      <w:r>
        <w:rPr>
          <w:rFonts w:ascii="Arial" w:cs="Arial" w:eastAsia="Arial" w:hAnsi="Arial"/>
          <w:sz w:val="14"/>
          <w:szCs w:val="14"/>
          <w:color w:val="auto"/>
        </w:rPr>
        <w:t>. As an independent director, you will be expected to attend the meetings of the Board and the Committees of the Board on which you serve, as regularly or specially called. Board meetings are scheduled upon prior consultation with directors and are typically held in Philadelphia, PA. You may attend and participate at each such meeting via teleconference, video conference or in person.</w:t>
      </w:r>
    </w:p>
    <w:p>
      <w:pPr>
        <w:spacing w:after="0" w:line="141" w:lineRule="exact"/>
        <w:rPr>
          <w:rFonts w:ascii="Arial" w:cs="Arial" w:eastAsia="Arial" w:hAnsi="Arial"/>
          <w:sz w:val="14"/>
          <w:szCs w:val="14"/>
          <w:color w:val="auto"/>
        </w:rPr>
      </w:pPr>
    </w:p>
    <w:p>
      <w:pPr>
        <w:jc w:val="both"/>
        <w:ind w:firstLine="1042"/>
        <w:spacing w:after="0" w:line="303" w:lineRule="auto"/>
        <w:tabs>
          <w:tab w:leader="none" w:pos="1740" w:val="left"/>
        </w:tabs>
        <w:numPr>
          <w:ilvl w:val="0"/>
          <w:numId w:val="687"/>
        </w:numPr>
        <w:rPr>
          <w:rFonts w:ascii="Arial" w:cs="Arial" w:eastAsia="Arial" w:hAnsi="Arial"/>
          <w:sz w:val="13"/>
          <w:szCs w:val="13"/>
          <w:color w:val="auto"/>
        </w:rPr>
      </w:pPr>
      <w:r>
        <w:rPr>
          <w:rFonts w:ascii="Arial" w:cs="Arial" w:eastAsia="Arial" w:hAnsi="Arial"/>
          <w:sz w:val="13"/>
          <w:szCs w:val="13"/>
          <w:u w:val="single" w:color="auto"/>
          <w:color w:val="auto"/>
        </w:rPr>
        <w:t>Fiduciary Obligations; Governance</w:t>
      </w:r>
      <w:r>
        <w:rPr>
          <w:rFonts w:ascii="Arial" w:cs="Arial" w:eastAsia="Arial" w:hAnsi="Arial"/>
          <w:sz w:val="13"/>
          <w:szCs w:val="13"/>
          <w:color w:val="auto"/>
        </w:rPr>
        <w:t>. The Company is governed by Delaware law. The structure, practices and authority of the Board, including matters relating to the size and composition of the Board, the election and removal of directors, requirements relating to Board action and the appointment of executive officers, effective as of the Conversion, will be governed by the Company’s Amended and Restated Certificate of Incorporation and Bylaws, as each may be amended from time to time (the “</w:t>
      </w:r>
      <w:r>
        <w:rPr>
          <w:rFonts w:ascii="Arial" w:cs="Arial" w:eastAsia="Arial" w:hAnsi="Arial"/>
          <w:sz w:val="13"/>
          <w:szCs w:val="13"/>
          <w:u w:val="single" w:color="auto"/>
          <w:color w:val="auto"/>
        </w:rPr>
        <w:t>Organizational Documents</w:t>
      </w:r>
      <w:r>
        <w:rPr>
          <w:rFonts w:ascii="Arial" w:cs="Arial" w:eastAsia="Arial" w:hAnsi="Arial"/>
          <w:sz w:val="13"/>
          <w:szCs w:val="13"/>
          <w:color w:val="auto"/>
        </w:rPr>
        <w:t>”).</w:t>
      </w:r>
    </w:p>
    <w:p>
      <w:pPr>
        <w:spacing w:after="0" w:line="124" w:lineRule="exact"/>
        <w:rPr>
          <w:rFonts w:ascii="Arial" w:cs="Arial" w:eastAsia="Arial" w:hAnsi="Arial"/>
          <w:sz w:val="13"/>
          <w:szCs w:val="13"/>
          <w:color w:val="auto"/>
        </w:rPr>
      </w:pPr>
    </w:p>
    <w:p>
      <w:pPr>
        <w:ind w:left="1720" w:hanging="678"/>
        <w:spacing w:after="0"/>
        <w:tabs>
          <w:tab w:leader="none" w:pos="1720" w:val="left"/>
        </w:tabs>
        <w:numPr>
          <w:ilvl w:val="0"/>
          <w:numId w:val="687"/>
        </w:numPr>
        <w:rPr>
          <w:rFonts w:ascii="Arial" w:cs="Arial" w:eastAsia="Arial" w:hAnsi="Arial"/>
          <w:sz w:val="14"/>
          <w:szCs w:val="14"/>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 As consideration for your service as a member of the Board, the Company will pay you the following compensation:</w:t>
      </w:r>
    </w:p>
    <w:p>
      <w:pPr>
        <w:spacing w:after="0" w:line="184" w:lineRule="exact"/>
        <w:rPr>
          <w:sz w:val="20"/>
          <w:szCs w:val="20"/>
          <w:color w:val="auto"/>
        </w:rPr>
      </w:pPr>
    </w:p>
    <w:p>
      <w:pPr>
        <w:ind w:firstLine="1042"/>
        <w:spacing w:after="0" w:line="288" w:lineRule="auto"/>
        <w:tabs>
          <w:tab w:leader="none" w:pos="1731" w:val="left"/>
        </w:tabs>
        <w:numPr>
          <w:ilvl w:val="0"/>
          <w:numId w:val="688"/>
        </w:numPr>
        <w:rPr>
          <w:rFonts w:ascii="Arial" w:cs="Arial" w:eastAsia="Arial" w:hAnsi="Arial"/>
          <w:sz w:val="14"/>
          <w:szCs w:val="14"/>
          <w:color w:val="auto"/>
        </w:rPr>
      </w:pPr>
      <w:r>
        <w:rPr>
          <w:rFonts w:ascii="Arial" w:cs="Arial" w:eastAsia="Arial" w:hAnsi="Arial"/>
          <w:sz w:val="14"/>
          <w:szCs w:val="14"/>
          <w:u w:val="single" w:color="auto"/>
          <w:color w:val="auto"/>
        </w:rPr>
        <w:t>Equity Award</w:t>
      </w:r>
      <w:r>
        <w:rPr>
          <w:rFonts w:ascii="Arial" w:cs="Arial" w:eastAsia="Arial" w:hAnsi="Arial"/>
          <w:sz w:val="14"/>
          <w:szCs w:val="14"/>
          <w:color w:val="auto"/>
        </w:rPr>
        <w:t>. Subject to the approval of the Board, upon the closing of the Series C Financing, the Company will grant to you a one-time nonqualified stock option exercisable for the purchase of 375,465 shares of the Company’s common stock,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323215</wp:posOffset>
            </wp:positionV>
            <wp:extent cx="7159625" cy="698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71" w:name="page872"/>
    <w:bookmarkEnd w:id="871"/>
    <w:p>
      <w:pPr>
        <w:jc w:val="both"/>
        <w:spacing w:after="0" w:line="262" w:lineRule="auto"/>
        <w:rPr>
          <w:sz w:val="20"/>
          <w:szCs w:val="20"/>
          <w:color w:val="auto"/>
        </w:rPr>
      </w:pPr>
      <w:r>
        <w:rPr>
          <w:rFonts w:ascii="Arial" w:cs="Arial" w:eastAsia="Arial" w:hAnsi="Arial"/>
          <w:sz w:val="14"/>
          <w:szCs w:val="14"/>
          <w:color w:val="auto"/>
        </w:rPr>
        <w:t>per share (the “</w:t>
      </w:r>
      <w:r>
        <w:rPr>
          <w:rFonts w:ascii="Arial" w:cs="Arial" w:eastAsia="Arial" w:hAnsi="Arial"/>
          <w:sz w:val="14"/>
          <w:szCs w:val="14"/>
          <w:u w:val="single" w:color="auto"/>
          <w:color w:val="auto"/>
        </w:rPr>
        <w:t>Option</w:t>
      </w:r>
      <w:r>
        <w:rPr>
          <w:rFonts w:ascii="Arial" w:cs="Arial" w:eastAsia="Arial" w:hAnsi="Arial"/>
          <w:sz w:val="14"/>
          <w:szCs w:val="14"/>
          <w:color w:val="auto"/>
        </w:rPr>
        <w:t>”), which, following the closing of the Series C Financing, is equal to 0.3% of the Company measured on a fully diluted basis. The Option will: (i) be subject to the terms and conditions of the Century Therapeutics, Inc. 2018 Stock Option and Grant Plan (as amended, restated or otherwise modified from time to time, the “</w:t>
      </w:r>
      <w:r>
        <w:rPr>
          <w:rFonts w:ascii="Arial" w:cs="Arial" w:eastAsia="Arial" w:hAnsi="Arial"/>
          <w:sz w:val="14"/>
          <w:szCs w:val="14"/>
          <w:u w:val="single" w:color="auto"/>
          <w:color w:val="auto"/>
        </w:rPr>
        <w:t>Plan</w:t>
      </w:r>
      <w:r>
        <w:rPr>
          <w:rFonts w:ascii="Arial" w:cs="Arial" w:eastAsia="Arial" w:hAnsi="Arial"/>
          <w:sz w:val="14"/>
          <w:szCs w:val="14"/>
          <w:color w:val="auto"/>
        </w:rPr>
        <w:t>”) and the Non-Qualified Stock Option Agreement by and between you and the Company (the “</w:t>
      </w:r>
      <w:r>
        <w:rPr>
          <w:rFonts w:ascii="Arial" w:cs="Arial" w:eastAsia="Arial" w:hAnsi="Arial"/>
          <w:sz w:val="14"/>
          <w:szCs w:val="14"/>
          <w:u w:val="single" w:color="auto"/>
          <w:color w:val="auto"/>
        </w:rPr>
        <w:t>Award Agreement</w:t>
      </w:r>
      <w:r>
        <w:rPr>
          <w:rFonts w:ascii="Arial" w:cs="Arial" w:eastAsia="Arial" w:hAnsi="Arial"/>
          <w:sz w:val="14"/>
          <w:szCs w:val="14"/>
          <w:color w:val="auto"/>
        </w:rPr>
        <w:t>”), (ii) have an exercise price per share equal to the fair market value per share of Common Stock on the date of the grant, as determined by the Board, and (iii) be subject to vesting requirements such that 25% of the shares of Common Stock underlying the Option shall vest on the first anniversary of the date of grant, and thereafter, the remaining 75% of the shares of Common Stock underlying the Option shall vest in 36 substantially equal monthly installments, in each case if you continue to provide services to the Company as of the applicable vesting date; provided, however, that any then-unvested portion of the Option shall automatically vest upon the closing of a Sale Event (as defined in the Plan) if you continue to provide services to the Company through such event.</w:t>
      </w:r>
    </w:p>
    <w:p>
      <w:pPr>
        <w:spacing w:after="0" w:line="151" w:lineRule="exact"/>
        <w:rPr>
          <w:sz w:val="20"/>
          <w:szCs w:val="20"/>
          <w:color w:val="auto"/>
        </w:rPr>
      </w:pPr>
    </w:p>
    <w:p>
      <w:pPr>
        <w:ind w:firstLine="1560"/>
        <w:spacing w:after="0" w:line="288" w:lineRule="auto"/>
        <w:tabs>
          <w:tab w:leader="none" w:pos="2056" w:val="left"/>
        </w:tabs>
        <w:numPr>
          <w:ilvl w:val="1"/>
          <w:numId w:val="689"/>
        </w:numPr>
        <w:rPr>
          <w:rFonts w:ascii="Arial" w:cs="Arial" w:eastAsia="Arial" w:hAnsi="Arial"/>
          <w:sz w:val="14"/>
          <w:szCs w:val="14"/>
          <w:color w:val="auto"/>
        </w:rPr>
      </w:pPr>
      <w:r>
        <w:rPr>
          <w:rFonts w:ascii="Arial" w:cs="Arial" w:eastAsia="Arial" w:hAnsi="Arial"/>
          <w:sz w:val="14"/>
          <w:szCs w:val="14"/>
          <w:u w:val="single" w:color="auto"/>
          <w:color w:val="auto"/>
        </w:rPr>
        <w:t>Annual Retainer</w:t>
      </w:r>
      <w:r>
        <w:rPr>
          <w:rFonts w:ascii="Arial" w:cs="Arial" w:eastAsia="Arial" w:hAnsi="Arial"/>
          <w:sz w:val="14"/>
          <w:szCs w:val="14"/>
          <w:color w:val="auto"/>
        </w:rPr>
        <w:t>. Subject to approval by the Board, for so long as you continue to serve as a director of the Company, you shall be entitled to receive an annual retainer of $25,000, payable on a quarterly basis. Such retainer shall be pro-rated for any partial year.</w:t>
      </w:r>
    </w:p>
    <w:p>
      <w:pPr>
        <w:spacing w:after="0" w:line="131" w:lineRule="exact"/>
        <w:rPr>
          <w:rFonts w:ascii="Arial" w:cs="Arial" w:eastAsia="Arial" w:hAnsi="Arial"/>
          <w:sz w:val="14"/>
          <w:szCs w:val="14"/>
          <w:color w:val="auto"/>
        </w:rPr>
      </w:pPr>
    </w:p>
    <w:p>
      <w:pPr>
        <w:ind w:firstLine="1042"/>
        <w:spacing w:after="0" w:line="288" w:lineRule="auto"/>
        <w:tabs>
          <w:tab w:leader="none" w:pos="1773" w:val="left"/>
        </w:tabs>
        <w:numPr>
          <w:ilvl w:val="0"/>
          <w:numId w:val="690"/>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Company will pay or reimburse the reasonable, authorized expenses incurred by you in the discharge of your duties as a director, in accordance with the general practices and policies of the Company and upon the submission of appropriate documentation.</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729" w:val="left"/>
        </w:tabs>
        <w:numPr>
          <w:ilvl w:val="0"/>
          <w:numId w:val="690"/>
        </w:numPr>
        <w:rPr>
          <w:rFonts w:ascii="Arial" w:cs="Arial" w:eastAsia="Arial" w:hAnsi="Arial"/>
          <w:sz w:val="14"/>
          <w:szCs w:val="14"/>
          <w:color w:val="auto"/>
        </w:rPr>
      </w:pPr>
      <w:r>
        <w:rPr>
          <w:rFonts w:ascii="Arial" w:cs="Arial" w:eastAsia="Arial" w:hAnsi="Arial"/>
          <w:sz w:val="14"/>
          <w:szCs w:val="14"/>
          <w:u w:val="single" w:color="auto"/>
          <w:color w:val="auto"/>
        </w:rPr>
        <w:t>Indemnification; Insurance</w:t>
      </w:r>
      <w:r>
        <w:rPr>
          <w:rFonts w:ascii="Arial" w:cs="Arial" w:eastAsia="Arial" w:hAnsi="Arial"/>
          <w:sz w:val="14"/>
          <w:szCs w:val="14"/>
          <w:color w:val="auto"/>
        </w:rPr>
        <w:t>. As a director, you will be entitled to indemnification under the Company’s Organizational Documents and an Indemnification Agreement to be entered into between the Company and you (the “</w:t>
      </w:r>
      <w:r>
        <w:rPr>
          <w:rFonts w:ascii="Arial" w:cs="Arial" w:eastAsia="Arial" w:hAnsi="Arial"/>
          <w:sz w:val="14"/>
          <w:szCs w:val="14"/>
          <w:u w:val="single" w:color="auto"/>
          <w:color w:val="auto"/>
        </w:rPr>
        <w:t>Indemnification Agreement</w:t>
      </w:r>
      <w:r>
        <w:rPr>
          <w:rFonts w:ascii="Arial" w:cs="Arial" w:eastAsia="Arial" w:hAnsi="Arial"/>
          <w:sz w:val="14"/>
          <w:szCs w:val="14"/>
          <w:color w:val="auto"/>
        </w:rPr>
        <w:t>”). In addition, the Company will also carry director and officer liability insurance and you will be a covered person under any such policy maintained by the Company during the term of your service on the Board.</w:t>
      </w:r>
    </w:p>
    <w:p>
      <w:pPr>
        <w:spacing w:after="0" w:line="141" w:lineRule="exact"/>
        <w:rPr>
          <w:rFonts w:ascii="Arial" w:cs="Arial" w:eastAsia="Arial" w:hAnsi="Arial"/>
          <w:sz w:val="14"/>
          <w:szCs w:val="14"/>
          <w:color w:val="auto"/>
        </w:rPr>
      </w:pPr>
    </w:p>
    <w:p>
      <w:pPr>
        <w:jc w:val="both"/>
        <w:ind w:firstLine="1042"/>
        <w:spacing w:after="0" w:line="284" w:lineRule="auto"/>
        <w:tabs>
          <w:tab w:leader="none" w:pos="1859" w:val="left"/>
        </w:tabs>
        <w:numPr>
          <w:ilvl w:val="0"/>
          <w:numId w:val="690"/>
        </w:numPr>
        <w:rPr>
          <w:rFonts w:ascii="Arial" w:cs="Arial" w:eastAsia="Arial" w:hAnsi="Arial"/>
          <w:sz w:val="13"/>
          <w:szCs w:val="13"/>
          <w:color w:val="auto"/>
        </w:rPr>
      </w:pPr>
      <w:r>
        <w:rPr>
          <w:rFonts w:ascii="Arial" w:cs="Arial" w:eastAsia="Arial" w:hAnsi="Arial"/>
          <w:sz w:val="13"/>
          <w:szCs w:val="13"/>
          <w:u w:val="single" w:color="auto"/>
          <w:color w:val="auto"/>
        </w:rPr>
        <w:t>Proprietary Information</w:t>
      </w:r>
      <w:r>
        <w:rPr>
          <w:rFonts w:ascii="Arial" w:cs="Arial" w:eastAsia="Arial" w:hAnsi="Arial"/>
          <w:sz w:val="13"/>
          <w:szCs w:val="13"/>
          <w:color w:val="auto"/>
        </w:rPr>
        <w:t>. You agree that all information, whether or not in writing, of a private, secret or confidential nature concerning the Company’s business, business relationships or financial affairs (collectively, “</w:t>
      </w:r>
      <w:r>
        <w:rPr>
          <w:rFonts w:ascii="Arial" w:cs="Arial" w:eastAsia="Arial" w:hAnsi="Arial"/>
          <w:sz w:val="13"/>
          <w:szCs w:val="13"/>
          <w:u w:val="single" w:color="auto"/>
          <w:color w:val="auto"/>
        </w:rPr>
        <w:t>Proprietary Information</w:t>
      </w:r>
      <w:r>
        <w:rPr>
          <w:rFonts w:ascii="Arial" w:cs="Arial" w:eastAsia="Arial" w:hAnsi="Arial"/>
          <w:sz w:val="13"/>
          <w:szCs w:val="13"/>
          <w:color w:val="auto"/>
        </w:rPr>
        <w:t>”) is and shall be the exclusive property of the Company. In consideration for the Company sharing with you the Company’s Proprietary Information, you agree (a) that you will not disclose any Proprietary Information to any person or entity other than employees or advisors of the Company or use the same for any purposes (other than in the performance of your duties as a member of the Board) without written approval by an officer of the Company, either during or after you serve as a member of the Board, unless and until such Proprietary Information has become public knowledge without your fault, and (b) that any materials containing Proprietary Information which shall come into your custody or possession shall be and are the exclusive property of the Company to be used only in the performance of your duties for the Company. All such materials or copies thereof and all tangible property of the Company in your custody or possession shall be delivered to the Company or destroyed, at the Company’s election, upon the earlier of (i) the Company’s request or (ii) termination of your service on the Board. After such delivery or destruction, you shall not retain any such materials or copies thereof or any such tangible property. You agree that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327660</wp:posOffset>
            </wp:positionV>
            <wp:extent cx="7159625" cy="698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72" w:name="page873"/>
    <w:bookmarkEnd w:id="872"/>
    <w:p>
      <w:pPr>
        <w:jc w:val="both"/>
        <w:spacing w:after="0" w:line="329" w:lineRule="auto"/>
        <w:rPr>
          <w:sz w:val="20"/>
          <w:szCs w:val="20"/>
          <w:color w:val="auto"/>
        </w:rPr>
      </w:pPr>
      <w:r>
        <w:rPr>
          <w:rFonts w:ascii="Arial" w:cs="Arial" w:eastAsia="Arial" w:hAnsi="Arial"/>
          <w:sz w:val="13"/>
          <w:szCs w:val="13"/>
          <w:color w:val="auto"/>
        </w:rPr>
        <w:t>obligations not to disclose or to use Proprietary Information and materials containing Proprietary Information and to return materials and tangible property also extends to such types of information, materials and tangible property of customers of the Company or suppliers to the Company or other third parties who may have disclosed or entrusted the same to you or the Company.</w:t>
      </w:r>
    </w:p>
    <w:p>
      <w:pPr>
        <w:spacing w:after="0" w:line="108" w:lineRule="exact"/>
        <w:rPr>
          <w:sz w:val="20"/>
          <w:szCs w:val="20"/>
          <w:color w:val="auto"/>
        </w:rPr>
      </w:pPr>
    </w:p>
    <w:p>
      <w:pPr>
        <w:jc w:val="both"/>
        <w:ind w:firstLine="1042"/>
        <w:spacing w:after="0" w:line="273" w:lineRule="auto"/>
        <w:tabs>
          <w:tab w:leader="none" w:pos="1837" w:val="left"/>
        </w:tabs>
        <w:numPr>
          <w:ilvl w:val="0"/>
          <w:numId w:val="691"/>
        </w:numPr>
        <w:rPr>
          <w:rFonts w:ascii="Arial" w:cs="Arial" w:eastAsia="Arial" w:hAnsi="Arial"/>
          <w:sz w:val="14"/>
          <w:szCs w:val="14"/>
          <w:color w:val="auto"/>
        </w:rPr>
      </w:pPr>
      <w:r>
        <w:rPr>
          <w:rFonts w:ascii="Arial" w:cs="Arial" w:eastAsia="Arial" w:hAnsi="Arial"/>
          <w:sz w:val="14"/>
          <w:szCs w:val="14"/>
          <w:u w:val="single" w:color="auto"/>
          <w:color w:val="auto"/>
        </w:rPr>
        <w:t>Obligations to Third Parties</w:t>
      </w:r>
      <w:r>
        <w:rPr>
          <w:rFonts w:ascii="Arial" w:cs="Arial" w:eastAsia="Arial" w:hAnsi="Arial"/>
          <w:sz w:val="14"/>
          <w:szCs w:val="14"/>
          <w:color w:val="auto"/>
        </w:rPr>
        <w:t>. You represent that your service as a member of the Board does not and will not breach any agreement you have with any current or former employer or any other person (including without limitation any nondisclosure or non-competition agreement), and that you will not disclose to the Company or induce the Company to use any confidential or proprietary information or material belonging to any current or previous employer or others.</w:t>
      </w:r>
    </w:p>
    <w:p>
      <w:pPr>
        <w:spacing w:after="0" w:line="141" w:lineRule="exact"/>
        <w:rPr>
          <w:rFonts w:ascii="Arial" w:cs="Arial" w:eastAsia="Arial" w:hAnsi="Arial"/>
          <w:sz w:val="14"/>
          <w:szCs w:val="14"/>
          <w:color w:val="auto"/>
        </w:rPr>
      </w:pPr>
    </w:p>
    <w:p>
      <w:pPr>
        <w:ind w:firstLine="1042"/>
        <w:spacing w:after="0" w:line="288" w:lineRule="auto"/>
        <w:tabs>
          <w:tab w:leader="none" w:pos="1837" w:val="left"/>
        </w:tabs>
        <w:numPr>
          <w:ilvl w:val="0"/>
          <w:numId w:val="691"/>
        </w:numPr>
        <w:rPr>
          <w:rFonts w:ascii="Arial" w:cs="Arial" w:eastAsia="Arial" w:hAnsi="Arial"/>
          <w:sz w:val="14"/>
          <w:szCs w:val="14"/>
          <w:color w:val="auto"/>
        </w:rPr>
      </w:pP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Nothing contained in this letter agreement shall be construed to create an employer/employee, joint venture, partnership, or principal-agent relationship between you and the Company.</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859" w:val="left"/>
        </w:tabs>
        <w:numPr>
          <w:ilvl w:val="0"/>
          <w:numId w:val="691"/>
        </w:numPr>
        <w:rPr>
          <w:rFonts w:ascii="Arial" w:cs="Arial" w:eastAsia="Arial" w:hAnsi="Arial"/>
          <w:sz w:val="14"/>
          <w:szCs w:val="14"/>
          <w:color w:val="auto"/>
        </w:rPr>
      </w:pPr>
      <w:r>
        <w:rPr>
          <w:rFonts w:ascii="Arial" w:cs="Arial" w:eastAsia="Arial" w:hAnsi="Arial"/>
          <w:sz w:val="14"/>
          <w:szCs w:val="14"/>
          <w:u w:val="single" w:color="auto"/>
          <w:color w:val="auto"/>
        </w:rPr>
        <w:t>Governing Law; Consent to Jurisdiction</w:t>
      </w:r>
      <w:r>
        <w:rPr>
          <w:rFonts w:ascii="Arial" w:cs="Arial" w:eastAsia="Arial" w:hAnsi="Arial"/>
          <w:sz w:val="14"/>
          <w:szCs w:val="14"/>
          <w:color w:val="auto"/>
        </w:rPr>
        <w:t>. This letter agreement shall be interpreted according to and governed by the law of the State of Delaware applicable to agreements made and performed within the State of Delaware without reference to its choice of law rules. The parties to this Agreement hereby consent to the jurisdiction of the courts located in New Castle County, Delaware for any proceeding arising out of or relating to this letter agreement.</w:t>
      </w:r>
    </w:p>
    <w:p>
      <w:pPr>
        <w:spacing w:after="0" w:line="141" w:lineRule="exact"/>
        <w:rPr>
          <w:rFonts w:ascii="Arial" w:cs="Arial" w:eastAsia="Arial" w:hAnsi="Arial"/>
          <w:sz w:val="14"/>
          <w:szCs w:val="14"/>
          <w:color w:val="auto"/>
        </w:rPr>
      </w:pPr>
    </w:p>
    <w:p>
      <w:pPr>
        <w:ind w:firstLine="1042"/>
        <w:spacing w:after="0" w:line="288" w:lineRule="auto"/>
        <w:tabs>
          <w:tab w:leader="none" w:pos="1724" w:val="left"/>
        </w:tabs>
        <w:numPr>
          <w:ilvl w:val="0"/>
          <w:numId w:val="691"/>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letter agreement and the Indemnification Agreement constitute the entire understanding between the parties with respect to the subject matter hereof and supersedes any and all prior understandings, statements, warranties, representations and agreements, both oral and written, relating hereto.</w:t>
      </w:r>
    </w:p>
    <w:p>
      <w:pPr>
        <w:spacing w:after="0" w:line="131" w:lineRule="exact"/>
        <w:rPr>
          <w:rFonts w:ascii="Arial" w:cs="Arial" w:eastAsia="Arial" w:hAnsi="Arial"/>
          <w:sz w:val="14"/>
          <w:szCs w:val="14"/>
          <w:color w:val="auto"/>
        </w:rPr>
      </w:pPr>
    </w:p>
    <w:p>
      <w:pPr>
        <w:ind w:firstLine="1042"/>
        <w:spacing w:after="0" w:line="288" w:lineRule="auto"/>
        <w:tabs>
          <w:tab w:leader="none" w:pos="1848" w:val="left"/>
        </w:tabs>
        <w:numPr>
          <w:ilvl w:val="0"/>
          <w:numId w:val="691"/>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of this letter agreement is held invalid, illegal, or unenforceable by a court of competent jurisdiction, that term shall be severed and the remaining terms shall continue in full force.</w:t>
      </w:r>
    </w:p>
    <w:p>
      <w:pPr>
        <w:spacing w:after="0" w:line="131" w:lineRule="exact"/>
        <w:rPr>
          <w:rFonts w:ascii="Arial" w:cs="Arial" w:eastAsia="Arial" w:hAnsi="Arial"/>
          <w:sz w:val="14"/>
          <w:szCs w:val="14"/>
          <w:color w:val="auto"/>
        </w:rPr>
      </w:pPr>
    </w:p>
    <w:p>
      <w:pPr>
        <w:ind w:firstLine="1042"/>
        <w:spacing w:after="0" w:line="288" w:lineRule="auto"/>
        <w:tabs>
          <w:tab w:leader="none" w:pos="1816" w:val="left"/>
        </w:tabs>
        <w:numPr>
          <w:ilvl w:val="0"/>
          <w:numId w:val="691"/>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letter agreement may be executed in counterparts, including by facsimile signature, each of which shall be deemed an original but all of which taken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873" w:name="page874"/>
    <w:bookmarkEnd w:id="873"/>
    <w:p>
      <w:pPr>
        <w:ind w:left="1040"/>
        <w:spacing w:after="0"/>
        <w:rPr>
          <w:sz w:val="20"/>
          <w:szCs w:val="20"/>
          <w:color w:val="auto"/>
        </w:rPr>
      </w:pPr>
      <w:r>
        <w:rPr>
          <w:rFonts w:ascii="Arial" w:cs="Arial" w:eastAsia="Arial" w:hAnsi="Arial"/>
          <w:sz w:val="13"/>
          <w:szCs w:val="13"/>
          <w:color w:val="auto"/>
        </w:rPr>
        <w:t>If you are in agreement with the terms described above, please return a countersigned copy of this letter to me. We look forward to your participation as a member of the Board.</w:t>
      </w:r>
    </w:p>
    <w:p>
      <w:pPr>
        <w:sectPr>
          <w:pgSz w:w="11900" w:h="16838" w:orient="portrait"/>
          <w:cols w:equalWidth="0" w:num="1">
            <w:col w:w="11180"/>
          </w:cols>
          <w:pgMar w:left="300" w:top="75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ACCEPTED AND AGREED TO:</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/s/ Cynthia Butitta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438910" cy="698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438910"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Cynthia Butitta</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Very truly yours,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 Osvaldo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431925" cy="698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43192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Osvaldo Flores, Ph.D.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1431925" cy="698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431925" cy="698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356870</wp:posOffset>
            </wp:positionV>
            <wp:extent cx="7159625" cy="698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2">
            <w:col w:w="4920" w:space="720"/>
            <w:col w:w="5540"/>
          </w:cols>
          <w:pgMar w:left="300" w:top="755" w:right="419" w:bottom="1440" w:gutter="0" w:footer="0" w:header="0"/>
          <w:type w:val="continuous"/>
        </w:sectPr>
      </w:pPr>
    </w:p>
    <w:bookmarkStart w:id="874" w:name="page875"/>
    <w:bookmarkEnd w:id="874"/>
    <w:p>
      <w:pPr>
        <w:jc w:val="right"/>
        <w:spacing w:after="0"/>
        <w:rPr>
          <w:sz w:val="20"/>
          <w:szCs w:val="20"/>
          <w:color w:val="auto"/>
        </w:rPr>
      </w:pPr>
      <w:r>
        <w:rPr>
          <w:rFonts w:ascii="Arial" w:cs="Arial" w:eastAsia="Arial" w:hAnsi="Arial"/>
          <w:sz w:val="17"/>
          <w:szCs w:val="17"/>
          <w:b w:val="1"/>
          <w:bCs w:val="1"/>
          <w:color w:val="auto"/>
        </w:rPr>
        <w:t>Exhibit 10.38</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Kimberly L. Blackwell MD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Via email – [***]</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RE: Director Engagement Offer Letter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Dear Kimberly:</w:t>
      </w:r>
    </w:p>
    <w:p>
      <w:pPr>
        <w:spacing w:after="0" w:line="184"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Following our recent discussions, I am very pleased to invite you to serve as member of the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of Century Therapeutics, Inc. (the “</w:t>
      </w:r>
      <w:r>
        <w:rPr>
          <w:rFonts w:ascii="Arial" w:cs="Arial" w:eastAsia="Arial" w:hAnsi="Arial"/>
          <w:sz w:val="14"/>
          <w:szCs w:val="14"/>
          <w:u w:val="single" w:color="auto"/>
          <w:color w:val="auto"/>
        </w:rPr>
        <w:t>Company</w:t>
      </w:r>
      <w:r>
        <w:rPr>
          <w:rFonts w:ascii="Arial" w:cs="Arial" w:eastAsia="Arial" w:hAnsi="Arial"/>
          <w:sz w:val="14"/>
          <w:szCs w:val="14"/>
          <w:color w:val="auto"/>
        </w:rPr>
        <w:t>”), on the terms and subject to the conditions set forth below.</w:t>
      </w:r>
    </w:p>
    <w:p>
      <w:pPr>
        <w:spacing w:after="0" w:line="132" w:lineRule="exact"/>
        <w:rPr>
          <w:sz w:val="20"/>
          <w:szCs w:val="20"/>
          <w:color w:val="auto"/>
        </w:rPr>
      </w:pPr>
    </w:p>
    <w:p>
      <w:pPr>
        <w:jc w:val="both"/>
        <w:ind w:firstLine="1042"/>
        <w:spacing w:after="0" w:line="267" w:lineRule="auto"/>
        <w:tabs>
          <w:tab w:leader="none" w:pos="1467" w:val="left"/>
        </w:tabs>
        <w:numPr>
          <w:ilvl w:val="1"/>
          <w:numId w:val="692"/>
        </w:numPr>
        <w:rPr>
          <w:rFonts w:ascii="Arial" w:cs="Arial" w:eastAsia="Arial" w:hAnsi="Arial"/>
          <w:sz w:val="14"/>
          <w:szCs w:val="14"/>
          <w:color w:val="auto"/>
        </w:rPr>
      </w:pPr>
      <w:r>
        <w:rPr>
          <w:rFonts w:ascii="Arial" w:cs="Arial" w:eastAsia="Arial" w:hAnsi="Arial"/>
          <w:sz w:val="14"/>
          <w:szCs w:val="14"/>
          <w:u w:val="single" w:color="auto"/>
          <w:color w:val="auto"/>
        </w:rPr>
        <w:t>Appointment</w:t>
      </w:r>
      <w:r>
        <w:rPr>
          <w:rFonts w:ascii="Arial" w:cs="Arial" w:eastAsia="Arial" w:hAnsi="Arial"/>
          <w:sz w:val="14"/>
          <w:szCs w:val="14"/>
          <w:color w:val="auto"/>
        </w:rPr>
        <w:t>. Upon your acceptance of this letter, your nomination and election as an independent director will be submitted to the Company’s Board and stockholders for approval. Following your nomination and election, you shall hold office until such time that your successor is duly elected and qualified, or until your earlier death, retirement, resignation or removal from office. The terms and obligations under this letter agreement shall remain in full force and effect until your earlier death, retirement, resignation or removal from the Board; provided that the obligations under Section 6 shall survive indefinitely.</w:t>
      </w:r>
    </w:p>
    <w:p>
      <w:pPr>
        <w:spacing w:after="0" w:line="146" w:lineRule="exact"/>
        <w:rPr>
          <w:rFonts w:ascii="Arial" w:cs="Arial" w:eastAsia="Arial" w:hAnsi="Arial"/>
          <w:sz w:val="14"/>
          <w:szCs w:val="14"/>
          <w:color w:val="auto"/>
        </w:rPr>
      </w:pPr>
    </w:p>
    <w:p>
      <w:pPr>
        <w:jc w:val="both"/>
        <w:ind w:firstLine="1042"/>
        <w:spacing w:after="0" w:line="273" w:lineRule="auto"/>
        <w:tabs>
          <w:tab w:leader="none" w:pos="1478" w:val="left"/>
        </w:tabs>
        <w:numPr>
          <w:ilvl w:val="1"/>
          <w:numId w:val="692"/>
        </w:numPr>
        <w:rPr>
          <w:rFonts w:ascii="Arial" w:cs="Arial" w:eastAsia="Arial" w:hAnsi="Arial"/>
          <w:sz w:val="14"/>
          <w:szCs w:val="14"/>
          <w:color w:val="auto"/>
        </w:rPr>
      </w:pPr>
      <w:r>
        <w:rPr>
          <w:rFonts w:ascii="Arial" w:cs="Arial" w:eastAsia="Arial" w:hAnsi="Arial"/>
          <w:sz w:val="14"/>
          <w:szCs w:val="14"/>
          <w:u w:val="single" w:color="auto"/>
          <w:color w:val="auto"/>
        </w:rPr>
        <w:t>Duties</w:t>
      </w:r>
      <w:r>
        <w:rPr>
          <w:rFonts w:ascii="Arial" w:cs="Arial" w:eastAsia="Arial" w:hAnsi="Arial"/>
          <w:sz w:val="14"/>
          <w:szCs w:val="14"/>
          <w:color w:val="auto"/>
        </w:rPr>
        <w:t>. As an independent director, you will be expected to attend the meetings of the Board and the Committees of the Board on which you serve, as regularly or specially called. Board meetings are scheduled upon prior consultation with directors and are typically held in Philadelphia, PA. You may attend and participate at each such meeting via teleconference, video conference or in person.</w:t>
      </w:r>
    </w:p>
    <w:p>
      <w:pPr>
        <w:spacing w:after="0" w:line="141" w:lineRule="exact"/>
        <w:rPr>
          <w:rFonts w:ascii="Arial" w:cs="Arial" w:eastAsia="Arial" w:hAnsi="Arial"/>
          <w:sz w:val="14"/>
          <w:szCs w:val="14"/>
          <w:color w:val="auto"/>
        </w:rPr>
      </w:pPr>
    </w:p>
    <w:p>
      <w:pPr>
        <w:jc w:val="both"/>
        <w:ind w:firstLine="1042"/>
        <w:spacing w:after="0" w:line="273" w:lineRule="auto"/>
        <w:tabs>
          <w:tab w:leader="none" w:pos="1467" w:val="left"/>
        </w:tabs>
        <w:numPr>
          <w:ilvl w:val="1"/>
          <w:numId w:val="692"/>
        </w:numPr>
        <w:rPr>
          <w:rFonts w:ascii="Arial" w:cs="Arial" w:eastAsia="Arial" w:hAnsi="Arial"/>
          <w:sz w:val="14"/>
          <w:szCs w:val="14"/>
          <w:color w:val="auto"/>
        </w:rPr>
      </w:pPr>
      <w:r>
        <w:rPr>
          <w:rFonts w:ascii="Arial" w:cs="Arial" w:eastAsia="Arial" w:hAnsi="Arial"/>
          <w:sz w:val="14"/>
          <w:szCs w:val="14"/>
          <w:u w:val="single" w:color="auto"/>
          <w:color w:val="auto"/>
        </w:rPr>
        <w:t>Fiduciary Obligations; Governance</w:t>
      </w:r>
      <w:r>
        <w:rPr>
          <w:rFonts w:ascii="Arial" w:cs="Arial" w:eastAsia="Arial" w:hAnsi="Arial"/>
          <w:sz w:val="14"/>
          <w:szCs w:val="14"/>
          <w:color w:val="auto"/>
        </w:rPr>
        <w:t>. The Company is governed by Delaware law. The structure, practices and authority of the Board, including matters relating to the size and composition of the Board, the election and removal of directors, requirements relating to Board action and the appointment of executive officers, are governed by the Company’s Amended and Restated Certificate of Incorporation and Bylaws, as each may be amended from time to time (the “</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ind w:left="1480" w:hanging="438"/>
        <w:spacing w:after="0"/>
        <w:tabs>
          <w:tab w:leader="none" w:pos="1480" w:val="left"/>
        </w:tabs>
        <w:numPr>
          <w:ilvl w:val="1"/>
          <w:numId w:val="692"/>
        </w:numPr>
        <w:rPr>
          <w:rFonts w:ascii="Arial" w:cs="Arial" w:eastAsia="Arial" w:hAnsi="Arial"/>
          <w:sz w:val="14"/>
          <w:szCs w:val="14"/>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 As consideration for your service as a member of the Board, the Company will pay you the following compensation:</w:t>
      </w:r>
    </w:p>
    <w:p>
      <w:pPr>
        <w:spacing w:after="0" w:line="184" w:lineRule="exact"/>
        <w:rPr>
          <w:rFonts w:ascii="Arial" w:cs="Arial" w:eastAsia="Arial" w:hAnsi="Arial"/>
          <w:sz w:val="14"/>
          <w:szCs w:val="14"/>
          <w:color w:val="auto"/>
        </w:rPr>
      </w:pPr>
    </w:p>
    <w:p>
      <w:pPr>
        <w:jc w:val="both"/>
        <w:ind w:left="1040" w:hanging="516"/>
        <w:spacing w:after="0" w:line="265" w:lineRule="auto"/>
        <w:tabs>
          <w:tab w:leader="none" w:pos="1040" w:val="left"/>
        </w:tabs>
        <w:numPr>
          <w:ilvl w:val="0"/>
          <w:numId w:val="693"/>
        </w:numPr>
        <w:rPr>
          <w:rFonts w:ascii="Arial" w:cs="Arial" w:eastAsia="Arial" w:hAnsi="Arial"/>
          <w:sz w:val="14"/>
          <w:szCs w:val="14"/>
          <w:color w:val="auto"/>
        </w:rPr>
      </w:pPr>
      <w:r>
        <w:rPr>
          <w:rFonts w:ascii="Arial" w:cs="Arial" w:eastAsia="Arial" w:hAnsi="Arial"/>
          <w:sz w:val="14"/>
          <w:szCs w:val="14"/>
          <w:u w:val="single" w:color="auto"/>
          <w:color w:val="auto"/>
        </w:rPr>
        <w:t>Initial Equity Award</w:t>
      </w:r>
      <w:r>
        <w:rPr>
          <w:rFonts w:ascii="Arial" w:cs="Arial" w:eastAsia="Arial" w:hAnsi="Arial"/>
          <w:sz w:val="14"/>
          <w:szCs w:val="14"/>
          <w:color w:val="auto"/>
        </w:rPr>
        <w:t>. Subject to the approval of the Board, upon your appointment to the Board, the Company will grant to you a one-time nonqualified stock option exercisable for the purchase of 250,310 shares of the Company’s common stock, par value $0.0001 per share (the “</w:t>
      </w:r>
      <w:r>
        <w:rPr>
          <w:rFonts w:ascii="Arial" w:cs="Arial" w:eastAsia="Arial" w:hAnsi="Arial"/>
          <w:sz w:val="14"/>
          <w:szCs w:val="14"/>
          <w:u w:val="single" w:color="auto"/>
          <w:color w:val="auto"/>
        </w:rPr>
        <w:t>Option</w:t>
      </w:r>
      <w:r>
        <w:rPr>
          <w:rFonts w:ascii="Arial" w:cs="Arial" w:eastAsia="Arial" w:hAnsi="Arial"/>
          <w:sz w:val="14"/>
          <w:szCs w:val="14"/>
          <w:color w:val="auto"/>
        </w:rPr>
        <w:t>”), which is equal to 0.2% of the Company measured on a fully diluted basis as of immediately following the Company’s recent Series C financing which closed on February 25, 2021. The Option will: (i) be subject to the terms and conditions of the Century Therapeutics, Inc. 2018 Stock Option and Grant Plan (as amended, restated or otherwise modified from time to time, the “</w:t>
      </w:r>
      <w:r>
        <w:rPr>
          <w:rFonts w:ascii="Arial" w:cs="Arial" w:eastAsia="Arial" w:hAnsi="Arial"/>
          <w:sz w:val="14"/>
          <w:szCs w:val="14"/>
          <w:u w:val="single" w:color="auto"/>
          <w:color w:val="auto"/>
        </w:rPr>
        <w:t>Plan</w:t>
      </w:r>
      <w:r>
        <w:rPr>
          <w:rFonts w:ascii="Arial" w:cs="Arial" w:eastAsia="Arial" w:hAnsi="Arial"/>
          <w:sz w:val="14"/>
          <w:szCs w:val="14"/>
          <w:color w:val="auto"/>
        </w:rPr>
        <w:t>”) and the Non-Qualified Stock Option Agreement by and between you and the Company (the “</w:t>
      </w:r>
      <w:r>
        <w:rPr>
          <w:rFonts w:ascii="Arial" w:cs="Arial" w:eastAsia="Arial" w:hAnsi="Arial"/>
          <w:sz w:val="14"/>
          <w:szCs w:val="14"/>
          <w:u w:val="single" w:color="auto"/>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333375</wp:posOffset>
            </wp:positionV>
            <wp:extent cx="7159625" cy="698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11" w:right="319" w:bottom="1440" w:gutter="0" w:footer="0" w:header="0"/>
        </w:sectPr>
      </w:pPr>
    </w:p>
    <w:bookmarkStart w:id="875" w:name="page876"/>
    <w:bookmarkEnd w:id="875"/>
    <w:p>
      <w:pPr>
        <w:jc w:val="both"/>
        <w:ind w:left="516"/>
        <w:spacing w:after="0" w:line="265" w:lineRule="auto"/>
        <w:rPr>
          <w:sz w:val="20"/>
          <w:szCs w:val="20"/>
          <w:color w:val="auto"/>
        </w:rPr>
      </w:pPr>
      <w:r>
        <w:rPr>
          <w:rFonts w:ascii="Arial" w:cs="Arial" w:eastAsia="Arial" w:hAnsi="Arial"/>
          <w:sz w:val="14"/>
          <w:szCs w:val="14"/>
          <w:u w:val="single" w:color="auto"/>
          <w:color w:val="auto"/>
        </w:rPr>
        <w:t>Agreement</w:t>
      </w:r>
      <w:r>
        <w:rPr>
          <w:rFonts w:ascii="Arial" w:cs="Arial" w:eastAsia="Arial" w:hAnsi="Arial"/>
          <w:sz w:val="14"/>
          <w:szCs w:val="14"/>
          <w:color w:val="auto"/>
        </w:rPr>
        <w:t>”), (ii) have an exercise price per share equal to the fair market value of the Company’s common stock on the date of grant ($2.89 per share) and (iii) be subject to vesting requirements such that 25% of the shares of Common Stock underlying the Option shall vest on the first anniversary of the grant date, and thereafter, the remaining 75% of the shares of Common Stock underlying the Option shall vest in 36 substantially equal monthly installments, in each case if you continue to provide services to the Company as of the applicable vesting date; provided, however, that any then-unvested portion of the Option shall automatically vest upon the closing of a Sale Event (as defined in the Plan) if you continue to provide services to the Company through such event.</w:t>
      </w:r>
    </w:p>
    <w:p>
      <w:pPr>
        <w:spacing w:after="0" w:line="147" w:lineRule="exact"/>
        <w:rPr>
          <w:sz w:val="20"/>
          <w:szCs w:val="20"/>
          <w:color w:val="auto"/>
        </w:rPr>
      </w:pPr>
    </w:p>
    <w:p>
      <w:pPr>
        <w:ind w:left="516" w:hanging="516"/>
        <w:spacing w:after="0" w:line="288" w:lineRule="auto"/>
        <w:tabs>
          <w:tab w:leader="none" w:pos="534" w:val="left"/>
        </w:tabs>
        <w:numPr>
          <w:ilvl w:val="0"/>
          <w:numId w:val="694"/>
        </w:numPr>
        <w:rPr>
          <w:rFonts w:ascii="Arial" w:cs="Arial" w:eastAsia="Arial" w:hAnsi="Arial"/>
          <w:sz w:val="14"/>
          <w:szCs w:val="14"/>
          <w:color w:val="auto"/>
        </w:rPr>
      </w:pPr>
      <w:r>
        <w:rPr>
          <w:rFonts w:ascii="Arial" w:cs="Arial" w:eastAsia="Arial" w:hAnsi="Arial"/>
          <w:sz w:val="14"/>
          <w:szCs w:val="14"/>
          <w:u w:val="single" w:color="auto"/>
          <w:color w:val="auto"/>
        </w:rPr>
        <w:t>Annual Retainer and Equity Awards</w:t>
      </w:r>
      <w:r>
        <w:rPr>
          <w:rFonts w:ascii="Arial" w:cs="Arial" w:eastAsia="Arial" w:hAnsi="Arial"/>
          <w:sz w:val="14"/>
          <w:szCs w:val="14"/>
          <w:color w:val="auto"/>
        </w:rPr>
        <w:t>. Subject to approval by the Board, for so long as you continue to serve as a director of the Company, you shall be entitled to receive an annual retainer of $25,000, payable on a quarterly basis. Such retainer shall be pro-rated for any partial year.</w:t>
      </w:r>
    </w:p>
    <w:p>
      <w:pPr>
        <w:spacing w:after="0" w:line="131" w:lineRule="exact"/>
        <w:rPr>
          <w:rFonts w:ascii="Arial" w:cs="Arial" w:eastAsia="Arial" w:hAnsi="Arial"/>
          <w:sz w:val="14"/>
          <w:szCs w:val="14"/>
          <w:color w:val="auto"/>
        </w:rPr>
      </w:pPr>
    </w:p>
    <w:p>
      <w:pPr>
        <w:ind w:left="-524" w:firstLine="1042"/>
        <w:spacing w:after="0" w:line="288" w:lineRule="auto"/>
        <w:tabs>
          <w:tab w:leader="none" w:pos="943" w:val="left"/>
        </w:tabs>
        <w:numPr>
          <w:ilvl w:val="1"/>
          <w:numId w:val="694"/>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Company will pay or reimburse the reasonable, authorized expenses incurred by you in the discharge of your duties as a director, in accordance with the general practices and policies of the Company and upon the submission of appropriate documentation.</w:t>
      </w:r>
    </w:p>
    <w:p>
      <w:pPr>
        <w:spacing w:after="0" w:line="131" w:lineRule="exact"/>
        <w:rPr>
          <w:rFonts w:ascii="Arial" w:cs="Arial" w:eastAsia="Arial" w:hAnsi="Arial"/>
          <w:sz w:val="14"/>
          <w:szCs w:val="14"/>
          <w:color w:val="auto"/>
        </w:rPr>
      </w:pPr>
    </w:p>
    <w:p>
      <w:pPr>
        <w:jc w:val="both"/>
        <w:ind w:left="-524" w:firstLine="1042"/>
        <w:spacing w:after="0" w:line="273" w:lineRule="auto"/>
        <w:tabs>
          <w:tab w:leader="none" w:pos="943" w:val="left"/>
        </w:tabs>
        <w:numPr>
          <w:ilvl w:val="1"/>
          <w:numId w:val="694"/>
        </w:numPr>
        <w:rPr>
          <w:rFonts w:ascii="Arial" w:cs="Arial" w:eastAsia="Arial" w:hAnsi="Arial"/>
          <w:sz w:val="14"/>
          <w:szCs w:val="14"/>
          <w:color w:val="auto"/>
        </w:rPr>
      </w:pPr>
      <w:r>
        <w:rPr>
          <w:rFonts w:ascii="Arial" w:cs="Arial" w:eastAsia="Arial" w:hAnsi="Arial"/>
          <w:sz w:val="14"/>
          <w:szCs w:val="14"/>
          <w:u w:val="single" w:color="auto"/>
          <w:color w:val="auto"/>
        </w:rPr>
        <w:t>Indemnification; Insurance</w:t>
      </w:r>
      <w:r>
        <w:rPr>
          <w:rFonts w:ascii="Arial" w:cs="Arial" w:eastAsia="Arial" w:hAnsi="Arial"/>
          <w:sz w:val="14"/>
          <w:szCs w:val="14"/>
          <w:color w:val="auto"/>
        </w:rPr>
        <w:t>. As a director, you will be entitled to indemnification under the Company’s Organizational Documents and an Indemnification Agreement to be entered into between the Company and you (the “</w:t>
      </w:r>
      <w:r>
        <w:rPr>
          <w:rFonts w:ascii="Arial" w:cs="Arial" w:eastAsia="Arial" w:hAnsi="Arial"/>
          <w:sz w:val="14"/>
          <w:szCs w:val="14"/>
          <w:u w:val="single" w:color="auto"/>
          <w:color w:val="auto"/>
        </w:rPr>
        <w:t>Indemnification Agreement</w:t>
      </w:r>
      <w:r>
        <w:rPr>
          <w:rFonts w:ascii="Arial" w:cs="Arial" w:eastAsia="Arial" w:hAnsi="Arial"/>
          <w:sz w:val="14"/>
          <w:szCs w:val="14"/>
          <w:color w:val="auto"/>
        </w:rPr>
        <w:t>”). In addition, the Company will also carry director and officer liability insurance and you will be a covered person under any such policy maintained by the Company during the term of your service on the Board.</w:t>
      </w:r>
    </w:p>
    <w:p>
      <w:pPr>
        <w:spacing w:after="0" w:line="141" w:lineRule="exact"/>
        <w:rPr>
          <w:rFonts w:ascii="Arial" w:cs="Arial" w:eastAsia="Arial" w:hAnsi="Arial"/>
          <w:sz w:val="14"/>
          <w:szCs w:val="14"/>
          <w:color w:val="auto"/>
        </w:rPr>
      </w:pPr>
    </w:p>
    <w:p>
      <w:pPr>
        <w:jc w:val="both"/>
        <w:ind w:left="-524" w:firstLine="1042"/>
        <w:spacing w:after="0" w:line="283" w:lineRule="auto"/>
        <w:tabs>
          <w:tab w:leader="none" w:pos="943" w:val="left"/>
        </w:tabs>
        <w:numPr>
          <w:ilvl w:val="1"/>
          <w:numId w:val="694"/>
        </w:numPr>
        <w:rPr>
          <w:rFonts w:ascii="Arial" w:cs="Arial" w:eastAsia="Arial" w:hAnsi="Arial"/>
          <w:sz w:val="13"/>
          <w:szCs w:val="13"/>
          <w:color w:val="auto"/>
        </w:rPr>
      </w:pPr>
      <w:r>
        <w:rPr>
          <w:rFonts w:ascii="Arial" w:cs="Arial" w:eastAsia="Arial" w:hAnsi="Arial"/>
          <w:sz w:val="13"/>
          <w:szCs w:val="13"/>
          <w:u w:val="single" w:color="auto"/>
          <w:color w:val="auto"/>
        </w:rPr>
        <w:t>Proprietary Information</w:t>
      </w:r>
      <w:r>
        <w:rPr>
          <w:rFonts w:ascii="Arial" w:cs="Arial" w:eastAsia="Arial" w:hAnsi="Arial"/>
          <w:sz w:val="13"/>
          <w:szCs w:val="13"/>
          <w:color w:val="auto"/>
        </w:rPr>
        <w:t>. You agree that all information, whether or not in writing, of a private, secret or confidential nature concerning the Company’s business, business relationships or financial affairs (collectively, “</w:t>
      </w:r>
      <w:r>
        <w:rPr>
          <w:rFonts w:ascii="Arial" w:cs="Arial" w:eastAsia="Arial" w:hAnsi="Arial"/>
          <w:sz w:val="13"/>
          <w:szCs w:val="13"/>
          <w:u w:val="single" w:color="auto"/>
          <w:color w:val="auto"/>
        </w:rPr>
        <w:t>Proprietary Information</w:t>
      </w:r>
      <w:r>
        <w:rPr>
          <w:rFonts w:ascii="Arial" w:cs="Arial" w:eastAsia="Arial" w:hAnsi="Arial"/>
          <w:sz w:val="13"/>
          <w:szCs w:val="13"/>
          <w:color w:val="auto"/>
        </w:rPr>
        <w:t>”) is and shall be the exclusive property of the Company. In consideration for the Company sharing with you the Company’s Proprietary Information, you agree (a) that you will not disclose any Proprietary Information to any person or entity other than employees or advisors of the Company or use the same for any purposes (other than in the performance of your duties as a member of the Board) without written approval by an officer of the Company, either during or after you serve as a member of the Board, unless and until such Proprietary Information has become public knowledge without your fault, and (b) that any materials containing Proprietary Information which shall come into your custody or possession shall be and are the exclusive property of the Company to be used only in the performance of your duties for the Company. All such materials or copies thereof and all tangible property of the Company in your custody or possession shall be delivered to the Company or destroyed, at the Company’s election, upon the earlier of (i) the Company’s request or (ii) termination of your service on the Board. After such delivery or destruction, you shall not retain any such materials or copies thereof or any such tangible property. You agree that your obligations not to disclose or to use Proprietary Information and materials containing Proprietary Information and to return materials and tangible property also extends to such types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328295</wp:posOffset>
            </wp:positionV>
            <wp:extent cx="7159625" cy="698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56"/>
          </w:cols>
          <w:pgMar w:left="824" w:top="756" w:right="319" w:bottom="1440" w:gutter="0" w:footer="0" w:header="0"/>
        </w:sectPr>
      </w:pPr>
    </w:p>
    <w:bookmarkStart w:id="876" w:name="page877"/>
    <w:bookmarkEnd w:id="876"/>
    <w:p>
      <w:pPr>
        <w:spacing w:after="0"/>
        <w:rPr>
          <w:sz w:val="20"/>
          <w:szCs w:val="20"/>
          <w:color w:val="auto"/>
        </w:rPr>
      </w:pPr>
      <w:r>
        <w:rPr>
          <w:rFonts w:ascii="Arial" w:cs="Arial" w:eastAsia="Arial" w:hAnsi="Arial"/>
          <w:sz w:val="13"/>
          <w:szCs w:val="13"/>
          <w:color w:val="auto"/>
        </w:rPr>
        <w:t>materials and tangible property of customers of the Company or suppliers to the Company or other third parties who may have disclosed or entrusted the same to you or the Company.</w:t>
      </w:r>
    </w:p>
    <w:p>
      <w:pPr>
        <w:spacing w:after="0" w:line="196" w:lineRule="exact"/>
        <w:rPr>
          <w:sz w:val="20"/>
          <w:szCs w:val="20"/>
          <w:color w:val="auto"/>
        </w:rPr>
      </w:pPr>
    </w:p>
    <w:p>
      <w:pPr>
        <w:jc w:val="both"/>
        <w:ind w:firstLine="1042"/>
        <w:spacing w:after="0" w:line="273" w:lineRule="auto"/>
        <w:tabs>
          <w:tab w:leader="none" w:pos="1467" w:val="left"/>
        </w:tabs>
        <w:numPr>
          <w:ilvl w:val="0"/>
          <w:numId w:val="695"/>
        </w:numPr>
        <w:rPr>
          <w:rFonts w:ascii="Arial" w:cs="Arial" w:eastAsia="Arial" w:hAnsi="Arial"/>
          <w:sz w:val="14"/>
          <w:szCs w:val="14"/>
          <w:color w:val="auto"/>
        </w:rPr>
      </w:pPr>
      <w:r>
        <w:rPr>
          <w:rFonts w:ascii="Arial" w:cs="Arial" w:eastAsia="Arial" w:hAnsi="Arial"/>
          <w:sz w:val="14"/>
          <w:szCs w:val="14"/>
          <w:u w:val="single" w:color="auto"/>
          <w:color w:val="auto"/>
        </w:rPr>
        <w:t>Obligations to Third Parties</w:t>
      </w:r>
      <w:r>
        <w:rPr>
          <w:rFonts w:ascii="Arial" w:cs="Arial" w:eastAsia="Arial" w:hAnsi="Arial"/>
          <w:sz w:val="14"/>
          <w:szCs w:val="14"/>
          <w:color w:val="auto"/>
        </w:rPr>
        <w:t>. You represent that your service as a member of the Board does not and will not breach any agreement you have with any current or former employer or any other person (including without limitation any nondisclosure or non-competition agreement), and that you will not disclose to the Company or induce the Company to use any confidential or proprietary information or material belonging to any current or previous employer or others.</w:t>
      </w:r>
    </w:p>
    <w:p>
      <w:pPr>
        <w:spacing w:after="0" w:line="141" w:lineRule="exact"/>
        <w:rPr>
          <w:rFonts w:ascii="Arial" w:cs="Arial" w:eastAsia="Arial" w:hAnsi="Arial"/>
          <w:sz w:val="14"/>
          <w:szCs w:val="14"/>
          <w:color w:val="auto"/>
        </w:rPr>
      </w:pPr>
    </w:p>
    <w:p>
      <w:pPr>
        <w:ind w:firstLine="1042"/>
        <w:spacing w:after="0" w:line="288" w:lineRule="auto"/>
        <w:tabs>
          <w:tab w:leader="none" w:pos="1467" w:val="left"/>
        </w:tabs>
        <w:numPr>
          <w:ilvl w:val="0"/>
          <w:numId w:val="695"/>
        </w:numPr>
        <w:rPr>
          <w:rFonts w:ascii="Arial" w:cs="Arial" w:eastAsia="Arial" w:hAnsi="Arial"/>
          <w:sz w:val="14"/>
          <w:szCs w:val="14"/>
          <w:color w:val="auto"/>
        </w:rPr>
      </w:pP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Nothing contained in this letter agreement shall be construed to create an employer/employee, joint venture, partnership, or principal-agent relationship between you and the Company.</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525" w:val="left"/>
        </w:tabs>
        <w:numPr>
          <w:ilvl w:val="0"/>
          <w:numId w:val="695"/>
        </w:numPr>
        <w:rPr>
          <w:rFonts w:ascii="Arial" w:cs="Arial" w:eastAsia="Arial" w:hAnsi="Arial"/>
          <w:sz w:val="14"/>
          <w:szCs w:val="14"/>
          <w:color w:val="auto"/>
        </w:rPr>
      </w:pPr>
      <w:r>
        <w:rPr>
          <w:rFonts w:ascii="Arial" w:cs="Arial" w:eastAsia="Arial" w:hAnsi="Arial"/>
          <w:sz w:val="14"/>
          <w:szCs w:val="14"/>
          <w:u w:val="single" w:color="auto"/>
          <w:color w:val="auto"/>
        </w:rPr>
        <w:t>Governing Law; Consent to Jurisdiction</w:t>
      </w:r>
      <w:r>
        <w:rPr>
          <w:rFonts w:ascii="Arial" w:cs="Arial" w:eastAsia="Arial" w:hAnsi="Arial"/>
          <w:sz w:val="14"/>
          <w:szCs w:val="14"/>
          <w:color w:val="auto"/>
        </w:rPr>
        <w:t>. This letter agreement shall be interpreted according to and governed by the law of the State of Delaware applicable to agreements made and performed within the State of Delaware without reference to its choice of law rules. The parties to this Agreement hereby consent to the jurisdiction of the courts located in New Castle County, Delaware for any proceeding arising out of or relating to this letter agreement.</w:t>
      </w:r>
    </w:p>
    <w:p>
      <w:pPr>
        <w:spacing w:after="0" w:line="141" w:lineRule="exact"/>
        <w:rPr>
          <w:rFonts w:ascii="Arial" w:cs="Arial" w:eastAsia="Arial" w:hAnsi="Arial"/>
          <w:sz w:val="14"/>
          <w:szCs w:val="14"/>
          <w:color w:val="auto"/>
        </w:rPr>
      </w:pPr>
    </w:p>
    <w:p>
      <w:pPr>
        <w:ind w:firstLine="1042"/>
        <w:spacing w:after="0" w:line="288" w:lineRule="auto"/>
        <w:tabs>
          <w:tab w:leader="none" w:pos="1508" w:val="left"/>
        </w:tabs>
        <w:numPr>
          <w:ilvl w:val="0"/>
          <w:numId w:val="695"/>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letter agreement and the Indemnification Agreement constitute the entire understanding between the parties with respect to the subject matter hereof and supersedes any and all prior understandings, statements, warranties, representations and agreements, both oral and written, relating hereto.</w:t>
      </w:r>
    </w:p>
    <w:p>
      <w:pPr>
        <w:spacing w:after="0" w:line="131" w:lineRule="exact"/>
        <w:rPr>
          <w:rFonts w:ascii="Arial" w:cs="Arial" w:eastAsia="Arial" w:hAnsi="Arial"/>
          <w:sz w:val="14"/>
          <w:szCs w:val="14"/>
          <w:color w:val="auto"/>
        </w:rPr>
      </w:pPr>
    </w:p>
    <w:p>
      <w:pPr>
        <w:ind w:firstLine="1042"/>
        <w:spacing w:after="0" w:line="288" w:lineRule="auto"/>
        <w:tabs>
          <w:tab w:leader="none" w:pos="1525" w:val="left"/>
        </w:tabs>
        <w:numPr>
          <w:ilvl w:val="0"/>
          <w:numId w:val="695"/>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of this letter agreement is held invalid, illegal, or unenforceable by a court of competent jurisdiction, that term shall be severed and the remaining terms shall continue in full force.</w:t>
      </w:r>
    </w:p>
    <w:p>
      <w:pPr>
        <w:spacing w:after="0" w:line="131" w:lineRule="exact"/>
        <w:rPr>
          <w:rFonts w:ascii="Arial" w:cs="Arial" w:eastAsia="Arial" w:hAnsi="Arial"/>
          <w:sz w:val="14"/>
          <w:szCs w:val="14"/>
          <w:color w:val="auto"/>
        </w:rPr>
      </w:pPr>
    </w:p>
    <w:p>
      <w:pPr>
        <w:ind w:firstLine="1042"/>
        <w:spacing w:after="0" w:line="288" w:lineRule="auto"/>
        <w:tabs>
          <w:tab w:leader="none" w:pos="1503" w:val="left"/>
        </w:tabs>
        <w:numPr>
          <w:ilvl w:val="0"/>
          <w:numId w:val="695"/>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letter agreement may be executed in counterparts, including by facsimile signature, each of which shall be deemed an original but all of which taken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77" w:name="page878"/>
    <w:bookmarkEnd w:id="877"/>
    <w:p>
      <w:pPr>
        <w:ind w:left="87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194310</wp:posOffset>
            </wp:positionH>
            <wp:positionV relativeFrom="page">
              <wp:posOffset>486410</wp:posOffset>
            </wp:positionV>
            <wp:extent cx="1610360" cy="47244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clrChange>
                        <a:clrFrom>
                          <a:srgbClr val="FFFFFF"/>
                        </a:clrFrom>
                        <a:clrTo>
                          <a:srgbClr val="FFFFFF">
                            <a:alpha val="0"/>
                          </a:srgbClr>
                        </a:clrTo>
                      </a:clrChange>
                      <a:extLst>
                        <a:ext uri="{28A0092B-C50C-407E-A947-70E740481C1C}"/>
                      </a:extLst>
                    </a:blip>
                    <a:srcRect/>
                    <a:stretch>
                      <a:fillRect/>
                    </a:stretch>
                  </pic:blipFill>
                  <pic:spPr bwMode="auto">
                    <a:xfrm>
                      <a:off x="0" y="0"/>
                      <a:ext cx="1610360" cy="472440"/>
                    </a:xfrm>
                    <a:prstGeom prst="rect">
                      <a:avLst/>
                    </a:prstGeom>
                    <a:noFill/>
                  </pic:spPr>
                </pic:pic>
              </a:graphicData>
            </a:graphic>
          </wp:anchor>
        </w:drawing>
        <w:t>3675 Market Street, Philadelphia, PA 19104</w:t>
      </w:r>
    </w:p>
    <w:p>
      <w:pPr>
        <w:spacing w:after="0" w:line="19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If you are in agreement with the terms described above, please return a countersigned copy of this letter to me. We look forward to your participation as a member of the Board.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640" w:type="dxa"/>
            <w:vAlign w:val="bottom"/>
            <w:gridSpan w:val="4"/>
          </w:tcPr>
          <w:p>
            <w:pPr>
              <w:spacing w:after="0"/>
              <w:rPr>
                <w:sz w:val="20"/>
                <w:szCs w:val="20"/>
                <w:color w:val="auto"/>
              </w:rPr>
            </w:pPr>
            <w:r>
              <w:rPr>
                <w:rFonts w:ascii="Arial" w:cs="Arial" w:eastAsia="Arial" w:hAnsi="Arial"/>
                <w:sz w:val="14"/>
                <w:szCs w:val="14"/>
                <w:color w:val="auto"/>
              </w:rPr>
              <w:t>Very truly yours,</w:t>
            </w:r>
          </w:p>
        </w:tc>
      </w:tr>
      <w:tr>
        <w:trPr>
          <w:trHeight w:val="314"/>
        </w:trPr>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/s/ Osvaldo Flores, Ph.D.</w:t>
            </w:r>
          </w:p>
        </w:tc>
        <w:tc>
          <w:tcPr>
            <w:tcW w:w="4180" w:type="dxa"/>
            <w:vAlign w:val="bottom"/>
            <w:gridSpan w:val="2"/>
          </w:tcPr>
          <w:p>
            <w:pPr>
              <w:spacing w:after="0"/>
              <w:rPr>
                <w:sz w:val="24"/>
                <w:szCs w:val="24"/>
                <w:color w:val="auto"/>
              </w:rPr>
            </w:pPr>
          </w:p>
        </w:tc>
      </w:tr>
      <w:tr>
        <w:trPr>
          <w:trHeight w:val="174"/>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Name:</w:t>
            </w:r>
          </w:p>
        </w:tc>
        <w:tc>
          <w:tcPr>
            <w:tcW w:w="5160" w:type="dxa"/>
            <w:vAlign w:val="bottom"/>
            <w:gridSpan w:val="3"/>
          </w:tcPr>
          <w:p>
            <w:pPr>
              <w:ind w:left="100"/>
              <w:spacing w:after="0"/>
              <w:rPr>
                <w:sz w:val="20"/>
                <w:szCs w:val="20"/>
                <w:color w:val="auto"/>
              </w:rPr>
            </w:pPr>
            <w:r>
              <w:rPr>
                <w:rFonts w:ascii="Arial" w:cs="Arial" w:eastAsia="Arial" w:hAnsi="Arial"/>
                <w:sz w:val="14"/>
                <w:szCs w:val="14"/>
                <w:color w:val="auto"/>
              </w:rPr>
              <w:t>Osvaldo Flores, Ph.D.</w:t>
            </w:r>
          </w:p>
        </w:tc>
      </w:tr>
      <w:tr>
        <w:trPr>
          <w:trHeight w:val="182"/>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5160" w:type="dxa"/>
            <w:vAlign w:val="bottom"/>
            <w:gridSpan w:val="3"/>
          </w:tcPr>
          <w:p>
            <w:pPr>
              <w:ind w:left="100"/>
              <w:spacing w:after="0"/>
              <w:rPr>
                <w:sz w:val="20"/>
                <w:szCs w:val="20"/>
                <w:color w:val="auto"/>
              </w:rPr>
            </w:pPr>
            <w:r>
              <w:rPr>
                <w:rFonts w:ascii="Arial" w:cs="Arial" w:eastAsia="Arial" w:hAnsi="Arial"/>
                <w:sz w:val="14"/>
                <w:szCs w:val="14"/>
                <w:color w:val="auto"/>
              </w:rPr>
              <w:t>Chief Executive Officer</w:t>
            </w:r>
          </w:p>
        </w:tc>
      </w:tr>
      <w:tr>
        <w:trPr>
          <w:trHeight w:val="345"/>
        </w:trPr>
        <w:tc>
          <w:tcPr>
            <w:tcW w:w="3740" w:type="dxa"/>
            <w:vAlign w:val="bottom"/>
            <w:gridSpan w:val="2"/>
          </w:tcPr>
          <w:p>
            <w:pPr>
              <w:spacing w:after="0"/>
              <w:rPr>
                <w:sz w:val="20"/>
                <w:szCs w:val="20"/>
                <w:color w:val="auto"/>
              </w:rPr>
            </w:pPr>
            <w:r>
              <w:rPr>
                <w:rFonts w:ascii="Arial" w:cs="Arial" w:eastAsia="Arial" w:hAnsi="Arial"/>
                <w:sz w:val="14"/>
                <w:szCs w:val="14"/>
                <w:color w:val="auto"/>
              </w:rPr>
              <w:t>Accepted and Agreed to:</w:t>
            </w: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14"/>
        </w:trPr>
        <w:tc>
          <w:tcPr>
            <w:tcW w:w="3740" w:type="dxa"/>
            <w:vAlign w:val="bottom"/>
            <w:gridSpan w:val="2"/>
          </w:tcPr>
          <w:p>
            <w:pPr>
              <w:spacing w:after="0"/>
              <w:rPr>
                <w:sz w:val="20"/>
                <w:szCs w:val="20"/>
                <w:color w:val="auto"/>
              </w:rPr>
            </w:pPr>
            <w:r>
              <w:rPr>
                <w:rFonts w:ascii="Arial" w:cs="Arial" w:eastAsia="Arial" w:hAnsi="Arial"/>
                <w:sz w:val="14"/>
                <w:szCs w:val="14"/>
                <w:color w:val="auto"/>
              </w:rPr>
              <w:t>/s/ Kimberly L. Blackwell, M.D.</w:t>
            </w:r>
          </w:p>
        </w:tc>
        <w:tc>
          <w:tcPr>
            <w:tcW w:w="1900" w:type="dxa"/>
            <w:vAlign w:val="bottom"/>
          </w:tcPr>
          <w:p>
            <w:pPr>
              <w:spacing w:after="0"/>
              <w:rPr>
                <w:sz w:val="24"/>
                <w:szCs w:val="24"/>
                <w:color w:val="auto"/>
              </w:rPr>
            </w:pPr>
          </w:p>
        </w:tc>
        <w:tc>
          <w:tcPr>
            <w:tcW w:w="5640" w:type="dxa"/>
            <w:vAlign w:val="bottom"/>
            <w:gridSpan w:val="4"/>
          </w:tcPr>
          <w:p>
            <w:pPr>
              <w:ind w:left="40"/>
              <w:spacing w:after="0"/>
              <w:rPr>
                <w:sz w:val="20"/>
                <w:szCs w:val="20"/>
                <w:color w:val="auto"/>
              </w:rPr>
            </w:pPr>
            <w:r>
              <w:rPr>
                <w:rFonts w:ascii="Arial" w:cs="Arial" w:eastAsia="Arial" w:hAnsi="Arial"/>
                <w:sz w:val="14"/>
                <w:szCs w:val="14"/>
                <w:color w:val="auto"/>
              </w:rPr>
              <w:t>May 19, 2021</w:t>
            </w:r>
          </w:p>
        </w:tc>
      </w:tr>
      <w:tr>
        <w:trPr>
          <w:trHeight w:val="184"/>
        </w:trPr>
        <w:tc>
          <w:tcPr>
            <w:tcW w:w="1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Kimberly L. Blackwell, M.D.</w:t>
            </w:r>
          </w:p>
        </w:tc>
        <w:tc>
          <w:tcPr>
            <w:tcW w:w="1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w:t>
            </w:r>
          </w:p>
        </w:tc>
        <w:tc>
          <w:tcPr>
            <w:tcW w:w="9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820" w:type="dxa"/>
            <w:vAlign w:val="bottom"/>
          </w:tcPr>
          <w:p>
            <w:pPr>
              <w:spacing w:after="0"/>
              <w:rPr>
                <w:sz w:val="15"/>
                <w:szCs w:val="15"/>
                <w:color w:val="auto"/>
              </w:rPr>
            </w:pPr>
          </w:p>
        </w:tc>
      </w:tr>
      <w:tr>
        <w:trPr>
          <w:trHeight w:val="518"/>
        </w:trPr>
        <w:tc>
          <w:tcPr>
            <w:tcW w:w="1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4</w:t>
            </w: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370" w:right="319" w:bottom="1440" w:gutter="0" w:footer="0" w:header="0"/>
        </w:sectPr>
      </w:pPr>
    </w:p>
    <w:bookmarkStart w:id="878" w:name="page879"/>
    <w:bookmarkEnd w:id="878"/>
    <w:p>
      <w:pPr>
        <w:jc w:val="right"/>
        <w:spacing w:after="0"/>
        <w:rPr>
          <w:sz w:val="20"/>
          <w:szCs w:val="20"/>
          <w:color w:val="auto"/>
        </w:rPr>
      </w:pPr>
      <w:r>
        <w:rPr>
          <w:rFonts w:ascii="Arial" w:cs="Arial" w:eastAsia="Arial" w:hAnsi="Arial"/>
          <w:sz w:val="17"/>
          <w:szCs w:val="17"/>
          <w:b w:val="1"/>
          <w:bCs w:val="1"/>
          <w:color w:val="auto"/>
        </w:rPr>
        <w:t>Exhibit 10.39</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Alessandro Riva, MD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 ]</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Via email – [***]</w:t>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RE: Director Engagement Offer Letter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Dear Alessandro:</w:t>
      </w:r>
    </w:p>
    <w:p>
      <w:pPr>
        <w:spacing w:after="0" w:line="184" w:lineRule="exact"/>
        <w:rPr>
          <w:sz w:val="20"/>
          <w:szCs w:val="20"/>
          <w:color w:val="auto"/>
        </w:rPr>
      </w:pPr>
    </w:p>
    <w:p>
      <w:pPr>
        <w:ind w:firstLine="1036"/>
        <w:spacing w:after="0" w:line="288" w:lineRule="auto"/>
        <w:rPr>
          <w:sz w:val="20"/>
          <w:szCs w:val="20"/>
          <w:color w:val="auto"/>
        </w:rPr>
      </w:pPr>
      <w:r>
        <w:rPr>
          <w:rFonts w:ascii="Arial" w:cs="Arial" w:eastAsia="Arial" w:hAnsi="Arial"/>
          <w:sz w:val="14"/>
          <w:szCs w:val="14"/>
          <w:color w:val="auto"/>
        </w:rPr>
        <w:t>Following our recent discussions, I am very pleased to invite you to serve as member of the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of Century Therapeutics, Inc. (the “</w:t>
      </w:r>
      <w:r>
        <w:rPr>
          <w:rFonts w:ascii="Arial" w:cs="Arial" w:eastAsia="Arial" w:hAnsi="Arial"/>
          <w:sz w:val="14"/>
          <w:szCs w:val="14"/>
          <w:u w:val="single" w:color="auto"/>
          <w:color w:val="auto"/>
        </w:rPr>
        <w:t>Company</w:t>
      </w:r>
      <w:r>
        <w:rPr>
          <w:rFonts w:ascii="Arial" w:cs="Arial" w:eastAsia="Arial" w:hAnsi="Arial"/>
          <w:sz w:val="14"/>
          <w:szCs w:val="14"/>
          <w:color w:val="auto"/>
        </w:rPr>
        <w:t>”), on the terms and subject to the conditions set forth below.</w:t>
      </w:r>
    </w:p>
    <w:p>
      <w:pPr>
        <w:spacing w:after="0" w:line="132" w:lineRule="exact"/>
        <w:rPr>
          <w:sz w:val="20"/>
          <w:szCs w:val="20"/>
          <w:color w:val="auto"/>
        </w:rPr>
      </w:pPr>
    </w:p>
    <w:p>
      <w:pPr>
        <w:jc w:val="both"/>
        <w:ind w:firstLine="1042"/>
        <w:spacing w:after="0" w:line="267" w:lineRule="auto"/>
        <w:tabs>
          <w:tab w:leader="none" w:pos="1359" w:val="left"/>
        </w:tabs>
        <w:numPr>
          <w:ilvl w:val="1"/>
          <w:numId w:val="696"/>
        </w:numPr>
        <w:rPr>
          <w:rFonts w:ascii="Arial" w:cs="Arial" w:eastAsia="Arial" w:hAnsi="Arial"/>
          <w:sz w:val="14"/>
          <w:szCs w:val="14"/>
          <w:color w:val="auto"/>
        </w:rPr>
      </w:pPr>
      <w:r>
        <w:rPr>
          <w:rFonts w:ascii="Arial" w:cs="Arial" w:eastAsia="Arial" w:hAnsi="Arial"/>
          <w:sz w:val="14"/>
          <w:szCs w:val="14"/>
          <w:u w:val="single" w:color="auto"/>
          <w:color w:val="auto"/>
        </w:rPr>
        <w:t>Appointment</w:t>
      </w:r>
      <w:r>
        <w:rPr>
          <w:rFonts w:ascii="Arial" w:cs="Arial" w:eastAsia="Arial" w:hAnsi="Arial"/>
          <w:sz w:val="14"/>
          <w:szCs w:val="14"/>
          <w:color w:val="auto"/>
        </w:rPr>
        <w:t>. Upon your acceptance of this letter, your nomination and election as an independent director will be submitted to the Company’s Board and stockholders for approval. Following your nomination and election, you shall hold office until such time that your successor is duly elected and qualified, or until your earlier death, retirement, resignation or removal from office. The terms and obligations under this letter agreement shall remain in full force and effect until your earlier death, retirement, resignation or removal from the Board; provided that the obligations under Section 6 shall survive indefinitely.</w:t>
      </w:r>
    </w:p>
    <w:p>
      <w:pPr>
        <w:spacing w:after="0" w:line="146" w:lineRule="exact"/>
        <w:rPr>
          <w:rFonts w:ascii="Arial" w:cs="Arial" w:eastAsia="Arial" w:hAnsi="Arial"/>
          <w:sz w:val="14"/>
          <w:szCs w:val="14"/>
          <w:color w:val="auto"/>
        </w:rPr>
      </w:pPr>
    </w:p>
    <w:p>
      <w:pPr>
        <w:jc w:val="both"/>
        <w:ind w:firstLine="1042"/>
        <w:spacing w:after="0" w:line="273" w:lineRule="auto"/>
        <w:tabs>
          <w:tab w:leader="none" w:pos="1359" w:val="left"/>
        </w:tabs>
        <w:numPr>
          <w:ilvl w:val="1"/>
          <w:numId w:val="696"/>
        </w:numPr>
        <w:rPr>
          <w:rFonts w:ascii="Arial" w:cs="Arial" w:eastAsia="Arial" w:hAnsi="Arial"/>
          <w:sz w:val="14"/>
          <w:szCs w:val="14"/>
          <w:color w:val="auto"/>
        </w:rPr>
      </w:pPr>
      <w:r>
        <w:rPr>
          <w:rFonts w:ascii="Arial" w:cs="Arial" w:eastAsia="Arial" w:hAnsi="Arial"/>
          <w:sz w:val="14"/>
          <w:szCs w:val="14"/>
          <w:u w:val="single" w:color="auto"/>
          <w:color w:val="auto"/>
        </w:rPr>
        <w:t>Duties</w:t>
      </w:r>
      <w:r>
        <w:rPr>
          <w:rFonts w:ascii="Arial" w:cs="Arial" w:eastAsia="Arial" w:hAnsi="Arial"/>
          <w:sz w:val="14"/>
          <w:szCs w:val="14"/>
          <w:color w:val="auto"/>
        </w:rPr>
        <w:t>. As an independent director, you will be expected to attend the meetings of the Board and the Committees of the Board on which you serve, as regularly or specially called. Board meetings are scheduled upon prior consultation with directors and are typically held in Philadelphia, PA. You may attend and participate at each such meeting via teleconference, video conference or in person.</w:t>
      </w:r>
    </w:p>
    <w:p>
      <w:pPr>
        <w:spacing w:after="0" w:line="141" w:lineRule="exact"/>
        <w:rPr>
          <w:rFonts w:ascii="Arial" w:cs="Arial" w:eastAsia="Arial" w:hAnsi="Arial"/>
          <w:sz w:val="14"/>
          <w:szCs w:val="14"/>
          <w:color w:val="auto"/>
        </w:rPr>
      </w:pPr>
    </w:p>
    <w:p>
      <w:pPr>
        <w:jc w:val="both"/>
        <w:ind w:firstLine="1042"/>
        <w:spacing w:after="0" w:line="273" w:lineRule="auto"/>
        <w:tabs>
          <w:tab w:leader="none" w:pos="1359" w:val="left"/>
        </w:tabs>
        <w:numPr>
          <w:ilvl w:val="1"/>
          <w:numId w:val="696"/>
        </w:numPr>
        <w:rPr>
          <w:rFonts w:ascii="Arial" w:cs="Arial" w:eastAsia="Arial" w:hAnsi="Arial"/>
          <w:sz w:val="14"/>
          <w:szCs w:val="14"/>
          <w:color w:val="auto"/>
        </w:rPr>
      </w:pPr>
      <w:r>
        <w:rPr>
          <w:rFonts w:ascii="Arial" w:cs="Arial" w:eastAsia="Arial" w:hAnsi="Arial"/>
          <w:sz w:val="14"/>
          <w:szCs w:val="14"/>
          <w:u w:val="single" w:color="auto"/>
          <w:color w:val="auto"/>
        </w:rPr>
        <w:t>Fiduciary Obligations; Governance</w:t>
      </w:r>
      <w:r>
        <w:rPr>
          <w:rFonts w:ascii="Arial" w:cs="Arial" w:eastAsia="Arial" w:hAnsi="Arial"/>
          <w:sz w:val="14"/>
          <w:szCs w:val="14"/>
          <w:color w:val="auto"/>
        </w:rPr>
        <w:t>. The Company is governed by Delaware law. The structure, practices and authority of the Board, including matters relating to the size and composition of the Board, the election and removal of directors, requirements relating to Board action and the appointment of executive officers, are governed by the Company’s Amended and Restated Certificate of Incorporation and Bylaws, as each may be amended from time to time (the “</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ind w:left="1360" w:hanging="318"/>
        <w:spacing w:after="0"/>
        <w:tabs>
          <w:tab w:leader="none" w:pos="1360" w:val="left"/>
        </w:tabs>
        <w:numPr>
          <w:ilvl w:val="1"/>
          <w:numId w:val="696"/>
        </w:numPr>
        <w:rPr>
          <w:rFonts w:ascii="Arial" w:cs="Arial" w:eastAsia="Arial" w:hAnsi="Arial"/>
          <w:sz w:val="14"/>
          <w:szCs w:val="14"/>
          <w:color w:val="auto"/>
        </w:rPr>
      </w:pPr>
      <w:r>
        <w:rPr>
          <w:rFonts w:ascii="Arial" w:cs="Arial" w:eastAsia="Arial" w:hAnsi="Arial"/>
          <w:sz w:val="14"/>
          <w:szCs w:val="14"/>
          <w:u w:val="single" w:color="auto"/>
          <w:color w:val="auto"/>
        </w:rPr>
        <w:t>Compensation</w:t>
      </w:r>
      <w:r>
        <w:rPr>
          <w:rFonts w:ascii="Arial" w:cs="Arial" w:eastAsia="Arial" w:hAnsi="Arial"/>
          <w:sz w:val="14"/>
          <w:szCs w:val="14"/>
          <w:color w:val="auto"/>
        </w:rPr>
        <w:t>. As consideration for your service as a member of the Board, the Company will pay you the following compensation:</w:t>
      </w:r>
    </w:p>
    <w:p>
      <w:pPr>
        <w:spacing w:after="0" w:line="184" w:lineRule="exact"/>
        <w:rPr>
          <w:rFonts w:ascii="Arial" w:cs="Arial" w:eastAsia="Arial" w:hAnsi="Arial"/>
          <w:sz w:val="14"/>
          <w:szCs w:val="14"/>
          <w:color w:val="auto"/>
        </w:rPr>
      </w:pPr>
    </w:p>
    <w:p>
      <w:pPr>
        <w:jc w:val="both"/>
        <w:ind w:left="1040" w:hanging="516"/>
        <w:spacing w:after="0" w:line="265" w:lineRule="auto"/>
        <w:tabs>
          <w:tab w:leader="none" w:pos="1040" w:val="left"/>
        </w:tabs>
        <w:numPr>
          <w:ilvl w:val="0"/>
          <w:numId w:val="697"/>
        </w:numPr>
        <w:rPr>
          <w:rFonts w:ascii="Arial" w:cs="Arial" w:eastAsia="Arial" w:hAnsi="Arial"/>
          <w:sz w:val="14"/>
          <w:szCs w:val="14"/>
          <w:color w:val="auto"/>
        </w:rPr>
      </w:pPr>
      <w:r>
        <w:rPr>
          <w:rFonts w:ascii="Arial" w:cs="Arial" w:eastAsia="Arial" w:hAnsi="Arial"/>
          <w:sz w:val="14"/>
          <w:szCs w:val="14"/>
          <w:u w:val="single" w:color="auto"/>
          <w:color w:val="auto"/>
        </w:rPr>
        <w:t>Initial Equity Award</w:t>
      </w:r>
      <w:r>
        <w:rPr>
          <w:rFonts w:ascii="Arial" w:cs="Arial" w:eastAsia="Arial" w:hAnsi="Arial"/>
          <w:sz w:val="14"/>
          <w:szCs w:val="14"/>
          <w:color w:val="auto"/>
        </w:rPr>
        <w:t>. Subject to the approval of the Board, upon your appointment to the Board, the Company will grant to you a one-time nonqualified stock option exercisable for the purchase of 250,310 shares of the Company’s common stock, par value $0.0001 per share (the “</w:t>
      </w:r>
      <w:r>
        <w:rPr>
          <w:rFonts w:ascii="Arial" w:cs="Arial" w:eastAsia="Arial" w:hAnsi="Arial"/>
          <w:sz w:val="14"/>
          <w:szCs w:val="14"/>
          <w:u w:val="single" w:color="auto"/>
          <w:color w:val="auto"/>
        </w:rPr>
        <w:t>Option</w:t>
      </w:r>
      <w:r>
        <w:rPr>
          <w:rFonts w:ascii="Arial" w:cs="Arial" w:eastAsia="Arial" w:hAnsi="Arial"/>
          <w:sz w:val="14"/>
          <w:szCs w:val="14"/>
          <w:color w:val="auto"/>
        </w:rPr>
        <w:t>”), which is equal to 0.2% of the Company measured on a fully diluted basis as of immediately following the Company’s recent Series C financing which closed on February 25, 2021. The Option will: (i) be subject to the terms and conditions of the Century Therapeutics, Inc. 2018 Stock Option and Grant Plan (as amended, restated or otherwise modified from time to time, the “</w:t>
      </w:r>
      <w:r>
        <w:rPr>
          <w:rFonts w:ascii="Arial" w:cs="Arial" w:eastAsia="Arial" w:hAnsi="Arial"/>
          <w:sz w:val="14"/>
          <w:szCs w:val="14"/>
          <w:u w:val="single" w:color="auto"/>
          <w:color w:val="auto"/>
        </w:rPr>
        <w:t>Plan</w:t>
      </w:r>
      <w:r>
        <w:rPr>
          <w:rFonts w:ascii="Arial" w:cs="Arial" w:eastAsia="Arial" w:hAnsi="Arial"/>
          <w:sz w:val="14"/>
          <w:szCs w:val="14"/>
          <w:color w:val="auto"/>
        </w:rPr>
        <w:t>”) and the Non-Qualified Stock Option Agreement by and between you and the Company (the “</w:t>
      </w:r>
      <w:r>
        <w:rPr>
          <w:rFonts w:ascii="Arial" w:cs="Arial" w:eastAsia="Arial" w:hAnsi="Arial"/>
          <w:sz w:val="14"/>
          <w:szCs w:val="14"/>
          <w:u w:val="single" w:color="auto"/>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333375</wp:posOffset>
            </wp:positionV>
            <wp:extent cx="7159625" cy="698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879" w:name="page880"/>
    <w:bookmarkEnd w:id="879"/>
    <w:p>
      <w:pPr>
        <w:jc w:val="both"/>
        <w:ind w:left="516"/>
        <w:spacing w:after="0" w:line="265" w:lineRule="auto"/>
        <w:rPr>
          <w:sz w:val="20"/>
          <w:szCs w:val="20"/>
          <w:color w:val="auto"/>
        </w:rPr>
      </w:pPr>
      <w:r>
        <w:rPr>
          <w:rFonts w:ascii="Arial" w:cs="Arial" w:eastAsia="Arial" w:hAnsi="Arial"/>
          <w:sz w:val="14"/>
          <w:szCs w:val="14"/>
          <w:u w:val="single" w:color="auto"/>
          <w:color w:val="auto"/>
        </w:rPr>
        <w:t>Agreement</w:t>
      </w:r>
      <w:r>
        <w:rPr>
          <w:rFonts w:ascii="Arial" w:cs="Arial" w:eastAsia="Arial" w:hAnsi="Arial"/>
          <w:sz w:val="14"/>
          <w:szCs w:val="14"/>
          <w:color w:val="auto"/>
        </w:rPr>
        <w:t>”), (ii) have an exercise price per share equal to the fair market value of the Company’s common stock on the date of grant ($2.89 per share) and (iii) be subject to vesting requirements such that 25% of the shares of Common Stock underlying the Option shall vest on the first anniversary of the grant date, and thereafter, the remaining 75% of the shares of Common Stock underlying the Option shall vest in 36 substantially equal monthly installments, in each case if you continue to provide services to the Company as of the applicable vesting date; provided, however, that any then-unvested portion of the Option shall automatically vest upon the closing of a Sale Event (as defined in the Plan) if you continue to provide services to the Company through such event.</w:t>
      </w:r>
    </w:p>
    <w:p>
      <w:pPr>
        <w:spacing w:after="0" w:line="147" w:lineRule="exact"/>
        <w:rPr>
          <w:sz w:val="20"/>
          <w:szCs w:val="20"/>
          <w:color w:val="auto"/>
        </w:rPr>
      </w:pPr>
    </w:p>
    <w:p>
      <w:pPr>
        <w:ind w:left="516" w:hanging="516"/>
        <w:spacing w:after="0" w:line="288" w:lineRule="auto"/>
        <w:tabs>
          <w:tab w:leader="none" w:pos="516" w:val="left"/>
        </w:tabs>
        <w:numPr>
          <w:ilvl w:val="0"/>
          <w:numId w:val="698"/>
        </w:numPr>
        <w:rPr>
          <w:rFonts w:ascii="Arial" w:cs="Arial" w:eastAsia="Arial" w:hAnsi="Arial"/>
          <w:sz w:val="14"/>
          <w:szCs w:val="14"/>
          <w:color w:val="auto"/>
        </w:rPr>
      </w:pPr>
      <w:r>
        <w:rPr>
          <w:rFonts w:ascii="Arial" w:cs="Arial" w:eastAsia="Arial" w:hAnsi="Arial"/>
          <w:sz w:val="14"/>
          <w:szCs w:val="14"/>
          <w:u w:val="single" w:color="auto"/>
          <w:color w:val="auto"/>
        </w:rPr>
        <w:t>Annual Retainer and Equity Awards</w:t>
      </w:r>
      <w:r>
        <w:rPr>
          <w:rFonts w:ascii="Arial" w:cs="Arial" w:eastAsia="Arial" w:hAnsi="Arial"/>
          <w:sz w:val="14"/>
          <w:szCs w:val="14"/>
          <w:color w:val="auto"/>
        </w:rPr>
        <w:t>. Subject to approval by the Board, for so long as you continue to serve as a director of the Company, you shall be entitled to receive an annual retainer of $25,000, payable on a quarterly basis. Such retainer shall be pro-rated for any partial year.</w:t>
      </w:r>
    </w:p>
    <w:p>
      <w:pPr>
        <w:spacing w:after="0" w:line="131" w:lineRule="exact"/>
        <w:rPr>
          <w:rFonts w:ascii="Arial" w:cs="Arial" w:eastAsia="Arial" w:hAnsi="Arial"/>
          <w:sz w:val="14"/>
          <w:szCs w:val="14"/>
          <w:color w:val="auto"/>
        </w:rPr>
      </w:pPr>
    </w:p>
    <w:p>
      <w:pPr>
        <w:ind w:left="-524" w:firstLine="1042"/>
        <w:spacing w:after="0" w:line="288" w:lineRule="auto"/>
        <w:tabs>
          <w:tab w:leader="none" w:pos="799" w:val="left"/>
        </w:tabs>
        <w:numPr>
          <w:ilvl w:val="1"/>
          <w:numId w:val="698"/>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Company will pay or reimburse the reasonable, authorized expenses incurred by you in the discharge of your duties as a director, in accordance with the general practices and policies of the Company and upon the submission of appropriate documentation.</w:t>
      </w:r>
    </w:p>
    <w:p>
      <w:pPr>
        <w:spacing w:after="0" w:line="131" w:lineRule="exact"/>
        <w:rPr>
          <w:rFonts w:ascii="Arial" w:cs="Arial" w:eastAsia="Arial" w:hAnsi="Arial"/>
          <w:sz w:val="14"/>
          <w:szCs w:val="14"/>
          <w:color w:val="auto"/>
        </w:rPr>
      </w:pPr>
    </w:p>
    <w:p>
      <w:pPr>
        <w:jc w:val="both"/>
        <w:ind w:left="-524" w:firstLine="1042"/>
        <w:spacing w:after="0" w:line="273" w:lineRule="auto"/>
        <w:tabs>
          <w:tab w:leader="none" w:pos="799" w:val="left"/>
        </w:tabs>
        <w:numPr>
          <w:ilvl w:val="1"/>
          <w:numId w:val="698"/>
        </w:numPr>
        <w:rPr>
          <w:rFonts w:ascii="Arial" w:cs="Arial" w:eastAsia="Arial" w:hAnsi="Arial"/>
          <w:sz w:val="14"/>
          <w:szCs w:val="14"/>
          <w:color w:val="auto"/>
        </w:rPr>
      </w:pPr>
      <w:r>
        <w:rPr>
          <w:rFonts w:ascii="Arial" w:cs="Arial" w:eastAsia="Arial" w:hAnsi="Arial"/>
          <w:sz w:val="14"/>
          <w:szCs w:val="14"/>
          <w:u w:val="single" w:color="auto"/>
          <w:color w:val="auto"/>
        </w:rPr>
        <w:t>Indemnification; Insurance</w:t>
      </w:r>
      <w:r>
        <w:rPr>
          <w:rFonts w:ascii="Arial" w:cs="Arial" w:eastAsia="Arial" w:hAnsi="Arial"/>
          <w:sz w:val="14"/>
          <w:szCs w:val="14"/>
          <w:color w:val="auto"/>
        </w:rPr>
        <w:t>. As a director, you will be entitled to indemnification under the Company’s Organizational Documents and an Indemnification Agreement to be entered into between the Company and you (the “</w:t>
      </w:r>
      <w:r>
        <w:rPr>
          <w:rFonts w:ascii="Arial" w:cs="Arial" w:eastAsia="Arial" w:hAnsi="Arial"/>
          <w:sz w:val="14"/>
          <w:szCs w:val="14"/>
          <w:u w:val="single" w:color="auto"/>
          <w:color w:val="auto"/>
        </w:rPr>
        <w:t>Indemnification Agreement</w:t>
      </w:r>
      <w:r>
        <w:rPr>
          <w:rFonts w:ascii="Arial" w:cs="Arial" w:eastAsia="Arial" w:hAnsi="Arial"/>
          <w:sz w:val="14"/>
          <w:szCs w:val="14"/>
          <w:color w:val="auto"/>
        </w:rPr>
        <w:t>”). In addition, the Company will also carry director and officer liability insurance and you will be a covered person under any such policy maintained by the Company during the term of your service on the Board.</w:t>
      </w:r>
    </w:p>
    <w:p>
      <w:pPr>
        <w:spacing w:after="0" w:line="141" w:lineRule="exact"/>
        <w:rPr>
          <w:rFonts w:ascii="Arial" w:cs="Arial" w:eastAsia="Arial" w:hAnsi="Arial"/>
          <w:sz w:val="14"/>
          <w:szCs w:val="14"/>
          <w:color w:val="auto"/>
        </w:rPr>
      </w:pPr>
    </w:p>
    <w:p>
      <w:pPr>
        <w:jc w:val="both"/>
        <w:ind w:left="-524" w:firstLine="1042"/>
        <w:spacing w:after="0" w:line="283" w:lineRule="auto"/>
        <w:tabs>
          <w:tab w:leader="none" w:pos="799" w:val="left"/>
        </w:tabs>
        <w:numPr>
          <w:ilvl w:val="1"/>
          <w:numId w:val="698"/>
        </w:numPr>
        <w:rPr>
          <w:rFonts w:ascii="Arial" w:cs="Arial" w:eastAsia="Arial" w:hAnsi="Arial"/>
          <w:sz w:val="13"/>
          <w:szCs w:val="13"/>
          <w:color w:val="auto"/>
        </w:rPr>
      </w:pPr>
      <w:r>
        <w:rPr>
          <w:rFonts w:ascii="Arial" w:cs="Arial" w:eastAsia="Arial" w:hAnsi="Arial"/>
          <w:sz w:val="13"/>
          <w:szCs w:val="13"/>
          <w:u w:val="single" w:color="auto"/>
          <w:color w:val="auto"/>
        </w:rPr>
        <w:t>Proprietary Information</w:t>
      </w:r>
      <w:r>
        <w:rPr>
          <w:rFonts w:ascii="Arial" w:cs="Arial" w:eastAsia="Arial" w:hAnsi="Arial"/>
          <w:sz w:val="13"/>
          <w:szCs w:val="13"/>
          <w:color w:val="auto"/>
        </w:rPr>
        <w:t>. You agree that all information, whether or not in writing, of a private, secret or confidential nature concerning the Company’s business, business relationships or financial affairs (collectively, “</w:t>
      </w:r>
      <w:r>
        <w:rPr>
          <w:rFonts w:ascii="Arial" w:cs="Arial" w:eastAsia="Arial" w:hAnsi="Arial"/>
          <w:sz w:val="13"/>
          <w:szCs w:val="13"/>
          <w:u w:val="single" w:color="auto"/>
          <w:color w:val="auto"/>
        </w:rPr>
        <w:t>Proprietary Information</w:t>
      </w:r>
      <w:r>
        <w:rPr>
          <w:rFonts w:ascii="Arial" w:cs="Arial" w:eastAsia="Arial" w:hAnsi="Arial"/>
          <w:sz w:val="13"/>
          <w:szCs w:val="13"/>
          <w:color w:val="auto"/>
        </w:rPr>
        <w:t>”) is and shall be the exclusive property of the Company. In consideration for the Company sharing with you the Company’s Proprietary Information, you agree (a) that you will not disclose any Proprietary Information to any person or entity other than employees or advisors of the Company or use the same for any purposes (other than in the performance of your duties as a member of the Board) without written approval by an officer of the Company, either during or after you serve as a member of the Board, unless and until such Proprietary Information has become public knowledge without your fault, and (b) that any materials containing Proprietary Information which shall come into your custody or possession shall be and are the exclusive property of the Company to be used only in the performance of your duties for the Company. All such materials or copies thereof and all tangible property of the Company in your custody or possession shall be delivered to the Company or destroyed, at the Company’s election, upon the earlier of (i) the Company’s request or (ii) termination of your service on the Board. After such delivery or destruction, you shall not retain any such materials or copies thereof or any such tangible property. You agree that your obligations not to disclose or to use Proprietary Information and materials containing Proprietary Information and to return materials and tangible property also extends to such types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328295</wp:posOffset>
            </wp:positionV>
            <wp:extent cx="7159625" cy="698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56"/>
          </w:cols>
          <w:pgMar w:left="824" w:top="756" w:right="319" w:bottom="1440" w:gutter="0" w:footer="0" w:header="0"/>
        </w:sectPr>
      </w:pPr>
    </w:p>
    <w:bookmarkStart w:id="880" w:name="page881"/>
    <w:bookmarkEnd w:id="880"/>
    <w:p>
      <w:pPr>
        <w:spacing w:after="0"/>
        <w:rPr>
          <w:sz w:val="20"/>
          <w:szCs w:val="20"/>
          <w:color w:val="auto"/>
        </w:rPr>
      </w:pPr>
      <w:r>
        <w:rPr>
          <w:rFonts w:ascii="Arial" w:cs="Arial" w:eastAsia="Arial" w:hAnsi="Arial"/>
          <w:sz w:val="13"/>
          <w:szCs w:val="13"/>
          <w:color w:val="auto"/>
        </w:rPr>
        <w:t>materials and tangible property of customers of the Company or suppliers to the Company or other third parties who may have disclosed or entrusted the same to you or the Company.</w:t>
      </w:r>
    </w:p>
    <w:p>
      <w:pPr>
        <w:spacing w:after="0" w:line="196" w:lineRule="exact"/>
        <w:rPr>
          <w:sz w:val="20"/>
          <w:szCs w:val="20"/>
          <w:color w:val="auto"/>
        </w:rPr>
      </w:pPr>
    </w:p>
    <w:p>
      <w:pPr>
        <w:jc w:val="both"/>
        <w:ind w:firstLine="1042"/>
        <w:spacing w:after="0" w:line="273" w:lineRule="auto"/>
        <w:tabs>
          <w:tab w:leader="none" w:pos="1359" w:val="left"/>
        </w:tabs>
        <w:numPr>
          <w:ilvl w:val="0"/>
          <w:numId w:val="699"/>
        </w:numPr>
        <w:rPr>
          <w:rFonts w:ascii="Arial" w:cs="Arial" w:eastAsia="Arial" w:hAnsi="Arial"/>
          <w:sz w:val="14"/>
          <w:szCs w:val="14"/>
          <w:color w:val="auto"/>
        </w:rPr>
      </w:pPr>
      <w:r>
        <w:rPr>
          <w:rFonts w:ascii="Arial" w:cs="Arial" w:eastAsia="Arial" w:hAnsi="Arial"/>
          <w:sz w:val="14"/>
          <w:szCs w:val="14"/>
          <w:u w:val="single" w:color="auto"/>
          <w:color w:val="auto"/>
        </w:rPr>
        <w:t>Obligations to Third Parties</w:t>
      </w:r>
      <w:r>
        <w:rPr>
          <w:rFonts w:ascii="Arial" w:cs="Arial" w:eastAsia="Arial" w:hAnsi="Arial"/>
          <w:sz w:val="14"/>
          <w:szCs w:val="14"/>
          <w:color w:val="auto"/>
        </w:rPr>
        <w:t>. You represent that your service as a member of the Board does not and will not breach any agreement you have with any current or former employer or any other person (including without limitation any nondisclosure or non-competition agreement), and that you will not disclose to the Company or induce the Company to use any confidential or proprietary information or material belonging to any current or previous employer or others.</w:t>
      </w:r>
    </w:p>
    <w:p>
      <w:pPr>
        <w:spacing w:after="0" w:line="141" w:lineRule="exact"/>
        <w:rPr>
          <w:rFonts w:ascii="Arial" w:cs="Arial" w:eastAsia="Arial" w:hAnsi="Arial"/>
          <w:sz w:val="14"/>
          <w:szCs w:val="14"/>
          <w:color w:val="auto"/>
        </w:rPr>
      </w:pPr>
    </w:p>
    <w:p>
      <w:pPr>
        <w:ind w:firstLine="1042"/>
        <w:spacing w:after="0" w:line="288" w:lineRule="auto"/>
        <w:tabs>
          <w:tab w:leader="none" w:pos="1359" w:val="left"/>
        </w:tabs>
        <w:numPr>
          <w:ilvl w:val="0"/>
          <w:numId w:val="699"/>
        </w:numPr>
        <w:rPr>
          <w:rFonts w:ascii="Arial" w:cs="Arial" w:eastAsia="Arial" w:hAnsi="Arial"/>
          <w:sz w:val="14"/>
          <w:szCs w:val="14"/>
          <w:color w:val="auto"/>
        </w:rPr>
      </w:pP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Nothing contained in this letter agreement shall be construed to create an employer/employee, joint venture, partnership, or principal-agent relationship between you and the Company.</w:t>
      </w:r>
    </w:p>
    <w:p>
      <w:pPr>
        <w:spacing w:after="0" w:line="131" w:lineRule="exact"/>
        <w:rPr>
          <w:rFonts w:ascii="Arial" w:cs="Arial" w:eastAsia="Arial" w:hAnsi="Arial"/>
          <w:sz w:val="14"/>
          <w:szCs w:val="14"/>
          <w:color w:val="auto"/>
        </w:rPr>
      </w:pPr>
    </w:p>
    <w:p>
      <w:pPr>
        <w:jc w:val="both"/>
        <w:ind w:firstLine="1042"/>
        <w:spacing w:after="0" w:line="273" w:lineRule="auto"/>
        <w:tabs>
          <w:tab w:leader="none" w:pos="1395" w:val="left"/>
        </w:tabs>
        <w:numPr>
          <w:ilvl w:val="0"/>
          <w:numId w:val="699"/>
        </w:numPr>
        <w:rPr>
          <w:rFonts w:ascii="Arial" w:cs="Arial" w:eastAsia="Arial" w:hAnsi="Arial"/>
          <w:sz w:val="14"/>
          <w:szCs w:val="14"/>
          <w:color w:val="auto"/>
        </w:rPr>
      </w:pPr>
      <w:r>
        <w:rPr>
          <w:rFonts w:ascii="Arial" w:cs="Arial" w:eastAsia="Arial" w:hAnsi="Arial"/>
          <w:sz w:val="14"/>
          <w:szCs w:val="14"/>
          <w:u w:val="single" w:color="auto"/>
          <w:color w:val="auto"/>
        </w:rPr>
        <w:t>Governing Law; Consent to Jurisdiction</w:t>
      </w:r>
      <w:r>
        <w:rPr>
          <w:rFonts w:ascii="Arial" w:cs="Arial" w:eastAsia="Arial" w:hAnsi="Arial"/>
          <w:sz w:val="14"/>
          <w:szCs w:val="14"/>
          <w:color w:val="auto"/>
        </w:rPr>
        <w:t>. This letter agreement shall be interpreted according to and governed by the law of the State of Delaware applicable to agreements made and performed within the State of Delaware without reference to its choice of law rules. The parties to this Agreement hereby consent to the jurisdiction of the courts located in New Castle County, Delaware for any proceeding arising out of or relating to this letter agreement.</w:t>
      </w:r>
    </w:p>
    <w:p>
      <w:pPr>
        <w:spacing w:after="0" w:line="141" w:lineRule="exact"/>
        <w:rPr>
          <w:rFonts w:ascii="Arial" w:cs="Arial" w:eastAsia="Arial" w:hAnsi="Arial"/>
          <w:sz w:val="14"/>
          <w:szCs w:val="14"/>
          <w:color w:val="auto"/>
        </w:rPr>
      </w:pPr>
    </w:p>
    <w:p>
      <w:pPr>
        <w:ind w:firstLine="1042"/>
        <w:spacing w:after="0" w:line="288" w:lineRule="auto"/>
        <w:tabs>
          <w:tab w:leader="none" w:pos="1390" w:val="left"/>
        </w:tabs>
        <w:numPr>
          <w:ilvl w:val="0"/>
          <w:numId w:val="699"/>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letter agreement and the Indemnification Agreement constitute the entire understanding between the parties with respect to the subject matter hereof and supersedes any and all prior understandings, statements, warranties, representations and agreements, both oral and written, relating hereto.</w:t>
      </w:r>
    </w:p>
    <w:p>
      <w:pPr>
        <w:spacing w:after="0" w:line="131" w:lineRule="exact"/>
        <w:rPr>
          <w:rFonts w:ascii="Arial" w:cs="Arial" w:eastAsia="Arial" w:hAnsi="Arial"/>
          <w:sz w:val="14"/>
          <w:szCs w:val="14"/>
          <w:color w:val="auto"/>
        </w:rPr>
      </w:pPr>
    </w:p>
    <w:p>
      <w:pPr>
        <w:ind w:firstLine="1042"/>
        <w:spacing w:after="0" w:line="288" w:lineRule="auto"/>
        <w:tabs>
          <w:tab w:leader="none" w:pos="1395" w:val="left"/>
        </w:tabs>
        <w:numPr>
          <w:ilvl w:val="0"/>
          <w:numId w:val="699"/>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of this letter agreement is held invalid, illegal, or unenforceable by a court of competent jurisdiction, that term shall be severed and the remaining terms shall continue in full force.</w:t>
      </w:r>
    </w:p>
    <w:p>
      <w:pPr>
        <w:spacing w:after="0" w:line="131" w:lineRule="exact"/>
        <w:rPr>
          <w:rFonts w:ascii="Arial" w:cs="Arial" w:eastAsia="Arial" w:hAnsi="Arial"/>
          <w:sz w:val="14"/>
          <w:szCs w:val="14"/>
          <w:color w:val="auto"/>
        </w:rPr>
      </w:pPr>
    </w:p>
    <w:p>
      <w:pPr>
        <w:ind w:firstLine="1042"/>
        <w:spacing w:after="0" w:line="288" w:lineRule="auto"/>
        <w:tabs>
          <w:tab w:leader="none" w:pos="1395" w:val="left"/>
        </w:tabs>
        <w:numPr>
          <w:ilvl w:val="0"/>
          <w:numId w:val="699"/>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letter agreement may be executed in counterparts, including by facsimile signature, each of which shall be deemed an original but all of which taken together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remainder of page intentionally left blank</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59625" cy="698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881" w:name="page882"/>
    <w:bookmarkEnd w:id="881"/>
    <w:p>
      <w:pPr>
        <w:ind w:left="87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194310</wp:posOffset>
            </wp:positionH>
            <wp:positionV relativeFrom="page">
              <wp:posOffset>486410</wp:posOffset>
            </wp:positionV>
            <wp:extent cx="1082675" cy="34226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clrChange>
                        <a:clrFrom>
                          <a:srgbClr val="FFFFFF"/>
                        </a:clrFrom>
                        <a:clrTo>
                          <a:srgbClr val="FFFFFF">
                            <a:alpha val="0"/>
                          </a:srgbClr>
                        </a:clrTo>
                      </a:clrChange>
                      <a:extLst>
                        <a:ext uri="{28A0092B-C50C-407E-A947-70E740481C1C}"/>
                      </a:extLst>
                    </a:blip>
                    <a:srcRect/>
                    <a:stretch>
                      <a:fillRect/>
                    </a:stretch>
                  </pic:blipFill>
                  <pic:spPr bwMode="auto">
                    <a:xfrm>
                      <a:off x="0" y="0"/>
                      <a:ext cx="1082675" cy="342265"/>
                    </a:xfrm>
                    <a:prstGeom prst="rect">
                      <a:avLst/>
                    </a:prstGeom>
                    <a:noFill/>
                  </pic:spPr>
                </pic:pic>
              </a:graphicData>
            </a:graphic>
          </wp:anchor>
        </w:drawing>
        <w:t>3675 Market Street, Philadelphia, PA 19104</w:t>
      </w:r>
    </w:p>
    <w:p>
      <w:pPr>
        <w:spacing w:after="0" w:line="19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If you are in agreement with the terms described above, please return a countersigned copy of this letter to me. We look forward to your participation as a member of the Board.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Very truly yours,</w:t>
            </w:r>
          </w:p>
        </w:tc>
      </w:tr>
      <w:tr>
        <w:trPr>
          <w:trHeight w:val="314"/>
        </w:trPr>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 Osvaldo Flores, Ph.D.</w:t>
            </w:r>
          </w:p>
        </w:tc>
        <w:tc>
          <w:tcPr>
            <w:tcW w:w="4180" w:type="dxa"/>
            <w:vAlign w:val="bottom"/>
            <w:gridSpan w:val="2"/>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Name: Osvaldo Flores, Ph.D.</w:t>
            </w:r>
          </w:p>
        </w:tc>
      </w:tr>
      <w:tr>
        <w:trPr>
          <w:trHeight w:val="182"/>
        </w:trPr>
        <w:tc>
          <w:tcPr>
            <w:tcW w:w="15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Title: Chief Executive Officer</w:t>
            </w:r>
          </w:p>
        </w:tc>
      </w:tr>
      <w:tr>
        <w:trPr>
          <w:trHeight w:val="345"/>
        </w:trPr>
        <w:tc>
          <w:tcPr>
            <w:tcW w:w="3560" w:type="dxa"/>
            <w:vAlign w:val="bottom"/>
            <w:gridSpan w:val="2"/>
          </w:tcPr>
          <w:p>
            <w:pPr>
              <w:spacing w:after="0"/>
              <w:rPr>
                <w:sz w:val="20"/>
                <w:szCs w:val="20"/>
                <w:color w:val="auto"/>
              </w:rPr>
            </w:pPr>
            <w:r>
              <w:rPr>
                <w:rFonts w:ascii="Arial" w:cs="Arial" w:eastAsia="Arial" w:hAnsi="Arial"/>
                <w:sz w:val="14"/>
                <w:szCs w:val="14"/>
                <w:color w:val="auto"/>
              </w:rPr>
              <w:t>Accepted and Agreed to:</w:t>
            </w:r>
          </w:p>
        </w:tc>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14"/>
        </w:trPr>
        <w:tc>
          <w:tcPr>
            <w:tcW w:w="3560" w:type="dxa"/>
            <w:vAlign w:val="bottom"/>
            <w:gridSpan w:val="2"/>
          </w:tcPr>
          <w:p>
            <w:pPr>
              <w:spacing w:after="0"/>
              <w:rPr>
                <w:sz w:val="20"/>
                <w:szCs w:val="20"/>
                <w:color w:val="auto"/>
              </w:rPr>
            </w:pPr>
            <w:r>
              <w:rPr>
                <w:rFonts w:ascii="Arial" w:cs="Arial" w:eastAsia="Arial" w:hAnsi="Arial"/>
                <w:sz w:val="14"/>
                <w:szCs w:val="14"/>
                <w:color w:val="auto"/>
              </w:rPr>
              <w:t>/s/ Alessandro Riva, M.D.</w:t>
            </w:r>
          </w:p>
        </w:tc>
        <w:tc>
          <w:tcPr>
            <w:tcW w:w="208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4"/>
                <w:szCs w:val="14"/>
                <w:color w:val="auto"/>
              </w:rPr>
              <w:t>May 19, 2021</w:t>
            </w:r>
          </w:p>
        </w:tc>
      </w:tr>
      <w:tr>
        <w:trPr>
          <w:trHeight w:val="184"/>
        </w:trPr>
        <w:tc>
          <w:tcPr>
            <w:tcW w:w="15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Alessandro Riva, M.D.</w:t>
            </w:r>
          </w:p>
        </w:tc>
        <w:tc>
          <w:tcPr>
            <w:tcW w:w="20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Date</w:t>
            </w:r>
          </w:p>
        </w:tc>
        <w:tc>
          <w:tcPr>
            <w:tcW w:w="3960" w:type="dxa"/>
            <w:vAlign w:val="bottom"/>
          </w:tcPr>
          <w:p>
            <w:pPr>
              <w:spacing w:after="0"/>
              <w:rPr>
                <w:sz w:val="15"/>
                <w:szCs w:val="15"/>
                <w:color w:val="auto"/>
              </w:rPr>
            </w:pPr>
          </w:p>
        </w:tc>
      </w:tr>
      <w:tr>
        <w:trPr>
          <w:trHeight w:val="518"/>
        </w:trPr>
        <w:tc>
          <w:tcPr>
            <w:tcW w:w="15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right"/>
              <w:ind w:right="134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22" w:right="319" w:bottom="1440" w:gutter="0" w:footer="0" w:header="0"/>
        </w:sectPr>
      </w:pPr>
    </w:p>
    <w:bookmarkStart w:id="882" w:name="page883"/>
    <w:bookmarkEnd w:id="882"/>
    <w:p>
      <w:pPr>
        <w:jc w:val="right"/>
        <w:spacing w:after="0"/>
        <w:rPr>
          <w:sz w:val="20"/>
          <w:szCs w:val="20"/>
          <w:color w:val="auto"/>
        </w:rPr>
      </w:pPr>
      <w:r>
        <w:rPr>
          <w:rFonts w:ascii="Arial" w:cs="Arial" w:eastAsia="Arial" w:hAnsi="Arial"/>
          <w:sz w:val="14"/>
          <w:szCs w:val="14"/>
          <w:b w:val="1"/>
          <w:bCs w:val="1"/>
          <w:color w:val="auto"/>
        </w:rPr>
        <w:t>Exhibit 21.1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780" w:type="dxa"/>
            <w:vAlign w:val="bottom"/>
            <w:gridSpan w:val="3"/>
          </w:tcPr>
          <w:p>
            <w:pPr>
              <w:ind w:left="1380"/>
              <w:spacing w:after="0"/>
              <w:rPr>
                <w:sz w:val="20"/>
                <w:szCs w:val="20"/>
                <w:color w:val="auto"/>
              </w:rPr>
            </w:pPr>
            <w:r>
              <w:rPr>
                <w:rFonts w:ascii="Arial" w:cs="Arial" w:eastAsia="Arial" w:hAnsi="Arial"/>
                <w:sz w:val="14"/>
                <w:szCs w:val="14"/>
                <w:b w:val="1"/>
                <w:bCs w:val="1"/>
                <w:color w:val="auto"/>
              </w:rPr>
              <w:t>SUBSIDIARIES OF CENTURY THERAPEUTICS, INC.</w:t>
            </w:r>
          </w:p>
        </w:tc>
      </w:tr>
      <w:tr>
        <w:trPr>
          <w:trHeight w:val="346"/>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Borders>
              <w:bottom w:val="single" w:sz="8" w:color="CCEEFF"/>
            </w:tcBorders>
          </w:tcPr>
          <w:p>
            <w:pPr>
              <w:spacing w:after="0"/>
              <w:rPr>
                <w:sz w:val="24"/>
                <w:szCs w:val="24"/>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Ownership percentage</w:t>
            </w:r>
          </w:p>
        </w:tc>
        <w:tc>
          <w:tcPr>
            <w:tcW w:w="440" w:type="dxa"/>
            <w:vAlign w:val="bottom"/>
            <w:tcBorders>
              <w:bottom w:val="single" w:sz="8" w:color="CCEEFF"/>
            </w:tcBorders>
          </w:tcPr>
          <w:p>
            <w:pPr>
              <w:spacing w:after="0"/>
              <w:rPr>
                <w:sz w:val="24"/>
                <w:szCs w:val="24"/>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 or Country of Incorporation</w:t>
            </w:r>
          </w:p>
        </w:tc>
      </w:tr>
      <w:tr>
        <w:trPr>
          <w:trHeight w:val="164"/>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Century Therapeutics Canada ULC</w:t>
            </w:r>
          </w:p>
        </w:tc>
        <w:tc>
          <w:tcPr>
            <w:tcW w:w="1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w:t>
            </w:r>
          </w:p>
        </w:tc>
        <w:tc>
          <w:tcPr>
            <w:tcW w:w="5860" w:type="dxa"/>
            <w:vAlign w:val="bottom"/>
            <w:shd w:val="clear" w:color="auto" w:fill="CCEEFF"/>
          </w:tcPr>
          <w:p>
            <w:pPr>
              <w:spacing w:after="0"/>
              <w:rPr>
                <w:sz w:val="20"/>
                <w:szCs w:val="20"/>
                <w:color w:val="auto"/>
              </w:rPr>
            </w:pPr>
            <w:r>
              <w:rPr>
                <w:rFonts w:ascii="Arial" w:cs="Arial" w:eastAsia="Arial" w:hAnsi="Arial"/>
                <w:sz w:val="14"/>
                <w:szCs w:val="14"/>
                <w:color w:val="auto"/>
              </w:rPr>
              <w:t>British Columbia, Canada</w:t>
            </w:r>
          </w:p>
        </w:tc>
      </w:tr>
      <w:tr>
        <w:trPr>
          <w:trHeight w:val="539"/>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-465455</wp:posOffset>
            </wp:positionV>
            <wp:extent cx="280670" cy="698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280670" cy="698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-465455</wp:posOffset>
            </wp:positionV>
            <wp:extent cx="75565" cy="698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5565" cy="698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883" w:name="page884"/>
    <w:bookmarkEnd w:id="883"/>
    <w:p>
      <w:pPr>
        <w:jc w:val="right"/>
        <w:spacing w:after="0"/>
        <w:rPr>
          <w:sz w:val="20"/>
          <w:szCs w:val="20"/>
          <w:color w:val="auto"/>
        </w:rPr>
      </w:pPr>
      <w:r>
        <w:rPr>
          <w:rFonts w:ascii="Arial" w:cs="Arial" w:eastAsia="Arial" w:hAnsi="Arial"/>
          <w:sz w:val="14"/>
          <w:szCs w:val="14"/>
          <w:b w:val="1"/>
          <w:bCs w:val="1"/>
          <w:color w:val="auto"/>
        </w:rPr>
        <w:t>Exhibit 23.1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8" w:lineRule="exact"/>
        <w:rPr>
          <w:sz w:val="20"/>
          <w:szCs w:val="20"/>
          <w:color w:val="auto"/>
        </w:rPr>
      </w:pPr>
    </w:p>
    <w:p>
      <w:pPr>
        <w:ind w:right="300"/>
        <w:spacing w:after="0" w:line="288" w:lineRule="auto"/>
        <w:rPr>
          <w:sz w:val="20"/>
          <w:szCs w:val="20"/>
          <w:color w:val="auto"/>
        </w:rPr>
      </w:pPr>
      <w:r>
        <w:rPr>
          <w:rFonts w:ascii="Arial" w:cs="Arial" w:eastAsia="Arial" w:hAnsi="Arial"/>
          <w:sz w:val="14"/>
          <w:szCs w:val="14"/>
          <w:color w:val="auto"/>
        </w:rPr>
        <w:t>We consent to the reference to our firm under the caption “Experts” and to the use of our report dated May 5, 2021 in the Registration Statement (Form S-1) and related Prospectus of Century Therapeutics, Inc. for the registration of shares of its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227330</wp:posOffset>
            </wp:positionV>
            <wp:extent cx="7159625" cy="698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sectPr>
      <w:pgSz w:w="11900" w:h="16838" w:orient="portrait"/>
      <w:cols w:equalWidth="0" w:num="1">
        <w:col w:w="11280"/>
      </w:cols>
      <w:pgMar w:left="300" w:top="2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49361F"/>
    <w:multiLevelType w:val="hybridMultilevel"/>
    <w:lvl w:ilvl="0">
      <w:lvlJc w:val="left"/>
      <w:lvlText w:val="(%1)"/>
      <w:numFmt w:val="decimal"/>
      <w:start w:val="1"/>
    </w:lvl>
  </w:abstractNum>
  <w:abstractNum w:abstractNumId="1">
    <w:nsid w:val="73BC6770"/>
    <w:multiLevelType w:val="hybridMultilevel"/>
    <w:lvl w:ilvl="0">
      <w:lvlJc w:val="left"/>
      <w:lvlText w:val="(%1)"/>
      <w:numFmt w:val="decimal"/>
      <w:start w:val="1"/>
    </w:lvl>
  </w:abstractNum>
  <w:abstractNum w:abstractNumId="2">
    <w:nsid w:val="280E6897"/>
    <w:multiLevelType w:val="hybridMultilevel"/>
    <w:lvl w:ilvl="0">
      <w:lvlJc w:val="left"/>
      <w:lvlText w:val="•"/>
      <w:numFmt w:val="bullet"/>
      <w:start w:val="1"/>
    </w:lvl>
  </w:abstractNum>
  <w:abstractNum w:abstractNumId="3">
    <w:nsid w:val="605138DE"/>
    <w:multiLevelType w:val="hybridMultilevel"/>
    <w:lvl w:ilvl="0">
      <w:lvlJc w:val="left"/>
      <w:lvlText w:val="•"/>
      <w:numFmt w:val="bullet"/>
      <w:start w:val="1"/>
    </w:lvl>
  </w:abstractNum>
  <w:abstractNum w:abstractNumId="4">
    <w:nsid w:val="2622AD0C"/>
    <w:multiLevelType w:val="hybridMultilevel"/>
    <w:lvl w:ilvl="0">
      <w:lvlJc w:val="left"/>
      <w:lvlText w:val="(%1)"/>
      <w:numFmt w:val="decimal"/>
      <w:start w:val="1"/>
    </w:lvl>
  </w:abstractNum>
  <w:abstractNum w:abstractNumId="5">
    <w:nsid w:val="67997556"/>
    <w:multiLevelType w:val="hybridMultilevel"/>
    <w:lvl w:ilvl="0">
      <w:lvlJc w:val="left"/>
      <w:lvlText w:val="•"/>
      <w:numFmt w:val="bullet"/>
      <w:start w:val="1"/>
    </w:lvl>
  </w:abstractNum>
  <w:abstractNum w:abstractNumId="6">
    <w:nsid w:val="18333C89"/>
    <w:multiLevelType w:val="hybridMultilevel"/>
    <w:lvl w:ilvl="0">
      <w:lvlJc w:val="left"/>
      <w:lvlText w:val="•"/>
      <w:numFmt w:val="bullet"/>
      <w:start w:val="1"/>
    </w:lvl>
  </w:abstractNum>
  <w:abstractNum w:abstractNumId="7">
    <w:nsid w:val="4BA9831A"/>
    <w:multiLevelType w:val="hybridMultilevel"/>
    <w:lvl w:ilvl="0">
      <w:lvlJc w:val="left"/>
      <w:lvlText w:val="•"/>
      <w:numFmt w:val="bullet"/>
      <w:start w:val="1"/>
    </w:lvl>
  </w:abstractNum>
  <w:abstractNum w:abstractNumId="8">
    <w:nsid w:val="6D71A2B"/>
    <w:multiLevelType w:val="hybridMultilevel"/>
    <w:lvl w:ilvl="0">
      <w:lvlJc w:val="left"/>
      <w:lvlText w:val="$"/>
      <w:numFmt w:val="bullet"/>
      <w:start w:val="1"/>
    </w:lvl>
  </w:abstractNum>
  <w:abstractNum w:abstractNumId="9">
    <w:nsid w:val="CFC7321"/>
    <w:multiLevelType w:val="hybridMultilevel"/>
    <w:lvl w:ilvl="0">
      <w:lvlJc w:val="left"/>
      <w:lvlText w:val="•"/>
      <w:numFmt w:val="bullet"/>
      <w:start w:val="1"/>
    </w:lvl>
  </w:abstractNum>
  <w:abstractNum w:abstractNumId="10">
    <w:nsid w:val="1421971B"/>
    <w:multiLevelType w:val="hybridMultilevel"/>
    <w:lvl w:ilvl="0">
      <w:lvlJc w:val="left"/>
      <w:lvlText w:val="•"/>
      <w:numFmt w:val="bullet"/>
      <w:start w:val="1"/>
    </w:lvl>
  </w:abstractNum>
  <w:abstractNum w:abstractNumId="11">
    <w:nsid w:val="1F404301"/>
    <w:multiLevelType w:val="hybridMultilevel"/>
    <w:lvl w:ilvl="0">
      <w:lvlJc w:val="left"/>
      <w:lvlText w:val="•"/>
      <w:numFmt w:val="bullet"/>
      <w:start w:val="1"/>
    </w:lvl>
  </w:abstractNum>
  <w:abstractNum w:abstractNumId="12">
    <w:nsid w:val="116E0907"/>
    <w:multiLevelType w:val="hybridMultilevel"/>
    <w:lvl w:ilvl="0">
      <w:lvlJc w:val="left"/>
      <w:lvlText w:val="•"/>
      <w:numFmt w:val="bullet"/>
      <w:start w:val="1"/>
    </w:lvl>
  </w:abstractNum>
  <w:abstractNum w:abstractNumId="13">
    <w:nsid w:val="4B683D0D"/>
    <w:multiLevelType w:val="hybridMultilevel"/>
    <w:lvl w:ilvl="0">
      <w:lvlJc w:val="left"/>
      <w:lvlText w:val="(%1)"/>
      <w:numFmt w:val="decimal"/>
      <w:start w:val="1"/>
    </w:lvl>
  </w:abstractNum>
  <w:abstractNum w:abstractNumId="14">
    <w:nsid w:val="76E41D8"/>
    <w:multiLevelType w:val="hybridMultilevel"/>
    <w:lvl w:ilvl="0">
      <w:lvlJc w:val="left"/>
      <w:lvlText w:val="(%1)"/>
      <w:numFmt w:val="decimal"/>
      <w:start w:val="1"/>
    </w:lvl>
  </w:abstractNum>
  <w:abstractNum w:abstractNumId="15">
    <w:nsid w:val="71DCE0FD"/>
    <w:multiLevelType w:val="hybridMultilevel"/>
    <w:lvl w:ilvl="0">
      <w:lvlJc w:val="left"/>
      <w:lvlText w:val="•"/>
      <w:numFmt w:val="bullet"/>
      <w:start w:val="1"/>
    </w:lvl>
  </w:abstractNum>
  <w:abstractNum w:abstractNumId="16">
    <w:nsid w:val="7906328B"/>
    <w:multiLevelType w:val="hybridMultilevel"/>
    <w:lvl w:ilvl="0">
      <w:lvlJc w:val="left"/>
      <w:lvlText w:val="•"/>
      <w:numFmt w:val="bullet"/>
      <w:start w:val="1"/>
    </w:lvl>
  </w:abstractNum>
  <w:abstractNum w:abstractNumId="17">
    <w:nsid w:val="72BBC16"/>
    <w:multiLevelType w:val="hybridMultilevel"/>
    <w:lvl w:ilvl="0">
      <w:lvlJc w:val="left"/>
      <w:lvlText w:val="•"/>
      <w:numFmt w:val="bullet"/>
      <w:start w:val="1"/>
    </w:lvl>
  </w:abstractNum>
  <w:abstractNum w:abstractNumId="18">
    <w:nsid w:val="766D98C2"/>
    <w:multiLevelType w:val="hybridMultilevel"/>
    <w:lvl w:ilvl="0">
      <w:lvlJc w:val="left"/>
      <w:lvlText w:val="•"/>
      <w:numFmt w:val="bullet"/>
      <w:start w:val="1"/>
    </w:lvl>
  </w:abstractNum>
  <w:abstractNum w:abstractNumId="19">
    <w:nsid w:val="3C09D4A1"/>
    <w:multiLevelType w:val="hybridMultilevel"/>
    <w:lvl w:ilvl="0">
      <w:lvlJc w:val="left"/>
      <w:lvlText w:val="•"/>
      <w:numFmt w:val="bullet"/>
      <w:start w:val="1"/>
    </w:lvl>
  </w:abstractNum>
  <w:abstractNum w:abstractNumId="20">
    <w:nsid w:val="20E45CA4"/>
    <w:multiLevelType w:val="hybridMultilevel"/>
    <w:lvl w:ilvl="0">
      <w:lvlJc w:val="left"/>
      <w:lvlText w:val="•"/>
      <w:numFmt w:val="bullet"/>
      <w:start w:val="1"/>
    </w:lvl>
  </w:abstractNum>
  <w:abstractNum w:abstractNumId="21">
    <w:nsid w:val="4B232EE3"/>
    <w:multiLevelType w:val="hybridMultilevel"/>
    <w:lvl w:ilvl="0">
      <w:lvlJc w:val="left"/>
      <w:lvlText w:val="•"/>
      <w:numFmt w:val="bullet"/>
      <w:start w:val="1"/>
    </w:lvl>
  </w:abstractNum>
  <w:abstractNum w:abstractNumId="22">
    <w:nsid w:val="159C74CF"/>
    <w:multiLevelType w:val="hybridMultilevel"/>
    <w:lvl w:ilvl="0">
      <w:lvlJc w:val="left"/>
      <w:lvlText w:val="•"/>
      <w:numFmt w:val="bullet"/>
      <w:start w:val="1"/>
    </w:lvl>
  </w:abstractNum>
  <w:abstractNum w:abstractNumId="23">
    <w:nsid w:val="4AD3AFD2"/>
    <w:multiLevelType w:val="hybridMultilevel"/>
    <w:lvl w:ilvl="0">
      <w:lvlJc w:val="left"/>
      <w:lvlText w:val="•"/>
      <w:numFmt w:val="bullet"/>
      <w:start w:val="1"/>
    </w:lvl>
  </w:abstractNum>
  <w:abstractNum w:abstractNumId="24">
    <w:nsid w:val="3CF93092"/>
    <w:multiLevelType w:val="hybridMultilevel"/>
    <w:lvl w:ilvl="0">
      <w:lvlJc w:val="left"/>
      <w:lvlText w:val="•"/>
      <w:numFmt w:val="bullet"/>
      <w:start w:val="1"/>
    </w:lvl>
  </w:abstractNum>
  <w:abstractNum w:abstractNumId="25">
    <w:nsid w:val="6863E8D2"/>
    <w:multiLevelType w:val="hybridMultilevel"/>
    <w:lvl w:ilvl="0">
      <w:lvlJc w:val="left"/>
      <w:lvlText w:val="•"/>
      <w:numFmt w:val="bullet"/>
      <w:start w:val="1"/>
    </w:lvl>
  </w:abstractNum>
  <w:abstractNum w:abstractNumId="26">
    <w:nsid w:val="76896198"/>
    <w:multiLevelType w:val="hybridMultilevel"/>
    <w:lvl w:ilvl="0">
      <w:lvlJc w:val="left"/>
      <w:lvlText w:val="•"/>
      <w:numFmt w:val="bullet"/>
      <w:start w:val="1"/>
    </w:lvl>
  </w:abstractNum>
  <w:abstractNum w:abstractNumId="27">
    <w:nsid w:val="4365174B"/>
    <w:multiLevelType w:val="hybridMultilevel"/>
    <w:lvl w:ilvl="0">
      <w:lvlJc w:val="left"/>
      <w:lvlText w:val="•"/>
      <w:numFmt w:val="bullet"/>
      <w:start w:val="1"/>
    </w:lvl>
  </w:abstractNum>
  <w:abstractNum w:abstractNumId="28">
    <w:nsid w:val="4A872C35"/>
    <w:multiLevelType w:val="hybridMultilevel"/>
    <w:lvl w:ilvl="0">
      <w:lvlJc w:val="left"/>
      <w:lvlText w:val="•"/>
      <w:numFmt w:val="bullet"/>
      <w:start w:val="1"/>
    </w:lvl>
  </w:abstractNum>
  <w:abstractNum w:abstractNumId="29">
    <w:nsid w:val="5D5CE761"/>
    <w:multiLevelType w:val="hybridMultilevel"/>
    <w:lvl w:ilvl="0">
      <w:lvlJc w:val="left"/>
      <w:lvlText w:val="•"/>
      <w:numFmt w:val="bullet"/>
      <w:start w:val="1"/>
    </w:lvl>
  </w:abstractNum>
  <w:abstractNum w:abstractNumId="30">
    <w:nsid w:val="1CD484D5"/>
    <w:multiLevelType w:val="hybridMultilevel"/>
    <w:lvl w:ilvl="0">
      <w:lvlJc w:val="left"/>
      <w:lvlText w:val="•"/>
      <w:numFmt w:val="bullet"/>
      <w:start w:val="1"/>
    </w:lvl>
  </w:abstractNum>
  <w:abstractNum w:abstractNumId="31">
    <w:nsid w:val="21D06255"/>
    <w:multiLevelType w:val="hybridMultilevel"/>
    <w:lvl w:ilvl="0">
      <w:lvlJc w:val="left"/>
      <w:lvlText w:val="•"/>
      <w:numFmt w:val="bullet"/>
      <w:start w:val="1"/>
    </w:lvl>
  </w:abstractNum>
  <w:abstractNum w:abstractNumId="32">
    <w:nsid w:val="51194ED1"/>
    <w:multiLevelType w:val="hybridMultilevel"/>
    <w:lvl w:ilvl="0">
      <w:lvlJc w:val="left"/>
      <w:lvlText w:val="•"/>
      <w:numFmt w:val="bullet"/>
      <w:start w:val="1"/>
    </w:lvl>
  </w:abstractNum>
  <w:abstractNum w:abstractNumId="33">
    <w:nsid w:val="44E2ED6C"/>
    <w:multiLevelType w:val="hybridMultilevel"/>
    <w:lvl w:ilvl="0">
      <w:lvlJc w:val="left"/>
      <w:lvlText w:val="•"/>
      <w:numFmt w:val="bullet"/>
      <w:start w:val="1"/>
    </w:lvl>
  </w:abstractNum>
  <w:abstractNum w:abstractNumId="34">
    <w:nsid w:val="2219B33"/>
    <w:multiLevelType w:val="hybridMultilevel"/>
    <w:lvl w:ilvl="0">
      <w:lvlJc w:val="left"/>
      <w:lvlText w:val="•"/>
      <w:numFmt w:val="bullet"/>
      <w:start w:val="1"/>
    </w:lvl>
  </w:abstractNum>
  <w:abstractNum w:abstractNumId="35">
    <w:nsid w:val="773BFBDD"/>
    <w:multiLevelType w:val="hybridMultilevel"/>
    <w:lvl w:ilvl="0">
      <w:lvlJc w:val="left"/>
      <w:lvlText w:val="•"/>
      <w:numFmt w:val="bullet"/>
      <w:start w:val="1"/>
    </w:lvl>
  </w:abstractNum>
  <w:abstractNum w:abstractNumId="36">
    <w:nsid w:val="2C7C62C2"/>
    <w:multiLevelType w:val="hybridMultilevel"/>
    <w:lvl w:ilvl="0">
      <w:lvlJc w:val="left"/>
      <w:lvlText w:val="•"/>
      <w:numFmt w:val="bullet"/>
      <w:start w:val="1"/>
    </w:lvl>
  </w:abstractNum>
  <w:abstractNum w:abstractNumId="37">
    <w:nsid w:val="1A54D7BC"/>
    <w:multiLevelType w:val="hybridMultilevel"/>
    <w:lvl w:ilvl="0">
      <w:lvlJc w:val="left"/>
      <w:lvlText w:val="•"/>
      <w:numFmt w:val="bullet"/>
      <w:start w:val="1"/>
    </w:lvl>
  </w:abstractNum>
  <w:abstractNum w:abstractNumId="38">
    <w:nsid w:val="42E57EF7"/>
    <w:multiLevelType w:val="hybridMultilevel"/>
    <w:lvl w:ilvl="0">
      <w:lvlJc w:val="left"/>
      <w:lvlText w:val="•"/>
      <w:numFmt w:val="bullet"/>
      <w:start w:val="1"/>
    </w:lvl>
  </w:abstractNum>
  <w:abstractNum w:abstractNumId="39">
    <w:nsid w:val="33537CED"/>
    <w:multiLevelType w:val="hybridMultilevel"/>
    <w:lvl w:ilvl="0">
      <w:lvlJc w:val="left"/>
      <w:lvlText w:val="•"/>
      <w:numFmt w:val="bullet"/>
      <w:start w:val="1"/>
    </w:lvl>
  </w:abstractNum>
  <w:abstractNum w:abstractNumId="40">
    <w:nsid w:val="27514ADE"/>
    <w:multiLevelType w:val="hybridMultilevel"/>
    <w:lvl w:ilvl="0">
      <w:lvlJc w:val="left"/>
      <w:lvlText w:val="•"/>
      <w:numFmt w:val="bullet"/>
      <w:start w:val="1"/>
    </w:lvl>
  </w:abstractNum>
  <w:abstractNum w:abstractNumId="41">
    <w:nsid w:val="57071613"/>
    <w:multiLevelType w:val="hybridMultilevel"/>
    <w:lvl w:ilvl="0">
      <w:lvlJc w:val="left"/>
      <w:lvlText w:val="•"/>
      <w:numFmt w:val="bullet"/>
      <w:start w:val="1"/>
    </w:lvl>
  </w:abstractNum>
  <w:abstractNum w:abstractNumId="42">
    <w:nsid w:val="5293BFEF"/>
    <w:multiLevelType w:val="hybridMultilevel"/>
    <w:lvl w:ilvl="0">
      <w:lvlJc w:val="left"/>
      <w:lvlText w:val="•"/>
      <w:numFmt w:val="bullet"/>
      <w:start w:val="1"/>
    </w:lvl>
  </w:abstractNum>
  <w:abstractNum w:abstractNumId="43">
    <w:nsid w:val="38BF53E5"/>
    <w:multiLevelType w:val="hybridMultilevel"/>
    <w:lvl w:ilvl="0">
      <w:lvlJc w:val="left"/>
      <w:lvlText w:val="•"/>
      <w:numFmt w:val="bullet"/>
      <w:start w:val="1"/>
    </w:lvl>
  </w:abstractNum>
  <w:abstractNum w:abstractNumId="44">
    <w:nsid w:val="226F5320"/>
    <w:multiLevelType w:val="hybridMultilevel"/>
    <w:lvl w:ilvl="0">
      <w:lvlJc w:val="left"/>
      <w:lvlText w:val="•"/>
      <w:numFmt w:val="bullet"/>
      <w:start w:val="1"/>
    </w:lvl>
  </w:abstractNum>
  <w:abstractNum w:abstractNumId="45">
    <w:nsid w:val="5A0201C7"/>
    <w:multiLevelType w:val="hybridMultilevel"/>
    <w:lvl w:ilvl="0">
      <w:lvlJc w:val="left"/>
      <w:lvlText w:val="•"/>
      <w:numFmt w:val="bullet"/>
      <w:start w:val="1"/>
    </w:lvl>
  </w:abstractNum>
  <w:abstractNum w:abstractNumId="46">
    <w:nsid w:val="2A9C34E2"/>
    <w:multiLevelType w:val="hybridMultilevel"/>
    <w:lvl w:ilvl="0">
      <w:lvlJc w:val="left"/>
      <w:lvlText w:val="•"/>
      <w:numFmt w:val="bullet"/>
      <w:start w:val="1"/>
    </w:lvl>
  </w:abstractNum>
  <w:abstractNum w:abstractNumId="47">
    <w:nsid w:val="1B7585AB"/>
    <w:multiLevelType w:val="hybridMultilevel"/>
    <w:lvl w:ilvl="0">
      <w:lvlJc w:val="left"/>
      <w:lvlText w:val="•"/>
      <w:numFmt w:val="bullet"/>
      <w:start w:val="1"/>
    </w:lvl>
  </w:abstractNum>
  <w:abstractNum w:abstractNumId="48">
    <w:nsid w:val="612DBDDD"/>
    <w:multiLevelType w:val="hybridMultilevel"/>
    <w:lvl w:ilvl="0">
      <w:lvlJc w:val="left"/>
      <w:lvlText w:val="•"/>
      <w:numFmt w:val="bullet"/>
      <w:start w:val="1"/>
    </w:lvl>
  </w:abstractNum>
  <w:abstractNum w:abstractNumId="49">
    <w:nsid w:val="2109CDA4"/>
    <w:multiLevelType w:val="hybridMultilevel"/>
    <w:lvl w:ilvl="0">
      <w:lvlJc w:val="left"/>
      <w:lvlText w:val="•"/>
      <w:numFmt w:val="bullet"/>
      <w:start w:val="1"/>
    </w:lvl>
  </w:abstractNum>
  <w:abstractNum w:abstractNumId="50">
    <w:nsid w:val="577F5A4D"/>
    <w:multiLevelType w:val="hybridMultilevel"/>
    <w:lvl w:ilvl="0">
      <w:lvlJc w:val="left"/>
      <w:lvlText w:val="•"/>
      <w:numFmt w:val="bullet"/>
      <w:start w:val="1"/>
    </w:lvl>
  </w:abstractNum>
  <w:abstractNum w:abstractNumId="51">
    <w:nsid w:val="2121A81"/>
    <w:multiLevelType w:val="hybridMultilevel"/>
    <w:lvl w:ilvl="0">
      <w:lvlJc w:val="left"/>
      <w:lvlText w:val="•"/>
      <w:numFmt w:val="bullet"/>
      <w:start w:val="1"/>
    </w:lvl>
  </w:abstractNum>
  <w:abstractNum w:abstractNumId="52">
    <w:nsid w:val="6C2CFC88"/>
    <w:multiLevelType w:val="hybridMultilevel"/>
    <w:lvl w:ilvl="0">
      <w:lvlJc w:val="left"/>
      <w:lvlText w:val="•"/>
      <w:numFmt w:val="bullet"/>
      <w:start w:val="1"/>
    </w:lvl>
  </w:abstractNum>
  <w:abstractNum w:abstractNumId="53">
    <w:nsid w:val="6D1BCF1C"/>
    <w:multiLevelType w:val="hybridMultilevel"/>
    <w:lvl w:ilvl="0">
      <w:lvlJc w:val="left"/>
      <w:lvlText w:val="$"/>
      <w:numFmt w:val="bullet"/>
      <w:start w:val="1"/>
    </w:lvl>
  </w:abstractNum>
  <w:abstractNum w:abstractNumId="54">
    <w:nsid w:val="4CE5CA53"/>
    <w:multiLevelType w:val="hybridMultilevel"/>
    <w:lvl w:ilvl="0">
      <w:lvlJc w:val="left"/>
      <w:lvlText w:val="$"/>
      <w:numFmt w:val="bullet"/>
      <w:start w:val="1"/>
    </w:lvl>
  </w:abstractNum>
  <w:abstractNum w:abstractNumId="55">
    <w:nsid w:val="29262D1A"/>
    <w:multiLevelType w:val="hybridMultilevel"/>
    <w:lvl w:ilvl="0">
      <w:lvlJc w:val="left"/>
      <w:lvlText w:val="$"/>
      <w:numFmt w:val="bullet"/>
      <w:start w:val="1"/>
    </w:lvl>
  </w:abstractNum>
  <w:abstractNum w:abstractNumId="56">
    <w:nsid w:val="557FB7EE"/>
    <w:multiLevelType w:val="hybridMultilevel"/>
    <w:lvl w:ilvl="0">
      <w:lvlJc w:val="left"/>
      <w:lvlText w:val="•"/>
      <w:numFmt w:val="bullet"/>
      <w:start w:val="1"/>
    </w:lvl>
  </w:abstractNum>
  <w:abstractNum w:abstractNumId="57">
    <w:nsid w:val="436F2BEB"/>
    <w:multiLevelType w:val="hybridMultilevel"/>
    <w:lvl w:ilvl="0">
      <w:lvlJc w:val="left"/>
      <w:lvlText w:val="(%1)"/>
      <w:numFmt w:val="decimal"/>
      <w:start w:val="1"/>
    </w:lvl>
  </w:abstractNum>
  <w:abstractNum w:abstractNumId="58">
    <w:nsid w:val="6C8B4466"/>
    <w:multiLevelType w:val="hybridMultilevel"/>
    <w:lvl w:ilvl="0">
      <w:lvlJc w:val="left"/>
      <w:lvlText w:val="(%1)"/>
      <w:numFmt w:val="decimal"/>
      <w:start w:val="1"/>
    </w:lvl>
  </w:abstractNum>
  <w:abstractNum w:abstractNumId="59">
    <w:nsid w:val="2006E424"/>
    <w:multiLevelType w:val="hybridMultilevel"/>
    <w:lvl w:ilvl="0">
      <w:lvlJc w:val="left"/>
      <w:lvlText w:val="•"/>
      <w:numFmt w:val="bullet"/>
      <w:start w:val="1"/>
    </w:lvl>
  </w:abstractNum>
  <w:abstractNum w:abstractNumId="60">
    <w:nsid w:val="20CC134C"/>
    <w:multiLevelType w:val="hybridMultilevel"/>
    <w:lvl w:ilvl="0">
      <w:lvlJc w:val="left"/>
      <w:lvlText w:val="•"/>
      <w:numFmt w:val="bullet"/>
      <w:start w:val="1"/>
    </w:lvl>
  </w:abstractNum>
  <w:abstractNum w:abstractNumId="61">
    <w:nsid w:val="95FC93B"/>
    <w:multiLevelType w:val="hybridMultilevel"/>
    <w:lvl w:ilvl="0">
      <w:lvlJc w:val="left"/>
      <w:lvlText w:val="•"/>
      <w:numFmt w:val="bullet"/>
      <w:start w:val="1"/>
    </w:lvl>
  </w:abstractNum>
  <w:abstractNum w:abstractNumId="62">
    <w:nsid w:val="41D74679"/>
    <w:multiLevelType w:val="hybridMultilevel"/>
    <w:lvl w:ilvl="0">
      <w:lvlJc w:val="left"/>
      <w:lvlText w:val="•"/>
      <w:numFmt w:val="bullet"/>
      <w:start w:val="1"/>
    </w:lvl>
  </w:abstractNum>
  <w:abstractNum w:abstractNumId="63">
    <w:nsid w:val="71E5621E"/>
    <w:multiLevelType w:val="hybridMultilevel"/>
    <w:lvl w:ilvl="0">
      <w:lvlJc w:val="left"/>
      <w:lvlText w:val="•"/>
      <w:numFmt w:val="bullet"/>
      <w:start w:val="1"/>
    </w:lvl>
  </w:abstractNum>
  <w:abstractNum w:abstractNumId="64">
    <w:nsid w:val="4E42B6A8"/>
    <w:multiLevelType w:val="hybridMultilevel"/>
    <w:lvl w:ilvl="0">
      <w:lvlJc w:val="left"/>
      <w:lvlText w:val="(%1)"/>
      <w:numFmt w:val="decimal"/>
      <w:start w:val="1"/>
    </w:lvl>
  </w:abstractNum>
  <w:abstractNum w:abstractNumId="65">
    <w:nsid w:val="43F8E1AC"/>
    <w:multiLevelType w:val="hybridMultilevel"/>
    <w:lvl w:ilvl="0">
      <w:lvlJc w:val="left"/>
      <w:lvlText w:val="•"/>
      <w:numFmt w:val="bullet"/>
      <w:start w:val="1"/>
    </w:lvl>
  </w:abstractNum>
  <w:abstractNum w:abstractNumId="66">
    <w:nsid w:val="69215DFB"/>
    <w:multiLevelType w:val="hybridMultilevel"/>
    <w:lvl w:ilvl="0">
      <w:lvlJc w:val="left"/>
      <w:lvlText w:val="•"/>
      <w:numFmt w:val="bullet"/>
      <w:start w:val="1"/>
    </w:lvl>
  </w:abstractNum>
  <w:abstractNum w:abstractNumId="67">
    <w:nsid w:val="7ABF196A"/>
    <w:multiLevelType w:val="hybridMultilevel"/>
    <w:lvl w:ilvl="0">
      <w:lvlJc w:val="left"/>
      <w:lvlText w:val="•"/>
      <w:numFmt w:val="bullet"/>
      <w:start w:val="1"/>
    </w:lvl>
  </w:abstractNum>
  <w:abstractNum w:abstractNumId="68">
    <w:nsid w:val="5E4DB968"/>
    <w:multiLevelType w:val="hybridMultilevel"/>
    <w:lvl w:ilvl="0">
      <w:lvlJc w:val="left"/>
      <w:lvlText w:val="•"/>
      <w:numFmt w:val="bullet"/>
      <w:start w:val="1"/>
    </w:lvl>
  </w:abstractNum>
  <w:abstractNum w:abstractNumId="69">
    <w:nsid w:val="2C06DCF3"/>
    <w:multiLevelType w:val="hybridMultilevel"/>
    <w:lvl w:ilvl="0">
      <w:lvlJc w:val="left"/>
      <w:lvlText w:val="•"/>
      <w:numFmt w:val="bullet"/>
      <w:start w:val="1"/>
    </w:lvl>
  </w:abstractNum>
  <w:abstractNum w:abstractNumId="70">
    <w:nsid w:val="2E129658"/>
    <w:multiLevelType w:val="hybridMultilevel"/>
    <w:lvl w:ilvl="0">
      <w:lvlJc w:val="left"/>
      <w:lvlText w:val="•"/>
      <w:numFmt w:val="bullet"/>
      <w:start w:val="1"/>
    </w:lvl>
  </w:abstractNum>
  <w:abstractNum w:abstractNumId="71">
    <w:nsid w:val="59F0446"/>
    <w:multiLevelType w:val="hybridMultilevel"/>
    <w:lvl w:ilvl="0">
      <w:lvlJc w:val="left"/>
      <w:lvlText w:val="(%1)"/>
      <w:numFmt w:val="decimal"/>
      <w:start w:val="1"/>
    </w:lvl>
  </w:abstractNum>
  <w:abstractNum w:abstractNumId="72">
    <w:nsid w:val="30DF306"/>
    <w:multiLevelType w:val="hybridMultilevel"/>
    <w:lvl w:ilvl="0">
      <w:lvlJc w:val="left"/>
      <w:lvlText w:val="•"/>
      <w:numFmt w:val="bullet"/>
      <w:start w:val="1"/>
    </w:lvl>
  </w:abstractNum>
  <w:abstractNum w:abstractNumId="73">
    <w:nsid w:val="A65647"/>
    <w:multiLevelType w:val="hybridMultilevel"/>
    <w:lvl w:ilvl="0">
      <w:lvlJc w:val="left"/>
      <w:lvlText w:val="•"/>
      <w:numFmt w:val="bullet"/>
      <w:start w:val="1"/>
    </w:lvl>
  </w:abstractNum>
  <w:abstractNum w:abstractNumId="74">
    <w:nsid w:val="3E5E582B"/>
    <w:multiLevelType w:val="hybridMultilevel"/>
    <w:lvl w:ilvl="0">
      <w:lvlJc w:val="left"/>
      <w:lvlText w:val="/"/>
      <w:numFmt w:val="bullet"/>
      <w:start w:val="1"/>
    </w:lvl>
  </w:abstractNum>
  <w:abstractNum w:abstractNumId="75">
    <w:nsid w:val="257D4626"/>
    <w:multiLevelType w:val="hybridMultilevel"/>
    <w:lvl w:ilvl="0">
      <w:lvlJc w:val="left"/>
      <w:lvlText w:val="(%1)"/>
      <w:numFmt w:val="decimal"/>
      <w:start w:val="1"/>
    </w:lvl>
  </w:abstractNum>
  <w:abstractNum w:abstractNumId="76">
    <w:nsid w:val="5AA8580E"/>
    <w:multiLevelType w:val="hybridMultilevel"/>
    <w:lvl w:ilvl="0">
      <w:lvlJc w:val="left"/>
      <w:lvlText w:val="•"/>
      <w:numFmt w:val="bullet"/>
      <w:start w:val="1"/>
    </w:lvl>
  </w:abstractNum>
  <w:abstractNum w:abstractNumId="77">
    <w:nsid w:val="68FA8D0D"/>
    <w:multiLevelType w:val="hybridMultilevel"/>
    <w:lvl w:ilvl="0">
      <w:lvlJc w:val="left"/>
      <w:lvlText w:val="•"/>
      <w:numFmt w:val="bullet"/>
      <w:start w:val="1"/>
    </w:lvl>
  </w:abstractNum>
  <w:abstractNum w:abstractNumId="78">
    <w:nsid w:val="40F2CBD2"/>
    <w:multiLevelType w:val="hybridMultilevel"/>
    <w:lvl w:ilvl="0">
      <w:lvlJc w:val="left"/>
      <w:lvlText w:val="•"/>
      <w:numFmt w:val="bullet"/>
      <w:start w:val="1"/>
    </w:lvl>
  </w:abstractNum>
  <w:abstractNum w:abstractNumId="79">
    <w:nsid w:val="3BD615EB"/>
    <w:multiLevelType w:val="hybridMultilevel"/>
    <w:lvl w:ilvl="0">
      <w:lvlJc w:val="left"/>
      <w:lvlText w:val="•"/>
      <w:numFmt w:val="bullet"/>
      <w:start w:val="1"/>
    </w:lvl>
  </w:abstractNum>
  <w:abstractNum w:abstractNumId="80">
    <w:nsid w:val="A045AB2"/>
    <w:multiLevelType w:val="hybridMultilevel"/>
    <w:lvl w:ilvl="0">
      <w:lvlJc w:val="left"/>
      <w:lvlText w:val="•"/>
      <w:numFmt w:val="bullet"/>
      <w:start w:val="1"/>
    </w:lvl>
  </w:abstractNum>
  <w:abstractNum w:abstractNumId="81">
    <w:nsid w:val="1872261F"/>
    <w:multiLevelType w:val="hybridMultilevel"/>
    <w:lvl w:ilvl="0">
      <w:lvlJc w:val="left"/>
      <w:lvlText w:val="%1"/>
      <w:numFmt w:val="decimal"/>
      <w:start w:val="50"/>
    </w:lvl>
  </w:abstractNum>
  <w:abstractNum w:abstractNumId="82">
    <w:nsid w:val="3DE8306C"/>
    <w:multiLevelType w:val="hybridMultilevel"/>
    <w:lvl w:ilvl="0">
      <w:lvlJc w:val="left"/>
      <w:lvlText w:val="(%1)"/>
      <w:numFmt w:val="decimal"/>
      <w:start w:val="1"/>
    </w:lvl>
  </w:abstractNum>
  <w:abstractNum w:abstractNumId="83">
    <w:nsid w:val="7631573A"/>
    <w:multiLevelType w:val="hybridMultilevel"/>
    <w:lvl w:ilvl="0">
      <w:lvlJc w:val="left"/>
      <w:lvlText w:val="•"/>
      <w:numFmt w:val="bullet"/>
      <w:start w:val="1"/>
    </w:lvl>
  </w:abstractNum>
  <w:abstractNum w:abstractNumId="84">
    <w:nsid w:val="58DF53B"/>
    <w:multiLevelType w:val="hybridMultilevel"/>
    <w:lvl w:ilvl="0">
      <w:lvlJc w:val="left"/>
      <w:lvlText w:val="•"/>
      <w:numFmt w:val="bullet"/>
      <w:start w:val="1"/>
    </w:lvl>
  </w:abstractNum>
  <w:abstractNum w:abstractNumId="85">
    <w:nsid w:val="ACDFAC0"/>
    <w:multiLevelType w:val="hybridMultilevel"/>
    <w:lvl w:ilvl="0">
      <w:lvlJc w:val="left"/>
      <w:lvlText w:val="•"/>
      <w:numFmt w:val="bullet"/>
      <w:start w:val="1"/>
    </w:lvl>
  </w:abstractNum>
  <w:abstractNum w:abstractNumId="86">
    <w:nsid w:val="1F578454"/>
    <w:multiLevelType w:val="hybridMultilevel"/>
    <w:lvl w:ilvl="0">
      <w:lvlJc w:val="left"/>
      <w:lvlText w:val="•"/>
      <w:numFmt w:val="bullet"/>
      <w:start w:val="1"/>
    </w:lvl>
  </w:abstractNum>
  <w:abstractNum w:abstractNumId="87">
    <w:nsid w:val="5B0DAD2A"/>
    <w:multiLevelType w:val="hybridMultilevel"/>
    <w:lvl w:ilvl="0">
      <w:lvlJc w:val="left"/>
      <w:lvlText w:val="•"/>
      <w:numFmt w:val="bullet"/>
      <w:start w:val="1"/>
    </w:lvl>
  </w:abstractNum>
  <w:abstractNum w:abstractNumId="88">
    <w:nsid w:val="4E3D26AB"/>
    <w:multiLevelType w:val="hybridMultilevel"/>
    <w:lvl w:ilvl="0">
      <w:lvlJc w:val="left"/>
      <w:lvlText w:val="(%1)"/>
      <w:numFmt w:val="decimal"/>
      <w:start w:val="1"/>
    </w:lvl>
  </w:abstractNum>
  <w:abstractNum w:abstractNumId="89">
    <w:nsid w:val="BE2C8BA"/>
    <w:multiLevelType w:val="hybridMultilevel"/>
    <w:lvl w:ilvl="0">
      <w:lvlJc w:val="left"/>
      <w:lvlText w:val="•"/>
      <w:numFmt w:val="bullet"/>
      <w:start w:val="1"/>
    </w:lvl>
  </w:abstractNum>
  <w:abstractNum w:abstractNumId="90">
    <w:nsid w:val="7B14914E"/>
    <w:multiLevelType w:val="hybridMultilevel"/>
    <w:lvl w:ilvl="0">
      <w:lvlJc w:val="left"/>
      <w:lvlText w:val="•"/>
      <w:numFmt w:val="bullet"/>
      <w:start w:val="1"/>
    </w:lvl>
  </w:abstractNum>
  <w:abstractNum w:abstractNumId="91">
    <w:nsid w:val="6F0939F8"/>
    <w:multiLevelType w:val="hybridMultilevel"/>
    <w:lvl w:ilvl="0">
      <w:lvlJc w:val="left"/>
      <w:lvlText w:val="(%1)"/>
      <w:numFmt w:val="decimal"/>
      <w:start w:val="1"/>
    </w:lvl>
  </w:abstractNum>
  <w:abstractNum w:abstractNumId="92">
    <w:nsid w:val="154291F6"/>
    <w:multiLevelType w:val="hybridMultilevel"/>
    <w:lvl w:ilvl="0">
      <w:lvlJc w:val="left"/>
      <w:lvlText w:val="(%1)"/>
      <w:numFmt w:val="lowerRoman"/>
      <w:start w:val="2"/>
    </w:lvl>
  </w:abstractNum>
  <w:abstractNum w:abstractNumId="93">
    <w:nsid w:val="3CEBD7C7"/>
    <w:multiLevelType w:val="hybridMultilevel"/>
    <w:lvl w:ilvl="0">
      <w:lvlJc w:val="left"/>
      <w:lvlText w:val="(%1)"/>
      <w:numFmt w:val="lowerRoman"/>
      <w:start w:val="2"/>
    </w:lvl>
  </w:abstractNum>
  <w:abstractNum w:abstractNumId="94">
    <w:nsid w:val="60EE9C16"/>
    <w:multiLevelType w:val="hybridMultilevel"/>
    <w:lvl w:ilvl="0">
      <w:lvlJc w:val="left"/>
      <w:lvlText w:val="(%1)"/>
      <w:numFmt w:val="lowerRoman"/>
      <w:start w:val="1"/>
    </w:lvl>
  </w:abstractNum>
  <w:abstractNum w:abstractNumId="95">
    <w:nsid w:val="6385489E"/>
    <w:multiLevelType w:val="hybridMultilevel"/>
    <w:lvl w:ilvl="0">
      <w:lvlJc w:val="left"/>
      <w:lvlText w:val="(%1)"/>
      <w:numFmt w:val="decimal"/>
      <w:start w:val="1"/>
    </w:lvl>
  </w:abstractNum>
  <w:abstractNum w:abstractNumId="96">
    <w:nsid w:val="E4B973"/>
    <w:multiLevelType w:val="hybridMultilevel"/>
    <w:lvl w:ilvl="0">
      <w:lvlJc w:val="left"/>
      <w:lvlText w:val="•"/>
      <w:numFmt w:val="bullet"/>
      <w:start w:val="1"/>
    </w:lvl>
  </w:abstractNum>
  <w:abstractNum w:abstractNumId="97">
    <w:nsid w:val="4A0FFA11"/>
    <w:multiLevelType w:val="hybridMultilevel"/>
    <w:lvl w:ilvl="0">
      <w:lvlJc w:val="left"/>
      <w:lvlText w:val="(%1)"/>
      <w:numFmt w:val="lowerRoman"/>
      <w:start w:val="2"/>
    </w:lvl>
  </w:abstractNum>
  <w:abstractNum w:abstractNumId="98">
    <w:nsid w:val="5E446208"/>
    <w:multiLevelType w:val="hybridMultilevel"/>
    <w:lvl w:ilvl="0">
      <w:lvlJc w:val="left"/>
      <w:lvlText w:val="(%1)"/>
      <w:numFmt w:val="lowerRoman"/>
      <w:start w:val="2"/>
    </w:lvl>
  </w:abstractNum>
  <w:abstractNum w:abstractNumId="99">
    <w:nsid w:val="5F3272DB"/>
    <w:multiLevelType w:val="hybridMultilevel"/>
    <w:lvl w:ilvl="0">
      <w:lvlJc w:val="left"/>
      <w:lvlText w:val="(%1)"/>
      <w:numFmt w:val="lowerRoman"/>
      <w:start w:val="1"/>
    </w:lvl>
  </w:abstractNum>
  <w:abstractNum w:abstractNumId="100">
    <w:nsid w:val="7616D704"/>
    <w:multiLevelType w:val="hybridMultilevel"/>
    <w:lvl w:ilvl="0">
      <w:lvlJc w:val="left"/>
      <w:lvlText w:val="•"/>
      <w:numFmt w:val="bullet"/>
      <w:start w:val="1"/>
    </w:lvl>
  </w:abstractNum>
  <w:abstractNum w:abstractNumId="101">
    <w:nsid w:val="C56F860"/>
    <w:multiLevelType w:val="hybridMultilevel"/>
    <w:lvl w:ilvl="0">
      <w:lvlJc w:val="left"/>
      <w:lvlText w:val="(%1)"/>
      <w:numFmt w:val="decimal"/>
      <w:start w:val="1"/>
    </w:lvl>
  </w:abstractNum>
  <w:abstractNum w:abstractNumId="102">
    <w:nsid w:val="64D17722"/>
    <w:multiLevelType w:val="hybridMultilevel"/>
    <w:lvl w:ilvl="0">
      <w:lvlJc w:val="left"/>
      <w:lvlText w:val="(%1)"/>
      <w:numFmt w:val="decimal"/>
      <w:start w:val="5"/>
    </w:lvl>
  </w:abstractNum>
  <w:abstractNum w:abstractNumId="103">
    <w:nsid w:val="7924CA0A"/>
    <w:multiLevelType w:val="hybridMultilevel"/>
    <w:lvl w:ilvl="0">
      <w:lvlJc w:val="left"/>
      <w:lvlText w:val="(%1)"/>
      <w:numFmt w:val="decimal"/>
      <w:start w:val="3"/>
    </w:lvl>
  </w:abstractNum>
  <w:abstractNum w:abstractNumId="104">
    <w:nsid w:val="CFD4EA7"/>
    <w:multiLevelType w:val="hybridMultilevel"/>
    <w:lvl w:ilvl="0">
      <w:lvlJc w:val="left"/>
      <w:lvlText w:val="(%1)"/>
      <w:numFmt w:val="decimal"/>
      <w:start w:val="2"/>
    </w:lvl>
  </w:abstractNum>
  <w:abstractNum w:abstractNumId="105">
    <w:nsid w:val="232FCF4D"/>
    <w:multiLevelType w:val="hybridMultilevel"/>
    <w:lvl w:ilvl="0">
      <w:lvlJc w:val="left"/>
      <w:lvlText w:val="(%1)"/>
      <w:numFmt w:val="lowerRoman"/>
      <w:start w:val="2"/>
    </w:lvl>
  </w:abstractNum>
  <w:abstractNum w:abstractNumId="106">
    <w:nsid w:val="1EA21031"/>
    <w:multiLevelType w:val="hybridMultilevel"/>
    <w:lvl w:ilvl="0">
      <w:lvlJc w:val="left"/>
      <w:lvlText w:val="•"/>
      <w:numFmt w:val="bullet"/>
      <w:start w:val="1"/>
    </w:lvl>
  </w:abstractNum>
  <w:abstractNum w:abstractNumId="107">
    <w:nsid w:val="67A5A6B5"/>
    <w:multiLevelType w:val="hybridMultilevel"/>
    <w:lvl w:ilvl="0">
      <w:lvlJc w:val="left"/>
      <w:lvlText w:val="•"/>
      <w:numFmt w:val="bullet"/>
      <w:start w:val="1"/>
    </w:lvl>
  </w:abstractNum>
  <w:abstractNum w:abstractNumId="108">
    <w:nsid w:val="C2A5C5B"/>
    <w:multiLevelType w:val="hybridMultilevel"/>
    <w:lvl w:ilvl="0">
      <w:lvlJc w:val="left"/>
      <w:lvlText w:val="•"/>
      <w:numFmt w:val="bullet"/>
      <w:start w:val="1"/>
    </w:lvl>
  </w:abstractNum>
  <w:abstractNum w:abstractNumId="109">
    <w:nsid w:val="5F94DC03"/>
    <w:multiLevelType w:val="hybridMultilevel"/>
    <w:lvl w:ilvl="0">
      <w:lvlJc w:val="left"/>
      <w:lvlText w:val="•"/>
      <w:numFmt w:val="bullet"/>
      <w:start w:val="1"/>
    </w:lvl>
  </w:abstractNum>
  <w:abstractNum w:abstractNumId="110">
    <w:nsid w:val="237BBCA0"/>
    <w:multiLevelType w:val="hybridMultilevel"/>
    <w:lvl w:ilvl="0">
      <w:lvlJc w:val="left"/>
      <w:lvlText w:val="•"/>
      <w:numFmt w:val="bullet"/>
      <w:start w:val="1"/>
    </w:lvl>
  </w:abstractNum>
  <w:abstractNum w:abstractNumId="111">
    <w:nsid w:val="162EB70D"/>
    <w:multiLevelType w:val="hybridMultilevel"/>
    <w:lvl w:ilvl="0">
      <w:lvlJc w:val="left"/>
      <w:lvlText w:val="(%1)"/>
      <w:numFmt w:val="lowerRoman"/>
      <w:start w:val="4"/>
    </w:lvl>
  </w:abstractNum>
  <w:abstractNum w:abstractNumId="112">
    <w:nsid w:val="78070222"/>
    <w:multiLevelType w:val="hybridMultilevel"/>
    <w:lvl w:ilvl="0">
      <w:lvlJc w:val="left"/>
      <w:lvlText w:val="(%1)"/>
      <w:numFmt w:val="lowerRoman"/>
      <w:start w:val="1"/>
    </w:lvl>
  </w:abstractNum>
  <w:abstractNum w:abstractNumId="113">
    <w:nsid w:val="6163ED0D"/>
    <w:multiLevelType w:val="hybridMultilevel"/>
    <w:lvl w:ilvl="0">
      <w:lvlJc w:val="left"/>
      <w:lvlText w:val="(%1)"/>
      <w:numFmt w:val="lowerRoman"/>
      <w:start w:val="11"/>
    </w:lvl>
  </w:abstractNum>
  <w:abstractNum w:abstractNumId="114">
    <w:nsid w:val="C600E47"/>
    <w:multiLevelType w:val="hybridMultilevel"/>
    <w:lvl w:ilvl="0">
      <w:lvlJc w:val="left"/>
      <w:lvlText w:val="(%1)"/>
      <w:numFmt w:val="lowerLetter"/>
      <w:start w:val="4"/>
    </w:lvl>
  </w:abstractNum>
  <w:abstractNum w:abstractNumId="115">
    <w:nsid w:val="7D94F75D"/>
    <w:multiLevelType w:val="hybridMultilevel"/>
    <w:lvl w:ilvl="0">
      <w:lvlJc w:val="left"/>
      <w:lvlText w:val="•"/>
      <w:numFmt w:val="bullet"/>
      <w:start w:val="1"/>
    </w:lvl>
  </w:abstractNum>
  <w:abstractNum w:abstractNumId="116">
    <w:nsid w:val="6C31E7CD"/>
    <w:multiLevelType w:val="hybridMultilevel"/>
    <w:lvl w:ilvl="0">
      <w:lvlJc w:val="left"/>
      <w:lvlText w:val="%1)"/>
      <w:numFmt w:val="lowerLetter"/>
      <w:start w:val="1"/>
    </w:lvl>
  </w:abstractNum>
  <w:abstractNum w:abstractNumId="117">
    <w:nsid w:val="2BB7929B"/>
    <w:multiLevelType w:val="hybridMultilevel"/>
    <w:lvl w:ilvl="0">
      <w:lvlJc w:val="left"/>
      <w:lvlText w:val="%1)"/>
      <w:numFmt w:val="lowerLetter"/>
      <w:start w:val="1"/>
    </w:lvl>
  </w:abstractNum>
  <w:abstractNum w:abstractNumId="118">
    <w:nsid w:val="58A2A487"/>
    <w:multiLevelType w:val="hybridMultilevel"/>
    <w:lvl w:ilvl="0">
      <w:lvlJc w:val="left"/>
      <w:lvlText w:val="(%1)"/>
      <w:numFmt w:val="lowerLetter"/>
      <w:start w:val="4"/>
    </w:lvl>
  </w:abstractNum>
  <w:abstractNum w:abstractNumId="119">
    <w:nsid w:val="3A6F0E78"/>
    <w:multiLevelType w:val="hybridMultilevel"/>
    <w:lvl w:ilvl="0">
      <w:lvlJc w:val="left"/>
      <w:lvlText w:val="(%1)"/>
      <w:numFmt w:val="lowerLetter"/>
      <w:start w:val="1"/>
    </w:lvl>
  </w:abstractNum>
  <w:abstractNum w:abstractNumId="120">
    <w:nsid w:val="379A5B56"/>
    <w:multiLevelType w:val="hybridMultilevel"/>
    <w:lvl w:ilvl="0">
      <w:lvlJc w:val="left"/>
      <w:lvlText w:val="(%1)"/>
      <w:numFmt w:val="lowerLetter"/>
      <w:start w:val="4"/>
    </w:lvl>
    <w:lvl w:ilvl="1">
      <w:lvlJc w:val="left"/>
      <w:lvlText w:val="(%2)"/>
      <w:numFmt w:val="lowerRoman"/>
      <w:start w:val="1"/>
    </w:lvl>
  </w:abstractNum>
  <w:abstractNum w:abstractNumId="121">
    <w:nsid w:val="53B735D5"/>
    <w:multiLevelType w:val="hybridMultilevel"/>
    <w:lvl w:ilvl="0">
      <w:lvlJc w:val="left"/>
      <w:lvlText w:val="(%1)"/>
      <w:numFmt w:val="lowerRoman"/>
      <w:start w:val="1"/>
    </w:lvl>
  </w:abstractNum>
  <w:abstractNum w:abstractNumId="122">
    <w:nsid w:val="29784870"/>
    <w:multiLevelType w:val="hybridMultilevel"/>
    <w:lvl w:ilvl="0">
      <w:lvlJc w:val="left"/>
      <w:lvlText w:val="(%1)"/>
      <w:numFmt w:val="lowerLetter"/>
      <w:start w:val="9"/>
    </w:lvl>
  </w:abstractNum>
  <w:abstractNum w:abstractNumId="123">
    <w:nsid w:val="4CDCED4C"/>
    <w:multiLevelType w:val="hybridMultilevel"/>
    <w:lvl w:ilvl="0">
      <w:lvlJc w:val="left"/>
      <w:lvlText w:val="%1"/>
      <w:numFmt w:val="decimal"/>
      <w:start w:val="783"/>
    </w:lvl>
  </w:abstractNum>
  <w:abstractNum w:abstractNumId="124">
    <w:nsid w:val="10A30D9C"/>
    <w:multiLevelType w:val="hybridMultilevel"/>
    <w:lvl w:ilvl="0">
      <w:lvlJc w:val="left"/>
      <w:lvlText w:val="(%1)"/>
      <w:numFmt w:val="decimal"/>
      <w:start w:val="3"/>
    </w:lvl>
  </w:abstractNum>
  <w:abstractNum w:abstractNumId="125">
    <w:nsid w:val="A66E486"/>
    <w:multiLevelType w:val="hybridMultilevel"/>
    <w:lvl w:ilvl="0">
      <w:lvlJc w:val="left"/>
      <w:lvlText w:val="(%1)"/>
      <w:numFmt w:val="lowerRoman"/>
      <w:start w:val="4"/>
    </w:lvl>
  </w:abstractNum>
  <w:abstractNum w:abstractNumId="126">
    <w:nsid w:val="306235EA"/>
    <w:multiLevelType w:val="hybridMultilevel"/>
    <w:lvl w:ilvl="0">
      <w:lvlJc w:val="left"/>
      <w:lvlText w:val="(%1)"/>
      <w:numFmt w:val="lowerRoman"/>
      <w:start w:val="4"/>
    </w:lvl>
  </w:abstractNum>
  <w:abstractNum w:abstractNumId="127">
    <w:nsid w:val="1187C70F"/>
    <w:multiLevelType w:val="hybridMultilevel"/>
    <w:lvl w:ilvl="0">
      <w:lvlJc w:val="left"/>
      <w:lvlText w:val="•"/>
      <w:numFmt w:val="bullet"/>
      <w:start w:val="1"/>
    </w:lvl>
  </w:abstractNum>
  <w:abstractNum w:abstractNumId="128">
    <w:nsid w:val="5476DE98"/>
    <w:multiLevelType w:val="hybridMultilevel"/>
    <w:lvl w:ilvl="0">
      <w:lvlJc w:val="left"/>
      <w:lvlText w:val="•"/>
      <w:numFmt w:val="bullet"/>
      <w:start w:val="1"/>
    </w:lvl>
  </w:abstractNum>
  <w:abstractNum w:abstractNumId="129">
    <w:nsid w:val="EA697F2"/>
    <w:multiLevelType w:val="hybridMultilevel"/>
    <w:lvl w:ilvl="0">
      <w:lvlJc w:val="left"/>
      <w:lvlText w:val="%1."/>
      <w:numFmt w:val="decimal"/>
      <w:start w:val="1"/>
    </w:lvl>
  </w:abstractNum>
  <w:abstractNum w:abstractNumId="130">
    <w:nsid w:val="70BA39EB"/>
    <w:multiLevelType w:val="hybridMultilevel"/>
    <w:lvl w:ilvl="0">
      <w:lvlJc w:val="left"/>
      <w:lvlText w:val="%1."/>
      <w:numFmt w:val="lowerLetter"/>
      <w:start w:val="1"/>
    </w:lvl>
  </w:abstractNum>
  <w:abstractNum w:abstractNumId="131">
    <w:nsid w:val="4A8DB59C"/>
    <w:multiLevelType w:val="hybridMultilevel"/>
    <w:lvl w:ilvl="0">
      <w:lvlJc w:val="left"/>
      <w:lvlText w:val="%1."/>
      <w:numFmt w:val="decimal"/>
      <w:start w:val="2"/>
    </w:lvl>
    <w:lvl w:ilvl="1">
      <w:lvlJc w:val="left"/>
      <w:lvlText w:val="%2."/>
      <w:numFmt w:val="lowerLetter"/>
      <w:start w:val="1"/>
    </w:lvl>
  </w:abstractNum>
  <w:abstractNum w:abstractNumId="132">
    <w:nsid w:val="1AFD9053"/>
    <w:multiLevelType w:val="hybridMultilevel"/>
    <w:lvl w:ilvl="0">
      <w:lvlJc w:val="left"/>
      <w:lvlText w:val="†"/>
      <w:numFmt w:val="bullet"/>
      <w:start w:val="1"/>
    </w:lvl>
  </w:abstractNum>
  <w:abstractNum w:abstractNumId="133">
    <w:nsid w:val="558BB10D"/>
    <w:multiLevelType w:val="hybridMultilevel"/>
    <w:lvl w:ilvl="0">
      <w:lvlJc w:val="left"/>
      <w:lvlText w:val="•"/>
      <w:numFmt w:val="bullet"/>
      <w:start w:val="1"/>
    </w:lvl>
  </w:abstractNum>
  <w:abstractNum w:abstractNumId="134">
    <w:nsid w:val="43B27FA7"/>
    <w:multiLevelType w:val="hybridMultilevel"/>
    <w:lvl w:ilvl="0">
      <w:lvlJc w:val="left"/>
      <w:lvlText w:val="*"/>
      <w:numFmt w:val="bullet"/>
      <w:start w:val="1"/>
    </w:lvl>
  </w:abstractNum>
  <w:abstractNum w:abstractNumId="135">
    <w:nsid w:val="27FADEFA"/>
    <w:multiLevelType w:val="hybridMultilevel"/>
    <w:lvl w:ilvl="0">
      <w:lvlJc w:val="left"/>
      <w:lvlText w:val="(%1)"/>
      <w:numFmt w:val="lowerLetter"/>
      <w:start w:val="2"/>
    </w:lvl>
  </w:abstractNum>
  <w:abstractNum w:abstractNumId="136">
    <w:nsid w:val="78BB805A"/>
    <w:multiLevelType w:val="hybridMultilevel"/>
    <w:lvl w:ilvl="0">
      <w:lvlJc w:val="left"/>
      <w:lvlText w:val="%1."/>
      <w:numFmt w:val="decimal"/>
      <w:start w:val="1"/>
    </w:lvl>
  </w:abstractNum>
  <w:abstractNum w:abstractNumId="137">
    <w:nsid w:val="62548FD8"/>
    <w:multiLevelType w:val="hybridMultilevel"/>
    <w:lvl w:ilvl="0">
      <w:lvlJc w:val="left"/>
      <w:lvlText w:val="%1."/>
      <w:numFmt w:val="decimal"/>
      <w:start w:val="1"/>
    </w:lvl>
  </w:abstractNum>
  <w:abstractNum w:abstractNumId="138">
    <w:nsid w:val="FA085B0"/>
    <w:multiLevelType w:val="hybridMultilevel"/>
    <w:lvl w:ilvl="0">
      <w:lvlJc w:val="left"/>
      <w:lvlText w:val="%1."/>
      <w:numFmt w:val="upperLetter"/>
      <w:start w:val="1"/>
    </w:lvl>
  </w:abstractNum>
  <w:abstractNum w:abstractNumId="139">
    <w:nsid w:val="4E5DCB5"/>
    <w:multiLevelType w:val="hybridMultilevel"/>
    <w:lvl w:ilvl="0">
      <w:lvlJc w:val="left"/>
      <w:lvlText w:val="%1"/>
      <w:numFmt w:val="upperLetter"/>
      <w:start w:val="1"/>
    </w:lvl>
    <w:lvl w:ilvl="1">
      <w:lvlJc w:val="left"/>
      <w:lvlText w:val="%2."/>
      <w:numFmt w:val="decimal"/>
      <w:start w:val="1"/>
    </w:lvl>
  </w:abstractNum>
  <w:abstractNum w:abstractNumId="140">
    <w:nsid w:val="41E96BDB"/>
    <w:multiLevelType w:val="hybridMultilevel"/>
    <w:lvl w:ilvl="0">
      <w:lvlJc w:val="left"/>
      <w:lvlText w:val="%1."/>
      <w:numFmt w:val="upperLetter"/>
      <w:start w:val="2"/>
    </w:lvl>
    <w:lvl w:ilvl="1">
      <w:lvlJc w:val="left"/>
      <w:lvlText w:val="%2"/>
      <w:numFmt w:val="decimal"/>
      <w:start w:val="1"/>
    </w:lvl>
  </w:abstractNum>
  <w:abstractNum w:abstractNumId="141">
    <w:nsid w:val="331C4250"/>
    <w:multiLevelType w:val="hybridMultilevel"/>
    <w:lvl w:ilvl="0">
      <w:lvlJc w:val="left"/>
      <w:lvlText w:val="%1."/>
      <w:numFmt w:val="decimal"/>
      <w:start w:val="1"/>
    </w:lvl>
  </w:abstractNum>
  <w:abstractNum w:abstractNumId="142">
    <w:nsid w:val="1B1493C2"/>
    <w:multiLevelType w:val="hybridMultilevel"/>
    <w:lvl w:ilvl="0">
      <w:lvlJc w:val="left"/>
      <w:lvlText w:val="%1."/>
      <w:numFmt w:val="decimal"/>
      <w:start w:val="2"/>
    </w:lvl>
  </w:abstractNum>
  <w:abstractNum w:abstractNumId="143">
    <w:nsid w:val="39F06DFD"/>
    <w:multiLevelType w:val="hybridMultilevel"/>
    <w:lvl w:ilvl="0">
      <w:lvlJc w:val="left"/>
      <w:lvlText w:val="(%1)"/>
      <w:numFmt w:val="lowerLetter"/>
      <w:start w:val="1"/>
    </w:lvl>
    <w:lvl w:ilvl="1">
      <w:lvlJc w:val="left"/>
      <w:lvlText w:val="(%2)"/>
      <w:numFmt w:val="lowerRoman"/>
      <w:start w:val="1"/>
    </w:lvl>
  </w:abstractNum>
  <w:abstractNum w:abstractNumId="144">
    <w:nsid w:val="14802F5D"/>
    <w:multiLevelType w:val="hybridMultilevel"/>
    <w:lvl w:ilvl="0">
      <w:lvlJc w:val="left"/>
      <w:lvlText w:val="(%1)"/>
      <w:numFmt w:val="lowerLetter"/>
      <w:start w:val="2"/>
    </w:lvl>
  </w:abstractNum>
  <w:abstractNum w:abstractNumId="145">
    <w:nsid w:val="2774A209"/>
    <w:multiLevelType w:val="hybridMultilevel"/>
    <w:lvl w:ilvl="0">
      <w:lvlJc w:val="left"/>
      <w:lvlText w:val="(%1)"/>
      <w:numFmt w:val="lowerLetter"/>
      <w:start w:val="3"/>
    </w:lvl>
  </w:abstractNum>
  <w:abstractNum w:abstractNumId="146">
    <w:nsid w:val="3785655A"/>
    <w:multiLevelType w:val="hybridMultilevel"/>
    <w:lvl w:ilvl="0">
      <w:lvlJc w:val="left"/>
      <w:lvlText w:val="(%1)"/>
      <w:numFmt w:val="lowerLetter"/>
      <w:start w:val="1"/>
    </w:lvl>
  </w:abstractNum>
  <w:abstractNum w:abstractNumId="147">
    <w:nsid w:val="B2172A"/>
    <w:multiLevelType w:val="hybridMultilevel"/>
    <w:lvl w:ilvl="0">
      <w:lvlJc w:val="left"/>
      <w:lvlText w:val="(%1)"/>
      <w:numFmt w:val="lowerLetter"/>
      <w:start w:val="3"/>
    </w:lvl>
    <w:lvl w:ilvl="1">
      <w:lvlJc w:val="left"/>
      <w:lvlText w:val="(%2)"/>
      <w:numFmt w:val="lowerRoman"/>
      <w:start w:val="1"/>
    </w:lvl>
  </w:abstractNum>
  <w:abstractNum w:abstractNumId="148">
    <w:nsid w:val="532C34A5"/>
    <w:multiLevelType w:val="hybridMultilevel"/>
    <w:lvl w:ilvl="0">
      <w:lvlJc w:val="left"/>
      <w:lvlText w:val="%1."/>
      <w:numFmt w:val="decimal"/>
      <w:start w:val="3"/>
    </w:lvl>
  </w:abstractNum>
  <w:abstractNum w:abstractNumId="149">
    <w:nsid w:val="102809E2"/>
    <w:multiLevelType w:val="hybridMultilevel"/>
    <w:lvl w:ilvl="0">
      <w:lvlJc w:val="left"/>
      <w:lvlText w:val="%1."/>
      <w:numFmt w:val="decimal"/>
      <w:start w:val="4"/>
    </w:lvl>
  </w:abstractNum>
  <w:abstractNum w:abstractNumId="150">
    <w:nsid w:val="3B2125A3"/>
    <w:multiLevelType w:val="hybridMultilevel"/>
    <w:lvl w:ilvl="0">
      <w:lvlJc w:val="left"/>
      <w:lvlText w:val="(%1)"/>
      <w:numFmt w:val="lowerLetter"/>
      <w:start w:val="1"/>
    </w:lvl>
    <w:lvl w:ilvl="1">
      <w:lvlJc w:val="left"/>
      <w:lvlText w:val="(%2)"/>
      <w:numFmt w:val="lowerRoman"/>
      <w:start w:val="1"/>
    </w:lvl>
  </w:abstractNum>
  <w:abstractNum w:abstractNumId="151">
    <w:nsid w:val="AC68FFB"/>
    <w:multiLevelType w:val="hybridMultilevel"/>
    <w:lvl w:ilvl="0">
      <w:lvlJc w:val="left"/>
      <w:lvlText w:val="(%1)"/>
      <w:numFmt w:val="lowerRoman"/>
      <w:start w:val="5"/>
    </w:lvl>
  </w:abstractNum>
  <w:abstractNum w:abstractNumId="152">
    <w:nsid w:val="63DF3FB7"/>
    <w:multiLevelType w:val="hybridMultilevel"/>
    <w:lvl w:ilvl="0">
      <w:lvlJc w:val="left"/>
      <w:lvlText w:val="(%1)"/>
      <w:numFmt w:val="lowerLetter"/>
      <w:start w:val="1"/>
    </w:lvl>
  </w:abstractNum>
  <w:abstractNum w:abstractNumId="153">
    <w:nsid w:val="64996E13"/>
    <w:multiLevelType w:val="hybridMultilevel"/>
    <w:lvl w:ilvl="0">
      <w:lvlJc w:val="left"/>
      <w:lvlText w:val="(%1)"/>
      <w:numFmt w:val="lowerLetter"/>
      <w:start w:val="4"/>
    </w:lvl>
  </w:abstractNum>
  <w:abstractNum w:abstractNumId="154">
    <w:nsid w:val="57A37D47"/>
    <w:multiLevelType w:val="hybridMultilevel"/>
    <w:lvl w:ilvl="0">
      <w:lvlJc w:val="left"/>
      <w:lvlText w:val="(%1)"/>
      <w:numFmt w:val="lowerLetter"/>
      <w:start w:val="1"/>
    </w:lvl>
  </w:abstractNum>
  <w:abstractNum w:abstractNumId="155">
    <w:nsid w:val="74824D54"/>
    <w:multiLevelType w:val="hybridMultilevel"/>
    <w:lvl w:ilvl="0">
      <w:lvlJc w:val="left"/>
      <w:lvlText w:val="(%1)"/>
      <w:numFmt w:val="lowerLetter"/>
      <w:start w:val="2"/>
    </w:lvl>
  </w:abstractNum>
  <w:abstractNum w:abstractNumId="156">
    <w:nsid w:val="6F00529A"/>
    <w:multiLevelType w:val="hybridMultilevel"/>
    <w:lvl w:ilvl="0">
      <w:lvlJc w:val="left"/>
      <w:lvlText w:val="(%1)"/>
      <w:numFmt w:val="lowerLetter"/>
      <w:start w:val="3"/>
    </w:lvl>
  </w:abstractNum>
  <w:abstractNum w:abstractNumId="157">
    <w:nsid w:val="805B331"/>
    <w:multiLevelType w:val="hybridMultilevel"/>
    <w:lvl w:ilvl="0">
      <w:lvlJc w:val="left"/>
      <w:lvlText w:val="(%1)"/>
      <w:numFmt w:val="lowerLetter"/>
      <w:start w:val="1"/>
    </w:lvl>
    <w:lvl w:ilvl="1">
      <w:lvlJc w:val="left"/>
      <w:lvlText w:val="(%2)"/>
      <w:numFmt w:val="lowerRoman"/>
      <w:start w:val="1"/>
    </w:lvl>
  </w:abstractNum>
  <w:abstractNum w:abstractNumId="158">
    <w:nsid w:val="60A1463"/>
    <w:multiLevelType w:val="hybridMultilevel"/>
    <w:lvl w:ilvl="0">
      <w:lvlJc w:val="left"/>
      <w:lvlText w:val="(%1)"/>
      <w:numFmt w:val="lowerLetter"/>
      <w:start w:val="2"/>
    </w:lvl>
    <w:lvl w:ilvl="1">
      <w:lvlJc w:val="left"/>
      <w:lvlText w:val="(%2)"/>
      <w:numFmt w:val="lowerRoman"/>
      <w:start w:val="1"/>
    </w:lvl>
  </w:abstractNum>
  <w:abstractNum w:abstractNumId="159">
    <w:nsid w:val="43773132"/>
    <w:multiLevelType w:val="hybridMultilevel"/>
    <w:lvl w:ilvl="0">
      <w:lvlJc w:val="left"/>
      <w:lvlText w:val="(%1)"/>
      <w:numFmt w:val="lowerLetter"/>
      <w:start w:val="1"/>
    </w:lvl>
  </w:abstractNum>
  <w:abstractNum w:abstractNumId="160">
    <w:nsid w:val="16AC4B23"/>
    <w:multiLevelType w:val="hybridMultilevel"/>
    <w:lvl w:ilvl="0">
      <w:lvlJc w:val="left"/>
      <w:lvlText w:val="(%1)"/>
      <w:numFmt w:val="lowerLetter"/>
      <w:start w:val="1"/>
    </w:lvl>
  </w:abstractNum>
  <w:abstractNum w:abstractNumId="161">
    <w:nsid w:val="76C44E4E"/>
    <w:multiLevelType w:val="hybridMultilevel"/>
    <w:lvl w:ilvl="0">
      <w:lvlJc w:val="left"/>
      <w:lvlText w:val="%1."/>
      <w:numFmt w:val="decimal"/>
      <w:start w:val="5"/>
    </w:lvl>
  </w:abstractNum>
  <w:abstractNum w:abstractNumId="162">
    <w:nsid w:val="E04E6CE"/>
    <w:multiLevelType w:val="hybridMultilevel"/>
    <w:lvl w:ilvl="0">
      <w:lvlJc w:val="left"/>
      <w:lvlText w:val="%1"/>
      <w:numFmt w:val="upperLetter"/>
      <w:start w:val="1"/>
    </w:lvl>
    <w:lvl w:ilvl="1">
      <w:lvlJc w:val="left"/>
      <w:lvlText w:val="%2."/>
      <w:numFmt w:val="decimal"/>
      <w:start w:val="6"/>
    </w:lvl>
  </w:abstractNum>
  <w:abstractNum w:abstractNumId="163">
    <w:nsid w:val="31A9DB76"/>
    <w:multiLevelType w:val="hybridMultilevel"/>
    <w:lvl w:ilvl="0">
      <w:lvlJc w:val="left"/>
      <w:lvlText w:val="(%1)"/>
      <w:numFmt w:val="upperLetter"/>
      <w:start w:val="1"/>
    </w:lvl>
    <w:lvl w:ilvl="1">
      <w:lvlJc w:val="left"/>
      <w:lvlText w:val="%2."/>
      <w:numFmt w:val="decimal"/>
      <w:start w:val="7"/>
    </w:lvl>
  </w:abstractNum>
  <w:abstractNum w:abstractNumId="164">
    <w:nsid w:val="4C4FFF5B"/>
    <w:multiLevelType w:val="hybridMultilevel"/>
    <w:lvl w:ilvl="0">
      <w:lvlJc w:val="left"/>
      <w:lvlText w:val="%1."/>
      <w:numFmt w:val="decimal"/>
      <w:start w:val="8"/>
    </w:lvl>
  </w:abstractNum>
  <w:abstractNum w:abstractNumId="165">
    <w:nsid w:val="51B76675"/>
    <w:multiLevelType w:val="hybridMultilevel"/>
    <w:lvl w:ilvl="0">
      <w:lvlJc w:val="left"/>
      <w:lvlText w:val="%1."/>
      <w:numFmt w:val="decimal"/>
      <w:start w:val="1"/>
    </w:lvl>
  </w:abstractNum>
  <w:abstractNum w:abstractNumId="166">
    <w:nsid w:val="59A4BA71"/>
    <w:multiLevelType w:val="hybridMultilevel"/>
    <w:lvl w:ilvl="0">
      <w:lvlJc w:val="left"/>
      <w:lvlText w:val="%1."/>
      <w:numFmt w:val="decimal"/>
      <w:start w:val="2"/>
    </w:lvl>
  </w:abstractNum>
  <w:abstractNum w:abstractNumId="167">
    <w:nsid w:val="450B7FB6"/>
    <w:multiLevelType w:val="hybridMultilevel"/>
    <w:lvl w:ilvl="0">
      <w:lvlJc w:val="left"/>
      <w:lvlText w:val="%1."/>
      <w:numFmt w:val="decimal"/>
      <w:start w:val="6"/>
    </w:lvl>
  </w:abstractNum>
  <w:abstractNum w:abstractNumId="168">
    <w:nsid w:val="340BF64D"/>
    <w:multiLevelType w:val="hybridMultilevel"/>
    <w:lvl w:ilvl="0">
      <w:lvlJc w:val="left"/>
      <w:lvlText w:val="%1."/>
      <w:numFmt w:val="decimal"/>
      <w:start w:val="3"/>
    </w:lvl>
  </w:abstractNum>
  <w:abstractNum w:abstractNumId="169">
    <w:nsid w:val="69454021"/>
    <w:multiLevelType w:val="hybridMultilevel"/>
    <w:lvl w:ilvl="0">
      <w:lvlJc w:val="left"/>
      <w:lvlText w:val="%1."/>
      <w:numFmt w:val="decimal"/>
      <w:start w:val="1"/>
    </w:lvl>
    <w:lvl w:ilvl="1">
      <w:lvlJc w:val="left"/>
      <w:lvlText w:val="(%2)"/>
      <w:numFmt w:val="lowerLetter"/>
      <w:start w:val="1"/>
    </w:lvl>
  </w:abstractNum>
  <w:abstractNum w:abstractNumId="170">
    <w:nsid w:val="49F15C6B"/>
    <w:multiLevelType w:val="hybridMultilevel"/>
    <w:lvl w:ilvl="0">
      <w:lvlJc w:val="left"/>
      <w:lvlText w:val="(%1)"/>
      <w:numFmt w:val="lowerLetter"/>
      <w:start w:val="4"/>
    </w:lvl>
  </w:abstractNum>
  <w:abstractNum w:abstractNumId="171">
    <w:nsid w:val="75F56228"/>
    <w:multiLevelType w:val="hybridMultilevel"/>
    <w:lvl w:ilvl="0">
      <w:lvlJc w:val="left"/>
      <w:lvlText w:val="%1"/>
      <w:numFmt w:val="decimal"/>
      <w:start w:val="1"/>
    </w:lvl>
    <w:lvl w:ilvl="1">
      <w:lvlJc w:val="left"/>
      <w:lvlText w:val="(%2)"/>
      <w:numFmt w:val="lowerLetter"/>
      <w:start w:val="9"/>
    </w:lvl>
  </w:abstractNum>
  <w:abstractNum w:abstractNumId="172">
    <w:nsid w:val="1C618271"/>
    <w:multiLevelType w:val="hybridMultilevel"/>
    <w:lvl w:ilvl="0">
      <w:lvlJc w:val="left"/>
      <w:lvlText w:val="%1."/>
      <w:numFmt w:val="decimal"/>
      <w:start w:val="2"/>
    </w:lvl>
    <w:lvl w:ilvl="1">
      <w:lvlJc w:val="left"/>
      <w:lvlText w:val="(%2)"/>
      <w:numFmt w:val="lowerLetter"/>
      <w:start w:val="1"/>
    </w:lvl>
  </w:abstractNum>
  <w:abstractNum w:abstractNumId="173">
    <w:nsid w:val="6505F02E"/>
    <w:multiLevelType w:val="hybridMultilevel"/>
    <w:lvl w:ilvl="0">
      <w:lvlJc w:val="left"/>
      <w:lvlText w:val="%1"/>
      <w:numFmt w:val="decimal"/>
      <w:start w:val="1"/>
    </w:lvl>
    <w:lvl w:ilvl="1">
      <w:lvlJc w:val="left"/>
      <w:lvlText w:val="(%2)"/>
      <w:numFmt w:val="lowerLetter"/>
      <w:start w:val="4"/>
    </w:lvl>
  </w:abstractNum>
  <w:abstractNum w:abstractNumId="174">
    <w:nsid w:val="2FE5D025"/>
    <w:multiLevelType w:val="hybridMultilevel"/>
    <w:lvl w:ilvl="0">
      <w:lvlJc w:val="left"/>
      <w:lvlText w:val="(%1)"/>
      <w:numFmt w:val="decimal"/>
      <w:start w:val="2"/>
    </w:lvl>
    <w:lvl w:ilvl="1">
      <w:lvlJc w:val="left"/>
      <w:lvlText w:val="(%2)"/>
      <w:numFmt w:val="lowerLetter"/>
      <w:start w:val="10"/>
    </w:lvl>
  </w:abstractNum>
  <w:abstractNum w:abstractNumId="175">
    <w:nsid w:val="30E1B1CF"/>
    <w:multiLevelType w:val="hybridMultilevel"/>
    <w:lvl w:ilvl="0">
      <w:lvlJc w:val="left"/>
      <w:lvlText w:val="(%1)"/>
      <w:numFmt w:val="lowerLetter"/>
      <w:start w:val="11"/>
    </w:lvl>
  </w:abstractNum>
  <w:abstractNum w:abstractNumId="176">
    <w:nsid w:val="C7A9237"/>
    <w:multiLevelType w:val="hybridMultilevel"/>
    <w:lvl w:ilvl="0">
      <w:lvlJc w:val="left"/>
      <w:lvlText w:val="%1."/>
      <w:numFmt w:val="decimal"/>
      <w:start w:val="3"/>
    </w:lvl>
    <w:lvl w:ilvl="1">
      <w:lvlJc w:val="left"/>
      <w:lvlText w:val="(%2)"/>
      <w:numFmt w:val="lowerLetter"/>
      <w:start w:val="1"/>
    </w:lvl>
  </w:abstractNum>
  <w:abstractNum w:abstractNumId="177">
    <w:nsid w:val="676B3580"/>
    <w:multiLevelType w:val="hybridMultilevel"/>
    <w:lvl w:ilvl="0">
      <w:lvlJc w:val="left"/>
      <w:lvlText w:val="(%1)"/>
      <w:numFmt w:val="lowerLetter"/>
      <w:start w:val="5"/>
    </w:lvl>
  </w:abstractNum>
  <w:abstractNum w:abstractNumId="178">
    <w:nsid w:val="3193C8F9"/>
    <w:multiLevelType w:val="hybridMultilevel"/>
    <w:lvl w:ilvl="0">
      <w:lvlJc w:val="left"/>
      <w:lvlText w:val="(%1)"/>
      <w:numFmt w:val="lowerLetter"/>
      <w:start w:val="8"/>
    </w:lvl>
  </w:abstractNum>
  <w:abstractNum w:abstractNumId="179">
    <w:nsid w:val="5FA6C6DC"/>
    <w:multiLevelType w:val="hybridMultilevel"/>
    <w:lvl w:ilvl="0">
      <w:lvlJc w:val="left"/>
      <w:lvlText w:val="(%1)"/>
      <w:numFmt w:val="lowerLetter"/>
      <w:start w:val="9"/>
    </w:lvl>
  </w:abstractNum>
  <w:abstractNum w:abstractNumId="180">
    <w:nsid w:val="77933F62"/>
    <w:multiLevelType w:val="hybridMultilevel"/>
    <w:lvl w:ilvl="0">
      <w:lvlJc w:val="left"/>
      <w:lvlText w:val="(%1)"/>
      <w:numFmt w:val="lowerLetter"/>
      <w:start w:val="12"/>
    </w:lvl>
  </w:abstractNum>
  <w:abstractNum w:abstractNumId="181">
    <w:nsid w:val="6CB4EE9C"/>
    <w:multiLevelType w:val="hybridMultilevel"/>
    <w:lvl w:ilvl="0">
      <w:lvlJc w:val="left"/>
      <w:lvlText w:val="%1"/>
      <w:numFmt w:val="decimal"/>
      <w:start w:val="1"/>
    </w:lvl>
    <w:lvl w:ilvl="1">
      <w:lvlJc w:val="left"/>
      <w:lvlText w:val="(%2)"/>
      <w:numFmt w:val="lowerLetter"/>
      <w:start w:val="13"/>
    </w:lvl>
  </w:abstractNum>
  <w:abstractNum w:abstractNumId="182">
    <w:nsid w:val="6A6D56D7"/>
    <w:multiLevelType w:val="hybridMultilevel"/>
    <w:lvl w:ilvl="0">
      <w:lvlJc w:val="left"/>
      <w:lvlText w:val="%1."/>
      <w:numFmt w:val="decimal"/>
      <w:start w:val="4"/>
    </w:lvl>
    <w:lvl w:ilvl="1">
      <w:lvlJc w:val="left"/>
      <w:lvlText w:val="(%2)"/>
      <w:numFmt w:val="lowerLetter"/>
      <w:start w:val="1"/>
    </w:lvl>
  </w:abstractNum>
  <w:abstractNum w:abstractNumId="183">
    <w:nsid w:val="5B727F19"/>
    <w:multiLevelType w:val="hybridMultilevel"/>
    <w:lvl w:ilvl="0">
      <w:lvlJc w:val="left"/>
      <w:lvlText w:val="(%1)"/>
      <w:numFmt w:val="lowerLetter"/>
      <w:start w:val="4"/>
    </w:lvl>
  </w:abstractNum>
  <w:abstractNum w:abstractNumId="184">
    <w:nsid w:val="514E5CB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185">
    <w:nsid w:val="4210D41E"/>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Letter"/>
      <w:start w:val="9"/>
    </w:lvl>
  </w:abstractNum>
  <w:abstractNum w:abstractNumId="186">
    <w:nsid w:val="4FF4CC6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87">
    <w:nsid w:val="404EAF4A"/>
    <w:multiLevelType w:val="hybridMultilevel"/>
    <w:lvl w:ilvl="0">
      <w:lvlJc w:val="left"/>
      <w:lvlText w:val="(%1)"/>
      <w:numFmt w:val="lowerRoman"/>
      <w:start w:val="2"/>
    </w:lvl>
  </w:abstractNum>
  <w:abstractNum w:abstractNumId="188">
    <w:nsid w:val="4A16874F"/>
    <w:multiLevelType w:val="hybridMultilevel"/>
    <w:lvl w:ilvl="0">
      <w:lvlJc w:val="left"/>
      <w:lvlText w:val="(%1)"/>
      <w:numFmt w:val="lowerLetter"/>
      <w:start w:val="2"/>
    </w:lvl>
  </w:abstractNum>
  <w:abstractNum w:abstractNumId="189">
    <w:nsid w:val="55FEE0D1"/>
    <w:multiLevelType w:val="hybridMultilevel"/>
    <w:lvl w:ilvl="0">
      <w:lvlJc w:val="left"/>
      <w:lvlText w:val="(%1)"/>
      <w:numFmt w:val="lowerRoman"/>
      <w:start w:val="1"/>
    </w:lvl>
  </w:abstractNum>
  <w:abstractNum w:abstractNumId="190">
    <w:nsid w:val="3C5E07C"/>
    <w:multiLevelType w:val="hybridMultilevel"/>
    <w:lvl w:ilvl="0">
      <w:lvlJc w:val="left"/>
      <w:lvlText w:val="(%1)"/>
      <w:numFmt w:val="lowerLetter"/>
      <w:start w:val="3"/>
    </w:lvl>
  </w:abstractNum>
  <w:abstractNum w:abstractNumId="191">
    <w:nsid w:val="60C2D273"/>
    <w:multiLevelType w:val="hybridMultilevel"/>
    <w:lvl w:ilvl="0">
      <w:lvlJc w:val="left"/>
      <w:lvlText w:val="(%1)"/>
      <w:numFmt w:val="lowerLetter"/>
      <w:start w:val="4"/>
    </w:lvl>
    <w:lvl w:ilvl="1">
      <w:lvlJc w:val="left"/>
      <w:lvlText w:val="(%2)"/>
      <w:numFmt w:val="lowerRoman"/>
      <w:start w:val="1"/>
    </w:lvl>
  </w:abstractNum>
  <w:abstractNum w:abstractNumId="192">
    <w:nsid w:val="4CC32F1F"/>
    <w:multiLevelType w:val="hybridMultilevel"/>
    <w:lvl w:ilvl="0">
      <w:lvlJc w:val="left"/>
      <w:lvlText w:val="%1"/>
      <w:numFmt w:val="lowerLetter"/>
      <w:start w:val="1"/>
    </w:lvl>
    <w:lvl w:ilvl="1">
      <w:lvlJc w:val="left"/>
      <w:lvlText w:val="(%2)"/>
      <w:numFmt w:val="lowerLetter"/>
      <w:start w:val="61"/>
    </w:lvl>
  </w:abstractNum>
  <w:abstractNum w:abstractNumId="193">
    <w:nsid w:val="11CAC74A"/>
    <w:multiLevelType w:val="hybridMultilevel"/>
    <w:lvl w:ilvl="0">
      <w:lvlJc w:val="left"/>
      <w:lvlText w:val="(%1)"/>
      <w:numFmt w:val="lowerLetter"/>
      <w:start w:val="6"/>
    </w:lvl>
    <w:lvl w:ilvl="1">
      <w:lvlJc w:val="left"/>
      <w:lvlText w:val="(%2)"/>
      <w:numFmt w:val="lowerLetter"/>
      <w:start w:val="9"/>
    </w:lvl>
  </w:abstractNum>
  <w:abstractNum w:abstractNumId="194">
    <w:nsid w:val="126CADE9"/>
    <w:multiLevelType w:val="hybridMultilevel"/>
    <w:lvl w:ilvl="0">
      <w:lvlJc w:val="left"/>
      <w:lvlText w:val="%1"/>
      <w:numFmt w:val="lowerLetter"/>
      <w:start w:val="1"/>
    </w:lvl>
    <w:lvl w:ilvl="1">
      <w:lvlJc w:val="left"/>
      <w:lvlText w:val="(%2)"/>
      <w:numFmt w:val="lowerLetter"/>
      <w:start w:val="35"/>
    </w:lvl>
  </w:abstractNum>
  <w:abstractNum w:abstractNumId="195">
    <w:nsid w:val="19132E7B"/>
    <w:multiLevelType w:val="hybridMultilevel"/>
    <w:lvl w:ilvl="0">
      <w:lvlJc w:val="left"/>
      <w:lvlText w:val="(%1)"/>
      <w:numFmt w:val="lowerLetter"/>
      <w:start w:val="7"/>
    </w:lvl>
    <w:lvl w:ilvl="1">
      <w:lvlJc w:val="left"/>
      <w:lvlText w:val="(%2)"/>
      <w:numFmt w:val="lowerLetter"/>
      <w:start w:val="9"/>
    </w:lvl>
  </w:abstractNum>
  <w:abstractNum w:abstractNumId="196">
    <w:nsid w:val="63822DC0"/>
    <w:multiLevelType w:val="hybridMultilevel"/>
    <w:lvl w:ilvl="0">
      <w:lvlJc w:val="left"/>
      <w:lvlText w:val="%1"/>
      <w:numFmt w:val="lowerLetter"/>
      <w:start w:val="1"/>
    </w:lvl>
    <w:lvl w:ilvl="1">
      <w:lvlJc w:val="left"/>
      <w:lvlText w:val="(%2)"/>
      <w:numFmt w:val="lowerRoman"/>
      <w:start w:val="2"/>
    </w:lvl>
  </w:abstractNum>
  <w:abstractNum w:abstractNumId="197">
    <w:nsid w:val="6C11685A"/>
    <w:multiLevelType w:val="hybridMultilevel"/>
    <w:lvl w:ilvl="0">
      <w:lvlJc w:val="left"/>
      <w:lvlText w:val="(%1)"/>
      <w:numFmt w:val="lowerLetter"/>
      <w:start w:val="8"/>
    </w:lvl>
    <w:lvl w:ilvl="1">
      <w:lvlJc w:val="left"/>
      <w:lvlText w:val="%2"/>
      <w:numFmt w:val="lowerRoman"/>
      <w:start w:val="1"/>
    </w:lvl>
  </w:abstractNum>
  <w:abstractNum w:abstractNumId="198">
    <w:nsid w:val="5E1EAE31"/>
    <w:multiLevelType w:val="hybridMultilevel"/>
    <w:lvl w:ilvl="0">
      <w:lvlJc w:val="left"/>
      <w:lvlText w:val="%1."/>
      <w:numFmt w:val="decimal"/>
      <w:start w:val="6"/>
    </w:lvl>
    <w:lvl w:ilvl="1">
      <w:lvlJc w:val="left"/>
      <w:lvlText w:val="(%2)"/>
      <w:numFmt w:val="lowerLetter"/>
      <w:start w:val="1"/>
    </w:lvl>
  </w:abstractNum>
  <w:abstractNum w:abstractNumId="199">
    <w:nsid w:val="178E240D"/>
    <w:multiLevelType w:val="hybridMultilevel"/>
    <w:lvl w:ilvl="0">
      <w:lvlJc w:val="left"/>
      <w:lvlText w:val="%1."/>
      <w:numFmt w:val="decimal"/>
      <w:start w:val="1"/>
    </w:lvl>
  </w:abstractNum>
  <w:abstractNum w:abstractNumId="200">
    <w:nsid w:val="5556A87B"/>
    <w:multiLevelType w:val="hybridMultilevel"/>
    <w:lvl w:ilvl="0">
      <w:lvlJc w:val="left"/>
      <w:lvlText w:val="%1."/>
      <w:numFmt w:val="decimal"/>
      <w:start w:val="2"/>
    </w:lvl>
    <w:lvl w:ilvl="1">
      <w:lvlJc w:val="left"/>
      <w:lvlText w:val="(%2)"/>
      <w:numFmt w:val="lowerLetter"/>
      <w:start w:val="1"/>
    </w:lvl>
  </w:abstractNum>
  <w:abstractNum w:abstractNumId="201">
    <w:nsid w:val="28100A9C"/>
    <w:multiLevelType w:val="hybridMultilevel"/>
    <w:lvl w:ilvl="0">
      <w:lvlJc w:val="left"/>
      <w:lvlText w:val="%1"/>
      <w:numFmt w:val="decimal"/>
      <w:start w:val="1"/>
    </w:lvl>
    <w:lvl w:ilvl="1">
      <w:lvlJc w:val="left"/>
      <w:lvlText w:val="(%2)"/>
      <w:numFmt w:val="lowerLetter"/>
      <w:start w:val="2"/>
    </w:lvl>
  </w:abstractNum>
  <w:abstractNum w:abstractNumId="202">
    <w:nsid w:val="D838636"/>
    <w:multiLevelType w:val="hybridMultilevel"/>
    <w:lvl w:ilvl="0">
      <w:lvlJc w:val="left"/>
      <w:lvlText w:val="(%1)"/>
      <w:numFmt w:val="decimal"/>
      <w:start w:val="2"/>
    </w:lvl>
    <w:lvl w:ilvl="1">
      <w:lvlJc w:val="left"/>
      <w:lvlText w:val="%2"/>
      <w:numFmt w:val="lowerLetter"/>
      <w:start w:val="1"/>
    </w:lvl>
  </w:abstractNum>
  <w:abstractNum w:abstractNumId="203">
    <w:nsid w:val="71B82AED"/>
    <w:multiLevelType w:val="hybridMultilevel"/>
    <w:lvl w:ilvl="0">
      <w:lvlJc w:val="left"/>
      <w:lvlText w:val="(%1)"/>
      <w:numFmt w:val="decimal"/>
      <w:start w:val="90"/>
    </w:lvl>
  </w:abstractNum>
  <w:abstractNum w:abstractNumId="204">
    <w:nsid w:val="D15FACA"/>
    <w:multiLevelType w:val="hybridMultilevel"/>
    <w:lvl w:ilvl="0">
      <w:lvlJc w:val="left"/>
      <w:lvlText w:val="(%1)"/>
      <w:numFmt w:val="lowerLetter"/>
      <w:start w:val="1"/>
    </w:lvl>
  </w:abstractNum>
  <w:abstractNum w:abstractNumId="205">
    <w:nsid w:val="3D69565B"/>
    <w:multiLevelType w:val="hybridMultilevel"/>
    <w:lvl w:ilvl="0">
      <w:lvlJc w:val="left"/>
      <w:lvlText w:val="%1"/>
      <w:numFmt w:val="decimal"/>
      <w:start w:val="1"/>
    </w:lvl>
    <w:lvl w:ilvl="1">
      <w:lvlJc w:val="left"/>
      <w:lvlText w:val="(%2)"/>
      <w:numFmt w:val="lowerLetter"/>
      <w:start w:val="2"/>
    </w:lvl>
  </w:abstractNum>
  <w:abstractNum w:abstractNumId="206">
    <w:nsid w:val="2299DCBC"/>
    <w:multiLevelType w:val="hybridMultilevel"/>
    <w:lvl w:ilvl="0">
      <w:lvlJc w:val="left"/>
      <w:lvlText w:val="(%1)"/>
      <w:numFmt w:val="decimal"/>
      <w:start w:val="100"/>
    </w:lvl>
    <w:lvl w:ilvl="1">
      <w:lvlJc w:val="left"/>
      <w:lvlText w:val="%2"/>
      <w:numFmt w:val="lowerLetter"/>
      <w:start w:val="1"/>
    </w:lvl>
  </w:abstractNum>
  <w:abstractNum w:abstractNumId="207">
    <w:nsid w:val="19908D02"/>
    <w:multiLevelType w:val="hybridMultilevel"/>
    <w:lvl w:ilvl="0">
      <w:lvlJc w:val="left"/>
      <w:lvlText w:val="(%1)"/>
      <w:numFmt w:val="lowerLetter"/>
      <w:start w:val="3"/>
    </w:lvl>
  </w:abstractNum>
  <w:abstractNum w:abstractNumId="208">
    <w:nsid w:val="24D48BDB"/>
    <w:multiLevelType w:val="hybridMultilevel"/>
    <w:lvl w:ilvl="0">
      <w:lvlJc w:val="left"/>
      <w:lvlText w:val="(%1)"/>
      <w:numFmt w:val="lowerLetter"/>
      <w:start w:val="1"/>
    </w:lvl>
  </w:abstractNum>
  <w:abstractNum w:abstractNumId="209">
    <w:nsid w:val="542DA5B5"/>
    <w:multiLevelType w:val="hybridMultilevel"/>
    <w:lvl w:ilvl="0">
      <w:lvlJc w:val="left"/>
      <w:lvlText w:val="(%1)"/>
      <w:numFmt w:val="lowerLetter"/>
      <w:start w:val="7"/>
    </w:lvl>
  </w:abstractNum>
  <w:abstractNum w:abstractNumId="210">
    <w:nsid w:val="793753DE"/>
    <w:multiLevelType w:val="hybridMultilevel"/>
    <w:lvl w:ilvl="0">
      <w:lvlJc w:val="left"/>
      <w:lvlText w:val="(%1)"/>
      <w:numFmt w:val="lowerLetter"/>
      <w:start w:val="1"/>
    </w:lvl>
  </w:abstractNum>
  <w:abstractNum w:abstractNumId="211">
    <w:nsid w:val="1C67CB3D"/>
    <w:multiLevelType w:val="hybridMultilevel"/>
    <w:lvl w:ilvl="0">
      <w:lvlJc w:val="left"/>
      <w:lvlText w:val="(%1)"/>
      <w:numFmt w:val="lowerLetter"/>
      <w:start w:val="3"/>
    </w:lvl>
  </w:abstractNum>
  <w:abstractNum w:abstractNumId="212">
    <w:nsid w:val="40E29452"/>
    <w:multiLevelType w:val="hybridMultilevel"/>
    <w:lvl w:ilvl="0">
      <w:lvlJc w:val="left"/>
      <w:lvlText w:val="(%1)"/>
      <w:numFmt w:val="lowerLetter"/>
      <w:start w:val="5"/>
    </w:lvl>
  </w:abstractNum>
  <w:abstractNum w:abstractNumId="213">
    <w:nsid w:val="63A4AAB6"/>
    <w:multiLevelType w:val="hybridMultilevel"/>
    <w:lvl w:ilvl="0">
      <w:lvlJc w:val="left"/>
      <w:lvlText w:val="(%1)"/>
      <w:numFmt w:val="lowerLetter"/>
      <w:start w:val="1"/>
    </w:lvl>
  </w:abstractNum>
  <w:abstractNum w:abstractNumId="214">
    <w:nsid w:val="77DA4A57"/>
    <w:multiLevelType w:val="hybridMultilevel"/>
    <w:lvl w:ilvl="0">
      <w:lvlJc w:val="left"/>
      <w:lvlText w:val="(%1)"/>
      <w:numFmt w:val="decimal"/>
      <w:start w:val="180"/>
    </w:lvl>
  </w:abstractNum>
  <w:abstractNum w:abstractNumId="215">
    <w:nsid w:val="1230F102"/>
    <w:multiLevelType w:val="hybridMultilevel"/>
    <w:lvl w:ilvl="0">
      <w:lvlJc w:val="left"/>
      <w:lvlText w:val="(%1)"/>
      <w:numFmt w:val="lowerLetter"/>
      <w:start w:val="1"/>
    </w:lvl>
  </w:abstractNum>
  <w:abstractNum w:abstractNumId="216">
    <w:nsid w:val="25B57ED4"/>
    <w:multiLevelType w:val="hybridMultilevel"/>
    <w:lvl w:ilvl="0">
      <w:lvlJc w:val="left"/>
      <w:lvlText w:val="(%1)"/>
      <w:numFmt w:val="lowerLetter"/>
      <w:start w:val="3"/>
    </w:lvl>
  </w:abstractNum>
  <w:abstractNum w:abstractNumId="217">
    <w:nsid w:val="47CF16C4"/>
    <w:multiLevelType w:val="hybridMultilevel"/>
    <w:lvl w:ilvl="0">
      <w:lvlJc w:val="left"/>
      <w:lvlText w:val="%1"/>
      <w:numFmt w:val="decimal"/>
      <w:start w:val="1"/>
    </w:lvl>
    <w:lvl w:ilvl="1">
      <w:lvlJc w:val="left"/>
      <w:lvlText w:val="(%2)"/>
      <w:numFmt w:val="lowerLetter"/>
      <w:start w:val="1"/>
    </w:lvl>
  </w:abstractNum>
  <w:abstractNum w:abstractNumId="218">
    <w:nsid w:val="527FA04C"/>
    <w:multiLevelType w:val="hybridMultilevel"/>
    <w:lvl w:ilvl="0">
      <w:lvlJc w:val="left"/>
      <w:lvlText w:val="%1."/>
      <w:numFmt w:val="decimal"/>
      <w:start w:val="3"/>
    </w:lvl>
    <w:lvl w:ilvl="1">
      <w:lvlJc w:val="left"/>
      <w:lvlText w:val="%2"/>
      <w:numFmt w:val="lowerLetter"/>
      <w:start w:val="1"/>
    </w:lvl>
  </w:abstractNum>
  <w:abstractNum w:abstractNumId="219">
    <w:nsid w:val="6FCC0624"/>
    <w:multiLevelType w:val="hybridMultilevel"/>
    <w:lvl w:ilvl="0">
      <w:lvlJc w:val="left"/>
      <w:lvlText w:val="(%1)"/>
      <w:numFmt w:val="lowerLetter"/>
      <w:start w:val="1"/>
    </w:lvl>
  </w:abstractNum>
  <w:abstractNum w:abstractNumId="220">
    <w:nsid w:val="1DCDF795"/>
    <w:multiLevelType w:val="hybridMultilevel"/>
    <w:lvl w:ilvl="0">
      <w:lvlJc w:val="left"/>
      <w:lvlText w:val="%1."/>
      <w:numFmt w:val="decimal"/>
      <w:start w:val="4"/>
    </w:lvl>
  </w:abstractNum>
  <w:abstractNum w:abstractNumId="221">
    <w:nsid w:val="564580C8"/>
    <w:multiLevelType w:val="hybridMultilevel"/>
    <w:lvl w:ilvl="0">
      <w:lvlJc w:val="left"/>
      <w:lvlText w:val="(%1)"/>
      <w:numFmt w:val="lowerLetter"/>
      <w:start w:val="1"/>
    </w:lvl>
    <w:lvl w:ilvl="1">
      <w:lvlJc w:val="left"/>
      <w:lvlText w:val="(%2)"/>
      <w:numFmt w:val="lowerRoman"/>
      <w:start w:val="1"/>
    </w:lvl>
  </w:abstractNum>
  <w:abstractNum w:abstractNumId="222">
    <w:nsid w:val="508ED897"/>
    <w:multiLevelType w:val="hybridMultilevel"/>
    <w:lvl w:ilvl="0">
      <w:lvlJc w:val="left"/>
      <w:lvlText w:val="%1"/>
      <w:numFmt w:val="lowerLetter"/>
      <w:start w:val="1"/>
    </w:lvl>
    <w:lvl w:ilvl="1">
      <w:lvlJc w:val="left"/>
      <w:lvlText w:val="(%2)"/>
      <w:numFmt w:val="lowerLetter"/>
      <w:start w:val="22"/>
    </w:lvl>
  </w:abstractNum>
  <w:abstractNum w:abstractNumId="223">
    <w:nsid w:val="6A9126B5"/>
    <w:multiLevelType w:val="hybridMultilevel"/>
    <w:lvl w:ilvl="0">
      <w:lvlJc w:val="left"/>
      <w:lvlText w:val="(%1)"/>
      <w:numFmt w:val="lowerLetter"/>
      <w:start w:val="2"/>
    </w:lvl>
    <w:lvl w:ilvl="1">
      <w:lvlJc w:val="left"/>
      <w:lvlText w:val="%2"/>
      <w:numFmt w:val="lowerLetter"/>
      <w:start w:val="1"/>
    </w:lvl>
  </w:abstractNum>
  <w:abstractNum w:abstractNumId="224">
    <w:nsid w:val="68104812"/>
    <w:multiLevelType w:val="hybridMultilevel"/>
    <w:lvl w:ilvl="0">
      <w:lvlJc w:val="left"/>
      <w:lvlText w:val="(%1)"/>
      <w:numFmt w:val="lowerLetter"/>
      <w:start w:val="4"/>
    </w:lvl>
  </w:abstractNum>
  <w:abstractNum w:abstractNumId="225">
    <w:nsid w:val="62FB8680"/>
    <w:multiLevelType w:val="hybridMultilevel"/>
    <w:lvl w:ilvl="0">
      <w:lvlJc w:val="left"/>
      <w:lvlText w:val="(%1)"/>
      <w:numFmt w:val="lowerRoman"/>
      <w:start w:val="1"/>
    </w:lvl>
  </w:abstractNum>
  <w:abstractNum w:abstractNumId="226">
    <w:nsid w:val="3A45530"/>
    <w:multiLevelType w:val="hybridMultilevel"/>
    <w:lvl w:ilvl="0">
      <w:lvlJc w:val="left"/>
      <w:lvlText w:val="(%1)"/>
      <w:numFmt w:val="lowerLetter"/>
      <w:start w:val="1"/>
    </w:lvl>
  </w:abstractNum>
  <w:abstractNum w:abstractNumId="227">
    <w:nsid w:val="4B9275D2"/>
    <w:multiLevelType w:val="hybridMultilevel"/>
    <w:lvl w:ilvl="0">
      <w:lvlJc w:val="left"/>
      <w:lvlText w:val="(%1)"/>
      <w:numFmt w:val="lowerLetter"/>
      <w:start w:val="5"/>
    </w:lvl>
  </w:abstractNum>
  <w:abstractNum w:abstractNumId="228">
    <w:nsid w:val="4F0CEEDB"/>
    <w:multiLevelType w:val="hybridMultilevel"/>
    <w:lvl w:ilvl="0">
      <w:lvlJc w:val="left"/>
      <w:lvlText w:val="%1."/>
      <w:numFmt w:val="decimal"/>
      <w:start w:val="5"/>
    </w:lvl>
  </w:abstractNum>
  <w:abstractNum w:abstractNumId="229">
    <w:nsid w:val="61C303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30">
    <w:nsid w:val="632099E0"/>
    <w:multiLevelType w:val="hybridMultilevel"/>
    <w:lvl w:ilvl="0">
      <w:lvlJc w:val="left"/>
      <w:lvlText w:val="(%1)"/>
      <w:numFmt w:val="decimal"/>
      <w:start w:val="15"/>
    </w:lvl>
    <w:lvl w:ilvl="1">
      <w:lvlJc w:val="left"/>
      <w:lvlText w:val="%2."/>
      <w:numFmt w:val="decimal"/>
      <w:start w:val="5"/>
    </w:lvl>
    <w:lvl w:ilvl="2">
      <w:lvlJc w:val="left"/>
      <w:lvlText w:val="(%3)"/>
      <w:numFmt w:val="lowerLetter"/>
      <w:start w:val="4"/>
    </w:lvl>
  </w:abstractNum>
  <w:abstractNum w:abstractNumId="231">
    <w:nsid w:val="24639756"/>
    <w:multiLevelType w:val="hybridMultilevel"/>
    <w:lvl w:ilvl="0">
      <w:lvlJc w:val="left"/>
      <w:lvlText w:val="(%1)"/>
      <w:numFmt w:val="lowerLetter"/>
      <w:start w:val="3"/>
    </w:lvl>
  </w:abstractNum>
  <w:abstractNum w:abstractNumId="232">
    <w:nsid w:val="9D30DFD"/>
    <w:multiLevelType w:val="hybridMultilevel"/>
    <w:lvl w:ilvl="0">
      <w:lvlJc w:val="left"/>
      <w:lvlText w:val="(%1)"/>
      <w:numFmt w:val="lowerLetter"/>
      <w:start w:val="1"/>
    </w:lvl>
  </w:abstractNum>
  <w:abstractNum w:abstractNumId="233">
    <w:nsid w:val="70A42016"/>
    <w:multiLevelType w:val="hybridMultilevel"/>
    <w:lvl w:ilvl="0">
      <w:lvlJc w:val="left"/>
      <w:lvlText w:val="(%1)"/>
      <w:numFmt w:val="lowerLetter"/>
      <w:start w:val="1"/>
    </w:lvl>
  </w:abstractNum>
  <w:abstractNum w:abstractNumId="234">
    <w:nsid w:val="161BC243"/>
    <w:multiLevelType w:val="hybridMultilevel"/>
    <w:lvl w:ilvl="0">
      <w:lvlJc w:val="left"/>
      <w:lvlText w:val="(%1)"/>
      <w:numFmt w:val="lowerRoman"/>
      <w:start w:val="1"/>
    </w:lvl>
    <w:lvl w:ilvl="1">
      <w:lvlJc w:val="left"/>
      <w:lvlText w:val="(%2)"/>
      <w:numFmt w:val="upperLetter"/>
      <w:start w:val="1"/>
    </w:lvl>
  </w:abstractNum>
  <w:abstractNum w:abstractNumId="235">
    <w:nsid w:val="16E908C8"/>
    <w:multiLevelType w:val="hybridMultilevel"/>
    <w:lvl w:ilvl="0">
      <w:lvlJc w:val="left"/>
      <w:lvlText w:val="(%1)"/>
      <w:numFmt w:val="lowerLetter"/>
      <w:start w:val="3"/>
    </w:lvl>
  </w:abstractNum>
  <w:abstractNum w:abstractNumId="236">
    <w:nsid w:val="2E0D7671"/>
    <w:multiLevelType w:val="hybridMultilevel"/>
    <w:lvl w:ilvl="0">
      <w:lvlJc w:val="left"/>
      <w:lvlText w:val="(%1)"/>
      <w:numFmt w:val="lowerLetter"/>
      <w:start w:val="1"/>
    </w:lvl>
  </w:abstractNum>
  <w:abstractNum w:abstractNumId="237">
    <w:nsid w:val="38B59EFF"/>
    <w:multiLevelType w:val="hybridMultilevel"/>
    <w:lvl w:ilvl="0">
      <w:lvlJc w:val="left"/>
      <w:lvlText w:val="(%1)"/>
      <w:numFmt w:val="lowerLetter"/>
      <w:start w:val="2"/>
    </w:lvl>
    <w:lvl w:ilvl="1">
      <w:lvlJc w:val="left"/>
      <w:lvlText w:val="(%2)"/>
      <w:numFmt w:val="lowerRoman"/>
      <w:start w:val="1"/>
    </w:lvl>
  </w:abstractNum>
  <w:abstractNum w:abstractNumId="238">
    <w:nsid w:val="307995CA"/>
    <w:multiLevelType w:val="hybridMultilevel"/>
    <w:lvl w:ilvl="0">
      <w:lvlJc w:val="left"/>
      <w:lvlText w:val="(%1)"/>
      <w:numFmt w:val="lowerLetter"/>
      <w:start w:val="6"/>
    </w:lvl>
  </w:abstractNum>
  <w:abstractNum w:abstractNumId="239">
    <w:nsid w:val="52E2024D"/>
    <w:multiLevelType w:val="hybridMultilevel"/>
    <w:lvl w:ilvl="0">
      <w:lvlJc w:val="left"/>
      <w:lvlText w:val="(%1)"/>
      <w:numFmt w:val="lowerLetter"/>
      <w:start w:val="7"/>
    </w:lvl>
  </w:abstractNum>
  <w:abstractNum w:abstractNumId="240">
    <w:nsid w:val="CE344B5"/>
    <w:multiLevelType w:val="hybridMultilevel"/>
    <w:lvl w:ilvl="0">
      <w:lvlJc w:val="left"/>
      <w:lvlText w:val="(%1)"/>
      <w:numFmt w:val="lowerLetter"/>
      <w:start w:val="1"/>
    </w:lvl>
  </w:abstractNum>
  <w:abstractNum w:abstractNumId="241">
    <w:nsid w:val="29B0E9A8"/>
    <w:multiLevelType w:val="hybridMultilevel"/>
    <w:lvl w:ilvl="0">
      <w:lvlJc w:val="left"/>
      <w:lvlText w:val="(%1)"/>
      <w:numFmt w:val="lowerLetter"/>
      <w:start w:val="2"/>
    </w:lvl>
    <w:lvl w:ilvl="1">
      <w:lvlJc w:val="left"/>
      <w:lvlText w:val="(%2)"/>
      <w:numFmt w:val="lowerRoman"/>
      <w:start w:val="1"/>
    </w:lvl>
  </w:abstractNum>
  <w:abstractNum w:abstractNumId="242">
    <w:nsid w:val="6F49CD8A"/>
    <w:multiLevelType w:val="hybridMultilevel"/>
    <w:lvl w:ilvl="0">
      <w:lvlJc w:val="left"/>
      <w:lvlText w:val="(%1)"/>
      <w:numFmt w:val="lowerLetter"/>
      <w:start w:val="6"/>
    </w:lvl>
  </w:abstractNum>
  <w:abstractNum w:abstractNumId="243">
    <w:nsid w:val="4DC5D907"/>
    <w:multiLevelType w:val="hybridMultilevel"/>
    <w:lvl w:ilvl="0">
      <w:lvlJc w:val="left"/>
      <w:lvlText w:val="(%1)"/>
      <w:numFmt w:val="lowerLetter"/>
      <w:start w:val="1"/>
    </w:lvl>
  </w:abstractNum>
  <w:abstractNum w:abstractNumId="244">
    <w:nsid w:val="D55945E"/>
    <w:multiLevelType w:val="hybridMultilevel"/>
    <w:lvl w:ilvl="0">
      <w:lvlJc w:val="left"/>
      <w:lvlText w:val="(%1)"/>
      <w:numFmt w:val="lowerLetter"/>
      <w:start w:val="4"/>
    </w:lvl>
  </w:abstractNum>
  <w:abstractNum w:abstractNumId="245">
    <w:nsid w:val="672417E1"/>
    <w:multiLevelType w:val="hybridMultilevel"/>
    <w:lvl w:ilvl="0">
      <w:lvlJc w:val="left"/>
      <w:lvlText w:val="(%1)"/>
      <w:numFmt w:val="lowerLetter"/>
      <w:start w:val="1"/>
    </w:lvl>
  </w:abstractNum>
  <w:abstractNum w:abstractNumId="246">
    <w:nsid w:val="5FF6CA09"/>
    <w:multiLevelType w:val="hybridMultilevel"/>
    <w:lvl w:ilvl="0">
      <w:lvlJc w:val="left"/>
      <w:lvlText w:val="(%1)"/>
      <w:numFmt w:val="lowerLetter"/>
      <w:start w:val="61"/>
    </w:lvl>
    <w:lvl w:ilvl="1">
      <w:lvlJc w:val="left"/>
      <w:lvlText w:val="(%2)"/>
      <w:numFmt w:val="lowerLetter"/>
      <w:start w:val="2"/>
    </w:lvl>
  </w:abstractNum>
  <w:abstractNum w:abstractNumId="247">
    <w:nsid w:val="330B1333"/>
    <w:multiLevelType w:val="hybridMultilevel"/>
    <w:lvl w:ilvl="0">
      <w:lvlJc w:val="left"/>
      <w:lvlText w:val="(%1)"/>
      <w:numFmt w:val="lowerLetter"/>
      <w:start w:val="4"/>
    </w:lvl>
  </w:abstractNum>
  <w:abstractNum w:abstractNumId="248">
    <w:nsid w:val="2EF32EA6"/>
    <w:multiLevelType w:val="hybridMultilevel"/>
    <w:lvl w:ilvl="0">
      <w:lvlJc w:val="left"/>
      <w:lvlText w:val="(%1)"/>
      <w:numFmt w:val="lowerLetter"/>
      <w:start w:val="1"/>
    </w:lvl>
  </w:abstractNum>
  <w:abstractNum w:abstractNumId="249">
    <w:nsid w:val="32766A55"/>
    <w:multiLevelType w:val="hybridMultilevel"/>
    <w:lvl w:ilvl="0">
      <w:lvlJc w:val="left"/>
      <w:lvlText w:val="(%1)"/>
      <w:numFmt w:val="lowerLetter"/>
      <w:start w:val="2"/>
    </w:lvl>
  </w:abstractNum>
  <w:abstractNum w:abstractNumId="250">
    <w:nsid w:val="22D71957"/>
    <w:multiLevelType w:val="hybridMultilevel"/>
    <w:lvl w:ilvl="0">
      <w:lvlJc w:val="left"/>
      <w:lvlText w:val="(%1)"/>
      <w:numFmt w:val="lowerRoman"/>
      <w:start w:val="1"/>
    </w:lvl>
  </w:abstractNum>
  <w:abstractNum w:abstractNumId="251">
    <w:nsid w:val="4CC1263B"/>
    <w:multiLevelType w:val="hybridMultilevel"/>
    <w:lvl w:ilvl="0">
      <w:lvlJc w:val="left"/>
      <w:lvlText w:val="(%1)"/>
      <w:numFmt w:val="lowerLetter"/>
      <w:start w:val="8"/>
    </w:lvl>
  </w:abstractNum>
  <w:abstractNum w:abstractNumId="252">
    <w:nsid w:val="8BBEB1D"/>
    <w:multiLevelType w:val="hybridMultilevel"/>
    <w:lvl w:ilvl="0">
      <w:lvlJc w:val="left"/>
      <w:lvlText w:val="(%1)"/>
      <w:numFmt w:val="lowerLetter"/>
      <w:start w:val="9"/>
    </w:lvl>
  </w:abstractNum>
  <w:abstractNum w:abstractNumId="253">
    <w:nsid w:val="7365F1EE"/>
    <w:multiLevelType w:val="hybridMultilevel"/>
    <w:lvl w:ilvl="0">
      <w:lvlJc w:val="left"/>
      <w:lvlText w:val="(%1)"/>
      <w:numFmt w:val="lowerLetter"/>
      <w:start w:val="16"/>
    </w:lvl>
  </w:abstractNum>
  <w:abstractNum w:abstractNumId="254">
    <w:nsid w:val="37524CF0"/>
    <w:multiLevelType w:val="hybridMultilevel"/>
    <w:lvl w:ilvl="0">
      <w:lvlJc w:val="left"/>
      <w:lvlText w:val="(%1)"/>
      <w:numFmt w:val="decimal"/>
      <w:start w:val="1"/>
    </w:lvl>
  </w:abstractNum>
  <w:abstractNum w:abstractNumId="255">
    <w:nsid w:val="70CC332F"/>
    <w:multiLevelType w:val="hybridMultilevel"/>
    <w:lvl w:ilvl="0">
      <w:lvlJc w:val="left"/>
      <w:lvlText w:val="%1."/>
      <w:numFmt w:val="decimal"/>
      <w:start w:val="1"/>
    </w:lvl>
    <w:lvl w:ilvl="1">
      <w:lvlJc w:val="left"/>
      <w:lvlText w:val="(%2)"/>
      <w:numFmt w:val="lowerLetter"/>
      <w:start w:val="1"/>
    </w:lvl>
  </w:abstractNum>
  <w:abstractNum w:abstractNumId="256">
    <w:nsid w:val="5661786E"/>
    <w:multiLevelType w:val="hybridMultilevel"/>
    <w:lvl w:ilvl="0">
      <w:lvlJc w:val="left"/>
      <w:lvlText w:val="(%1)"/>
      <w:numFmt w:val="lowerLetter"/>
      <w:start w:val="3"/>
    </w:lvl>
  </w:abstractNum>
  <w:abstractNum w:abstractNumId="257">
    <w:nsid w:val="3AF6A220"/>
    <w:multiLevelType w:val="hybridMultilevel"/>
    <w:lvl w:ilvl="0">
      <w:lvlJc w:val="left"/>
      <w:lvlText w:val="%1."/>
      <w:numFmt w:val="decimal"/>
      <w:start w:val="2"/>
    </w:lvl>
  </w:abstractNum>
  <w:abstractNum w:abstractNumId="258">
    <w:nsid w:val="3C5EA902"/>
    <w:multiLevelType w:val="hybridMultilevel"/>
    <w:lvl w:ilvl="0">
      <w:lvlJc w:val="left"/>
      <w:lvlText w:val="1"/>
      <w:numFmt w:val="bullet"/>
      <w:start w:val="1"/>
    </w:lvl>
  </w:abstractNum>
  <w:abstractNum w:abstractNumId="259">
    <w:nsid w:val="256E6749"/>
    <w:multiLevelType w:val="hybridMultilevel"/>
    <w:lvl w:ilvl="0">
      <w:lvlJc w:val="left"/>
      <w:lvlText w:val="%1."/>
      <w:numFmt w:val="decimal"/>
      <w:start w:val="3"/>
    </w:lvl>
    <w:lvl w:ilvl="1">
      <w:lvlJc w:val="left"/>
      <w:lvlText w:val="(%2)"/>
      <w:numFmt w:val="lowerLetter"/>
      <w:start w:val="1"/>
    </w:lvl>
  </w:abstractNum>
  <w:abstractNum w:abstractNumId="260">
    <w:nsid w:val="1CB9A581"/>
    <w:multiLevelType w:val="hybridMultilevel"/>
    <w:lvl w:ilvl="0">
      <w:lvlJc w:val="left"/>
      <w:lvlText w:val="%1"/>
      <w:numFmt w:val="decimal"/>
      <w:start w:val="1"/>
    </w:lvl>
    <w:lvl w:ilvl="1">
      <w:lvlJc w:val="left"/>
      <w:lvlText w:val="(%2)"/>
      <w:numFmt w:val="lowerLetter"/>
      <w:start w:val="4"/>
    </w:lvl>
  </w:abstractNum>
  <w:abstractNum w:abstractNumId="261">
    <w:nsid w:val="1F7F42E2"/>
    <w:multiLevelType w:val="hybridMultilevel"/>
    <w:lvl w:ilvl="0">
      <w:lvlJc w:val="left"/>
      <w:lvlText w:val="%1."/>
      <w:numFmt w:val="decimal"/>
      <w:start w:val="4"/>
    </w:lvl>
    <w:lvl w:ilvl="1">
      <w:lvlJc w:val="left"/>
      <w:lvlText w:val="(%2)"/>
      <w:numFmt w:val="lowerLetter"/>
      <w:start w:val="1"/>
    </w:lvl>
  </w:abstractNum>
  <w:abstractNum w:abstractNumId="262">
    <w:nsid w:val="49D1FEA0"/>
    <w:multiLevelType w:val="hybridMultilevel"/>
    <w:lvl w:ilvl="0">
      <w:lvlJc w:val="left"/>
      <w:lvlText w:val="(%1)"/>
      <w:numFmt w:val="lowerLetter"/>
      <w:start w:val="2"/>
    </w:lvl>
  </w:abstractNum>
  <w:abstractNum w:abstractNumId="263">
    <w:nsid w:val="268CB37F"/>
    <w:multiLevelType w:val="hybridMultilevel"/>
    <w:lvl w:ilvl="0">
      <w:lvlJc w:val="left"/>
      <w:lvlText w:val="(%1)"/>
      <w:numFmt w:val="lowerLetter"/>
      <w:start w:val="5"/>
    </w:lvl>
  </w:abstractNum>
  <w:abstractNum w:abstractNumId="264">
    <w:nsid w:val="102362F8"/>
    <w:multiLevelType w:val="hybridMultilevel"/>
    <w:lvl w:ilvl="0">
      <w:lvlJc w:val="left"/>
      <w:lvlText w:val="%1"/>
      <w:numFmt w:val="decimal"/>
      <w:start w:val="1"/>
    </w:lvl>
    <w:lvl w:ilvl="1">
      <w:lvlJc w:val="left"/>
      <w:lvlText w:val="(%2)"/>
      <w:numFmt w:val="lowerLetter"/>
      <w:start w:val="8"/>
    </w:lvl>
  </w:abstractNum>
  <w:abstractNum w:abstractNumId="265">
    <w:nsid w:val="5FEDC0E3"/>
    <w:multiLevelType w:val="hybridMultilevel"/>
    <w:lvl w:ilvl="0">
      <w:lvlJc w:val="left"/>
      <w:lvlText w:val="%1."/>
      <w:numFmt w:val="decimal"/>
      <w:start w:val="7"/>
    </w:lvl>
    <w:lvl w:ilvl="1">
      <w:lvlJc w:val="left"/>
      <w:lvlText w:val="(%2)"/>
      <w:numFmt w:val="lowerLetter"/>
      <w:start w:val="1"/>
    </w:lvl>
  </w:abstractNum>
  <w:abstractNum w:abstractNumId="266">
    <w:nsid w:val="3D75BC47"/>
    <w:multiLevelType w:val="hybridMultilevel"/>
    <w:lvl w:ilvl="0">
      <w:lvlJc w:val="left"/>
      <w:lvlText w:val="%1"/>
      <w:numFmt w:val="decimal"/>
      <w:start w:val="1"/>
    </w:lvl>
    <w:lvl w:ilvl="1">
      <w:lvlJc w:val="left"/>
      <w:lvlText w:val="(%2)"/>
      <w:numFmt w:val="lowerLetter"/>
      <w:start w:val="3"/>
    </w:lvl>
  </w:abstractNum>
  <w:abstractNum w:abstractNumId="267">
    <w:nsid w:val="3E30D969"/>
    <w:multiLevelType w:val="hybridMultilevel"/>
    <w:lvl w:ilvl="0">
      <w:lvlJc w:val="left"/>
      <w:lvlText w:val="%1."/>
      <w:numFmt w:val="decimal"/>
      <w:start w:val="8"/>
    </w:lvl>
    <w:lvl w:ilvl="1">
      <w:lvlJc w:val="left"/>
      <w:lvlText w:val="(%2)"/>
      <w:numFmt w:val="lowerLetter"/>
      <w:start w:val="1"/>
    </w:lvl>
  </w:abstractNum>
  <w:abstractNum w:abstractNumId="268">
    <w:nsid w:val="18A35FE3"/>
    <w:multiLevelType w:val="hybridMultilevel"/>
    <w:lvl w:ilvl="0">
      <w:lvlJc w:val="left"/>
      <w:lvlText w:val="%1"/>
      <w:numFmt w:val="lowerLetter"/>
      <w:start w:val="1"/>
    </w:lvl>
    <w:lvl w:ilvl="1">
      <w:lvlJc w:val="left"/>
      <w:lvlText w:val="(%2)"/>
      <w:numFmt w:val="lowerLetter"/>
      <w:start w:val="2"/>
    </w:lvl>
  </w:abstractNum>
  <w:abstractNum w:abstractNumId="269">
    <w:nsid w:val="6DEF5211"/>
    <w:multiLevelType w:val="hybridMultilevel"/>
    <w:lvl w:ilvl="0">
      <w:lvlJc w:val="left"/>
      <w:lvlText w:val="(%1)"/>
      <w:numFmt w:val="lowerLetter"/>
      <w:start w:val="35"/>
    </w:lvl>
    <w:lvl w:ilvl="1">
      <w:lvlJc w:val="left"/>
      <w:lvlText w:val="(%2)"/>
      <w:numFmt w:val="lowerLetter"/>
      <w:start w:val="4"/>
    </w:lvl>
  </w:abstractNum>
  <w:abstractNum w:abstractNumId="270">
    <w:nsid w:val="1112DBB6"/>
    <w:multiLevelType w:val="hybridMultilevel"/>
    <w:lvl w:ilvl="0">
      <w:lvlJc w:val="left"/>
      <w:lvlText w:val="2"/>
      <w:numFmt w:val="bullet"/>
      <w:start w:val="1"/>
    </w:lvl>
  </w:abstractNum>
  <w:abstractNum w:abstractNumId="271">
    <w:nsid w:val="2586A498"/>
    <w:multiLevelType w:val="hybridMultilevel"/>
    <w:lvl w:ilvl="0">
      <w:lvlJc w:val="left"/>
      <w:lvlText w:val="%1"/>
      <w:numFmt w:val="decimal"/>
      <w:start w:val="1"/>
    </w:lvl>
    <w:lvl w:ilvl="1">
      <w:lvlJc w:val="left"/>
      <w:lvlText w:val="(%2)"/>
      <w:numFmt w:val="lowerLetter"/>
      <w:start w:val="5"/>
    </w:lvl>
  </w:abstractNum>
  <w:abstractNum w:abstractNumId="272">
    <w:nsid w:val="17A03BB9"/>
    <w:multiLevelType w:val="hybridMultilevel"/>
    <w:lvl w:ilvl="0">
      <w:lvlJc w:val="left"/>
      <w:lvlText w:val="%1."/>
      <w:numFmt w:val="decimal"/>
      <w:start w:val="9"/>
    </w:lvl>
    <w:lvl w:ilvl="1">
      <w:lvlJc w:val="left"/>
      <w:lvlText w:val="(%2)"/>
      <w:numFmt w:val="lowerLetter"/>
      <w:start w:val="1"/>
    </w:lvl>
  </w:abstractNum>
  <w:abstractNum w:abstractNumId="273">
    <w:nsid w:val="5CA941"/>
    <w:multiLevelType w:val="hybridMultilevel"/>
    <w:lvl w:ilvl="0">
      <w:lvlJc w:val="left"/>
      <w:lvlText w:val="%1."/>
      <w:numFmt w:val="decimal"/>
      <w:start w:val="11"/>
    </w:lvl>
    <w:lvl w:ilvl="1">
      <w:lvlJc w:val="left"/>
      <w:lvlText w:val="(%2)"/>
      <w:numFmt w:val="lowerLetter"/>
      <w:start w:val="1"/>
    </w:lvl>
  </w:abstractNum>
  <w:abstractNum w:abstractNumId="274">
    <w:nsid w:val="734C7D9F"/>
    <w:multiLevelType w:val="hybridMultilevel"/>
    <w:lvl w:ilvl="0">
      <w:lvlJc w:val="left"/>
      <w:lvlText w:val="%1"/>
      <w:numFmt w:val="decimal"/>
      <w:start w:val="1"/>
    </w:lvl>
    <w:lvl w:ilvl="1">
      <w:lvlJc w:val="left"/>
      <w:lvlText w:val="(%2)"/>
      <w:numFmt w:val="lowerLetter"/>
      <w:start w:val="5"/>
    </w:lvl>
  </w:abstractNum>
  <w:abstractNum w:abstractNumId="275">
    <w:nsid w:val="24F5D018"/>
    <w:multiLevelType w:val="hybridMultilevel"/>
    <w:lvl w:ilvl="0">
      <w:lvlJc w:val="left"/>
      <w:lvlText w:val="%1."/>
      <w:numFmt w:val="decimal"/>
      <w:start w:val="14"/>
    </w:lvl>
    <w:lvl w:ilvl="1">
      <w:lvlJc w:val="left"/>
      <w:lvlText w:val="%2"/>
      <w:numFmt w:val="lowerLetter"/>
      <w:start w:val="1"/>
    </w:lvl>
  </w:abstractNum>
  <w:abstractNum w:abstractNumId="276">
    <w:nsid w:val="6780C122"/>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abstractNum>
  <w:abstractNum w:abstractNumId="277">
    <w:nsid w:val="534347A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78">
    <w:nsid w:val="5800E34B"/>
    <w:multiLevelType w:val="hybridMultilevel"/>
    <w:lvl w:ilvl="0">
      <w:lvlJc w:val="left"/>
      <w:lvlText w:val="%1."/>
      <w:numFmt w:val="decimal"/>
      <w:start w:val="18"/>
    </w:lvl>
  </w:abstractNum>
  <w:abstractNum w:abstractNumId="279">
    <w:nsid w:val="1673EFC8"/>
    <w:multiLevelType w:val="hybridMultilevel"/>
    <w:lvl w:ilvl="0">
      <w:lvlJc w:val="left"/>
      <w:lvlText w:val="(%1)"/>
      <w:numFmt w:val="lowerRoman"/>
      <w:start w:val="4"/>
    </w:lvl>
  </w:abstractNum>
  <w:abstractNum w:abstractNumId="280">
    <w:nsid w:val="5B9B1FD"/>
    <w:multiLevelType w:val="hybridMultilevel"/>
    <w:lvl w:ilvl="0">
      <w:lvlJc w:val="left"/>
      <w:lvlText w:val="(%1)"/>
      <w:numFmt w:val="lowerLetter"/>
      <w:start w:val="1"/>
    </w:lvl>
  </w:abstractNum>
  <w:abstractNum w:abstractNumId="281">
    <w:nsid w:val="7AD7FCA2"/>
    <w:multiLevelType w:val="hybridMultilevel"/>
    <w:lvl w:ilvl="0">
      <w:lvlJc w:val="left"/>
      <w:lvlText w:val="(%1)"/>
      <w:numFmt w:val="lowerRoman"/>
      <w:start w:val="1"/>
    </w:lvl>
  </w:abstractNum>
  <w:abstractNum w:abstractNumId="282">
    <w:nsid w:val="63351604"/>
    <w:multiLevelType w:val="hybridMultilevel"/>
    <w:lvl w:ilvl="0">
      <w:lvlJc w:val="left"/>
      <w:lvlText w:val="(%1)"/>
      <w:numFmt w:val="lowerLetter"/>
      <w:start w:val="3"/>
    </w:lvl>
  </w:abstractNum>
  <w:abstractNum w:abstractNumId="283">
    <w:nsid w:val="E759D1A"/>
    <w:multiLevelType w:val="hybridMultilevel"/>
    <w:lvl w:ilvl="0">
      <w:lvlJc w:val="left"/>
      <w:lvlText w:val="(%1)"/>
      <w:numFmt w:val="lowerLetter"/>
      <w:start w:val="5"/>
    </w:lvl>
  </w:abstractNum>
  <w:abstractNum w:abstractNumId="284">
    <w:nsid w:val="6E3DEE90"/>
    <w:multiLevelType w:val="hybridMultilevel"/>
    <w:lvl w:ilvl="0">
      <w:lvlJc w:val="left"/>
      <w:lvlText w:val="(%1)"/>
      <w:numFmt w:val="lowerLetter"/>
      <w:start w:val="1"/>
    </w:lvl>
  </w:abstractNum>
  <w:abstractNum w:abstractNumId="285">
    <w:nsid w:val="1A8762F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6">
    <w:nsid w:val="7F41D049"/>
    <w:multiLevelType w:val="hybridMultilevel"/>
    <w:lvl w:ilvl="0">
      <w:lvlJc w:val="left"/>
      <w:lvlText w:val="(%1)"/>
      <w:numFmt w:val="upperLetter"/>
      <w:start w:val="2"/>
    </w:lvl>
  </w:abstractNum>
  <w:abstractNum w:abstractNumId="287">
    <w:nsid w:val="449F66FE"/>
    <w:multiLevelType w:val="hybridMultilevel"/>
    <w:lvl w:ilvl="0">
      <w:lvlJc w:val="left"/>
      <w:lvlText w:val="(%1)"/>
      <w:numFmt w:val="lowerLetter"/>
      <w:start w:val="1"/>
    </w:lvl>
    <w:lvl w:ilvl="1">
      <w:lvlJc w:val="left"/>
      <w:lvlText w:val="(%2)"/>
      <w:numFmt w:val="lowerLetter"/>
      <w:start w:val="9"/>
    </w:lvl>
  </w:abstractNum>
  <w:abstractNum w:abstractNumId="288">
    <w:nsid w:val="557E0515"/>
    <w:multiLevelType w:val="hybridMultilevel"/>
    <w:lvl w:ilvl="0">
      <w:lvlJc w:val="left"/>
      <w:lvlText w:val="(%1)"/>
      <w:numFmt w:val="lowerRoman"/>
      <w:start w:val="2"/>
    </w:lvl>
    <w:lvl w:ilvl="1">
      <w:lvlJc w:val="left"/>
      <w:lvlText w:val="(%2)"/>
      <w:numFmt w:val="upperLetter"/>
      <w:start w:val="1"/>
    </w:lvl>
  </w:abstractNum>
  <w:abstractNum w:abstractNumId="289">
    <w:nsid w:val="3BA0794B"/>
    <w:multiLevelType w:val="hybridMultilevel"/>
    <w:lvl w:ilvl="0">
      <w:lvlJc w:val="left"/>
      <w:lvlText w:val="(%1)"/>
      <w:numFmt w:val="upperLetter"/>
      <w:start w:val="5"/>
    </w:lvl>
  </w:abstractNum>
  <w:abstractNum w:abstractNumId="290">
    <w:nsid w:val="6A0DCE48"/>
    <w:multiLevelType w:val="hybridMultilevel"/>
    <w:lvl w:ilvl="0">
      <w:lvlJc w:val="left"/>
      <w:lvlText w:val="(%1)"/>
      <w:numFmt w:val="lowerLetter"/>
      <w:start w:val="2"/>
    </w:lvl>
  </w:abstractNum>
  <w:abstractNum w:abstractNumId="291">
    <w:nsid w:val="7237AA96"/>
    <w:multiLevelType w:val="hybridMultilevel"/>
    <w:lvl w:ilvl="0">
      <w:lvlJc w:val="left"/>
      <w:lvlText w:val="(%1)"/>
      <w:numFmt w:val="lowerLetter"/>
      <w:start w:val="1"/>
    </w:lvl>
  </w:abstractNum>
  <w:abstractNum w:abstractNumId="292">
    <w:nsid w:val="5B1FBC2D"/>
    <w:multiLevelType w:val="hybridMultilevel"/>
    <w:lvl w:ilvl="0">
      <w:lvlJc w:val="left"/>
      <w:lvlText w:val="(%1)"/>
      <w:numFmt w:val="lowerLetter"/>
      <w:start w:val="4"/>
    </w:lvl>
  </w:abstractNum>
  <w:abstractNum w:abstractNumId="293">
    <w:nsid w:val="33DFCCE8"/>
    <w:multiLevelType w:val="hybridMultilevel"/>
    <w:lvl w:ilvl="0">
      <w:lvlJc w:val="left"/>
      <w:lvlText w:val="(%1)"/>
      <w:numFmt w:val="lowerLetter"/>
      <w:start w:val="1"/>
    </w:lvl>
  </w:abstractNum>
  <w:abstractNum w:abstractNumId="294">
    <w:nsid w:val="18C45E15"/>
    <w:multiLevelType w:val="hybridMultilevel"/>
    <w:lvl w:ilvl="0">
      <w:lvlJc w:val="left"/>
      <w:lvlText w:val="(%1)"/>
      <w:numFmt w:val="lowerLetter"/>
      <w:start w:val="1"/>
    </w:lvl>
    <w:lvl w:ilvl="1">
      <w:lvlJc w:val="left"/>
      <w:lvlText w:val="(%2)"/>
      <w:numFmt w:val="lowerRoman"/>
      <w:start w:val="1"/>
    </w:lvl>
  </w:abstractNum>
  <w:abstractNum w:abstractNumId="295">
    <w:nsid w:val="6B431F25"/>
    <w:multiLevelType w:val="hybridMultilevel"/>
    <w:lvl w:ilvl="0">
      <w:lvlJc w:val="left"/>
      <w:lvlText w:val="%1"/>
      <w:numFmt w:val="lowerLetter"/>
      <w:start w:val="1"/>
    </w:lvl>
    <w:lvl w:ilvl="1">
      <w:lvlJc w:val="left"/>
      <w:lvlText w:val="(%2)"/>
      <w:numFmt w:val="upperLetter"/>
      <w:start w:val="1"/>
    </w:lvl>
  </w:abstractNum>
  <w:abstractNum w:abstractNumId="296">
    <w:nsid w:val="13CD8DCB"/>
    <w:multiLevelType w:val="hybridMultilevel"/>
    <w:lvl w:ilvl="0">
      <w:lvlJc w:val="left"/>
      <w:lvlText w:val="(%1)"/>
      <w:numFmt w:val="lowerLetter"/>
      <w:start w:val="2"/>
    </w:lvl>
    <w:lvl w:ilvl="1">
      <w:lvlJc w:val="left"/>
      <w:lvlText w:val="%2"/>
      <w:numFmt w:val="upperLetter"/>
      <w:start w:val="1"/>
    </w:lvl>
  </w:abstractNum>
  <w:abstractNum w:abstractNumId="297">
    <w:nsid w:val="563A1A5C"/>
    <w:multiLevelType w:val="hybridMultilevel"/>
    <w:lvl w:ilvl="0">
      <w:lvlJc w:val="left"/>
      <w:lvlText w:val="(%1)"/>
      <w:numFmt w:val="lowerLetter"/>
      <w:start w:val="3"/>
    </w:lvl>
    <w:lvl w:ilvl="1">
      <w:lvlJc w:val="left"/>
      <w:lvlText w:val="(%2)"/>
      <w:numFmt w:val="lowerRoman"/>
      <w:start w:val="1"/>
    </w:lvl>
  </w:abstractNum>
  <w:abstractNum w:abstractNumId="298">
    <w:nsid w:val="2973F88F"/>
    <w:multiLevelType w:val="hybridMultilevel"/>
    <w:lvl w:ilvl="0">
      <w:lvlJc w:val="left"/>
      <w:lvlText w:val="%1"/>
      <w:numFmt w:val="lowerLetter"/>
      <w:start w:val="1"/>
    </w:lvl>
    <w:lvl w:ilvl="1">
      <w:lvlJc w:val="left"/>
      <w:lvlText w:val="(%2)"/>
      <w:numFmt w:val="lowerLetter"/>
      <w:start w:val="35"/>
    </w:lvl>
  </w:abstractNum>
  <w:abstractNum w:abstractNumId="299">
    <w:nsid w:val="2C70EDAE"/>
    <w:multiLevelType w:val="hybridMultilevel"/>
    <w:lvl w:ilvl="0">
      <w:lvlJc w:val="left"/>
      <w:lvlText w:val="(%1)"/>
      <w:numFmt w:val="lowerLetter"/>
      <w:start w:val="6"/>
    </w:lvl>
    <w:lvl w:ilvl="1">
      <w:lvlJc w:val="left"/>
      <w:lvlText w:val="%2"/>
      <w:numFmt w:val="lowerLetter"/>
      <w:start w:val="1"/>
    </w:lvl>
  </w:abstractNum>
  <w:abstractNum w:abstractNumId="300">
    <w:nsid w:val="44296C6D"/>
    <w:multiLevelType w:val="hybridMultilevel"/>
    <w:lvl w:ilvl="0">
      <w:lvlJc w:val="left"/>
      <w:lvlText w:val="(%1)"/>
      <w:numFmt w:val="lowerLetter"/>
      <w:start w:val="1"/>
    </w:lvl>
  </w:abstractNum>
  <w:abstractNum w:abstractNumId="301">
    <w:nsid w:val="3A86D445"/>
    <w:multiLevelType w:val="hybridMultilevel"/>
    <w:lvl w:ilvl="0">
      <w:lvlJc w:val="left"/>
      <w:lvlText w:val="(%1)"/>
      <w:numFmt w:val="lowerLetter"/>
      <w:start w:val="2"/>
    </w:lvl>
  </w:abstractNum>
  <w:abstractNum w:abstractNumId="302">
    <w:nsid w:val="51F79246"/>
    <w:multiLevelType w:val="hybridMultilevel"/>
    <w:lvl w:ilvl="0">
      <w:lvlJc w:val="left"/>
      <w:lvlText w:val="(%1)"/>
      <w:numFmt w:val="lowerLetter"/>
      <w:start w:val="1"/>
    </w:lvl>
  </w:abstractNum>
  <w:abstractNum w:abstractNumId="303">
    <w:nsid w:val="5BC9A827"/>
    <w:multiLevelType w:val="hybridMultilevel"/>
    <w:lvl w:ilvl="0">
      <w:lvlJc w:val="left"/>
      <w:lvlText w:val="(%1)"/>
      <w:numFmt w:val="lowerLetter"/>
      <w:start w:val="7"/>
    </w:lvl>
  </w:abstractNum>
  <w:abstractNum w:abstractNumId="304">
    <w:nsid w:val="3AE37D8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5">
    <w:nsid w:val="45440F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06">
    <w:nsid w:val="BF783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7">
    <w:nsid w:val="22643EA9"/>
    <w:multiLevelType w:val="hybridMultilevel"/>
    <w:lvl w:ilvl="0">
      <w:lvlJc w:val="left"/>
      <w:lvlText w:val="%1"/>
      <w:numFmt w:val="decimal"/>
      <w:start w:val="1"/>
    </w:lvl>
    <w:lvl w:ilvl="1">
      <w:lvlJc w:val="left"/>
      <w:lvlText w:val="(%2)"/>
      <w:numFmt w:val="lowerLetter"/>
      <w:start w:val="4"/>
    </w:lvl>
  </w:abstractNum>
  <w:abstractNum w:abstractNumId="308">
    <w:nsid w:val="1887578D"/>
    <w:multiLevelType w:val="hybridMultilevel"/>
    <w:lvl w:ilvl="0">
      <w:lvlJc w:val="left"/>
      <w:lvlText w:val="%1."/>
      <w:numFmt w:val="decimal"/>
      <w:start w:val="7"/>
    </w:lvl>
    <w:lvl w:ilvl="1">
      <w:lvlJc w:val="left"/>
      <w:lvlText w:val="(%2)"/>
      <w:numFmt w:val="lowerLetter"/>
      <w:start w:val="1"/>
    </w:lvl>
  </w:abstractNum>
  <w:abstractNum w:abstractNumId="309">
    <w:nsid w:val="58C05B8A"/>
    <w:multiLevelType w:val="hybridMultilevel"/>
    <w:lvl w:ilvl="0">
      <w:lvlJc w:val="left"/>
      <w:lvlText w:val="(%1)"/>
      <w:numFmt w:val="lowerLetter"/>
      <w:start w:val="2"/>
    </w:lvl>
  </w:abstractNum>
  <w:abstractNum w:abstractNumId="310">
    <w:nsid w:val="38D82E71"/>
    <w:multiLevelType w:val="hybridMultilevel"/>
    <w:lvl w:ilvl="0">
      <w:lvlJc w:val="left"/>
      <w:lvlText w:val="%1."/>
      <w:numFmt w:val="decimal"/>
      <w:start w:val="8"/>
    </w:lvl>
  </w:abstractNum>
  <w:abstractNum w:abstractNumId="311">
    <w:nsid w:val="1E4109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2">
    <w:nsid w:val="5398582C"/>
    <w:multiLevelType w:val="hybridMultilevel"/>
    <w:lvl w:ilvl="0">
      <w:lvlJc w:val="left"/>
      <w:lvlText w:val="%1."/>
      <w:numFmt w:val="decimal"/>
      <w:start w:val="2"/>
    </w:lvl>
    <w:lvl w:ilvl="1">
      <w:lvlJc w:val="left"/>
      <w:lvlText w:val="(%2)"/>
      <w:numFmt w:val="lowerLetter"/>
      <w:start w:val="1"/>
    </w:lvl>
  </w:abstractNum>
  <w:abstractNum w:abstractNumId="313">
    <w:nsid w:val="1C0D4475"/>
    <w:multiLevelType w:val="hybridMultilevel"/>
    <w:lvl w:ilvl="0">
      <w:lvlJc w:val="left"/>
      <w:lvlText w:val="(%1)"/>
      <w:numFmt w:val="lowerLetter"/>
      <w:start w:val="3"/>
    </w:lvl>
  </w:abstractNum>
  <w:abstractNum w:abstractNumId="314">
    <w:nsid w:val="2CB6A6A4"/>
    <w:multiLevelType w:val="hybridMultilevel"/>
    <w:lvl w:ilvl="0">
      <w:lvlJc w:val="left"/>
      <w:lvlText w:val="%1."/>
      <w:numFmt w:val="decimal"/>
      <w:start w:val="7"/>
    </w:lvl>
    <w:lvl w:ilvl="1">
      <w:lvlJc w:val="left"/>
      <w:lvlText w:val="(%2)"/>
      <w:numFmt w:val="lowerLetter"/>
      <w:start w:val="1"/>
    </w:lvl>
  </w:abstractNum>
  <w:abstractNum w:abstractNumId="315">
    <w:nsid w:val="41D646BC"/>
    <w:multiLevelType w:val="hybridMultilevel"/>
    <w:lvl w:ilvl="0">
      <w:lvlJc w:val="left"/>
      <w:lvlText w:val="%1."/>
      <w:numFmt w:val="decimal"/>
      <w:start w:val="8"/>
    </w:lvl>
  </w:abstractNum>
  <w:abstractNum w:abstractNumId="316">
    <w:nsid w:val="3694A76A"/>
    <w:multiLevelType w:val="hybridMultilevel"/>
    <w:lvl w:ilvl="0">
      <w:lvlJc w:val="left"/>
      <w:lvlText w:val="(%1)"/>
      <w:numFmt w:val="lowerRoman"/>
      <w:start w:val="1"/>
    </w:lvl>
  </w:abstractNum>
  <w:abstractNum w:abstractNumId="317">
    <w:nsid w:val="2BF876EE"/>
    <w:multiLevelType w:val="hybridMultilevel"/>
    <w:lvl w:ilvl="0">
      <w:lvlJc w:val="left"/>
      <w:lvlText w:val="(%1)"/>
      <w:numFmt w:val="lowerRoman"/>
      <w:start w:val="6"/>
    </w:lvl>
  </w:abstractNum>
  <w:abstractNum w:abstractNumId="318">
    <w:nsid w:val="675AD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9">
    <w:nsid w:val="C12AC7F"/>
    <w:multiLevelType w:val="hybridMultilevel"/>
    <w:lvl w:ilvl="0">
      <w:lvlJc w:val="left"/>
      <w:lvlText w:val="%1"/>
      <w:numFmt w:val="decimal"/>
      <w:start w:val="1"/>
    </w:lvl>
    <w:lvl w:ilvl="1">
      <w:lvlJc w:val="left"/>
      <w:lvlText w:val="(%2)"/>
      <w:numFmt w:val="lowerLetter"/>
      <w:start w:val="4"/>
    </w:lvl>
  </w:abstractNum>
  <w:abstractNum w:abstractNumId="320">
    <w:nsid w:val="6798F039"/>
    <w:multiLevelType w:val="hybridMultilevel"/>
    <w:lvl w:ilvl="0">
      <w:lvlJc w:val="left"/>
      <w:lvlText w:val="%1."/>
      <w:numFmt w:val="decimal"/>
      <w:start w:val="2"/>
    </w:lvl>
    <w:lvl w:ilvl="1">
      <w:lvlJc w:val="left"/>
      <w:lvlText w:val="(%2)"/>
      <w:numFmt w:val="lowerLetter"/>
      <w:start w:val="1"/>
    </w:lvl>
  </w:abstractNum>
  <w:abstractNum w:abstractNumId="321">
    <w:nsid w:val="70837C02"/>
    <w:multiLevelType w:val="hybridMultilevel"/>
    <w:lvl w:ilvl="0">
      <w:lvlJc w:val="left"/>
      <w:lvlText w:val="%1."/>
      <w:numFmt w:val="decimal"/>
      <w:start w:val="5"/>
    </w:lvl>
    <w:lvl w:ilvl="1">
      <w:lvlJc w:val="left"/>
      <w:lvlText w:val="(%2)"/>
      <w:numFmt w:val="lowerLetter"/>
      <w:start w:val="1"/>
    </w:lvl>
  </w:abstractNum>
  <w:abstractNum w:abstractNumId="322">
    <w:nsid w:val="7E4A5715"/>
    <w:multiLevelType w:val="hybridMultilevel"/>
    <w:lvl w:ilvl="0">
      <w:lvlJc w:val="left"/>
      <w:lvlText w:val="%1"/>
      <w:numFmt w:val="decimal"/>
      <w:start w:val="1"/>
    </w:lvl>
    <w:lvl w:ilvl="1">
      <w:lvlJc w:val="left"/>
      <w:lvlText w:val="(%2)"/>
      <w:numFmt w:val="lowerLetter"/>
      <w:start w:val="8"/>
    </w:lvl>
  </w:abstractNum>
  <w:abstractNum w:abstractNumId="323">
    <w:nsid w:val="42B8AC67"/>
    <w:multiLevelType w:val="hybridMultilevel"/>
    <w:lvl w:ilvl="0">
      <w:lvlJc w:val="left"/>
      <w:lvlText w:val="%1."/>
      <w:numFmt w:val="decimal"/>
      <w:start w:val="7"/>
    </w:lvl>
    <w:lvl w:ilvl="1">
      <w:lvlJc w:val="left"/>
      <w:lvlText w:val="(%2)"/>
      <w:numFmt w:val="lowerLetter"/>
      <w:start w:val="1"/>
    </w:lvl>
  </w:abstractNum>
  <w:abstractNum w:abstractNumId="324">
    <w:nsid w:val="246348EA"/>
    <w:multiLevelType w:val="hybridMultilevel"/>
    <w:lvl w:ilvl="0">
      <w:lvlJc w:val="left"/>
      <w:lvlText w:val="%1"/>
      <w:numFmt w:val="decimal"/>
      <w:start w:val="1"/>
    </w:lvl>
    <w:lvl w:ilvl="1">
      <w:lvlJc w:val="left"/>
      <w:lvlText w:val="(%2)"/>
      <w:numFmt w:val="lowerLetter"/>
      <w:start w:val="4"/>
    </w:lvl>
  </w:abstractNum>
  <w:abstractNum w:abstractNumId="325">
    <w:nsid w:val="170EB52B"/>
    <w:multiLevelType w:val="hybridMultilevel"/>
    <w:lvl w:ilvl="0">
      <w:lvlJc w:val="left"/>
      <w:lvlText w:val="%1."/>
      <w:numFmt w:val="decimal"/>
      <w:start w:val="8"/>
    </w:lvl>
    <w:lvl w:ilvl="1">
      <w:lvlJc w:val="left"/>
      <w:lvlText w:val="%2"/>
      <w:numFmt w:val="lowerLetter"/>
      <w:start w:val="1"/>
    </w:lvl>
  </w:abstractNum>
  <w:abstractNum w:abstractNumId="326">
    <w:nsid w:val="2DFBCB8C"/>
    <w:multiLevelType w:val="hybridMultilevel"/>
    <w:lvl w:ilvl="0">
      <w:lvlJc w:val="left"/>
      <w:lvlText w:val="(%1)"/>
      <w:numFmt w:val="lowerRoman"/>
      <w:start w:val="1"/>
    </w:lvl>
  </w:abstractNum>
  <w:abstractNum w:abstractNumId="327">
    <w:nsid w:val="3830D6B6"/>
    <w:multiLevelType w:val="hybridMultilevel"/>
    <w:lvl w:ilvl="0">
      <w:lvlJc w:val="left"/>
      <w:lvlText w:val="(%1)"/>
      <w:numFmt w:val="lowerRoman"/>
      <w:start w:val="6"/>
    </w:lvl>
  </w:abstractNum>
  <w:abstractNum w:abstractNumId="328">
    <w:nsid w:val="6D48CF87"/>
    <w:multiLevelType w:val="hybridMultilevel"/>
    <w:lvl w:ilvl="0">
      <w:lvlJc w:val="left"/>
      <w:lvlText w:val="%1."/>
      <w:numFmt w:val="decimal"/>
      <w:start w:val="1"/>
    </w:lvl>
    <w:lvl w:ilvl="1">
      <w:lvlJc w:val="left"/>
      <w:lvlText w:val="%2."/>
      <w:numFmt w:val="lowerLetter"/>
      <w:start w:val="1"/>
    </w:lvl>
  </w:abstractNum>
  <w:abstractNum w:abstractNumId="329">
    <w:nsid w:val="576FC41B"/>
    <w:multiLevelType w:val="hybridMultilevel"/>
    <w:lvl w:ilvl="0">
      <w:lvlJc w:val="left"/>
      <w:lvlText w:val="%1"/>
      <w:numFmt w:val="decimal"/>
      <w:start w:val="1"/>
    </w:lvl>
    <w:lvl w:ilvl="1">
      <w:lvlJc w:val="left"/>
      <w:lvlText w:val="%2."/>
      <w:numFmt w:val="lowerLetter"/>
      <w:start w:val="7"/>
    </w:lvl>
  </w:abstractNum>
  <w:abstractNum w:abstractNumId="330">
    <w:nsid w:val="64A1C464"/>
    <w:multiLevelType w:val="hybridMultilevel"/>
    <w:lvl w:ilvl="0">
      <w:lvlJc w:val="left"/>
      <w:lvlText w:val="%1."/>
      <w:numFmt w:val="decimal"/>
      <w:start w:val="5"/>
    </w:lvl>
    <w:lvl w:ilvl="1">
      <w:lvlJc w:val="left"/>
      <w:lvlText w:val="%2"/>
      <w:numFmt w:val="lowerLetter"/>
      <w:start w:val="1"/>
    </w:lvl>
  </w:abstractNum>
  <w:abstractNum w:abstractNumId="331">
    <w:nsid w:val="31723BF5"/>
    <w:multiLevelType w:val="hybridMultilevel"/>
    <w:lvl w:ilvl="0">
      <w:lvlJc w:val="left"/>
      <w:lvlText w:val="%1."/>
      <w:numFmt w:val="decimal"/>
      <w:start w:val="15"/>
    </w:lvl>
    <w:lvl w:ilvl="1">
      <w:lvlJc w:val="left"/>
      <w:lvlText w:val="%2."/>
      <w:numFmt w:val="lowerLetter"/>
      <w:start w:val="1"/>
    </w:lvl>
  </w:abstractNum>
  <w:abstractNum w:abstractNumId="332">
    <w:nsid w:val="11F69861"/>
    <w:multiLevelType w:val="hybridMultilevel"/>
    <w:lvl w:ilvl="0">
      <w:lvlJc w:val="left"/>
      <w:lvlText w:val="%1."/>
      <w:numFmt w:val="decimal"/>
      <w:start w:val="1"/>
    </w:lvl>
    <w:lvl w:ilvl="1">
      <w:lvlJc w:val="left"/>
      <w:lvlText w:val="%2."/>
      <w:numFmt w:val="lowerLetter"/>
      <w:start w:val="1"/>
    </w:lvl>
  </w:abstractNum>
  <w:abstractNum w:abstractNumId="333">
    <w:nsid w:val="369956AB"/>
    <w:multiLevelType w:val="hybridMultilevel"/>
    <w:lvl w:ilvl="0">
      <w:lvlJc w:val="left"/>
      <w:lvlText w:val="%1."/>
      <w:numFmt w:val="decimal"/>
      <w:start w:val="5"/>
    </w:lvl>
  </w:abstractNum>
  <w:abstractNum w:abstractNumId="334">
    <w:nsid w:val="D3BE41C"/>
    <w:multiLevelType w:val="hybridMultilevel"/>
    <w:lvl w:ilvl="0">
      <w:lvlJc w:val="left"/>
      <w:lvlText w:val="%1."/>
      <w:numFmt w:val="decimal"/>
      <w:start w:val="14"/>
    </w:lvl>
  </w:abstractNum>
  <w:abstractNum w:abstractNumId="335">
    <w:nsid w:val="4CDA15E7"/>
    <w:multiLevelType w:val="hybridMultilevel"/>
    <w:lvl w:ilvl="0">
      <w:lvlJc w:val="left"/>
      <w:lvlText w:val="[***]"/>
      <w:numFmt w:val="bullet"/>
      <w:start w:val="1"/>
    </w:lvl>
  </w:abstractNum>
  <w:abstractNum w:abstractNumId="336">
    <w:nsid w:val="7BDD6690"/>
    <w:multiLevelType w:val="hybridMultilevel"/>
    <w:lvl w:ilvl="0">
      <w:lvlJc w:val="left"/>
      <w:lvlText w:val="(%1)"/>
      <w:numFmt w:val="lowerLetter"/>
      <w:start w:val="1"/>
    </w:lvl>
  </w:abstractNum>
  <w:abstractNum w:abstractNumId="337">
    <w:nsid w:val="DFB5C5B"/>
    <w:multiLevelType w:val="hybridMultilevel"/>
    <w:lvl w:ilvl="0">
      <w:lvlJc w:val="left"/>
      <w:lvlText w:val="(%1)"/>
      <w:numFmt w:val="lowerLetter"/>
      <w:start w:val="2"/>
    </w:lvl>
  </w:abstractNum>
  <w:abstractNum w:abstractNumId="338">
    <w:nsid w:val="6F3E5490"/>
    <w:multiLevelType w:val="hybridMultilevel"/>
    <w:lvl w:ilvl="0">
      <w:lvlJc w:val="left"/>
      <w:lvlText w:val="(%1)"/>
      <w:numFmt w:val="lowerLetter"/>
      <w:start w:val="1"/>
    </w:lvl>
  </w:abstractNum>
  <w:abstractNum w:abstractNumId="339">
    <w:nsid w:val="1464BE1E"/>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340">
    <w:nsid w:val="66BBB7E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41">
    <w:nsid w:val="2816830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42">
    <w:nsid w:val="32A5C7A8"/>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43">
    <w:nsid w:val="3A541011"/>
    <w:multiLevelType w:val="hybridMultilevel"/>
    <w:lvl w:ilvl="0">
      <w:lvlJc w:val="left"/>
      <w:lvlText w:val="(%1)"/>
      <w:numFmt w:val="lowerLetter"/>
      <w:start w:val="1"/>
    </w:lvl>
  </w:abstractNum>
  <w:abstractNum w:abstractNumId="344">
    <w:nsid w:val="4423C777"/>
    <w:multiLevelType w:val="hybridMultilevel"/>
    <w:lvl w:ilvl="0">
      <w:lvlJc w:val="left"/>
      <w:lvlText w:val="(%1)"/>
      <w:numFmt w:val="lowerLetter"/>
      <w:start w:val="4"/>
    </w:lvl>
  </w:abstractNum>
  <w:abstractNum w:abstractNumId="345">
    <w:nsid w:val="5F5C6E4D"/>
    <w:multiLevelType w:val="hybridMultilevel"/>
    <w:lvl w:ilvl="0">
      <w:lvlJc w:val="left"/>
      <w:lvlText w:val="[***]"/>
      <w:numFmt w:val="bullet"/>
      <w:start w:val="1"/>
    </w:lvl>
  </w:abstractNum>
  <w:abstractNum w:abstractNumId="346">
    <w:nsid w:val="7C2A56CD"/>
    <w:multiLevelType w:val="hybridMultilevel"/>
    <w:lvl w:ilvl="0">
      <w:lvlJc w:val="left"/>
      <w:lvlText w:val="(%1)"/>
      <w:numFmt w:val="lowerLetter"/>
      <w:start w:val="1"/>
    </w:lvl>
  </w:abstractNum>
  <w:abstractNum w:abstractNumId="347">
    <w:nsid w:val="7AB86EE1"/>
    <w:multiLevelType w:val="hybridMultilevel"/>
    <w:lvl w:ilvl="0">
      <w:lvlJc w:val="left"/>
      <w:lvlText w:val="(%1)"/>
      <w:numFmt w:val="lowerLetter"/>
      <w:start w:val="1"/>
    </w:lvl>
  </w:abstractNum>
  <w:abstractNum w:abstractNumId="348">
    <w:nsid w:val="B54E53B"/>
    <w:multiLevelType w:val="hybridMultilevel"/>
    <w:lvl w:ilvl="0">
      <w:lvlJc w:val="left"/>
      <w:lvlText w:val="(%1)"/>
      <w:numFmt w:val="lowerLetter"/>
      <w:start w:val="1"/>
    </w:lvl>
  </w:abstractNum>
  <w:abstractNum w:abstractNumId="349">
    <w:nsid w:val="2A00487"/>
    <w:multiLevelType w:val="hybridMultilevel"/>
    <w:lvl w:ilvl="0">
      <w:lvlJc w:val="left"/>
      <w:lvlText w:val="(%1)"/>
      <w:numFmt w:val="lowerLetter"/>
      <w:start w:val="1"/>
    </w:lvl>
  </w:abstractNum>
  <w:abstractNum w:abstractNumId="350">
    <w:nsid w:val="6CB1B60"/>
    <w:multiLevelType w:val="hybridMultilevel"/>
    <w:lvl w:ilvl="0">
      <w:lvlJc w:val="left"/>
      <w:lvlText w:val="[***]"/>
      <w:numFmt w:val="bullet"/>
      <w:start w:val="1"/>
    </w:lvl>
  </w:abstractNum>
  <w:abstractNum w:abstractNumId="351">
    <w:nsid w:val="72EDD574"/>
    <w:multiLevelType w:val="hybridMultilevel"/>
    <w:lvl w:ilvl="0">
      <w:lvlJc w:val="left"/>
      <w:lvlText w:val="(%1)"/>
      <w:numFmt w:val="lowerRoman"/>
      <w:start w:val="1"/>
    </w:lvl>
  </w:abstractNum>
  <w:abstractNum w:abstractNumId="352">
    <w:nsid w:val="7323808A"/>
    <w:multiLevelType w:val="hybridMultilevel"/>
    <w:lvl w:ilvl="0">
      <w:lvlJc w:val="left"/>
      <w:lvlText w:val="(%1)"/>
      <w:numFmt w:val="lowerRoman"/>
      <w:start w:val="1"/>
    </w:lvl>
  </w:abstractNum>
  <w:abstractNum w:abstractNumId="353">
    <w:nsid w:val="5157276"/>
    <w:multiLevelType w:val="hybridMultilevel"/>
    <w:lvl w:ilvl="0">
      <w:lvlJc w:val="left"/>
      <w:lvlText w:val="(%1)"/>
      <w:numFmt w:val="lowerRoman"/>
      <w:start w:val="2"/>
    </w:lvl>
    <w:lvl w:ilvl="1">
      <w:lvlJc w:val="left"/>
      <w:lvlText w:val="%2."/>
      <w:numFmt w:val="upperLetter"/>
      <w:start w:val="1"/>
    </w:lvl>
  </w:abstractNum>
  <w:abstractNum w:abstractNumId="354">
    <w:nsid w:val="35A681DB"/>
    <w:multiLevelType w:val="hybridMultilevel"/>
    <w:lvl w:ilvl="0">
      <w:lvlJc w:val="left"/>
      <w:lvlText w:val="%1"/>
      <w:numFmt w:val="lowerRoman"/>
      <w:start w:val="1"/>
    </w:lvl>
    <w:lvl w:ilvl="1">
      <w:lvlJc w:val="left"/>
      <w:lvlText w:val="%2."/>
      <w:numFmt w:val="upperLetter"/>
      <w:start w:val="5"/>
    </w:lvl>
  </w:abstractNum>
  <w:abstractNum w:abstractNumId="355">
    <w:nsid w:val="1786C974"/>
    <w:multiLevelType w:val="hybridMultilevel"/>
    <w:lvl w:ilvl="0">
      <w:lvlJc w:val="left"/>
      <w:lvlText w:val="(%1)"/>
      <w:numFmt w:val="lowerRoman"/>
      <w:start w:val="3"/>
    </w:lvl>
    <w:lvl w:ilvl="1">
      <w:lvlJc w:val="left"/>
      <w:lvlText w:val="%2"/>
      <w:numFmt w:val="upperLetter"/>
      <w:start w:val="1"/>
    </w:lvl>
  </w:abstractNum>
  <w:abstractNum w:abstractNumId="356">
    <w:nsid w:val="1C2427A1"/>
    <w:multiLevelType w:val="hybridMultilevel"/>
    <w:lvl w:ilvl="0">
      <w:lvlJc w:val="left"/>
      <w:lvlText w:val="(%1)"/>
      <w:numFmt w:val="lowerRoman"/>
      <w:start w:val="6"/>
    </w:lvl>
  </w:abstractNum>
  <w:abstractNum w:abstractNumId="357">
    <w:nsid w:val="63A24D68"/>
    <w:multiLevelType w:val="hybridMultilevel"/>
    <w:lvl w:ilvl="0">
      <w:lvlJc w:val="left"/>
      <w:lvlText w:val="(%1)"/>
      <w:numFmt w:val="lowerRoman"/>
      <w:start w:val="1"/>
    </w:lvl>
  </w:abstractNum>
  <w:abstractNum w:abstractNumId="358">
    <w:nsid w:val="4FB7A02A"/>
    <w:multiLevelType w:val="hybridMultilevel"/>
    <w:lvl w:ilvl="0">
      <w:lvlJc w:val="left"/>
      <w:lvlText w:val="(%1)"/>
      <w:numFmt w:val="lowerRoman"/>
      <w:start w:val="1"/>
    </w:lvl>
  </w:abstractNum>
  <w:abstractNum w:abstractNumId="359">
    <w:nsid w:val="96CF728"/>
    <w:multiLevelType w:val="hybridMultilevel"/>
    <w:lvl w:ilvl="0">
      <w:lvlJc w:val="left"/>
      <w:lvlText w:val="(%1)"/>
      <w:numFmt w:val="lowerRoman"/>
      <w:start w:val="3"/>
    </w:lvl>
  </w:abstractNum>
  <w:abstractNum w:abstractNumId="360">
    <w:nsid w:val="3B121183"/>
    <w:multiLevelType w:val="hybridMultilevel"/>
    <w:lvl w:ilvl="0">
      <w:lvlJc w:val="left"/>
      <w:lvlText w:val="(%1)"/>
      <w:numFmt w:val="lowerRoman"/>
      <w:start w:val="1"/>
    </w:lvl>
  </w:abstractNum>
  <w:abstractNum w:abstractNumId="361">
    <w:nsid w:val="3459648F"/>
    <w:multiLevelType w:val="hybridMultilevel"/>
    <w:lvl w:ilvl="0">
      <w:lvlJc w:val="left"/>
      <w:lvlText w:val="(%1)"/>
      <w:numFmt w:val="lowerLetter"/>
      <w:start w:val="1"/>
    </w:lvl>
  </w:abstractNum>
  <w:abstractNum w:abstractNumId="362">
    <w:nsid w:val="3ADF331D"/>
    <w:multiLevelType w:val="hybridMultilevel"/>
    <w:lvl w:ilvl="0">
      <w:lvlJc w:val="left"/>
      <w:lvlText w:val="(%1)"/>
      <w:numFmt w:val="lowerLetter"/>
      <w:start w:val="1"/>
    </w:lvl>
  </w:abstractNum>
  <w:abstractNum w:abstractNumId="363">
    <w:nsid w:val="4D08A9E4"/>
    <w:multiLevelType w:val="hybridMultilevel"/>
    <w:lvl w:ilvl="0">
      <w:lvlJc w:val="left"/>
      <w:lvlText w:val="(%1)"/>
      <w:numFmt w:val="lowerLetter"/>
      <w:start w:val="2"/>
    </w:lvl>
  </w:abstractNum>
  <w:abstractNum w:abstractNumId="364">
    <w:nsid w:val="6AF2BB3A"/>
    <w:multiLevelType w:val="hybridMultilevel"/>
    <w:lvl w:ilvl="0">
      <w:lvlJc w:val="left"/>
      <w:lvlText w:val="(%1)"/>
      <w:numFmt w:val="lowerLetter"/>
      <w:start w:val="3"/>
    </w:lvl>
  </w:abstractNum>
  <w:abstractNum w:abstractNumId="365">
    <w:nsid w:val="481B1739"/>
    <w:multiLevelType w:val="hybridMultilevel"/>
    <w:lvl w:ilvl="0">
      <w:lvlJc w:val="left"/>
      <w:lvlText w:val="(%1)"/>
      <w:numFmt w:val="lowerLetter"/>
      <w:start w:val="4"/>
    </w:lvl>
  </w:abstractNum>
  <w:abstractNum w:abstractNumId="366">
    <w:nsid w:val="19E2BFCC"/>
    <w:multiLevelType w:val="hybridMultilevel"/>
    <w:lvl w:ilvl="0">
      <w:lvlJc w:val="left"/>
      <w:lvlText w:val="(%1)"/>
      <w:numFmt w:val="lowerLetter"/>
      <w:start w:val="1"/>
    </w:lvl>
  </w:abstractNum>
  <w:abstractNum w:abstractNumId="367">
    <w:nsid w:val="66D021CA"/>
    <w:multiLevelType w:val="hybridMultilevel"/>
    <w:lvl w:ilvl="0">
      <w:lvlJc w:val="left"/>
      <w:lvlText w:val="(%1)"/>
      <w:numFmt w:val="lowerLetter"/>
      <w:start w:val="1"/>
    </w:lvl>
  </w:abstractNum>
  <w:abstractNum w:abstractNumId="368">
    <w:nsid w:val="56167394"/>
    <w:multiLevelType w:val="hybridMultilevel"/>
    <w:lvl w:ilvl="0">
      <w:lvlJc w:val="left"/>
      <w:lvlText w:val="%1."/>
      <w:numFmt w:val="upperLetter"/>
      <w:start w:val="1"/>
    </w:lvl>
  </w:abstractNum>
  <w:abstractNum w:abstractNumId="369">
    <w:nsid w:val="921145C"/>
    <w:multiLevelType w:val="hybridMultilevel"/>
    <w:lvl w:ilvl="0">
      <w:lvlJc w:val="left"/>
      <w:lvlText w:val="%1."/>
      <w:numFmt w:val="upperLetter"/>
      <w:start w:val="3"/>
    </w:lvl>
  </w:abstractNum>
  <w:abstractNum w:abstractNumId="370">
    <w:nsid w:val="7B34DFE8"/>
    <w:multiLevelType w:val="hybridMultilevel"/>
    <w:lvl w:ilvl="0">
      <w:lvlJc w:val="left"/>
      <w:lvlText w:val="(%1)"/>
      <w:numFmt w:val="lowerLetter"/>
      <w:start w:val="3"/>
    </w:lvl>
  </w:abstractNum>
  <w:abstractNum w:abstractNumId="371">
    <w:nsid w:val="3CD22B79"/>
    <w:multiLevelType w:val="hybridMultilevel"/>
    <w:lvl w:ilvl="0">
      <w:lvlJc w:val="left"/>
      <w:lvlText w:val="(%1)"/>
      <w:numFmt w:val="lowerLetter"/>
      <w:start w:val="1"/>
    </w:lvl>
  </w:abstractNum>
  <w:abstractNum w:abstractNumId="372">
    <w:nsid w:val="3137975E"/>
    <w:multiLevelType w:val="hybridMultilevel"/>
    <w:lvl w:ilvl="0">
      <w:lvlJc w:val="left"/>
      <w:lvlText w:val="[***]"/>
      <w:numFmt w:val="bullet"/>
      <w:start w:val="1"/>
    </w:lvl>
  </w:abstractNum>
  <w:abstractNum w:abstractNumId="373">
    <w:nsid w:val="2DDAA791"/>
    <w:multiLevelType w:val="hybridMultilevel"/>
    <w:lvl w:ilvl="0">
      <w:lvlJc w:val="left"/>
      <w:lvlText w:val="%1."/>
      <w:numFmt w:val="decimal"/>
      <w:start w:val="1"/>
    </w:lvl>
  </w:abstractNum>
  <w:abstractNum w:abstractNumId="374">
    <w:nsid w:val="77263B8A"/>
    <w:multiLevelType w:val="hybridMultilevel"/>
    <w:lvl w:ilvl="0">
      <w:lvlJc w:val="left"/>
      <w:lvlText w:val="(%1)"/>
      <w:numFmt w:val="lowerLetter"/>
      <w:start w:val="1"/>
    </w:lvl>
  </w:abstractNum>
  <w:abstractNum w:abstractNumId="375">
    <w:nsid w:val="755B5ED6"/>
    <w:multiLevelType w:val="hybridMultilevel"/>
    <w:lvl w:ilvl="0">
      <w:lvlJc w:val="left"/>
      <w:lvlText w:val="(%1)"/>
      <w:numFmt w:val="lowerLetter"/>
      <w:start w:val="4"/>
    </w:lvl>
  </w:abstractNum>
  <w:abstractNum w:abstractNumId="376">
    <w:nsid w:val="D3715DE"/>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377">
    <w:nsid w:val="73509257"/>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378">
    <w:nsid w:val="7013CDB7"/>
    <w:multiLevelType w:val="hybridMultilevel"/>
    <w:lvl w:ilvl="0">
      <w:lvlJc w:val="left"/>
      <w:lvlText w:val="%1."/>
      <w:numFmt w:val="decimal"/>
      <w:start w:val="2"/>
    </w:lvl>
  </w:abstractNum>
  <w:abstractNum w:abstractNumId="379">
    <w:nsid w:val="188BFB19"/>
    <w:multiLevelType w:val="hybridMultilevel"/>
    <w:lvl w:ilvl="0">
      <w:lvlJc w:val="left"/>
      <w:lvlText w:val="%1."/>
      <w:numFmt w:val="decimal"/>
      <w:start w:val="1"/>
    </w:lvl>
  </w:abstractNum>
  <w:abstractNum w:abstractNumId="380">
    <w:nsid w:val="75F096DF"/>
    <w:multiLevelType w:val="hybridMultilevel"/>
    <w:lvl w:ilvl="0">
      <w:lvlJc w:val="left"/>
      <w:lvlText w:val="%1."/>
      <w:numFmt w:val="decimal"/>
      <w:start w:val="2"/>
    </w:lvl>
  </w:abstractNum>
  <w:abstractNum w:abstractNumId="381">
    <w:nsid w:val="76DEE918"/>
    <w:multiLevelType w:val="hybridMultilevel"/>
    <w:lvl w:ilvl="0">
      <w:lvlJc w:val="left"/>
      <w:lvlText w:val="%1."/>
      <w:numFmt w:val="decimal"/>
      <w:start w:val="5"/>
    </w:lvl>
  </w:abstractNum>
  <w:abstractNum w:abstractNumId="382">
    <w:nsid w:val="B79D08D"/>
    <w:multiLevelType w:val="hybridMultilevel"/>
    <w:lvl w:ilvl="0">
      <w:lvlJc w:val="left"/>
      <w:lvlText w:val="%1."/>
      <w:numFmt w:val="lowerLetter"/>
      <w:start w:val="1"/>
    </w:lvl>
  </w:abstractNum>
  <w:abstractNum w:abstractNumId="383">
    <w:nsid w:val="69141769"/>
    <w:multiLevelType w:val="hybridMultilevel"/>
    <w:lvl w:ilvl="0">
      <w:lvlJc w:val="left"/>
      <w:lvlText w:val="%1."/>
      <w:numFmt w:val="lowerLetter"/>
      <w:start w:val="2"/>
    </w:lvl>
  </w:abstractNum>
  <w:abstractNum w:abstractNumId="384">
    <w:nsid w:val="7BF45B8E"/>
    <w:multiLevelType w:val="hybridMultilevel"/>
    <w:lvl w:ilvl="0">
      <w:lvlJc w:val="left"/>
      <w:lvlText w:val="%1."/>
      <w:numFmt w:val="decimal"/>
      <w:start w:val="7"/>
    </w:lvl>
  </w:abstractNum>
  <w:abstractNum w:abstractNumId="385">
    <w:nsid w:val="41205269"/>
    <w:multiLevelType w:val="hybridMultilevel"/>
    <w:lvl w:ilvl="0">
      <w:lvlJc w:val="left"/>
      <w:lvlText w:val="%1."/>
      <w:numFmt w:val="decimal"/>
      <w:start w:val="9"/>
    </w:lvl>
  </w:abstractNum>
  <w:abstractNum w:abstractNumId="386">
    <w:nsid w:val="9AE0DD"/>
    <w:multiLevelType w:val="hybridMultilevel"/>
    <w:lvl w:ilvl="0">
      <w:lvlJc w:val="left"/>
      <w:lvlText w:val="%1."/>
      <w:numFmt w:val="decimal"/>
      <w:start w:val="12"/>
    </w:lvl>
  </w:abstractNum>
  <w:abstractNum w:abstractNumId="387">
    <w:nsid w:val="1818832F"/>
    <w:multiLevelType w:val="hybridMultilevel"/>
    <w:lvl w:ilvl="0">
      <w:lvlJc w:val="left"/>
      <w:lvlText w:val="%1."/>
      <w:numFmt w:val="decimal"/>
      <w:start w:val="16"/>
    </w:lvl>
  </w:abstractNum>
  <w:abstractNum w:abstractNumId="388">
    <w:nsid w:val="24C29FD1"/>
    <w:multiLevelType w:val="hybridMultilevel"/>
    <w:lvl w:ilvl="0">
      <w:lvlJc w:val="left"/>
      <w:lvlText w:val="[***]"/>
      <w:numFmt w:val="bullet"/>
      <w:start w:val="1"/>
    </w:lvl>
  </w:abstractNum>
  <w:abstractNum w:abstractNumId="389">
    <w:nsid w:val="50528108"/>
    <w:multiLevelType w:val="hybridMultilevel"/>
    <w:lvl w:ilvl="0">
      <w:lvlJc w:val="left"/>
      <w:lvlText w:val="(%1)"/>
      <w:numFmt w:val="lowerLetter"/>
      <w:start w:val="1"/>
    </w:lvl>
  </w:abstractNum>
  <w:abstractNum w:abstractNumId="390">
    <w:nsid w:val="21857A57"/>
    <w:multiLevelType w:val="hybridMultilevel"/>
    <w:lvl w:ilvl="0">
      <w:lvlJc w:val="left"/>
      <w:lvlText w:val="(%1)"/>
      <w:numFmt w:val="lowerLetter"/>
      <w:start w:val="1"/>
    </w:lvl>
  </w:abstractNum>
  <w:abstractNum w:abstractNumId="391">
    <w:nsid w:val="5FD4B154"/>
    <w:multiLevelType w:val="hybridMultilevel"/>
    <w:lvl w:ilvl="0">
      <w:lvlJc w:val="left"/>
      <w:lvlText w:val="(%1)"/>
      <w:numFmt w:val="lowerLetter"/>
      <w:start w:val="1"/>
    </w:lvl>
  </w:abstractNum>
  <w:abstractNum w:abstractNumId="392">
    <w:nsid w:val="4ABE597"/>
    <w:multiLevelType w:val="hybridMultilevel"/>
    <w:lvl w:ilvl="0">
      <w:lvlJc w:val="left"/>
      <w:lvlText w:val="(%1)"/>
      <w:numFmt w:val="lowerLetter"/>
      <w:start w:val="1"/>
    </w:lvl>
  </w:abstractNum>
  <w:abstractNum w:abstractNumId="393">
    <w:nsid w:val="5C64AD75"/>
    <w:multiLevelType w:val="hybridMultilevel"/>
    <w:lvl w:ilvl="0">
      <w:lvlJc w:val="left"/>
      <w:lvlText w:val="(%1)"/>
      <w:numFmt w:val="lowerLetter"/>
      <w:start w:val="4"/>
    </w:lvl>
  </w:abstractNum>
  <w:abstractNum w:abstractNumId="394">
    <w:nsid w:val="2CDD5B39"/>
    <w:multiLevelType w:val="hybridMultilevel"/>
    <w:lvl w:ilvl="0">
      <w:lvlJc w:val="left"/>
      <w:lvlText w:val="(%1)"/>
      <w:numFmt w:val="lowerLetter"/>
      <w:start w:val="1"/>
    </w:lvl>
  </w:abstractNum>
  <w:abstractNum w:abstractNumId="395">
    <w:nsid w:val="6F9EA0D1"/>
    <w:multiLevelType w:val="hybridMultilevel"/>
    <w:lvl w:ilvl="0">
      <w:lvlJc w:val="left"/>
      <w:lvlText w:val="(%1)"/>
      <w:numFmt w:val="lowerLetter"/>
      <w:start w:val="1"/>
    </w:lvl>
  </w:abstractNum>
  <w:abstractNum w:abstractNumId="396">
    <w:nsid w:val="247FC4AE"/>
    <w:multiLevelType w:val="hybridMultilevel"/>
    <w:lvl w:ilvl="0">
      <w:lvlJc w:val="left"/>
      <w:lvlText w:val="(%1)"/>
      <w:numFmt w:val="lowerLetter"/>
      <w:start w:val="1"/>
    </w:lvl>
  </w:abstractNum>
  <w:abstractNum w:abstractNumId="397">
    <w:nsid w:val="46C01B05"/>
    <w:multiLevelType w:val="hybridMultilevel"/>
    <w:lvl w:ilvl="0">
      <w:lvlJc w:val="left"/>
      <w:lvlText w:val="(%1)"/>
      <w:numFmt w:val="lowerLetter"/>
      <w:start w:val="1"/>
    </w:lvl>
  </w:abstractNum>
  <w:abstractNum w:abstractNumId="398">
    <w:nsid w:val="566EC29B"/>
    <w:multiLevelType w:val="hybridMultilevel"/>
    <w:lvl w:ilvl="0">
      <w:lvlJc w:val="left"/>
      <w:lvlText w:val="(%1)"/>
      <w:numFmt w:val="lowerLetter"/>
      <w:start w:val="2"/>
    </w:lvl>
    <w:lvl w:ilvl="1">
      <w:lvlJc w:val="left"/>
      <w:lvlText w:val="(%2)"/>
      <w:numFmt w:val="lowerRoman"/>
      <w:start w:val="1"/>
    </w:lvl>
  </w:abstractNum>
  <w:abstractNum w:abstractNumId="399">
    <w:nsid w:val="7A963843"/>
    <w:multiLevelType w:val="hybridMultilevel"/>
    <w:lvl w:ilvl="0">
      <w:lvlJc w:val="left"/>
      <w:lvlText w:val="(%1)"/>
      <w:numFmt w:val="lowerLetter"/>
      <w:start w:val="1"/>
    </w:lvl>
  </w:abstractNum>
  <w:abstractNum w:abstractNumId="400">
    <w:nsid w:val="4FE12F61"/>
    <w:multiLevelType w:val="hybridMultilevel"/>
    <w:lvl w:ilvl="0">
      <w:lvlJc w:val="left"/>
      <w:lvlText w:val="(%1)"/>
      <w:numFmt w:val="lowerLetter"/>
      <w:start w:val="2"/>
    </w:lvl>
  </w:abstractNum>
  <w:abstractNum w:abstractNumId="401">
    <w:nsid w:val="51A3A284"/>
    <w:multiLevelType w:val="hybridMultilevel"/>
    <w:lvl w:ilvl="0">
      <w:lvlJc w:val="left"/>
      <w:lvlText w:val="%1"/>
      <w:numFmt w:val="upperLetter"/>
      <w:start w:val="1"/>
    </w:lvl>
    <w:lvl w:ilvl="1">
      <w:lvlJc w:val="left"/>
      <w:lvlText w:val="(%2)"/>
      <w:numFmt w:val="lowerLetter"/>
      <w:start w:val="1"/>
    </w:lvl>
  </w:abstractNum>
  <w:abstractNum w:abstractNumId="402">
    <w:nsid w:val="376863BC"/>
    <w:multiLevelType w:val="hybridMultilevel"/>
    <w:lvl w:ilvl="0">
      <w:lvlJc w:val="left"/>
      <w:lvlText w:val="(%1)"/>
      <w:numFmt w:val="upperLetter"/>
      <w:start w:val="2"/>
    </w:lvl>
    <w:lvl w:ilvl="1">
      <w:lvlJc w:val="left"/>
      <w:lvlText w:val="%2"/>
      <w:numFmt w:val="lowerLetter"/>
      <w:start w:val="1"/>
    </w:lvl>
  </w:abstractNum>
  <w:abstractNum w:abstractNumId="403">
    <w:nsid w:val="118C6C0"/>
    <w:multiLevelType w:val="hybridMultilevel"/>
    <w:lvl w:ilvl="0">
      <w:lvlJc w:val="left"/>
      <w:lvlText w:val="(%1)"/>
      <w:numFmt w:val="lowerLetter"/>
      <w:start w:val="1"/>
    </w:lvl>
  </w:abstractNum>
  <w:abstractNum w:abstractNumId="404">
    <w:nsid w:val="7F7E4A15"/>
    <w:multiLevelType w:val="hybridMultilevel"/>
    <w:lvl w:ilvl="0">
      <w:lvlJc w:val="left"/>
      <w:lvlText w:val="(%1)"/>
      <w:numFmt w:val="lowerLetter"/>
      <w:start w:val="1"/>
    </w:lvl>
  </w:abstractNum>
  <w:abstractNum w:abstractNumId="405">
    <w:nsid w:val="2E8E9F47"/>
    <w:multiLevelType w:val="hybridMultilevel"/>
    <w:lvl w:ilvl="0">
      <w:lvlJc w:val="left"/>
      <w:lvlText w:val="(%1)"/>
      <w:numFmt w:val="lowerLetter"/>
      <w:start w:val="3"/>
    </w:lvl>
  </w:abstractNum>
  <w:abstractNum w:abstractNumId="406">
    <w:nsid w:val="76742596"/>
    <w:multiLevelType w:val="hybridMultilevel"/>
    <w:lvl w:ilvl="0">
      <w:lvlJc w:val="left"/>
      <w:lvlText w:val="(%1)"/>
      <w:numFmt w:val="lowerLetter"/>
      <w:start w:val="1"/>
    </w:lvl>
  </w:abstractNum>
  <w:abstractNum w:abstractNumId="407">
    <w:nsid w:val="CB55FF3"/>
    <w:multiLevelType w:val="hybridMultilevel"/>
    <w:lvl w:ilvl="0">
      <w:lvlJc w:val="left"/>
      <w:lvlText w:val="(%1)"/>
      <w:numFmt w:val="lowerLetter"/>
      <w:start w:val="3"/>
    </w:lvl>
  </w:abstractNum>
  <w:abstractNum w:abstractNumId="408">
    <w:nsid w:val="21DF319E"/>
    <w:multiLevelType w:val="hybridMultilevel"/>
    <w:lvl w:ilvl="0">
      <w:lvlJc w:val="left"/>
      <w:lvlText w:val="(%1)"/>
      <w:numFmt w:val="lowerLetter"/>
      <w:start w:val="1"/>
    </w:lvl>
  </w:abstractNum>
  <w:abstractNum w:abstractNumId="409">
    <w:nsid w:val="6687F34D"/>
    <w:multiLevelType w:val="hybridMultilevel"/>
    <w:lvl w:ilvl="0">
      <w:lvlJc w:val="left"/>
      <w:lvlText w:val="(%1)"/>
      <w:numFmt w:val="lowerLetter"/>
      <w:start w:val="3"/>
    </w:lvl>
  </w:abstractNum>
  <w:abstractNum w:abstractNumId="410">
    <w:nsid w:val="25415B0C"/>
    <w:multiLevelType w:val="hybridMultilevel"/>
    <w:lvl w:ilvl="0">
      <w:lvlJc w:val="left"/>
      <w:lvlText w:val="(%1)"/>
      <w:numFmt w:val="lowerLetter"/>
      <w:start w:val="2"/>
    </w:lvl>
  </w:abstractNum>
  <w:abstractNum w:abstractNumId="411">
    <w:nsid w:val="17CFC87D"/>
    <w:multiLevelType w:val="hybridMultilevel"/>
    <w:lvl w:ilvl="0">
      <w:lvlJc w:val="left"/>
      <w:lvlText w:val="(%1)"/>
      <w:numFmt w:val="lowerLetter"/>
      <w:start w:val="1"/>
    </w:lvl>
  </w:abstractNum>
  <w:abstractNum w:abstractNumId="412">
    <w:nsid w:val="5D66DC65"/>
    <w:multiLevelType w:val="hybridMultilevel"/>
    <w:lvl w:ilvl="0">
      <w:lvlJc w:val="left"/>
      <w:lvlText w:val="(%1)"/>
      <w:numFmt w:val="lowerLetter"/>
      <w:start w:val="1"/>
    </w:lvl>
  </w:abstractNum>
  <w:abstractNum w:abstractNumId="413">
    <w:nsid w:val="30BB2B99"/>
    <w:multiLevelType w:val="hybridMultilevel"/>
    <w:lvl w:ilvl="0">
      <w:lvlJc w:val="left"/>
      <w:lvlText w:val="(%1)"/>
      <w:numFmt w:val="lowerLetter"/>
      <w:start w:val="3"/>
    </w:lvl>
  </w:abstractNum>
  <w:abstractNum w:abstractNumId="414">
    <w:nsid w:val="E3DFE6"/>
    <w:multiLevelType w:val="hybridMultilevel"/>
    <w:lvl w:ilvl="0">
      <w:lvlJc w:val="left"/>
      <w:lvlText w:val="(%1)"/>
      <w:numFmt w:val="lowerLetter"/>
      <w:start w:val="1"/>
    </w:lvl>
  </w:abstractNum>
  <w:abstractNum w:abstractNumId="415">
    <w:nsid w:val="595B37F3"/>
    <w:multiLevelType w:val="hybridMultilevel"/>
    <w:lvl w:ilvl="0">
      <w:lvlJc w:val="left"/>
      <w:lvlText w:val="[***]"/>
      <w:numFmt w:val="bullet"/>
      <w:start w:val="1"/>
    </w:lvl>
  </w:abstractNum>
  <w:abstractNum w:abstractNumId="416">
    <w:nsid w:val="71DB7E02"/>
    <w:multiLevelType w:val="hybridMultilevel"/>
    <w:lvl w:ilvl="0">
      <w:lvlJc w:val="left"/>
      <w:lvlText w:val="%1."/>
      <w:numFmt w:val="decimal"/>
      <w:start w:val="1"/>
    </w:lvl>
  </w:abstractNum>
  <w:abstractNum w:abstractNumId="417">
    <w:nsid w:val="17EC0C4"/>
    <w:multiLevelType w:val="hybridMultilevel"/>
    <w:lvl w:ilvl="0">
      <w:lvlJc w:val="left"/>
      <w:lvlText w:val="(%1)"/>
      <w:numFmt w:val="lowerRoman"/>
      <w:start w:val="1"/>
    </w:lvl>
  </w:abstractNum>
  <w:abstractNum w:abstractNumId="418">
    <w:nsid w:val="7173BB22"/>
    <w:multiLevelType w:val="hybridMultilevel"/>
    <w:lvl w:ilvl="0">
      <w:lvlJc w:val="left"/>
      <w:lvlText w:val="(%1)"/>
      <w:numFmt w:val="lowerLetter"/>
      <w:start w:val="1"/>
    </w:lvl>
  </w:abstractNum>
  <w:abstractNum w:abstractNumId="419">
    <w:nsid w:val="169E1DD3"/>
    <w:multiLevelType w:val="hybridMultilevel"/>
    <w:lvl w:ilvl="0">
      <w:lvlJc w:val="left"/>
      <w:lvlText w:val="(%1)"/>
      <w:numFmt w:val="lowerLetter"/>
      <w:start w:val="2"/>
    </w:lvl>
  </w:abstractNum>
  <w:abstractNum w:abstractNumId="420">
    <w:nsid w:val="51D141CC"/>
    <w:multiLevelType w:val="hybridMultilevel"/>
    <w:lvl w:ilvl="0">
      <w:lvlJc w:val="left"/>
      <w:lvlText w:val="(%1)"/>
      <w:numFmt w:val="lowerLetter"/>
      <w:start w:val="4"/>
    </w:lvl>
  </w:abstractNum>
  <w:abstractNum w:abstractNumId="421">
    <w:nsid w:val="12F9357A"/>
    <w:multiLevelType w:val="hybridMultilevel"/>
    <w:lvl w:ilvl="0">
      <w:lvlJc w:val="left"/>
      <w:lvlText w:val="(%1)"/>
      <w:numFmt w:val="lowerLetter"/>
      <w:start w:val="2"/>
    </w:lvl>
  </w:abstractNum>
  <w:abstractNum w:abstractNumId="422">
    <w:nsid w:val="7672CF28"/>
    <w:multiLevelType w:val="hybridMultilevel"/>
    <w:lvl w:ilvl="0">
      <w:lvlJc w:val="left"/>
      <w:lvlText w:val="%1."/>
      <w:numFmt w:val="decimal"/>
      <w:start w:val="2"/>
    </w:lvl>
  </w:abstractNum>
  <w:abstractNum w:abstractNumId="423">
    <w:nsid w:val="567D2763"/>
    <w:multiLevelType w:val="hybridMultilevel"/>
    <w:lvl w:ilvl="0">
      <w:lvlJc w:val="left"/>
      <w:lvlText w:val="%1."/>
      <w:numFmt w:val="decimal"/>
      <w:start w:val="3"/>
    </w:lvl>
  </w:abstractNum>
  <w:abstractNum w:abstractNumId="424">
    <w:nsid w:val="6F5DE2EF"/>
    <w:multiLevelType w:val="hybridMultilevel"/>
    <w:lvl w:ilvl="0">
      <w:lvlJc w:val="left"/>
      <w:lvlText w:val="[***]"/>
      <w:numFmt w:val="bullet"/>
      <w:start w:val="1"/>
    </w:lvl>
  </w:abstractNum>
  <w:abstractNum w:abstractNumId="425">
    <w:nsid w:val="23502A61"/>
    <w:multiLevelType w:val="hybridMultilevel"/>
    <w:lvl w:ilvl="0">
      <w:lvlJc w:val="left"/>
      <w:lvlText w:val="(%1)"/>
      <w:numFmt w:val="lowerLetter"/>
      <w:start w:val="1"/>
    </w:lvl>
  </w:abstractNum>
  <w:abstractNum w:abstractNumId="426">
    <w:nsid w:val="461BC834"/>
    <w:multiLevelType w:val="hybridMultilevel"/>
    <w:lvl w:ilvl="0">
      <w:lvlJc w:val="left"/>
      <w:lvlText w:val="(%1)"/>
      <w:numFmt w:val="lowerLetter"/>
      <w:start w:val="1"/>
    </w:lvl>
  </w:abstractNum>
  <w:abstractNum w:abstractNumId="427">
    <w:nsid w:val="13DDA79D"/>
    <w:multiLevelType w:val="hybridMultilevel"/>
    <w:lvl w:ilvl="0">
      <w:lvlJc w:val="left"/>
      <w:lvlText w:val="(%1)"/>
      <w:numFmt w:val="lowerLetter"/>
      <w:start w:val="1"/>
    </w:lvl>
  </w:abstractNum>
  <w:abstractNum w:abstractNumId="428">
    <w:nsid w:val="6A104566"/>
    <w:multiLevelType w:val="hybridMultilevel"/>
    <w:lvl w:ilvl="0">
      <w:lvlJc w:val="left"/>
      <w:lvlText w:val="(%1)"/>
      <w:numFmt w:val="lowerLetter"/>
      <w:start w:val="3"/>
    </w:lvl>
  </w:abstractNum>
  <w:abstractNum w:abstractNumId="429">
    <w:nsid w:val="1C8A8ACF"/>
    <w:multiLevelType w:val="hybridMultilevel"/>
    <w:lvl w:ilvl="0">
      <w:lvlJc w:val="left"/>
      <w:lvlText w:val="(%1)"/>
      <w:numFmt w:val="lowerLetter"/>
      <w:start w:val="1"/>
    </w:lvl>
  </w:abstractNum>
  <w:abstractNum w:abstractNumId="430">
    <w:nsid w:val="E73DFE0"/>
    <w:multiLevelType w:val="hybridMultilevel"/>
    <w:lvl w:ilvl="0">
      <w:lvlJc w:val="left"/>
      <w:lvlText w:val="(%1)"/>
      <w:numFmt w:val="lowerLetter"/>
      <w:start w:val="2"/>
    </w:lvl>
    <w:lvl w:ilvl="1">
      <w:lvlJc w:val="left"/>
      <w:lvlText w:val="(%2)"/>
      <w:numFmt w:val="lowerRoman"/>
      <w:start w:val="1"/>
    </w:lvl>
  </w:abstractNum>
  <w:abstractNum w:abstractNumId="431">
    <w:nsid w:val="39F174C7"/>
    <w:multiLevelType w:val="hybridMultilevel"/>
    <w:lvl w:ilvl="0">
      <w:lvlJc w:val="left"/>
      <w:lvlText w:val="(%1)"/>
      <w:numFmt w:val="lowerLetter"/>
      <w:start w:val="1"/>
    </w:lvl>
  </w:abstractNum>
  <w:abstractNum w:abstractNumId="432">
    <w:nsid w:val="6E2E2D53"/>
    <w:multiLevelType w:val="hybridMultilevel"/>
    <w:lvl w:ilvl="0">
      <w:lvlJc w:val="left"/>
      <w:lvlText w:val="(%1)"/>
      <w:numFmt w:val="lowerLetter"/>
      <w:start w:val="1"/>
    </w:lvl>
  </w:abstractNum>
  <w:abstractNum w:abstractNumId="433">
    <w:nsid w:val="45DC439D"/>
    <w:multiLevelType w:val="hybridMultilevel"/>
    <w:lvl w:ilvl="0">
      <w:lvlJc w:val="left"/>
      <w:lvlText w:val="(%1)"/>
      <w:numFmt w:val="lowerLetter"/>
      <w:start w:val="2"/>
    </w:lvl>
    <w:lvl w:ilvl="1">
      <w:lvlJc w:val="left"/>
      <w:lvlText w:val="(%2)"/>
      <w:numFmt w:val="lowerRoman"/>
      <w:start w:val="1"/>
    </w:lvl>
  </w:abstractNum>
  <w:abstractNum w:abstractNumId="434">
    <w:nsid w:val="3B0A3B87"/>
    <w:multiLevelType w:val="hybridMultilevel"/>
    <w:lvl w:ilvl="0">
      <w:lvlJc w:val="left"/>
      <w:lvlText w:val="(%1)"/>
      <w:numFmt w:val="lowerLetter"/>
      <w:start w:val="1"/>
    </w:lvl>
  </w:abstractNum>
  <w:abstractNum w:abstractNumId="435">
    <w:nsid w:val="6DAC7768"/>
    <w:multiLevelType w:val="hybridMultilevel"/>
    <w:lvl w:ilvl="0">
      <w:lvlJc w:val="left"/>
      <w:lvlText w:val="(%1)"/>
      <w:numFmt w:val="lowerRoman"/>
      <w:start w:val="1"/>
    </w:lvl>
  </w:abstractNum>
  <w:abstractNum w:abstractNumId="436">
    <w:nsid w:val="746AE2E4"/>
    <w:multiLevelType w:val="hybridMultilevel"/>
    <w:lvl w:ilvl="0">
      <w:lvlJc w:val="left"/>
      <w:lvlText w:val="(%1)"/>
      <w:numFmt w:val="lowerRoman"/>
      <w:start w:val="2"/>
    </w:lvl>
  </w:abstractNum>
  <w:abstractNum w:abstractNumId="437">
    <w:nsid w:val="317E611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38">
    <w:nsid w:val="7A61D75B"/>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439">
    <w:nsid w:val="164A1482"/>
    <w:multiLevelType w:val="hybridMultilevel"/>
    <w:lvl w:ilvl="0">
      <w:lvlJc w:val="left"/>
      <w:lvlText w:val="(%1)"/>
      <w:numFmt w:val="lowerLetter"/>
      <w:start w:val="1"/>
    </w:lvl>
    <w:lvl w:ilvl="1">
      <w:lvlJc w:val="left"/>
      <w:lvlText w:val="(%2)"/>
      <w:numFmt w:val="lowerLetter"/>
      <w:start w:val="9"/>
    </w:lvl>
  </w:abstractNum>
  <w:abstractNum w:abstractNumId="440">
    <w:nsid w:val="1806546B"/>
    <w:multiLevelType w:val="hybridMultilevel"/>
    <w:lvl w:ilvl="0">
      <w:lvlJc w:val="left"/>
      <w:lvlText w:val="%1"/>
      <w:numFmt w:val="lowerLetter"/>
      <w:start w:val="1"/>
    </w:lvl>
    <w:lvl w:ilvl="1">
      <w:lvlJc w:val="left"/>
      <w:lvlText w:val="(%2)"/>
      <w:numFmt w:val="lowerRoman"/>
      <w:start w:val="2"/>
    </w:lvl>
  </w:abstractNum>
  <w:abstractNum w:abstractNumId="441">
    <w:nsid w:val="1FA33267"/>
    <w:multiLevelType w:val="hybridMultilevel"/>
    <w:lvl w:ilvl="0">
      <w:lvlJc w:val="left"/>
      <w:lvlText w:val="(%1)"/>
      <w:numFmt w:val="lowerLetter"/>
      <w:start w:val="2"/>
    </w:lvl>
    <w:lvl w:ilvl="1">
      <w:lvlJc w:val="left"/>
      <w:lvlText w:val="%2"/>
      <w:numFmt w:val="lowerRoman"/>
      <w:start w:val="1"/>
    </w:lvl>
  </w:abstractNum>
  <w:abstractNum w:abstractNumId="442">
    <w:nsid w:val="2E19DD00"/>
    <w:multiLevelType w:val="hybridMultilevel"/>
    <w:lvl w:ilvl="0">
      <w:lvlJc w:val="left"/>
      <w:lvlText w:val="(%1)"/>
      <w:numFmt w:val="lowerRoman"/>
      <w:start w:val="1"/>
    </w:lvl>
  </w:abstractNum>
  <w:abstractNum w:abstractNumId="443">
    <w:nsid w:val="756D30D0"/>
    <w:multiLevelType w:val="hybridMultilevel"/>
    <w:lvl w:ilvl="0">
      <w:lvlJc w:val="left"/>
      <w:lvlText w:val="(%1)"/>
      <w:numFmt w:val="lowerRoman"/>
      <w:start w:val="2"/>
    </w:lvl>
  </w:abstractNum>
  <w:abstractNum w:abstractNumId="444">
    <w:nsid w:val="505E5E01"/>
    <w:multiLevelType w:val="hybridMultilevel"/>
    <w:lvl w:ilvl="0">
      <w:lvlJc w:val="left"/>
      <w:lvlText w:val="(%1)"/>
      <w:numFmt w:val="lowerLetter"/>
      <w:start w:val="1"/>
    </w:lvl>
  </w:abstractNum>
  <w:abstractNum w:abstractNumId="445">
    <w:nsid w:val="2EFDBCE6"/>
    <w:multiLevelType w:val="hybridMultilevel"/>
    <w:lvl w:ilvl="0">
      <w:lvlJc w:val="left"/>
      <w:lvlText w:val="(%1)"/>
      <w:numFmt w:val="lowerLetter"/>
      <w:start w:val="2"/>
    </w:lvl>
  </w:abstractNum>
  <w:abstractNum w:abstractNumId="446">
    <w:nsid w:val="4EC868C4"/>
    <w:multiLevelType w:val="hybridMultilevel"/>
    <w:lvl w:ilvl="0">
      <w:lvlJc w:val="left"/>
      <w:lvlText w:val="(%1)"/>
      <w:numFmt w:val="lowerLetter"/>
      <w:start w:val="1"/>
    </w:lvl>
  </w:abstractNum>
  <w:abstractNum w:abstractNumId="447">
    <w:nsid w:val="4239DC03"/>
    <w:multiLevelType w:val="hybridMultilevel"/>
    <w:lvl w:ilvl="0">
      <w:lvlJc w:val="left"/>
      <w:lvlText w:val="(%1)"/>
      <w:numFmt w:val="lowerLetter"/>
      <w:start w:val="1"/>
    </w:lvl>
  </w:abstractNum>
  <w:abstractNum w:abstractNumId="448">
    <w:nsid w:val="307C7DAA"/>
    <w:multiLevelType w:val="hybridMultilevel"/>
    <w:lvl w:ilvl="0">
      <w:lvlJc w:val="left"/>
      <w:lvlText w:val="(%1)"/>
      <w:numFmt w:val="lowerLetter"/>
      <w:start w:val="1"/>
    </w:lvl>
  </w:abstractNum>
  <w:abstractNum w:abstractNumId="449">
    <w:nsid w:val="403C23E6"/>
    <w:multiLevelType w:val="hybridMultilevel"/>
    <w:lvl w:ilvl="0">
      <w:lvlJc w:val="left"/>
      <w:lvlText w:val="(%1)"/>
      <w:numFmt w:val="lowerLetter"/>
      <w:start w:val="1"/>
    </w:lvl>
  </w:abstractNum>
  <w:abstractNum w:abstractNumId="450">
    <w:nsid w:val="58D7F9D7"/>
    <w:multiLevelType w:val="hybridMultilevel"/>
    <w:lvl w:ilvl="0">
      <w:lvlJc w:val="left"/>
      <w:lvlText w:val="(%1)"/>
      <w:numFmt w:val="lowerLetter"/>
      <w:start w:val="3"/>
    </w:lvl>
  </w:abstractNum>
  <w:abstractNum w:abstractNumId="451">
    <w:nsid w:val="24DBF76"/>
    <w:multiLevelType w:val="hybridMultilevel"/>
    <w:lvl w:ilvl="0">
      <w:lvlJc w:val="left"/>
      <w:lvlText w:val="(%1)"/>
      <w:numFmt w:val="lowerLetter"/>
      <w:start w:val="1"/>
    </w:lvl>
  </w:abstractNum>
  <w:abstractNum w:abstractNumId="452">
    <w:nsid w:val="53355960"/>
    <w:multiLevelType w:val="hybridMultilevel"/>
    <w:lvl w:ilvl="0">
      <w:lvlJc w:val="left"/>
      <w:lvlText w:val="(%1)"/>
      <w:numFmt w:val="lowerLetter"/>
      <w:start w:val="2"/>
    </w:lvl>
  </w:abstractNum>
  <w:abstractNum w:abstractNumId="453">
    <w:nsid w:val="4F4AC8FF"/>
    <w:multiLevelType w:val="hybridMultilevel"/>
    <w:lvl w:ilvl="0">
      <w:lvlJc w:val="left"/>
      <w:lvlText w:val="(%1)"/>
      <w:numFmt w:val="lowerLetter"/>
      <w:start w:val="1"/>
    </w:lvl>
  </w:abstractNum>
  <w:abstractNum w:abstractNumId="454">
    <w:nsid w:val="58CAE6D9"/>
    <w:multiLevelType w:val="hybridMultilevel"/>
    <w:lvl w:ilvl="0">
      <w:lvlJc w:val="left"/>
      <w:lvlText w:val="(%1)"/>
      <w:numFmt w:val="lowerLetter"/>
      <w:start w:val="1"/>
    </w:lvl>
  </w:abstractNum>
  <w:abstractNum w:abstractNumId="455">
    <w:nsid w:val="42933C4F"/>
    <w:multiLevelType w:val="hybridMultilevel"/>
    <w:lvl w:ilvl="0">
      <w:lvlJc w:val="left"/>
      <w:lvlText w:val="(%1)"/>
      <w:numFmt w:val="lowerLetter"/>
      <w:start w:val="3"/>
    </w:lvl>
  </w:abstractNum>
  <w:abstractNum w:abstractNumId="456">
    <w:nsid w:val="729AF360"/>
    <w:multiLevelType w:val="hybridMultilevel"/>
    <w:lvl w:ilvl="0">
      <w:lvlJc w:val="left"/>
      <w:lvlText w:val="(%1)"/>
      <w:numFmt w:val="lowerLetter"/>
      <w:start w:val="1"/>
    </w:lvl>
  </w:abstractNum>
  <w:abstractNum w:abstractNumId="457">
    <w:nsid w:val="1EE6AF0D"/>
    <w:multiLevelType w:val="hybridMultilevel"/>
    <w:lvl w:ilvl="0">
      <w:lvlJc w:val="left"/>
      <w:lvlText w:val="(%1)"/>
      <w:numFmt w:val="lowerLetter"/>
      <w:start w:val="2"/>
    </w:lvl>
  </w:abstractNum>
  <w:abstractNum w:abstractNumId="458">
    <w:nsid w:val="5670E3ED"/>
    <w:multiLevelType w:val="hybridMultilevel"/>
    <w:lvl w:ilvl="0">
      <w:lvlJc w:val="left"/>
      <w:lvlText w:val="(%1)"/>
      <w:numFmt w:val="lowerLetter"/>
      <w:start w:val="1"/>
    </w:lvl>
  </w:abstractNum>
  <w:abstractNum w:abstractNumId="459">
    <w:nsid w:val="5CAB38C6"/>
    <w:multiLevelType w:val="hybridMultilevel"/>
    <w:lvl w:ilvl="0">
      <w:lvlJc w:val="left"/>
      <w:lvlText w:val="(%1)"/>
      <w:numFmt w:val="lowerLetter"/>
      <w:start w:val="1"/>
    </w:lvl>
  </w:abstractNum>
  <w:abstractNum w:abstractNumId="460">
    <w:nsid w:val="3B7139DD"/>
    <w:multiLevelType w:val="hybridMultilevel"/>
    <w:lvl w:ilvl="0">
      <w:lvlJc w:val="left"/>
      <w:lvlText w:val="(%1)"/>
      <w:numFmt w:val="lowerLetter"/>
      <w:start w:val="3"/>
    </w:lvl>
  </w:abstractNum>
  <w:abstractNum w:abstractNumId="461">
    <w:nsid w:val="64E4C3CD"/>
    <w:multiLevelType w:val="hybridMultilevel"/>
    <w:lvl w:ilvl="0">
      <w:lvlJc w:val="left"/>
      <w:lvlText w:val="[***]"/>
      <w:numFmt w:val="bullet"/>
      <w:start w:val="1"/>
    </w:lvl>
  </w:abstractNum>
  <w:abstractNum w:abstractNumId="462">
    <w:nsid w:val="169CAD8D"/>
    <w:multiLevelType w:val="hybridMultilevel"/>
    <w:lvl w:ilvl="0">
      <w:lvlJc w:val="left"/>
      <w:lvlText w:val="%1."/>
      <w:numFmt w:val="decimal"/>
      <w:start w:val="1"/>
    </w:lvl>
  </w:abstractNum>
  <w:abstractNum w:abstractNumId="463">
    <w:nsid w:val="299F6730"/>
    <w:multiLevelType w:val="hybridMultilevel"/>
    <w:lvl w:ilvl="0">
      <w:lvlJc w:val="left"/>
      <w:lvlText w:val="(%1)"/>
      <w:numFmt w:val="lowerLetter"/>
      <w:start w:val="1"/>
    </w:lvl>
  </w:abstractNum>
  <w:abstractNum w:abstractNumId="464">
    <w:nsid w:val="2AC1076A"/>
    <w:multiLevelType w:val="hybridMultilevel"/>
    <w:lvl w:ilvl="0">
      <w:lvlJc w:val="left"/>
      <w:lvlText w:val="(%1)"/>
      <w:numFmt w:val="lowerLetter"/>
      <w:start w:val="2"/>
    </w:lvl>
  </w:abstractNum>
  <w:abstractNum w:abstractNumId="465">
    <w:nsid w:val="51A6E915"/>
    <w:multiLevelType w:val="hybridMultilevel"/>
    <w:lvl w:ilvl="0">
      <w:lvlJc w:val="left"/>
      <w:lvlText w:val="(%1)"/>
      <w:numFmt w:val="lowerLetter"/>
      <w:start w:val="5"/>
    </w:lvl>
  </w:abstractNum>
  <w:abstractNum w:abstractNumId="466">
    <w:nsid w:val="174BDE99"/>
    <w:multiLevelType w:val="hybridMultilevel"/>
    <w:lvl w:ilvl="0">
      <w:lvlJc w:val="left"/>
      <w:lvlText w:val="(%1)"/>
      <w:numFmt w:val="lowerLetter"/>
      <w:start w:val="6"/>
    </w:lvl>
  </w:abstractNum>
  <w:abstractNum w:abstractNumId="467">
    <w:nsid w:val="1F2BEA4E"/>
    <w:multiLevelType w:val="hybridMultilevel"/>
    <w:lvl w:ilvl="0">
      <w:lvlJc w:val="left"/>
      <w:lvlText w:val="(%1)"/>
      <w:numFmt w:val="lowerLetter"/>
      <w:start w:val="1"/>
    </w:lvl>
  </w:abstractNum>
  <w:abstractNum w:abstractNumId="468">
    <w:nsid w:val="3254A32"/>
    <w:multiLevelType w:val="hybridMultilevel"/>
    <w:lvl w:ilvl="0">
      <w:lvlJc w:val="left"/>
      <w:lvlText w:val="(%1)"/>
      <w:numFmt w:val="lowerLetter"/>
      <w:start w:val="1"/>
    </w:lvl>
  </w:abstractNum>
  <w:abstractNum w:abstractNumId="469">
    <w:nsid w:val="11ADB5F4"/>
    <w:multiLevelType w:val="hybridMultilevel"/>
    <w:lvl w:ilvl="0">
      <w:lvlJc w:val="left"/>
      <w:lvlText w:val="(%1)"/>
      <w:numFmt w:val="lowerLetter"/>
      <w:start w:val="2"/>
    </w:lvl>
  </w:abstractNum>
  <w:abstractNum w:abstractNumId="470">
    <w:nsid w:val="3575FED1"/>
    <w:multiLevelType w:val="hybridMultilevel"/>
    <w:lvl w:ilvl="0">
      <w:lvlJc w:val="left"/>
      <w:lvlText w:val="%1."/>
      <w:numFmt w:val="decimal"/>
      <w:start w:val="2"/>
    </w:lvl>
  </w:abstractNum>
  <w:abstractNum w:abstractNumId="471">
    <w:nsid w:val="1B2B9E9D"/>
    <w:multiLevelType w:val="hybridMultilevel"/>
    <w:lvl w:ilvl="0">
      <w:lvlJc w:val="left"/>
      <w:lvlText w:val="%1."/>
      <w:numFmt w:val="decimal"/>
      <w:start w:val="3"/>
    </w:lvl>
  </w:abstractNum>
  <w:abstractNum w:abstractNumId="472">
    <w:nsid w:val="3150E85C"/>
    <w:multiLevelType w:val="hybridMultilevel"/>
    <w:lvl w:ilvl="0">
      <w:lvlJc w:val="left"/>
      <w:lvlText w:val="[***]"/>
      <w:numFmt w:val="bullet"/>
      <w:start w:val="1"/>
    </w:lvl>
  </w:abstractNum>
  <w:abstractNum w:abstractNumId="473">
    <w:nsid w:val="638FDBD1"/>
    <w:multiLevelType w:val="hybridMultilevel"/>
    <w:lvl w:ilvl="0">
      <w:lvlJc w:val="left"/>
      <w:lvlText w:val="-"/>
      <w:numFmt w:val="bullet"/>
      <w:start w:val="1"/>
    </w:lvl>
  </w:abstractNum>
  <w:abstractNum w:abstractNumId="474">
    <w:nsid w:val="1098CF6E"/>
    <w:multiLevelType w:val="hybridMultilevel"/>
    <w:lvl w:ilvl="0">
      <w:lvlJc w:val="left"/>
      <w:lvlText w:val="(%1)"/>
      <w:numFmt w:val="lowerLetter"/>
      <w:start w:val="1"/>
    </w:lvl>
  </w:abstractNum>
  <w:abstractNum w:abstractNumId="475">
    <w:nsid w:val="1AF465D"/>
    <w:multiLevelType w:val="hybridMultilevel"/>
    <w:lvl w:ilvl="0">
      <w:lvlJc w:val="left"/>
      <w:lvlText w:val="(%1)"/>
      <w:numFmt w:val="lowerLetter"/>
      <w:start w:val="1"/>
    </w:lvl>
  </w:abstractNum>
  <w:abstractNum w:abstractNumId="476">
    <w:nsid w:val="128D98B7"/>
    <w:multiLevelType w:val="hybridMultilevel"/>
    <w:lvl w:ilvl="0">
      <w:lvlJc w:val="left"/>
      <w:lvlText w:val="(%1)"/>
      <w:numFmt w:val="lowerLetter"/>
      <w:start w:val="1"/>
    </w:lvl>
  </w:abstractNum>
  <w:abstractNum w:abstractNumId="477">
    <w:nsid w:val="5F613832"/>
    <w:multiLevelType w:val="hybridMultilevel"/>
    <w:lvl w:ilvl="0">
      <w:lvlJc w:val="left"/>
      <w:lvlText w:val="(%1)"/>
      <w:numFmt w:val="lowerLetter"/>
      <w:start w:val="1"/>
    </w:lvl>
  </w:abstractNum>
  <w:abstractNum w:abstractNumId="478">
    <w:nsid w:val="43E92260"/>
    <w:multiLevelType w:val="hybridMultilevel"/>
    <w:lvl w:ilvl="0">
      <w:lvlJc w:val="left"/>
      <w:lvlText w:val="(%1)"/>
      <w:numFmt w:val="lowerLetter"/>
      <w:start w:val="2"/>
    </w:lvl>
  </w:abstractNum>
  <w:abstractNum w:abstractNumId="479">
    <w:nsid w:val="430A1662"/>
    <w:multiLevelType w:val="hybridMultilevel"/>
    <w:lvl w:ilvl="0">
      <w:lvlJc w:val="left"/>
      <w:lvlText w:val="(%1)"/>
      <w:numFmt w:val="lowerLetter"/>
      <w:start w:val="1"/>
    </w:lvl>
  </w:abstractNum>
  <w:abstractNum w:abstractNumId="480">
    <w:nsid w:val="1F9D5C18"/>
    <w:multiLevelType w:val="hybridMultilevel"/>
    <w:lvl w:ilvl="0">
      <w:lvlJc w:val="left"/>
      <w:lvlText w:val="(%1)"/>
      <w:numFmt w:val="lowerLetter"/>
      <w:start w:val="2"/>
    </w:lvl>
  </w:abstractNum>
  <w:abstractNum w:abstractNumId="481">
    <w:nsid w:val="1CC11C37"/>
    <w:multiLevelType w:val="hybridMultilevel"/>
    <w:lvl w:ilvl="0">
      <w:lvlJc w:val="left"/>
      <w:lvlText w:val="%1)"/>
      <w:numFmt w:val="lowerRoman"/>
      <w:start w:val="1"/>
    </w:lvl>
  </w:abstractNum>
  <w:abstractNum w:abstractNumId="482">
    <w:nsid w:val="4557D5D8"/>
    <w:multiLevelType w:val="hybridMultilevel"/>
    <w:lvl w:ilvl="0">
      <w:lvlJc w:val="left"/>
      <w:lvlText w:val="(%1)"/>
      <w:numFmt w:val="lowerLetter"/>
      <w:start w:val="1"/>
    </w:lvl>
  </w:abstractNum>
  <w:abstractNum w:abstractNumId="483">
    <w:nsid w:val="72D2B579"/>
    <w:multiLevelType w:val="hybridMultilevel"/>
    <w:lvl w:ilvl="0">
      <w:lvlJc w:val="left"/>
      <w:lvlText w:val="(%1)"/>
      <w:numFmt w:val="lowerLetter"/>
      <w:start w:val="6"/>
    </w:lvl>
  </w:abstractNum>
  <w:abstractNum w:abstractNumId="484">
    <w:nsid w:val="6C0BE536"/>
    <w:multiLevelType w:val="hybridMultilevel"/>
    <w:lvl w:ilvl="0">
      <w:lvlJc w:val="left"/>
      <w:lvlText w:val="(%1)"/>
      <w:numFmt w:val="lowerLetter"/>
      <w:start w:val="1"/>
    </w:lvl>
  </w:abstractNum>
  <w:abstractNum w:abstractNumId="485">
    <w:nsid w:val="1E22BCB2"/>
    <w:multiLevelType w:val="hybridMultilevel"/>
    <w:lvl w:ilvl="0">
      <w:lvlJc w:val="left"/>
      <w:lvlText w:val="(%1)"/>
      <w:numFmt w:val="lowerLetter"/>
      <w:start w:val="1"/>
    </w:lvl>
  </w:abstractNum>
  <w:abstractNum w:abstractNumId="486">
    <w:nsid w:val="3565F1C8"/>
    <w:multiLevelType w:val="hybridMultilevel"/>
    <w:lvl w:ilvl="0">
      <w:lvlJc w:val="left"/>
      <w:lvlText w:val="(%1)"/>
      <w:numFmt w:val="lowerLetter"/>
      <w:start w:val="2"/>
    </w:lvl>
  </w:abstractNum>
  <w:abstractNum w:abstractNumId="487">
    <w:nsid w:val="5EA6D896"/>
    <w:multiLevelType w:val="hybridMultilevel"/>
    <w:lvl w:ilvl="0">
      <w:lvlJc w:val="left"/>
      <w:lvlText w:val="(%1)"/>
      <w:numFmt w:val="lowerLetter"/>
      <w:start w:val="1"/>
    </w:lvl>
  </w:abstractNum>
  <w:abstractNum w:abstractNumId="488">
    <w:nsid w:val="3D096BBF"/>
    <w:multiLevelType w:val="hybridMultilevel"/>
    <w:lvl w:ilvl="0">
      <w:lvlJc w:val="left"/>
      <w:lvlText w:val="[***]"/>
      <w:numFmt w:val="bullet"/>
      <w:start w:val="1"/>
    </w:lvl>
  </w:abstractNum>
  <w:abstractNum w:abstractNumId="489">
    <w:nsid w:val="BD6D5B5"/>
    <w:multiLevelType w:val="hybridMultilevel"/>
    <w:lvl w:ilvl="0">
      <w:lvlJc w:val="left"/>
      <w:lvlText w:val="%1."/>
      <w:numFmt w:val="upperLetter"/>
      <w:start w:val="1"/>
    </w:lvl>
  </w:abstractNum>
  <w:abstractNum w:abstractNumId="490">
    <w:nsid w:val="3B52115C"/>
    <w:multiLevelType w:val="hybridMultilevel"/>
    <w:lvl w:ilvl="0">
      <w:lvlJc w:val="left"/>
      <w:lvlText w:val="(%1)"/>
      <w:numFmt w:val="lowerRoman"/>
      <w:start w:val="2"/>
    </w:lvl>
  </w:abstractNum>
  <w:abstractNum w:abstractNumId="491">
    <w:nsid w:val="787AA59C"/>
    <w:multiLevelType w:val="hybridMultilevel"/>
    <w:lvl w:ilvl="0">
      <w:lvlJc w:val="left"/>
      <w:lvlText w:val="(%1)"/>
      <w:numFmt w:val="lowerRoman"/>
      <w:start w:val="2"/>
    </w:lvl>
  </w:abstractNum>
  <w:abstractNum w:abstractNumId="492">
    <w:nsid w:val="70BB9983"/>
    <w:multiLevelType w:val="hybridMultilevel"/>
    <w:lvl w:ilvl="0">
      <w:lvlJc w:val="left"/>
      <w:lvlText w:val="(%1)"/>
      <w:numFmt w:val="lowerLetter"/>
      <w:start w:val="1"/>
    </w:lvl>
  </w:abstractNum>
  <w:abstractNum w:abstractNumId="493">
    <w:nsid w:val="51EEBEEA"/>
    <w:multiLevelType w:val="hybridMultilevel"/>
    <w:lvl w:ilvl="0">
      <w:lvlJc w:val="left"/>
      <w:lvlText w:val="(%1)"/>
      <w:numFmt w:val="lowerLetter"/>
      <w:start w:val="3"/>
    </w:lvl>
  </w:abstractNum>
  <w:abstractNum w:abstractNumId="494">
    <w:nsid w:val="221A0CCD"/>
    <w:multiLevelType w:val="hybridMultilevel"/>
    <w:lvl w:ilvl="0">
      <w:lvlJc w:val="left"/>
      <w:lvlText w:val="(%1)"/>
      <w:numFmt w:val="lowerRoman"/>
      <w:start w:val="1"/>
    </w:lvl>
  </w:abstractNum>
  <w:abstractNum w:abstractNumId="495">
    <w:nsid w:val="1B7CA0ED"/>
    <w:multiLevelType w:val="hybridMultilevel"/>
    <w:lvl w:ilvl="0">
      <w:lvlJc w:val="left"/>
      <w:lvlText w:val="(%1)"/>
      <w:numFmt w:val="lowerRoman"/>
      <w:start w:val="9"/>
    </w:lvl>
  </w:abstractNum>
  <w:abstractNum w:abstractNumId="496">
    <w:nsid w:val="2395A7FF"/>
    <w:multiLevelType w:val="hybridMultilevel"/>
    <w:lvl w:ilvl="0">
      <w:lvlJc w:val="left"/>
      <w:lvlText w:val="(%1)"/>
      <w:numFmt w:val="lowerRoman"/>
      <w:start w:val="1"/>
    </w:lvl>
    <w:lvl w:ilvl="1">
      <w:lvlJc w:val="left"/>
      <w:lvlText w:val="(%2)"/>
      <w:numFmt w:val="lowerRoman"/>
      <w:start w:val="3"/>
    </w:lvl>
  </w:abstractNum>
  <w:abstractNum w:abstractNumId="497">
    <w:nsid w:val="3965EB66"/>
    <w:multiLevelType w:val="hybridMultilevel"/>
    <w:lvl w:ilvl="0">
      <w:lvlJc w:val="left"/>
      <w:lvlText w:val="(%1)"/>
      <w:numFmt w:val="lowerRoman"/>
      <w:start w:val="4"/>
    </w:lvl>
  </w:abstractNum>
  <w:abstractNum w:abstractNumId="498">
    <w:nsid w:val="3AA88B3C"/>
    <w:multiLevelType w:val="hybridMultilevel"/>
    <w:lvl w:ilvl="0">
      <w:lvlJc w:val="left"/>
      <w:lvlText w:val="(%1)"/>
      <w:numFmt w:val="lowerRoman"/>
      <w:start w:val="5"/>
    </w:lvl>
  </w:abstractNum>
  <w:abstractNum w:abstractNumId="499">
    <w:nsid w:val="26BAF231"/>
    <w:multiLevelType w:val="hybridMultilevel"/>
    <w:lvl w:ilvl="0">
      <w:lvlJc w:val="left"/>
      <w:lvlText w:val="(%1)"/>
      <w:numFmt w:val="lowerRoman"/>
      <w:start w:val="6"/>
    </w:lvl>
  </w:abstractNum>
  <w:abstractNum w:abstractNumId="500">
    <w:nsid w:val="4B13A15A"/>
    <w:multiLevelType w:val="hybridMultilevel"/>
    <w:lvl w:ilvl="0">
      <w:lvlJc w:val="left"/>
      <w:lvlText w:val="(%1)"/>
      <w:numFmt w:val="lowerRoman"/>
      <w:start w:val="1"/>
    </w:lvl>
  </w:abstractNum>
  <w:abstractNum w:abstractNumId="501">
    <w:nsid w:val="701E8A0D"/>
    <w:multiLevelType w:val="hybridMultilevel"/>
    <w:lvl w:ilvl="0">
      <w:lvlJc w:val="left"/>
      <w:lvlText w:val="(%1)"/>
      <w:numFmt w:val="lowerRoman"/>
      <w:start w:val="3"/>
    </w:lvl>
  </w:abstractNum>
  <w:abstractNum w:abstractNumId="502">
    <w:nsid w:val="41E690CF"/>
    <w:multiLevelType w:val="hybridMultilevel"/>
    <w:lvl w:ilvl="0">
      <w:lvlJc w:val="left"/>
      <w:lvlText w:val="(%1)"/>
      <w:numFmt w:val="lowerRoman"/>
      <w:start w:val="4"/>
    </w:lvl>
  </w:abstractNum>
  <w:abstractNum w:abstractNumId="503">
    <w:nsid w:val="7C6489B6"/>
    <w:multiLevelType w:val="hybridMultilevel"/>
    <w:lvl w:ilvl="0">
      <w:lvlJc w:val="left"/>
      <w:lvlText w:val="(%1)"/>
      <w:numFmt w:val="lowerRoman"/>
      <w:start w:val="11"/>
    </w:lvl>
  </w:abstractNum>
  <w:abstractNum w:abstractNumId="504">
    <w:nsid w:val="53AE65DE"/>
    <w:multiLevelType w:val="hybridMultilevel"/>
    <w:lvl w:ilvl="0">
      <w:lvlJc w:val="left"/>
      <w:lvlText w:val="(%1)"/>
      <w:numFmt w:val="lowerRoman"/>
      <w:start w:val="15"/>
    </w:lvl>
  </w:abstractNum>
  <w:abstractNum w:abstractNumId="505">
    <w:nsid w:val="527F603D"/>
    <w:multiLevelType w:val="hybridMultilevel"/>
    <w:lvl w:ilvl="0">
      <w:lvlJc w:val="left"/>
      <w:lvlText w:val="(%1)"/>
      <w:numFmt w:val="lowerRoman"/>
      <w:start w:val="16"/>
    </w:lvl>
    <w:lvl w:ilvl="1">
      <w:lvlJc w:val="left"/>
      <w:lvlText w:val="%2"/>
      <w:numFmt w:val="lowerRoman"/>
      <w:start w:val="1"/>
    </w:lvl>
  </w:abstractNum>
  <w:abstractNum w:abstractNumId="506">
    <w:nsid w:val="7E13D013"/>
    <w:multiLevelType w:val="hybridMultilevel"/>
    <w:lvl w:ilvl="0">
      <w:lvlJc w:val="left"/>
      <w:lvlText w:val="(%1)"/>
      <w:numFmt w:val="lowerRoman"/>
      <w:start w:val="1"/>
    </w:lvl>
    <w:lvl w:ilvl="1">
      <w:lvlJc w:val="left"/>
      <w:lvlText w:val="%2"/>
      <w:numFmt w:val="lowerRoman"/>
      <w:start w:val="1"/>
    </w:lvl>
  </w:abstractNum>
  <w:abstractNum w:abstractNumId="507">
    <w:nsid w:val="663BFE95"/>
    <w:multiLevelType w:val="hybridMultilevel"/>
    <w:lvl w:ilvl="0">
      <w:lvlJc w:val="left"/>
      <w:lvlText w:val="(%1)"/>
      <w:numFmt w:val="lowerLetter"/>
      <w:start w:val="1"/>
    </w:lvl>
  </w:abstractNum>
  <w:abstractNum w:abstractNumId="508">
    <w:nsid w:val="31E0986F"/>
    <w:multiLevelType w:val="hybridMultilevel"/>
    <w:lvl w:ilvl="0">
      <w:lvlJc w:val="left"/>
      <w:lvlText w:val="%1"/>
      <w:numFmt w:val="lowerLetter"/>
      <w:start w:val="1"/>
    </w:lvl>
    <w:lvl w:ilvl="1">
      <w:lvlJc w:val="left"/>
      <w:lvlText w:val="(%2)"/>
      <w:numFmt w:val="lowerLetter"/>
      <w:start w:val="2"/>
    </w:lvl>
  </w:abstractNum>
  <w:abstractNum w:abstractNumId="509">
    <w:nsid w:val="41FCF274"/>
    <w:multiLevelType w:val="hybridMultilevel"/>
    <w:lvl w:ilvl="0">
      <w:lvlJc w:val="left"/>
      <w:lvlText w:val="(%1)"/>
      <w:numFmt w:val="lowerLetter"/>
      <w:start w:val="9"/>
    </w:lvl>
    <w:lvl w:ilvl="1">
      <w:lvlJc w:val="left"/>
      <w:lvlText w:val="%2"/>
      <w:numFmt w:val="lowerLetter"/>
      <w:start w:val="1"/>
    </w:lvl>
  </w:abstractNum>
  <w:abstractNum w:abstractNumId="510">
    <w:nsid w:val="294614F7"/>
    <w:multiLevelType w:val="hybridMultilevel"/>
    <w:lvl w:ilvl="0">
      <w:lvlJc w:val="left"/>
      <w:lvlText w:val="(%1)"/>
      <w:numFmt w:val="lowerLetter"/>
      <w:start w:val="1"/>
    </w:lvl>
  </w:abstractNum>
  <w:abstractNum w:abstractNumId="511">
    <w:nsid w:val="517DF487"/>
    <w:multiLevelType w:val="hybridMultilevel"/>
    <w:lvl w:ilvl="0">
      <w:lvlJc w:val="left"/>
      <w:lvlText w:val="(%1)"/>
      <w:numFmt w:val="lowerLetter"/>
      <w:start w:val="3"/>
    </w:lvl>
  </w:abstractNum>
  <w:abstractNum w:abstractNumId="512">
    <w:nsid w:val="5EBE0EAB"/>
    <w:multiLevelType w:val="hybridMultilevel"/>
    <w:lvl w:ilvl="0">
      <w:lvlJc w:val="left"/>
      <w:lvlText w:val="(%1)"/>
      <w:numFmt w:val="lowerLetter"/>
      <w:start w:val="4"/>
    </w:lvl>
  </w:abstractNum>
  <w:abstractNum w:abstractNumId="513">
    <w:nsid w:val="6E9DEAD0"/>
    <w:multiLevelType w:val="hybridMultilevel"/>
    <w:lvl w:ilvl="0">
      <w:lvlJc w:val="left"/>
      <w:lvlText w:val="(%1)"/>
      <w:numFmt w:val="lowerLetter"/>
      <w:start w:val="1"/>
    </w:lvl>
  </w:abstractNum>
  <w:abstractNum w:abstractNumId="514">
    <w:nsid w:val="4450AA00"/>
    <w:multiLevelType w:val="hybridMultilevel"/>
    <w:lvl w:ilvl="0">
      <w:lvlJc w:val="left"/>
      <w:lvlText w:val="(%1)"/>
      <w:numFmt w:val="lowerLetter"/>
      <w:start w:val="4"/>
    </w:lvl>
  </w:abstractNum>
  <w:abstractNum w:abstractNumId="515">
    <w:nsid w:val="4AC9F3E2"/>
    <w:multiLevelType w:val="hybridMultilevel"/>
    <w:lvl w:ilvl="0">
      <w:lvlJc w:val="left"/>
      <w:lvlText w:val="(%1)"/>
      <w:numFmt w:val="lowerLetter"/>
      <w:start w:val="1"/>
    </w:lvl>
  </w:abstractNum>
  <w:abstractNum w:abstractNumId="516">
    <w:nsid w:val="CC0A782"/>
    <w:multiLevelType w:val="hybridMultilevel"/>
    <w:lvl w:ilvl="0">
      <w:lvlJc w:val="left"/>
      <w:lvlText w:val="(%1)"/>
      <w:numFmt w:val="lowerLetter"/>
      <w:start w:val="1"/>
    </w:lvl>
  </w:abstractNum>
  <w:abstractNum w:abstractNumId="517">
    <w:nsid w:val="79B69BC9"/>
    <w:multiLevelType w:val="hybridMultilevel"/>
    <w:lvl w:ilvl="0">
      <w:lvlJc w:val="left"/>
      <w:lvlText w:val="(%1)"/>
      <w:numFmt w:val="lowerLetter"/>
      <w:start w:val="3"/>
    </w:lvl>
  </w:abstractNum>
  <w:abstractNum w:abstractNumId="518">
    <w:nsid w:val="2970CC78"/>
    <w:multiLevelType w:val="hybridMultilevel"/>
    <w:lvl w:ilvl="0">
      <w:lvlJc w:val="left"/>
      <w:lvlText w:val="(%1)"/>
      <w:numFmt w:val="lowerLetter"/>
      <w:start w:val="1"/>
    </w:lvl>
  </w:abstractNum>
  <w:abstractNum w:abstractNumId="519">
    <w:nsid w:val="49CA1341"/>
    <w:multiLevelType w:val="hybridMultilevel"/>
    <w:lvl w:ilvl="0">
      <w:lvlJc w:val="left"/>
      <w:lvlText w:val="%1"/>
      <w:numFmt w:val="lowerLetter"/>
      <w:start w:val="1"/>
    </w:lvl>
    <w:lvl w:ilvl="1">
      <w:lvlJc w:val="left"/>
      <w:lvlText w:val="(%2)"/>
      <w:numFmt w:val="lowerLetter"/>
      <w:start w:val="8"/>
    </w:lvl>
  </w:abstractNum>
  <w:abstractNum w:abstractNumId="520">
    <w:nsid w:val="58D717E"/>
    <w:multiLevelType w:val="hybridMultilevel"/>
    <w:lvl w:ilvl="0">
      <w:lvlJc w:val="left"/>
      <w:lvlText w:val="(%1)"/>
      <w:numFmt w:val="lowerLetter"/>
      <w:start w:val="2"/>
    </w:lvl>
    <w:lvl w:ilvl="1">
      <w:lvlJc w:val="left"/>
      <w:lvlText w:val="%2"/>
      <w:numFmt w:val="lowerLetter"/>
      <w:start w:val="1"/>
    </w:lvl>
  </w:abstractNum>
  <w:abstractNum w:abstractNumId="521">
    <w:nsid w:val="64C2DDD5"/>
    <w:multiLevelType w:val="hybridMultilevel"/>
    <w:lvl w:ilvl="0">
      <w:lvlJc w:val="left"/>
      <w:lvlText w:val="(%1)"/>
      <w:numFmt w:val="lowerRoman"/>
      <w:start w:val="1"/>
    </w:lvl>
  </w:abstractNum>
  <w:abstractNum w:abstractNumId="522">
    <w:nsid w:val="4244B8DE"/>
    <w:multiLevelType w:val="hybridMultilevel"/>
    <w:lvl w:ilvl="0">
      <w:lvlJc w:val="left"/>
      <w:lvlText w:val="(%1)"/>
      <w:numFmt w:val="lowerLetter"/>
      <w:start w:val="1"/>
    </w:lvl>
  </w:abstractNum>
  <w:abstractNum w:abstractNumId="523">
    <w:nsid w:val="76490B01"/>
    <w:multiLevelType w:val="hybridMultilevel"/>
    <w:lvl w:ilvl="0">
      <w:lvlJc w:val="left"/>
      <w:lvlText w:val="(%1)"/>
      <w:numFmt w:val="lowerLetter"/>
      <w:start w:val="2"/>
    </w:lvl>
  </w:abstractNum>
  <w:abstractNum w:abstractNumId="524">
    <w:nsid w:val="36B19CBF"/>
    <w:multiLevelType w:val="hybridMultilevel"/>
    <w:lvl w:ilvl="0">
      <w:lvlJc w:val="left"/>
      <w:lvlText w:val="(%1)"/>
      <w:numFmt w:val="lowerLetter"/>
      <w:start w:val="3"/>
    </w:lvl>
  </w:abstractNum>
  <w:abstractNum w:abstractNumId="525">
    <w:nsid w:val="645EC5AB"/>
    <w:multiLevelType w:val="hybridMultilevel"/>
    <w:lvl w:ilvl="0">
      <w:lvlJc w:val="left"/>
      <w:lvlText w:val="(%1)"/>
      <w:numFmt w:val="lowerLetter"/>
      <w:start w:val="1"/>
    </w:lvl>
  </w:abstractNum>
  <w:abstractNum w:abstractNumId="526">
    <w:nsid w:val="11C5ABEF"/>
    <w:multiLevelType w:val="hybridMultilevel"/>
    <w:lvl w:ilvl="0">
      <w:lvlJc w:val="left"/>
      <w:lvlText w:val="(%1)"/>
      <w:numFmt w:val="lowerLetter"/>
      <w:start w:val="25"/>
    </w:lvl>
  </w:abstractNum>
  <w:abstractNum w:abstractNumId="527">
    <w:nsid w:val="5A4744BE"/>
    <w:multiLevelType w:val="hybridMultilevel"/>
    <w:lvl w:ilvl="0">
      <w:lvlJc w:val="left"/>
      <w:lvlText w:val="(%1)"/>
      <w:numFmt w:val="lowerLetter"/>
      <w:start w:val="1"/>
    </w:lvl>
  </w:abstractNum>
  <w:abstractNum w:abstractNumId="528">
    <w:nsid w:val="1DC4B111"/>
    <w:multiLevelType w:val="hybridMultilevel"/>
    <w:lvl w:ilvl="0">
      <w:lvlJc w:val="left"/>
      <w:lvlText w:val="(%1)"/>
      <w:numFmt w:val="lowerLetter"/>
      <w:start w:val="3"/>
    </w:lvl>
  </w:abstractNum>
  <w:abstractNum w:abstractNumId="529">
    <w:nsid w:val="4C6E372B"/>
    <w:multiLevelType w:val="hybridMultilevel"/>
    <w:lvl w:ilvl="0">
      <w:lvlJc w:val="left"/>
      <w:lvlText w:val="(%1)"/>
      <w:numFmt w:val="lowerLetter"/>
      <w:start w:val="3"/>
    </w:lvl>
  </w:abstractNum>
  <w:abstractNum w:abstractNumId="530">
    <w:nsid w:val="10236EF"/>
    <w:multiLevelType w:val="hybridMultilevel"/>
    <w:lvl w:ilvl="0">
      <w:lvlJc w:val="left"/>
      <w:lvlText w:val="(%1)"/>
      <w:numFmt w:val="lowerLetter"/>
      <w:start w:val="7"/>
    </w:lvl>
  </w:abstractNum>
  <w:abstractNum w:abstractNumId="531">
    <w:nsid w:val="68D8526B"/>
    <w:multiLevelType w:val="hybridMultilevel"/>
    <w:lvl w:ilvl="0">
      <w:lvlJc w:val="left"/>
      <w:lvlText w:val="%1."/>
      <w:numFmt w:val="decimal"/>
      <w:start w:val="1"/>
    </w:lvl>
    <w:lvl w:ilvl="1">
      <w:lvlJc w:val="left"/>
      <w:lvlText w:val="%2."/>
      <w:numFmt w:val="lowerLetter"/>
      <w:start w:val="1"/>
    </w:lvl>
  </w:abstractNum>
  <w:abstractNum w:abstractNumId="532">
    <w:nsid w:val="3C8CC138"/>
    <w:multiLevelType w:val="hybridMultilevel"/>
    <w:lvl w:ilvl="0">
      <w:lvlJc w:val="left"/>
      <w:lvlText w:val="%1"/>
      <w:numFmt w:val="decimal"/>
      <w:start w:val="1"/>
    </w:lvl>
    <w:lvl w:ilvl="1">
      <w:lvlJc w:val="left"/>
      <w:lvlText w:val="%2."/>
      <w:numFmt w:val="lowerLetter"/>
      <w:start w:val="8"/>
    </w:lvl>
  </w:abstractNum>
  <w:abstractNum w:abstractNumId="533">
    <w:nsid w:val="42E8C7BE"/>
    <w:multiLevelType w:val="hybridMultilevel"/>
    <w:lvl w:ilvl="0">
      <w:lvlJc w:val="left"/>
      <w:lvlText w:val="%1."/>
      <w:numFmt w:val="decimal"/>
      <w:start w:val="2"/>
    </w:lvl>
    <w:lvl w:ilvl="1">
      <w:lvlJc w:val="left"/>
      <w:lvlText w:val="%2"/>
      <w:numFmt w:val="lowerLetter"/>
      <w:start w:val="1"/>
    </w:lvl>
  </w:abstractNum>
  <w:abstractNum w:abstractNumId="534">
    <w:nsid w:val="653CDC2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535">
    <w:nsid w:val="103B27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536">
    <w:nsid w:val="156827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537">
    <w:nsid w:val="6350AC3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538">
    <w:nsid w:val="767725A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39">
    <w:nsid w:val="4748C06A"/>
    <w:multiLevelType w:val="hybridMultilevel"/>
    <w:lvl w:ilvl="0">
      <w:lvlJc w:val="left"/>
      <w:lvlText w:val="%1."/>
      <w:numFmt w:val="decimal"/>
      <w:start w:val="8"/>
    </w:lvl>
  </w:abstractNum>
  <w:abstractNum w:abstractNumId="540">
    <w:nsid w:val="254D9EA9"/>
    <w:multiLevelType w:val="hybridMultilevel"/>
    <w:lvl w:ilvl="0">
      <w:lvlJc w:val="left"/>
      <w:lvlText w:val="(%1)"/>
      <w:numFmt w:val="lowerLetter"/>
      <w:start w:val="1"/>
    </w:lvl>
    <w:lvl w:ilvl="1">
      <w:lvlJc w:val="left"/>
      <w:lvlText w:val="(%2)"/>
      <w:numFmt w:val="lowerRoman"/>
      <w:start w:val="1"/>
    </w:lvl>
  </w:abstractNum>
  <w:abstractNum w:abstractNumId="541">
    <w:nsid w:val="1FBD3AA3"/>
    <w:multiLevelType w:val="hybridMultilevel"/>
    <w:lvl w:ilvl="0">
      <w:lvlJc w:val="left"/>
      <w:lvlText w:val="%1"/>
      <w:numFmt w:val="lowerRoman"/>
      <w:start w:val="1"/>
    </w:lvl>
    <w:lvl w:ilvl="1">
      <w:lvlJc w:val="left"/>
      <w:lvlText w:val="(%2)"/>
      <w:numFmt w:val="lowerLetter"/>
      <w:start w:val="5"/>
    </w:lvl>
  </w:abstractNum>
  <w:abstractNum w:abstractNumId="542">
    <w:nsid w:val="18C6B4F2"/>
    <w:multiLevelType w:val="hybridMultilevel"/>
    <w:lvl w:ilvl="0">
      <w:lvlJc w:val="left"/>
      <w:lvlText w:val="(%1)"/>
      <w:numFmt w:val="lowerRoman"/>
      <w:start w:val="3"/>
    </w:lvl>
    <w:lvl w:ilvl="1">
      <w:lvlJc w:val="left"/>
      <w:lvlText w:val="%2"/>
      <w:numFmt w:val="lowerLetter"/>
      <w:start w:val="1"/>
    </w:lvl>
  </w:abstractNum>
  <w:abstractNum w:abstractNumId="543">
    <w:nsid w:val="40BAD55"/>
    <w:multiLevelType w:val="hybridMultilevel"/>
    <w:lvl w:ilvl="0">
      <w:lvlJc w:val="left"/>
      <w:lvlText w:val="(%1)"/>
      <w:numFmt w:val="lowerLetter"/>
      <w:start w:val="1"/>
    </w:lvl>
  </w:abstractNum>
  <w:abstractNum w:abstractNumId="544">
    <w:nsid w:val="E5B2573"/>
    <w:multiLevelType w:val="hybridMultilevel"/>
    <w:lvl w:ilvl="0">
      <w:lvlJc w:val="left"/>
      <w:lvlText w:val="(%1)"/>
      <w:numFmt w:val="lowerLetter"/>
      <w:start w:val="2"/>
    </w:lvl>
  </w:abstractNum>
  <w:abstractNum w:abstractNumId="545">
    <w:nsid w:val="5D175EF2"/>
    <w:multiLevelType w:val="hybridMultilevel"/>
    <w:lvl w:ilvl="0">
      <w:lvlJc w:val="left"/>
      <w:lvlText w:val="%1."/>
      <w:numFmt w:val="lowerLetter"/>
      <w:start w:val="1"/>
    </w:lvl>
  </w:abstractNum>
  <w:abstractNum w:abstractNumId="546">
    <w:nsid w:val="4ED5A137"/>
    <w:multiLevelType w:val="hybridMultilevel"/>
    <w:lvl w:ilvl="0">
      <w:lvlJc w:val="left"/>
      <w:lvlText w:val="%1."/>
      <w:numFmt w:val="decimal"/>
      <w:start w:val="2"/>
    </w:lvl>
  </w:abstractNum>
  <w:abstractNum w:abstractNumId="547">
    <w:nsid w:val="1B1BCCF5"/>
    <w:multiLevelType w:val="hybridMultilevel"/>
    <w:lvl w:ilvl="0">
      <w:lvlJc w:val="left"/>
      <w:lvlText w:val="(%1)"/>
      <w:numFmt w:val="lowerLetter"/>
      <w:start w:val="1"/>
    </w:lvl>
  </w:abstractNum>
  <w:abstractNum w:abstractNumId="548">
    <w:nsid w:val="56CDFABB"/>
    <w:multiLevelType w:val="hybridMultilevel"/>
    <w:lvl w:ilvl="0">
      <w:lvlJc w:val="left"/>
      <w:lvlText w:val="%1."/>
      <w:numFmt w:val="upperLetter"/>
      <w:start w:val="1"/>
    </w:lvl>
  </w:abstractNum>
  <w:abstractNum w:abstractNumId="549">
    <w:nsid w:val="78466DAF"/>
    <w:multiLevelType w:val="hybridMultilevel"/>
    <w:lvl w:ilvl="0">
      <w:lvlJc w:val="left"/>
      <w:lvlText w:val="%1."/>
      <w:numFmt w:val="decimal"/>
      <w:start w:val="1"/>
    </w:lvl>
  </w:abstractNum>
  <w:abstractNum w:abstractNumId="550">
    <w:nsid w:val="64E5E036"/>
    <w:multiLevelType w:val="hybridMultilevel"/>
    <w:lvl w:ilvl="0">
      <w:lvlJc w:val="left"/>
      <w:lvlText w:val="5"/>
      <w:numFmt w:val="bullet"/>
      <w:start w:val="1"/>
    </w:lvl>
  </w:abstractNum>
  <w:abstractNum w:abstractNumId="551">
    <w:nsid w:val="5C5B6C3A"/>
    <w:multiLevelType w:val="hybridMultilevel"/>
    <w:lvl w:ilvl="0">
      <w:lvlJc w:val="left"/>
      <w:lvlText w:val="(%1)"/>
      <w:numFmt w:val="lowerRoman"/>
      <w:start w:val="3"/>
    </w:lvl>
  </w:abstractNum>
  <w:abstractNum w:abstractNumId="552">
    <w:nsid w:val="5D094B84"/>
    <w:multiLevelType w:val="hybridMultilevel"/>
    <w:lvl w:ilvl="0">
      <w:lvlJc w:val="left"/>
      <w:lvlText w:val="(%1)"/>
      <w:numFmt w:val="lowerRoman"/>
      <w:start w:val="3"/>
    </w:lvl>
  </w:abstractNum>
  <w:abstractNum w:abstractNumId="553">
    <w:nsid w:val="272A9914"/>
    <w:multiLevelType w:val="hybridMultilevel"/>
    <w:lvl w:ilvl="0">
      <w:lvlJc w:val="left"/>
      <w:lvlText w:val="(%1)"/>
      <w:numFmt w:val="lowerRoman"/>
      <w:start w:val="3"/>
    </w:lvl>
  </w:abstractNum>
  <w:abstractNum w:abstractNumId="554">
    <w:nsid w:val="52A4773B"/>
    <w:multiLevelType w:val="hybridMultilevel"/>
    <w:lvl w:ilvl="0">
      <w:lvlJc w:val="left"/>
      <w:lvlText w:val="[***]"/>
      <w:numFmt w:val="bullet"/>
      <w:start w:val="1"/>
    </w:lvl>
  </w:abstractNum>
  <w:abstractNum w:abstractNumId="555">
    <w:nsid w:val="13BAE843"/>
    <w:multiLevelType w:val="hybridMultilevel"/>
    <w:lvl w:ilvl="0">
      <w:lvlJc w:val="left"/>
      <w:lvlText w:val="%1."/>
      <w:numFmt w:val="decimal"/>
      <w:start w:val="1"/>
    </w:lvl>
  </w:abstractNum>
  <w:abstractNum w:abstractNumId="556">
    <w:nsid w:val="B895EBF"/>
    <w:multiLevelType w:val="hybridMultilevel"/>
    <w:lvl w:ilvl="0">
      <w:lvlJc w:val="left"/>
      <w:lvlText w:val="%1."/>
      <w:numFmt w:val="decimal"/>
      <w:start w:val="2"/>
    </w:lvl>
  </w:abstractNum>
  <w:abstractNum w:abstractNumId="557">
    <w:nsid w:val="646A232A"/>
    <w:multiLevelType w:val="hybridMultilevel"/>
    <w:lvl w:ilvl="0">
      <w:lvlJc w:val="left"/>
      <w:lvlText w:val="%1."/>
      <w:numFmt w:val="decimal"/>
      <w:start w:val="3"/>
    </w:lvl>
  </w:abstractNum>
  <w:abstractNum w:abstractNumId="558">
    <w:nsid w:val="6E022D01"/>
    <w:multiLevelType w:val="hybridMultilevel"/>
    <w:lvl w:ilvl="0">
      <w:lvlJc w:val="left"/>
      <w:lvlText w:val="%1."/>
      <w:numFmt w:val="decimal"/>
      <w:start w:val="4"/>
    </w:lvl>
  </w:abstractNum>
  <w:abstractNum w:abstractNumId="559">
    <w:nsid w:val="294E0FD0"/>
    <w:multiLevelType w:val="hybridMultilevel"/>
    <w:lvl w:ilvl="0">
      <w:lvlJc w:val="left"/>
      <w:lvlText w:val="%1."/>
      <w:numFmt w:val="decimal"/>
      <w:start w:val="5"/>
    </w:lvl>
    <w:lvl w:ilvl="1">
      <w:lvlJc w:val="left"/>
      <w:lvlText w:val="[***]"/>
      <w:numFmt w:val="bullet"/>
      <w:start w:val="1"/>
    </w:lvl>
  </w:abstractNum>
  <w:abstractNum w:abstractNumId="560">
    <w:nsid w:val="30D85A55"/>
    <w:multiLevelType w:val="hybridMultilevel"/>
    <w:lvl w:ilvl="0">
      <w:lvlJc w:val="left"/>
      <w:lvlText w:val="%1."/>
      <w:numFmt w:val="decimal"/>
      <w:start w:val="7"/>
    </w:lvl>
  </w:abstractNum>
  <w:abstractNum w:abstractNumId="561">
    <w:nsid w:val="6F0463F1"/>
    <w:multiLevelType w:val="hybridMultilevel"/>
    <w:lvl w:ilvl="0">
      <w:lvlJc w:val="left"/>
      <w:lvlText w:val="%1."/>
      <w:numFmt w:val="decimal"/>
      <w:start w:val="8"/>
    </w:lvl>
  </w:abstractNum>
  <w:abstractNum w:abstractNumId="562">
    <w:nsid w:val="1226623C"/>
    <w:multiLevelType w:val="hybridMultilevel"/>
    <w:lvl w:ilvl="0">
      <w:lvlJc w:val="left"/>
      <w:lvlText w:val="%1."/>
      <w:numFmt w:val="decimal"/>
      <w:start w:val="10"/>
    </w:lvl>
  </w:abstractNum>
  <w:abstractNum w:abstractNumId="563">
    <w:nsid w:val="6D651B8D"/>
    <w:multiLevelType w:val="hybridMultilevel"/>
    <w:lvl w:ilvl="0">
      <w:lvlJc w:val="left"/>
      <w:lvlText w:val="%1."/>
      <w:numFmt w:val="decimal"/>
      <w:start w:val="11"/>
    </w:lvl>
    <w:lvl w:ilvl="1">
      <w:lvlJc w:val="left"/>
      <w:lvlText w:val="(%2)"/>
      <w:numFmt w:val="lowerRoman"/>
      <w:start w:val="1"/>
    </w:lvl>
  </w:abstractNum>
  <w:abstractNum w:abstractNumId="564">
    <w:nsid w:val="31ED2BAF"/>
    <w:multiLevelType w:val="hybridMultilevel"/>
    <w:lvl w:ilvl="0">
      <w:lvlJc w:val="left"/>
      <w:lvlText w:val="%1."/>
      <w:numFmt w:val="decimal"/>
      <w:start w:val="12"/>
    </w:lvl>
  </w:abstractNum>
  <w:abstractNum w:abstractNumId="565">
    <w:nsid w:val="77633E5E"/>
    <w:multiLevelType w:val="hybridMultilevel"/>
    <w:lvl w:ilvl="0">
      <w:lvlJc w:val="left"/>
      <w:lvlText w:val="[***]"/>
      <w:numFmt w:val="bullet"/>
      <w:start w:val="1"/>
    </w:lvl>
  </w:abstractNum>
  <w:abstractNum w:abstractNumId="566">
    <w:nsid w:val="7DA042A3"/>
    <w:multiLevelType w:val="hybridMultilevel"/>
    <w:lvl w:ilvl="0">
      <w:lvlJc w:val="left"/>
      <w:lvlText w:val="(%1)"/>
      <w:numFmt w:val="lowerLetter"/>
      <w:start w:val="1"/>
    </w:lvl>
  </w:abstractNum>
  <w:abstractNum w:abstractNumId="567">
    <w:nsid w:val="475553AB"/>
    <w:multiLevelType w:val="hybridMultilevel"/>
    <w:lvl w:ilvl="0">
      <w:lvlJc w:val="left"/>
      <w:lvlText w:val="(%1)"/>
      <w:numFmt w:val="lowerLetter"/>
      <w:start w:val="1"/>
    </w:lvl>
  </w:abstractNum>
  <w:abstractNum w:abstractNumId="568">
    <w:nsid w:val="5AB3EA93"/>
    <w:multiLevelType w:val="hybridMultilevel"/>
    <w:lvl w:ilvl="0">
      <w:lvlJc w:val="left"/>
      <w:lvlText w:val="(%1)"/>
      <w:numFmt w:val="lowerLetter"/>
      <w:start w:val="1"/>
    </w:lvl>
  </w:abstractNum>
  <w:abstractNum w:abstractNumId="569">
    <w:nsid w:val="7417684F"/>
    <w:multiLevelType w:val="hybridMultilevel"/>
    <w:lvl w:ilvl="0">
      <w:lvlJc w:val="left"/>
      <w:lvlText w:val="(%1)"/>
      <w:numFmt w:val="lowerLetter"/>
      <w:start w:val="3"/>
    </w:lvl>
  </w:abstractNum>
  <w:abstractNum w:abstractNumId="570">
    <w:nsid w:val="E9E141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571">
    <w:nsid w:val="1893D"/>
    <w:multiLevelType w:val="hybridMultilevel"/>
    <w:lvl w:ilvl="0">
      <w:lvlJc w:val="left"/>
      <w:lvlText w:val="(%1)"/>
      <w:numFmt w:val="lowerLetter"/>
      <w:start w:val="1"/>
    </w:lvl>
  </w:abstractNum>
  <w:abstractNum w:abstractNumId="572">
    <w:nsid w:val="13D4A2F2"/>
    <w:multiLevelType w:val="hybridMultilevel"/>
    <w:lvl w:ilvl="0">
      <w:lvlJc w:val="left"/>
      <w:lvlText w:val="(%1)"/>
      <w:numFmt w:val="lowerLetter"/>
      <w:start w:val="1"/>
    </w:lvl>
  </w:abstractNum>
  <w:abstractNum w:abstractNumId="573">
    <w:nsid w:val="2764C907"/>
    <w:multiLevelType w:val="hybridMultilevel"/>
    <w:lvl w:ilvl="0">
      <w:lvlJc w:val="left"/>
      <w:lvlText w:val="(%1)"/>
      <w:numFmt w:val="lowerLetter"/>
      <w:start w:val="3"/>
    </w:lvl>
    <w:lvl w:ilvl="1">
      <w:lvlJc w:val="left"/>
      <w:lvlText w:val="(%2)"/>
      <w:numFmt w:val="lowerRoman"/>
      <w:start w:val="1"/>
    </w:lvl>
  </w:abstractNum>
  <w:abstractNum w:abstractNumId="574">
    <w:nsid w:val="40D3692"/>
    <w:multiLevelType w:val="hybridMultilevel"/>
    <w:lvl w:ilvl="0">
      <w:lvlJc w:val="left"/>
      <w:lvlText w:val="(%1)"/>
      <w:numFmt w:val="lowerLetter"/>
      <w:start w:val="1"/>
    </w:lvl>
  </w:abstractNum>
  <w:abstractNum w:abstractNumId="575">
    <w:nsid w:val="222FC865"/>
    <w:multiLevelType w:val="hybridMultilevel"/>
    <w:lvl w:ilvl="0">
      <w:lvlJc w:val="left"/>
      <w:lvlText w:val="(%1)"/>
      <w:numFmt w:val="lowerRoman"/>
      <w:start w:val="1"/>
    </w:lvl>
  </w:abstractNum>
  <w:abstractNum w:abstractNumId="576">
    <w:nsid w:val="47C27FA"/>
    <w:multiLevelType w:val="hybridMultilevel"/>
    <w:lvl w:ilvl="0">
      <w:lvlJc w:val="left"/>
      <w:lvlText w:val="(%1)"/>
      <w:numFmt w:val="lowerRoman"/>
      <w:start w:val="3"/>
    </w:lvl>
  </w:abstractNum>
  <w:abstractNum w:abstractNumId="577">
    <w:nsid w:val="52E2D7C9"/>
    <w:multiLevelType w:val="hybridMultilevel"/>
    <w:lvl w:ilvl="0">
      <w:lvlJc w:val="left"/>
      <w:lvlText w:val="(%1)"/>
      <w:numFmt w:val="lowerRoman"/>
      <w:start w:val="1"/>
    </w:lvl>
  </w:abstractNum>
  <w:abstractNum w:abstractNumId="578">
    <w:nsid w:val="3D4B955A"/>
    <w:multiLevelType w:val="hybridMultilevel"/>
    <w:lvl w:ilvl="0">
      <w:lvlJc w:val="left"/>
      <w:lvlText w:val="(%1)"/>
      <w:numFmt w:val="lowerRoman"/>
      <w:start w:val="6"/>
    </w:lvl>
  </w:abstractNum>
  <w:abstractNum w:abstractNumId="579">
    <w:nsid w:val="5B4A22B5"/>
    <w:multiLevelType w:val="hybridMultilevel"/>
    <w:lvl w:ilvl="0">
      <w:lvlJc w:val="left"/>
      <w:lvlText w:val="(%1)"/>
      <w:numFmt w:val="lowerLetter"/>
      <w:start w:val="1"/>
    </w:lvl>
  </w:abstractNum>
  <w:abstractNum w:abstractNumId="580">
    <w:nsid w:val="4B294578"/>
    <w:multiLevelType w:val="hybridMultilevel"/>
    <w:lvl w:ilvl="0">
      <w:lvlJc w:val="left"/>
      <w:lvlText w:val="(%1)"/>
      <w:numFmt w:val="lowerLetter"/>
      <w:start w:val="1"/>
    </w:lvl>
  </w:abstractNum>
  <w:abstractNum w:abstractNumId="581">
    <w:nsid w:val="22317590"/>
    <w:multiLevelType w:val="hybridMultilevel"/>
    <w:lvl w:ilvl="0">
      <w:lvlJc w:val="left"/>
      <w:lvlText w:val="(%1)"/>
      <w:numFmt w:val="lowerLetter"/>
      <w:start w:val="1"/>
    </w:lvl>
  </w:abstractNum>
  <w:abstractNum w:abstractNumId="582">
    <w:nsid w:val="37A58EEF"/>
    <w:multiLevelType w:val="hybridMultilevel"/>
    <w:lvl w:ilvl="0">
      <w:lvlJc w:val="left"/>
      <w:lvlText w:val="(%1)"/>
      <w:numFmt w:val="lowerLetter"/>
      <w:start w:val="3"/>
    </w:lvl>
  </w:abstractNum>
  <w:abstractNum w:abstractNumId="583">
    <w:nsid w:val="283290FD"/>
    <w:multiLevelType w:val="hybridMultilevel"/>
    <w:lvl w:ilvl="0">
      <w:lvlJc w:val="left"/>
      <w:lvlText w:val="(%1)"/>
      <w:numFmt w:val="lowerLetter"/>
      <w:start w:val="1"/>
    </w:lvl>
  </w:abstractNum>
  <w:abstractNum w:abstractNumId="584">
    <w:nsid w:val="495C0EA5"/>
    <w:multiLevelType w:val="hybridMultilevel"/>
    <w:lvl w:ilvl="0">
      <w:lvlJc w:val="left"/>
      <w:lvlText w:val="(%1)"/>
      <w:numFmt w:val="lowerLetter"/>
      <w:start w:val="1"/>
    </w:lvl>
  </w:abstractNum>
  <w:abstractNum w:abstractNumId="585">
    <w:nsid w:val="A4A062B"/>
    <w:multiLevelType w:val="hybridMultilevel"/>
    <w:lvl w:ilvl="0">
      <w:lvlJc w:val="left"/>
      <w:lvlText w:val="(%1)"/>
      <w:numFmt w:val="lowerLetter"/>
      <w:start w:val="3"/>
    </w:lvl>
    <w:lvl w:ilvl="1">
      <w:lvlJc w:val="left"/>
      <w:lvlText w:val="(%2)"/>
      <w:numFmt w:val="lowerRoman"/>
      <w:start w:val="1"/>
    </w:lvl>
  </w:abstractNum>
  <w:abstractNum w:abstractNumId="586">
    <w:nsid w:val="3BED7940"/>
    <w:multiLevelType w:val="hybridMultilevel"/>
    <w:lvl w:ilvl="0">
      <w:lvlJc w:val="left"/>
      <w:lvlText w:val="(%1)"/>
      <w:numFmt w:val="lowerLetter"/>
      <w:start w:val="1"/>
    </w:lvl>
  </w:abstractNum>
  <w:abstractNum w:abstractNumId="587">
    <w:nsid w:val="54E56D64"/>
    <w:multiLevelType w:val="hybridMultilevel"/>
    <w:lvl w:ilvl="0">
      <w:lvlJc w:val="left"/>
      <w:lvlText w:val="(%1)"/>
      <w:numFmt w:val="lowerLetter"/>
      <w:start w:val="3"/>
    </w:lvl>
  </w:abstractNum>
  <w:abstractNum w:abstractNumId="588">
    <w:nsid w:val="6EB42955"/>
    <w:multiLevelType w:val="hybridMultilevel"/>
    <w:lvl w:ilvl="0">
      <w:lvlJc w:val="left"/>
      <w:lvlText w:val="(%1)"/>
      <w:numFmt w:val="lowerLetter"/>
      <w:start w:val="1"/>
    </w:lvl>
  </w:abstractNum>
  <w:abstractNum w:abstractNumId="589">
    <w:nsid w:val="29EFA642"/>
    <w:multiLevelType w:val="hybridMultilevel"/>
    <w:lvl w:ilvl="0">
      <w:lvlJc w:val="left"/>
      <w:lvlText w:val="(%1)"/>
      <w:numFmt w:val="lowerLetter"/>
      <w:start w:val="1"/>
    </w:lvl>
  </w:abstractNum>
  <w:abstractNum w:abstractNumId="590">
    <w:nsid w:val="7E337D35"/>
    <w:multiLevelType w:val="hybridMultilevel"/>
    <w:lvl w:ilvl="0">
      <w:lvlJc w:val="left"/>
      <w:lvlText w:val="(%1)"/>
      <w:numFmt w:val="lowerLetter"/>
      <w:start w:val="1"/>
    </w:lvl>
  </w:abstractNum>
  <w:abstractNum w:abstractNumId="591">
    <w:nsid w:val="1F8C83AB"/>
    <w:multiLevelType w:val="hybridMultilevel"/>
    <w:lvl w:ilvl="0">
      <w:lvlJc w:val="left"/>
      <w:lvlText w:val="(%1)"/>
      <w:numFmt w:val="lowerLetter"/>
      <w:start w:val="1"/>
    </w:lvl>
  </w:abstractNum>
  <w:abstractNum w:abstractNumId="592">
    <w:nsid w:val="18F40A33"/>
    <w:multiLevelType w:val="hybridMultilevel"/>
    <w:lvl w:ilvl="0">
      <w:lvlJc w:val="left"/>
      <w:lvlText w:val="(%1)"/>
      <w:numFmt w:val="lowerLetter"/>
      <w:start w:val="3"/>
    </w:lvl>
  </w:abstractNum>
  <w:abstractNum w:abstractNumId="593">
    <w:nsid w:val="1059DF71"/>
    <w:multiLevelType w:val="hybridMultilevel"/>
    <w:lvl w:ilvl="0">
      <w:lvlJc w:val="left"/>
      <w:lvlText w:val="(%1)"/>
      <w:numFmt w:val="lowerLetter"/>
      <w:start w:val="1"/>
    </w:lvl>
  </w:abstractNum>
  <w:abstractNum w:abstractNumId="594">
    <w:nsid w:val="CF19F38"/>
    <w:multiLevelType w:val="hybridMultilevel"/>
    <w:lvl w:ilvl="0">
      <w:lvlJc w:val="left"/>
      <w:lvlText w:val="(%1)"/>
      <w:numFmt w:val="lowerLetter"/>
      <w:start w:val="1"/>
    </w:lvl>
  </w:abstractNum>
  <w:abstractNum w:abstractNumId="595">
    <w:nsid w:val="4AE135E2"/>
    <w:multiLevelType w:val="hybridMultilevel"/>
    <w:lvl w:ilvl="0">
      <w:lvlJc w:val="left"/>
      <w:lvlText w:val="(%1)"/>
      <w:numFmt w:val="lowerLetter"/>
      <w:start w:val="2"/>
    </w:lvl>
  </w:abstractNum>
  <w:abstractNum w:abstractNumId="596">
    <w:nsid w:val="7BD1DCF"/>
    <w:multiLevelType w:val="hybridMultilevel"/>
    <w:lvl w:ilvl="0">
      <w:lvlJc w:val="left"/>
      <w:lvlText w:val="(%1)"/>
      <w:numFmt w:val="lowerLetter"/>
      <w:start w:val="1"/>
    </w:lvl>
  </w:abstractNum>
  <w:abstractNum w:abstractNumId="597">
    <w:nsid w:val="A91E1DC"/>
    <w:multiLevelType w:val="hybridMultilevel"/>
    <w:lvl w:ilvl="0">
      <w:lvlJc w:val="left"/>
      <w:lvlText w:val="(%1)"/>
      <w:numFmt w:val="lowerLetter"/>
      <w:start w:val="2"/>
    </w:lvl>
  </w:abstractNum>
  <w:abstractNum w:abstractNumId="598">
    <w:nsid w:val="1236898D"/>
    <w:multiLevelType w:val="hybridMultilevel"/>
    <w:lvl w:ilvl="0">
      <w:lvlJc w:val="left"/>
      <w:lvlText w:val="(%1)"/>
      <w:numFmt w:val="lowerLetter"/>
      <w:start w:val="1"/>
    </w:lvl>
    <w:lvl w:ilvl="1">
      <w:lvlJc w:val="left"/>
      <w:lvlText w:val="(%2)"/>
      <w:numFmt w:val="lowerRoman"/>
      <w:start w:val="1"/>
    </w:lvl>
  </w:abstractNum>
  <w:abstractNum w:abstractNumId="599">
    <w:nsid w:val="62710862"/>
    <w:multiLevelType w:val="hybridMultilevel"/>
    <w:lvl w:ilvl="0">
      <w:lvlJc w:val="left"/>
      <w:lvlText w:val="%1"/>
      <w:numFmt w:val="lowerLetter"/>
      <w:start w:val="1"/>
    </w:lvl>
    <w:lvl w:ilvl="1">
      <w:lvlJc w:val="left"/>
      <w:lvlText w:val="(%2)"/>
      <w:numFmt w:val="lowerRoman"/>
      <w:start w:val="2"/>
    </w:lvl>
  </w:abstractNum>
  <w:abstractNum w:abstractNumId="600">
    <w:nsid w:val="7EA94A2B"/>
    <w:multiLevelType w:val="hybridMultilevel"/>
    <w:lvl w:ilvl="0">
      <w:lvlJc w:val="left"/>
      <w:lvlText w:val="(%1)"/>
      <w:numFmt w:val="lowerLetter"/>
      <w:start w:val="3"/>
    </w:lvl>
    <w:lvl w:ilvl="1">
      <w:lvlJc w:val="left"/>
      <w:lvlText w:val="%2"/>
      <w:numFmt w:val="lowerRoman"/>
      <w:start w:val="1"/>
    </w:lvl>
  </w:abstractNum>
  <w:abstractNum w:abstractNumId="601">
    <w:nsid w:val="20D49DA3"/>
    <w:multiLevelType w:val="hybridMultilevel"/>
    <w:lvl w:ilvl="0">
      <w:lvlJc w:val="left"/>
      <w:lvlText w:val="(%1)"/>
      <w:numFmt w:val="lowerLetter"/>
      <w:start w:val="1"/>
    </w:lvl>
  </w:abstractNum>
  <w:abstractNum w:abstractNumId="602">
    <w:nsid w:val="6272919F"/>
    <w:multiLevelType w:val="hybridMultilevel"/>
    <w:lvl w:ilvl="0">
      <w:lvlJc w:val="left"/>
      <w:lvlText w:val="(%1)"/>
      <w:numFmt w:val="lowerLetter"/>
      <w:start w:val="3"/>
    </w:lvl>
  </w:abstractNum>
  <w:abstractNum w:abstractNumId="603">
    <w:nsid w:val="127DED1D"/>
    <w:multiLevelType w:val="hybridMultilevel"/>
    <w:lvl w:ilvl="0">
      <w:lvlJc w:val="left"/>
      <w:lvlText w:val="(%1)"/>
      <w:numFmt w:val="lowerLetter"/>
      <w:start w:val="1"/>
    </w:lvl>
  </w:abstractNum>
  <w:abstractNum w:abstractNumId="604">
    <w:nsid w:val="483966AA"/>
    <w:multiLevelType w:val="hybridMultilevel"/>
    <w:lvl w:ilvl="0">
      <w:lvlJc w:val="left"/>
      <w:lvlText w:val="(%1)"/>
      <w:numFmt w:val="lowerLetter"/>
      <w:start w:val="1"/>
    </w:lvl>
  </w:abstractNum>
  <w:abstractNum w:abstractNumId="605">
    <w:nsid w:val="667FC831"/>
    <w:multiLevelType w:val="hybridMultilevel"/>
    <w:lvl w:ilvl="0">
      <w:lvlJc w:val="left"/>
      <w:lvlText w:val="(%1)"/>
      <w:numFmt w:val="lowerRoman"/>
      <w:start w:val="1"/>
    </w:lvl>
  </w:abstractNum>
  <w:abstractNum w:abstractNumId="606">
    <w:nsid w:val="34ADB582"/>
    <w:multiLevelType w:val="hybridMultilevel"/>
    <w:lvl w:ilvl="0">
      <w:lvlJc w:val="left"/>
      <w:lvlText w:val="(%1)"/>
      <w:numFmt w:val="lowerLetter"/>
      <w:start w:val="1"/>
    </w:lvl>
  </w:abstractNum>
  <w:abstractNum w:abstractNumId="607">
    <w:nsid w:val="4CB58EA4"/>
    <w:multiLevelType w:val="hybridMultilevel"/>
    <w:lvl w:ilvl="0">
      <w:lvlJc w:val="left"/>
      <w:lvlText w:val="(%1)"/>
      <w:numFmt w:val="lowerLetter"/>
      <w:start w:val="2"/>
    </w:lvl>
  </w:abstractNum>
  <w:abstractNum w:abstractNumId="608">
    <w:nsid w:val="39629FFA"/>
    <w:multiLevelType w:val="hybridMultilevel"/>
    <w:lvl w:ilvl="0">
      <w:lvlJc w:val="left"/>
      <w:lvlText w:val="(%1)"/>
      <w:numFmt w:val="lowerLetter"/>
      <w:start w:val="1"/>
    </w:lvl>
  </w:abstractNum>
  <w:abstractNum w:abstractNumId="609">
    <w:nsid w:val="71F94ADC"/>
    <w:multiLevelType w:val="hybridMultilevel"/>
    <w:lvl w:ilvl="0">
      <w:lvlJc w:val="left"/>
      <w:lvlText w:val="%1."/>
      <w:numFmt w:val="decimal"/>
      <w:start w:val="1"/>
    </w:lvl>
  </w:abstractNum>
  <w:abstractNum w:abstractNumId="610">
    <w:nsid w:val="27FFB15A"/>
    <w:multiLevelType w:val="hybridMultilevel"/>
    <w:lvl w:ilvl="0">
      <w:lvlJc w:val="left"/>
      <w:lvlText w:val="%1."/>
      <w:numFmt w:val="decimal"/>
      <w:start w:val="3"/>
    </w:lvl>
    <w:lvl w:ilvl="1">
      <w:lvlJc w:val="left"/>
      <w:lvlText w:val="(%2)"/>
      <w:numFmt w:val="lowerLetter"/>
      <w:start w:val="1"/>
    </w:lvl>
  </w:abstractNum>
  <w:abstractNum w:abstractNumId="611">
    <w:nsid w:val="48BE57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12">
    <w:nsid w:val="142AC06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13">
    <w:nsid w:val="5FA54049"/>
    <w:multiLevelType w:val="hybridMultilevel"/>
    <w:lvl w:ilvl="0">
      <w:lvlJc w:val="left"/>
      <w:lvlText w:val="(%1)"/>
      <w:numFmt w:val="lowerRoman"/>
      <w:start w:val="4"/>
    </w:lvl>
  </w:abstractNum>
  <w:abstractNum w:abstractNumId="614">
    <w:nsid w:val="2CBE7670"/>
    <w:multiLevelType w:val="hybridMultilevel"/>
    <w:lvl w:ilvl="0">
      <w:lvlJc w:val="left"/>
      <w:lvlText w:val="(%1)"/>
      <w:numFmt w:val="lowerLetter"/>
      <w:start w:val="2"/>
    </w:lvl>
  </w:abstractNum>
  <w:abstractNum w:abstractNumId="615">
    <w:nsid w:val="5D86CF11"/>
    <w:multiLevelType w:val="hybridMultilevel"/>
    <w:lvl w:ilvl="0">
      <w:lvlJc w:val="left"/>
      <w:lvlText w:val="%1."/>
      <w:numFmt w:val="decimal"/>
      <w:start w:val="10"/>
    </w:lvl>
    <w:lvl w:ilvl="1">
      <w:lvlJc w:val="left"/>
      <w:lvlText w:val="(%2)"/>
      <w:numFmt w:val="lowerLetter"/>
      <w:start w:val="1"/>
    </w:lvl>
  </w:abstractNum>
  <w:abstractNum w:abstractNumId="616">
    <w:nsid w:val="69EF4674"/>
    <w:multiLevelType w:val="hybridMultilevel"/>
    <w:lvl w:ilvl="0">
      <w:lvlJc w:val="left"/>
      <w:lvlText w:val="%1."/>
      <w:numFmt w:val="decimal"/>
      <w:start w:val="12"/>
    </w:lvl>
    <w:lvl w:ilvl="1">
      <w:lvlJc w:val="left"/>
      <w:lvlText w:val="(%2)"/>
      <w:numFmt w:val="lowerLetter"/>
      <w:start w:val="1"/>
    </w:lvl>
  </w:abstractNum>
  <w:abstractNum w:abstractNumId="617">
    <w:nsid w:val="68ABEFB0"/>
    <w:multiLevelType w:val="hybridMultilevel"/>
    <w:lvl w:ilvl="0">
      <w:lvlJc w:val="left"/>
      <w:lvlText w:val="%1"/>
      <w:numFmt w:val="decimal"/>
      <w:start w:val="1"/>
    </w:lvl>
    <w:lvl w:ilvl="1">
      <w:lvlJc w:val="left"/>
      <w:lvlText w:val="(%2)"/>
      <w:numFmt w:val="lowerLetter"/>
      <w:start w:val="4"/>
    </w:lvl>
  </w:abstractNum>
  <w:abstractNum w:abstractNumId="618">
    <w:nsid w:val="326C3C76"/>
    <w:multiLevelType w:val="hybridMultilevel"/>
    <w:lvl w:ilvl="0">
      <w:lvlJc w:val="left"/>
      <w:lvlText w:val="%1."/>
      <w:numFmt w:val="decimal"/>
      <w:start w:val="13"/>
    </w:lvl>
    <w:lvl w:ilvl="1">
      <w:lvlJc w:val="left"/>
      <w:lvlText w:val="%2"/>
      <w:numFmt w:val="lowerLetter"/>
      <w:start w:val="1"/>
    </w:lvl>
  </w:abstractNum>
  <w:abstractNum w:abstractNumId="619">
    <w:nsid w:val="58A36FCA"/>
    <w:multiLevelType w:val="hybridMultilevel"/>
    <w:lvl w:ilvl="0">
      <w:lvlJc w:val="left"/>
      <w:lvlText w:val="%1."/>
      <w:numFmt w:val="decimal"/>
      <w:start w:val="17"/>
    </w:lvl>
    <w:lvl w:ilvl="1">
      <w:lvlJc w:val="left"/>
      <w:lvlText w:val="(%2)"/>
      <w:numFmt w:val="lowerLetter"/>
      <w:start w:val="1"/>
    </w:lvl>
  </w:abstractNum>
  <w:abstractNum w:abstractNumId="620">
    <w:nsid w:val="129B95F2"/>
    <w:multiLevelType w:val="hybridMultilevel"/>
    <w:lvl w:ilvl="0">
      <w:lvlJc w:val="left"/>
      <w:lvlText w:val="%1."/>
      <w:numFmt w:val="decimal"/>
      <w:start w:val="21"/>
    </w:lvl>
  </w:abstractNum>
  <w:abstractNum w:abstractNumId="621">
    <w:nsid w:val="309FB9AB"/>
    <w:multiLevelType w:val="hybridMultilevel"/>
    <w:lvl w:ilvl="0">
      <w:lvlJc w:val="left"/>
      <w:lvlText w:val="%1."/>
      <w:numFmt w:val="decimal"/>
      <w:start w:val="1"/>
    </w:lvl>
  </w:abstractNum>
  <w:abstractNum w:abstractNumId="622">
    <w:nsid w:val="782FF375"/>
    <w:multiLevelType w:val="hybridMultilevel"/>
    <w:lvl w:ilvl="0">
      <w:lvlJc w:val="left"/>
      <w:lvlText w:val="%1."/>
      <w:numFmt w:val="decimal"/>
      <w:start w:val="5"/>
    </w:lvl>
    <w:lvl w:ilvl="1">
      <w:lvlJc w:val="left"/>
      <w:lvlText w:val="(%2)"/>
      <w:numFmt w:val="lowerLetter"/>
      <w:start w:val="1"/>
    </w:lvl>
  </w:abstractNum>
  <w:abstractNum w:abstractNumId="623">
    <w:nsid w:val="2B8FA025"/>
    <w:multiLevelType w:val="hybridMultilevel"/>
    <w:lvl w:ilvl="0">
      <w:lvlJc w:val="left"/>
      <w:lvlText w:val="(%1)"/>
      <w:numFmt w:val="lowerLetter"/>
      <w:start w:val="3"/>
    </w:lvl>
    <w:lvl w:ilvl="1">
      <w:lvlJc w:val="left"/>
      <w:lvlText w:val="(%2)"/>
      <w:numFmt w:val="lowerRoman"/>
      <w:start w:val="1"/>
    </w:lvl>
  </w:abstractNum>
  <w:abstractNum w:abstractNumId="624">
    <w:nsid w:val="40F9991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25">
    <w:nsid w:val="52192AD"/>
    <w:multiLevelType w:val="hybridMultilevel"/>
    <w:lvl w:ilvl="0">
      <w:lvlJc w:val="left"/>
      <w:lvlText w:val="%1"/>
      <w:numFmt w:val="decimal"/>
      <w:start w:val="1"/>
    </w:lvl>
    <w:lvl w:ilvl="1">
      <w:lvlJc w:val="left"/>
      <w:lvlText w:val="(%2)"/>
      <w:numFmt w:val="lowerLetter"/>
      <w:start w:val="2"/>
    </w:lvl>
  </w:abstractNum>
  <w:abstractNum w:abstractNumId="626">
    <w:nsid w:val="7670D608"/>
    <w:multiLevelType w:val="hybridMultilevel"/>
    <w:lvl w:ilvl="0">
      <w:lvlJc w:val="left"/>
      <w:lvlText w:val="%1."/>
      <w:numFmt w:val="decimal"/>
      <w:start w:val="10"/>
    </w:lvl>
    <w:lvl w:ilvl="1">
      <w:lvlJc w:val="left"/>
      <w:lvlText w:val="(%2)"/>
      <w:numFmt w:val="lowerLetter"/>
      <w:start w:val="1"/>
    </w:lvl>
  </w:abstractNum>
  <w:abstractNum w:abstractNumId="627">
    <w:nsid w:val="48B6B6EB"/>
    <w:multiLevelType w:val="hybridMultilevel"/>
    <w:lvl w:ilvl="0">
      <w:lvlJc w:val="left"/>
      <w:lvlText w:val="%1"/>
      <w:numFmt w:val="decimal"/>
      <w:start w:val="1"/>
    </w:lvl>
    <w:lvl w:ilvl="1">
      <w:lvlJc w:val="left"/>
      <w:lvlText w:val="(%2)"/>
      <w:numFmt w:val="lowerLetter"/>
      <w:start w:val="3"/>
    </w:lvl>
  </w:abstractNum>
  <w:abstractNum w:abstractNumId="628">
    <w:nsid w:val="FB37489"/>
    <w:multiLevelType w:val="hybridMultilevel"/>
    <w:lvl w:ilvl="0">
      <w:lvlJc w:val="left"/>
      <w:lvlText w:val="%1."/>
      <w:numFmt w:val="decimal"/>
      <w:start w:val="11"/>
    </w:lvl>
    <w:lvl w:ilvl="1">
      <w:lvlJc w:val="left"/>
      <w:lvlText w:val="(%2)"/>
      <w:numFmt w:val="lowerLetter"/>
      <w:start w:val="1"/>
    </w:lvl>
  </w:abstractNum>
  <w:abstractNum w:abstractNumId="629">
    <w:nsid w:val="8A75F95"/>
    <w:multiLevelType w:val="hybridMultilevel"/>
    <w:lvl w:ilvl="0">
      <w:lvlJc w:val="left"/>
      <w:lvlText w:val="(%1)"/>
      <w:numFmt w:val="lowerLetter"/>
      <w:start w:val="2"/>
    </w:lvl>
  </w:abstractNum>
  <w:abstractNum w:abstractNumId="630">
    <w:nsid w:val="2B27BF4D"/>
    <w:multiLevelType w:val="hybridMultilevel"/>
    <w:lvl w:ilvl="0">
      <w:lvlJc w:val="left"/>
      <w:lvlText w:val="%1."/>
      <w:numFmt w:val="decimal"/>
      <w:start w:val="13"/>
    </w:lvl>
    <w:lvl w:ilvl="1">
      <w:lvlJc w:val="left"/>
      <w:lvlText w:val="(%2)"/>
      <w:numFmt w:val="lowerLetter"/>
      <w:start w:val="1"/>
    </w:lvl>
  </w:abstractNum>
  <w:abstractNum w:abstractNumId="631">
    <w:nsid w:val="E5CBEB4"/>
    <w:multiLevelType w:val="hybridMultilevel"/>
    <w:lvl w:ilvl="0">
      <w:lvlJc w:val="left"/>
      <w:lvlText w:val="%1"/>
      <w:numFmt w:val="decimal"/>
      <w:start w:val="1"/>
    </w:lvl>
    <w:lvl w:ilvl="1">
      <w:lvlJc w:val="left"/>
      <w:lvlText w:val="(%2)"/>
      <w:numFmt w:val="lowerLetter"/>
      <w:start w:val="3"/>
    </w:lvl>
  </w:abstractNum>
  <w:abstractNum w:abstractNumId="632">
    <w:nsid w:val="297BFD38"/>
    <w:multiLevelType w:val="hybridMultilevel"/>
    <w:lvl w:ilvl="0">
      <w:lvlJc w:val="left"/>
      <w:lvlText w:val="%1."/>
      <w:numFmt w:val="decimal"/>
      <w:start w:val="19"/>
    </w:lvl>
    <w:lvl w:ilvl="1">
      <w:lvlJc w:val="left"/>
      <w:lvlText w:val="%2"/>
      <w:numFmt w:val="lowerLetter"/>
      <w:start w:val="1"/>
    </w:lvl>
  </w:abstractNum>
  <w:abstractNum w:abstractNumId="633">
    <w:nsid w:val="D9A50ED"/>
    <w:multiLevelType w:val="hybridMultilevel"/>
    <w:lvl w:ilvl="0">
      <w:lvlJc w:val="left"/>
      <w:lvlText w:val="%1."/>
      <w:numFmt w:val="decimal"/>
      <w:start w:val="23"/>
    </w:lvl>
  </w:abstractNum>
  <w:abstractNum w:abstractNumId="634">
    <w:nsid w:val="20DAABD1"/>
    <w:multiLevelType w:val="hybridMultilevel"/>
    <w:lvl w:ilvl="0">
      <w:lvlJc w:val="left"/>
      <w:lvlText w:val="%1."/>
      <w:numFmt w:val="decimal"/>
      <w:start w:val="1"/>
    </w:lvl>
  </w:abstractNum>
  <w:abstractNum w:abstractNumId="635">
    <w:nsid w:val="71B563E3"/>
    <w:multiLevelType w:val="hybridMultilevel"/>
    <w:lvl w:ilvl="0">
      <w:lvlJc w:val="left"/>
      <w:lvlText w:val="%1."/>
      <w:numFmt w:val="decimal"/>
      <w:start w:val="4"/>
    </w:lvl>
    <w:lvl w:ilvl="1">
      <w:lvlJc w:val="left"/>
      <w:lvlText w:val="(%2)"/>
      <w:numFmt w:val="lowerLetter"/>
      <w:start w:val="1"/>
    </w:lvl>
  </w:abstractNum>
  <w:abstractNum w:abstractNumId="636">
    <w:nsid w:val="741A191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37">
    <w:nsid w:val="5588615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38">
    <w:nsid w:val="3E6AF287"/>
    <w:multiLevelType w:val="hybridMultilevel"/>
    <w:lvl w:ilvl="0">
      <w:lvlJc w:val="left"/>
      <w:lvlText w:val="(%1)"/>
      <w:numFmt w:val="lowerRoman"/>
      <w:start w:val="4"/>
    </w:lvl>
  </w:abstractNum>
  <w:abstractNum w:abstractNumId="639">
    <w:nsid w:val="2D7CB919"/>
    <w:multiLevelType w:val="hybridMultilevel"/>
    <w:lvl w:ilvl="0">
      <w:lvlJc w:val="left"/>
      <w:lvlText w:val="(%1)"/>
      <w:numFmt w:val="lowerLetter"/>
      <w:start w:val="2"/>
    </w:lvl>
  </w:abstractNum>
  <w:abstractNum w:abstractNumId="640">
    <w:nsid w:val="4781AC2F"/>
    <w:multiLevelType w:val="hybridMultilevel"/>
    <w:lvl w:ilvl="0">
      <w:lvlJc w:val="left"/>
      <w:lvlText w:val="%1."/>
      <w:numFmt w:val="decimal"/>
      <w:start w:val="10"/>
    </w:lvl>
    <w:lvl w:ilvl="1">
      <w:lvlJc w:val="left"/>
      <w:lvlText w:val="(%2)"/>
      <w:numFmt w:val="lowerLetter"/>
      <w:start w:val="1"/>
    </w:lvl>
  </w:abstractNum>
  <w:abstractNum w:abstractNumId="641">
    <w:nsid w:val="666AA3E1"/>
    <w:multiLevelType w:val="hybridMultilevel"/>
    <w:lvl w:ilvl="0">
      <w:lvlJc w:val="left"/>
      <w:lvlText w:val="%1."/>
      <w:numFmt w:val="decimal"/>
      <w:start w:val="12"/>
    </w:lvl>
    <w:lvl w:ilvl="1">
      <w:lvlJc w:val="left"/>
      <w:lvlText w:val="(%2)"/>
      <w:numFmt w:val="lowerLetter"/>
      <w:start w:val="1"/>
    </w:lvl>
  </w:abstractNum>
  <w:abstractNum w:abstractNumId="642">
    <w:nsid w:val="32089E8C"/>
    <w:multiLevelType w:val="hybridMultilevel"/>
    <w:lvl w:ilvl="0">
      <w:lvlJc w:val="left"/>
      <w:lvlText w:val="%1"/>
      <w:numFmt w:val="decimal"/>
      <w:start w:val="1"/>
    </w:lvl>
    <w:lvl w:ilvl="1">
      <w:lvlJc w:val="left"/>
      <w:lvlText w:val="(%2)"/>
      <w:numFmt w:val="lowerLetter"/>
      <w:start w:val="5"/>
    </w:lvl>
  </w:abstractNum>
  <w:abstractNum w:abstractNumId="643">
    <w:nsid w:val="5BAC6C9C"/>
    <w:multiLevelType w:val="hybridMultilevel"/>
    <w:lvl w:ilvl="0">
      <w:lvlJc w:val="left"/>
      <w:lvlText w:val="%1."/>
      <w:numFmt w:val="decimal"/>
      <w:start w:val="13"/>
    </w:lvl>
    <w:lvl w:ilvl="1">
      <w:lvlJc w:val="left"/>
      <w:lvlText w:val="%2"/>
      <w:numFmt w:val="lowerLetter"/>
      <w:start w:val="1"/>
    </w:lvl>
  </w:abstractNum>
  <w:abstractNum w:abstractNumId="644">
    <w:nsid w:val="460FE42B"/>
    <w:multiLevelType w:val="hybridMultilevel"/>
    <w:lvl w:ilvl="0">
      <w:lvlJc w:val="left"/>
      <w:lvlText w:val="%1."/>
      <w:numFmt w:val="decimal"/>
      <w:start w:val="18"/>
    </w:lvl>
    <w:lvl w:ilvl="1">
      <w:lvlJc w:val="left"/>
      <w:lvlText w:val="(%2)"/>
      <w:numFmt w:val="lowerLetter"/>
      <w:start w:val="1"/>
    </w:lvl>
  </w:abstractNum>
  <w:abstractNum w:abstractNumId="645">
    <w:nsid w:val="5EC714FC"/>
    <w:multiLevelType w:val="hybridMultilevel"/>
    <w:lvl w:ilvl="0">
      <w:lvlJc w:val="left"/>
      <w:lvlText w:val="%1."/>
      <w:numFmt w:val="decimal"/>
      <w:start w:val="21"/>
    </w:lvl>
  </w:abstractNum>
  <w:abstractNum w:abstractNumId="646">
    <w:nsid w:val="39333BAD"/>
    <w:multiLevelType w:val="hybridMultilevel"/>
    <w:lvl w:ilvl="0">
      <w:lvlJc w:val="left"/>
      <w:lvlText w:val="%1."/>
      <w:numFmt w:val="decimal"/>
      <w:start w:val="1"/>
    </w:lvl>
  </w:abstractNum>
  <w:abstractNum w:abstractNumId="647">
    <w:nsid w:val="2FFF2A9F"/>
    <w:multiLevelType w:val="hybridMultilevel"/>
    <w:lvl w:ilvl="0">
      <w:lvlJc w:val="left"/>
      <w:lvlText w:val="%1."/>
      <w:numFmt w:val="decimal"/>
      <w:start w:val="4"/>
    </w:lvl>
    <w:lvl w:ilvl="1">
      <w:lvlJc w:val="left"/>
      <w:lvlText w:val="(%2)"/>
      <w:numFmt w:val="lowerLetter"/>
      <w:start w:val="1"/>
    </w:lvl>
  </w:abstractNum>
  <w:abstractNum w:abstractNumId="648">
    <w:nsid w:val="477304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9">
    <w:nsid w:val="6B9F782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50">
    <w:nsid w:val="8A29A69"/>
    <w:multiLevelType w:val="hybridMultilevel"/>
    <w:lvl w:ilvl="0">
      <w:lvlJc w:val="left"/>
      <w:lvlText w:val="(%1)"/>
      <w:numFmt w:val="lowerRoman"/>
      <w:start w:val="4"/>
    </w:lvl>
  </w:abstractNum>
  <w:abstractNum w:abstractNumId="651">
    <w:nsid w:val="5A0E9A9F"/>
    <w:multiLevelType w:val="hybridMultilevel"/>
    <w:lvl w:ilvl="0">
      <w:lvlJc w:val="left"/>
      <w:lvlText w:val="(%1)"/>
      <w:numFmt w:val="lowerLetter"/>
      <w:start w:val="2"/>
    </w:lvl>
  </w:abstractNum>
  <w:abstractNum w:abstractNumId="652">
    <w:nsid w:val="1C3F31CE"/>
    <w:multiLevelType w:val="hybridMultilevel"/>
    <w:lvl w:ilvl="0">
      <w:lvlJc w:val="left"/>
      <w:lvlText w:val="%1."/>
      <w:numFmt w:val="decimal"/>
      <w:start w:val="10"/>
    </w:lvl>
    <w:lvl w:ilvl="1">
      <w:lvlJc w:val="left"/>
      <w:lvlText w:val="(%2)"/>
      <w:numFmt w:val="lowerLetter"/>
      <w:start w:val="1"/>
    </w:lvl>
  </w:abstractNum>
  <w:abstractNum w:abstractNumId="653">
    <w:nsid w:val="D28DDE"/>
    <w:multiLevelType w:val="hybridMultilevel"/>
    <w:lvl w:ilvl="0">
      <w:lvlJc w:val="left"/>
      <w:lvlText w:val="%1."/>
      <w:numFmt w:val="decimal"/>
      <w:start w:val="12"/>
    </w:lvl>
    <w:lvl w:ilvl="1">
      <w:lvlJc w:val="left"/>
      <w:lvlText w:val="(%2)"/>
      <w:numFmt w:val="lowerLetter"/>
      <w:start w:val="1"/>
    </w:lvl>
  </w:abstractNum>
  <w:abstractNum w:abstractNumId="654">
    <w:nsid w:val="59E3AC4"/>
    <w:multiLevelType w:val="hybridMultilevel"/>
    <w:lvl w:ilvl="0">
      <w:lvlJc w:val="left"/>
      <w:lvlText w:val="%1"/>
      <w:numFmt w:val="decimal"/>
      <w:start w:val="1"/>
    </w:lvl>
    <w:lvl w:ilvl="1">
      <w:lvlJc w:val="left"/>
      <w:lvlText w:val="(%2)"/>
      <w:numFmt w:val="lowerLetter"/>
      <w:start w:val="5"/>
    </w:lvl>
  </w:abstractNum>
  <w:abstractNum w:abstractNumId="655">
    <w:nsid w:val="5D38CAEA"/>
    <w:multiLevelType w:val="hybridMultilevel"/>
    <w:lvl w:ilvl="0">
      <w:lvlJc w:val="left"/>
      <w:lvlText w:val="%1."/>
      <w:numFmt w:val="decimal"/>
      <w:start w:val="13"/>
    </w:lvl>
    <w:lvl w:ilvl="1">
      <w:lvlJc w:val="left"/>
      <w:lvlText w:val="%2"/>
      <w:numFmt w:val="lowerLetter"/>
      <w:start w:val="1"/>
    </w:lvl>
  </w:abstractNum>
  <w:abstractNum w:abstractNumId="656">
    <w:nsid w:val="5F4208C"/>
    <w:multiLevelType w:val="hybridMultilevel"/>
    <w:lvl w:ilvl="0">
      <w:lvlJc w:val="left"/>
      <w:lvlText w:val="%1."/>
      <w:numFmt w:val="decimal"/>
      <w:start w:val="18"/>
    </w:lvl>
    <w:lvl w:ilvl="1">
      <w:lvlJc w:val="left"/>
      <w:lvlText w:val="(%2)"/>
      <w:numFmt w:val="lowerLetter"/>
      <w:start w:val="1"/>
    </w:lvl>
  </w:abstractNum>
  <w:abstractNum w:abstractNumId="657">
    <w:nsid w:val="7C0F10CC"/>
    <w:multiLevelType w:val="hybridMultilevel"/>
    <w:lvl w:ilvl="0">
      <w:lvlJc w:val="left"/>
      <w:lvlText w:val="%1."/>
      <w:numFmt w:val="decimal"/>
      <w:start w:val="21"/>
    </w:lvl>
  </w:abstractNum>
  <w:abstractNum w:abstractNumId="658">
    <w:nsid w:val="25EF81D5"/>
    <w:multiLevelType w:val="hybridMultilevel"/>
    <w:lvl w:ilvl="0">
      <w:lvlJc w:val="left"/>
      <w:lvlText w:val="%1."/>
      <w:numFmt w:val="decimal"/>
      <w:start w:val="1"/>
    </w:lvl>
  </w:abstractNum>
  <w:abstractNum w:abstractNumId="659">
    <w:nsid w:val="15A79515"/>
    <w:multiLevelType w:val="hybridMultilevel"/>
    <w:lvl w:ilvl="0">
      <w:lvlJc w:val="left"/>
      <w:lvlText w:val="%1."/>
      <w:numFmt w:val="decimal"/>
      <w:start w:val="4"/>
    </w:lvl>
    <w:lvl w:ilvl="1">
      <w:lvlJc w:val="left"/>
      <w:lvlText w:val="(%2)"/>
      <w:numFmt w:val="lowerLetter"/>
      <w:start w:val="1"/>
    </w:lvl>
  </w:abstractNum>
  <w:abstractNum w:abstractNumId="660">
    <w:nsid w:val="4B6706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61">
    <w:nsid w:val="5117412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62">
    <w:nsid w:val="240453CA"/>
    <w:multiLevelType w:val="hybridMultilevel"/>
    <w:lvl w:ilvl="0">
      <w:lvlJc w:val="left"/>
      <w:lvlText w:val="(%1)"/>
      <w:numFmt w:val="lowerRoman"/>
      <w:start w:val="4"/>
    </w:lvl>
  </w:abstractNum>
  <w:abstractNum w:abstractNumId="663">
    <w:nsid w:val="2E326D9A"/>
    <w:multiLevelType w:val="hybridMultilevel"/>
    <w:lvl w:ilvl="0">
      <w:lvlJc w:val="left"/>
      <w:lvlText w:val="(%1)"/>
      <w:numFmt w:val="lowerLetter"/>
      <w:start w:val="2"/>
    </w:lvl>
  </w:abstractNum>
  <w:abstractNum w:abstractNumId="664">
    <w:nsid w:val="5EB19210"/>
    <w:multiLevelType w:val="hybridMultilevel"/>
    <w:lvl w:ilvl="0">
      <w:lvlJc w:val="left"/>
      <w:lvlText w:val="%1."/>
      <w:numFmt w:val="decimal"/>
      <w:start w:val="10"/>
    </w:lvl>
    <w:lvl w:ilvl="1">
      <w:lvlJc w:val="left"/>
      <w:lvlText w:val="(%2)"/>
      <w:numFmt w:val="lowerLetter"/>
      <w:start w:val="1"/>
    </w:lvl>
  </w:abstractNum>
  <w:abstractNum w:abstractNumId="665">
    <w:nsid w:val="44DEFF9B"/>
    <w:multiLevelType w:val="hybridMultilevel"/>
    <w:lvl w:ilvl="0">
      <w:lvlJc w:val="left"/>
      <w:lvlText w:val="%1."/>
      <w:numFmt w:val="decimal"/>
      <w:start w:val="12"/>
    </w:lvl>
    <w:lvl w:ilvl="1">
      <w:lvlJc w:val="left"/>
      <w:lvlText w:val="(%2)"/>
      <w:numFmt w:val="lowerLetter"/>
      <w:start w:val="1"/>
    </w:lvl>
  </w:abstractNum>
  <w:abstractNum w:abstractNumId="666">
    <w:nsid w:val="1FE7D17D"/>
    <w:multiLevelType w:val="hybridMultilevel"/>
    <w:lvl w:ilvl="0">
      <w:lvlJc w:val="left"/>
      <w:lvlText w:val="%1"/>
      <w:numFmt w:val="decimal"/>
      <w:start w:val="1"/>
    </w:lvl>
    <w:lvl w:ilvl="1">
      <w:lvlJc w:val="left"/>
      <w:lvlText w:val="(%2)"/>
      <w:numFmt w:val="lowerLetter"/>
      <w:start w:val="5"/>
    </w:lvl>
  </w:abstractNum>
  <w:abstractNum w:abstractNumId="667">
    <w:nsid w:val="52CBAB2E"/>
    <w:multiLevelType w:val="hybridMultilevel"/>
    <w:lvl w:ilvl="0">
      <w:lvlJc w:val="left"/>
      <w:lvlText w:val="%1."/>
      <w:numFmt w:val="decimal"/>
      <w:start w:val="13"/>
    </w:lvl>
    <w:lvl w:ilvl="1">
      <w:lvlJc w:val="left"/>
      <w:lvlText w:val="%2"/>
      <w:numFmt w:val="lowerLetter"/>
      <w:start w:val="1"/>
    </w:lvl>
  </w:abstractNum>
  <w:abstractNum w:abstractNumId="668">
    <w:nsid w:val="1A6760EF"/>
    <w:multiLevelType w:val="hybridMultilevel"/>
    <w:lvl w:ilvl="0">
      <w:lvlJc w:val="left"/>
      <w:lvlText w:val="%1."/>
      <w:numFmt w:val="decimal"/>
      <w:start w:val="18"/>
    </w:lvl>
    <w:lvl w:ilvl="1">
      <w:lvlJc w:val="left"/>
      <w:lvlText w:val="(%2)"/>
      <w:numFmt w:val="lowerLetter"/>
      <w:start w:val="1"/>
    </w:lvl>
  </w:abstractNum>
  <w:abstractNum w:abstractNumId="669">
    <w:nsid w:val="5E52C405"/>
    <w:multiLevelType w:val="hybridMultilevel"/>
    <w:lvl w:ilvl="0">
      <w:lvlJc w:val="left"/>
      <w:lvlText w:val="%1."/>
      <w:numFmt w:val="decimal"/>
      <w:start w:val="21"/>
    </w:lvl>
  </w:abstractNum>
  <w:abstractNum w:abstractNumId="670">
    <w:nsid w:val="486447"/>
    <w:multiLevelType w:val="hybridMultilevel"/>
    <w:lvl w:ilvl="0">
      <w:lvlJc w:val="left"/>
      <w:lvlText w:val="%1."/>
      <w:numFmt w:val="decimal"/>
      <w:start w:val="1"/>
    </w:lvl>
  </w:abstractNum>
  <w:abstractNum w:abstractNumId="671">
    <w:nsid w:val="61E90D1E"/>
    <w:multiLevelType w:val="hybridMultilevel"/>
    <w:lvl w:ilvl="0">
      <w:lvlJc w:val="left"/>
      <w:lvlText w:val="%1."/>
      <w:numFmt w:val="decimal"/>
      <w:start w:val="4"/>
    </w:lvl>
    <w:lvl w:ilvl="1">
      <w:lvlJc w:val="left"/>
      <w:lvlText w:val="(%2)"/>
      <w:numFmt w:val="lowerLetter"/>
      <w:start w:val="1"/>
    </w:lvl>
  </w:abstractNum>
  <w:abstractNum w:abstractNumId="672">
    <w:nsid w:val="44BD67E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3">
    <w:nsid w:val="325102D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74">
    <w:nsid w:val="3D9579BA"/>
    <w:multiLevelType w:val="hybridMultilevel"/>
    <w:lvl w:ilvl="0">
      <w:lvlJc w:val="left"/>
      <w:lvlText w:val="(%1)"/>
      <w:numFmt w:val="lowerRoman"/>
      <w:start w:val="4"/>
    </w:lvl>
  </w:abstractNum>
  <w:abstractNum w:abstractNumId="675">
    <w:nsid w:val="ACD4C11"/>
    <w:multiLevelType w:val="hybridMultilevel"/>
    <w:lvl w:ilvl="0">
      <w:lvlJc w:val="left"/>
      <w:lvlText w:val="(%1)"/>
      <w:numFmt w:val="lowerLetter"/>
      <w:start w:val="2"/>
    </w:lvl>
  </w:abstractNum>
  <w:abstractNum w:abstractNumId="676">
    <w:nsid w:val="111817CF"/>
    <w:multiLevelType w:val="hybridMultilevel"/>
    <w:lvl w:ilvl="0">
      <w:lvlJc w:val="left"/>
      <w:lvlText w:val="%1."/>
      <w:numFmt w:val="decimal"/>
      <w:start w:val="10"/>
    </w:lvl>
    <w:lvl w:ilvl="1">
      <w:lvlJc w:val="left"/>
      <w:lvlText w:val="(%2)"/>
      <w:numFmt w:val="lowerLetter"/>
      <w:start w:val="1"/>
    </w:lvl>
  </w:abstractNum>
  <w:abstractNum w:abstractNumId="677">
    <w:nsid w:val="76C8B568"/>
    <w:multiLevelType w:val="hybridMultilevel"/>
    <w:lvl w:ilvl="0">
      <w:lvlJc w:val="left"/>
      <w:lvlText w:val="%1."/>
      <w:numFmt w:val="decimal"/>
      <w:start w:val="12"/>
    </w:lvl>
    <w:lvl w:ilvl="1">
      <w:lvlJc w:val="left"/>
      <w:lvlText w:val="(%2)"/>
      <w:numFmt w:val="lowerLetter"/>
      <w:start w:val="1"/>
    </w:lvl>
  </w:abstractNum>
  <w:abstractNum w:abstractNumId="678">
    <w:nsid w:val="3ACC76B1"/>
    <w:multiLevelType w:val="hybridMultilevel"/>
    <w:lvl w:ilvl="0">
      <w:lvlJc w:val="left"/>
      <w:lvlText w:val="%1"/>
      <w:numFmt w:val="decimal"/>
      <w:start w:val="1"/>
    </w:lvl>
    <w:lvl w:ilvl="1">
      <w:lvlJc w:val="left"/>
      <w:lvlText w:val="(%2)"/>
      <w:numFmt w:val="lowerLetter"/>
      <w:start w:val="5"/>
    </w:lvl>
  </w:abstractNum>
  <w:abstractNum w:abstractNumId="679">
    <w:nsid w:val="588B1C7C"/>
    <w:multiLevelType w:val="hybridMultilevel"/>
    <w:lvl w:ilvl="0">
      <w:lvlJc w:val="left"/>
      <w:lvlText w:val="%1."/>
      <w:numFmt w:val="decimal"/>
      <w:start w:val="13"/>
    </w:lvl>
    <w:lvl w:ilvl="1">
      <w:lvlJc w:val="left"/>
      <w:lvlText w:val="%2"/>
      <w:numFmt w:val="lowerLetter"/>
      <w:start w:val="1"/>
    </w:lvl>
  </w:abstractNum>
  <w:abstractNum w:abstractNumId="680">
    <w:nsid w:val="62682D8B"/>
    <w:multiLevelType w:val="hybridMultilevel"/>
    <w:lvl w:ilvl="0">
      <w:lvlJc w:val="left"/>
      <w:lvlText w:val="%1."/>
      <w:numFmt w:val="decimal"/>
      <w:start w:val="18"/>
    </w:lvl>
    <w:lvl w:ilvl="1">
      <w:lvlJc w:val="left"/>
      <w:lvlText w:val="(%2)"/>
      <w:numFmt w:val="lowerLetter"/>
      <w:start w:val="1"/>
    </w:lvl>
  </w:abstractNum>
  <w:abstractNum w:abstractNumId="681">
    <w:nsid w:val="436F111A"/>
    <w:multiLevelType w:val="hybridMultilevel"/>
    <w:lvl w:ilvl="0">
      <w:lvlJc w:val="left"/>
      <w:lvlText w:val="%1."/>
      <w:numFmt w:val="decimal"/>
      <w:start w:val="21"/>
    </w:lvl>
  </w:abstractNum>
  <w:abstractNum w:abstractNumId="682">
    <w:nsid w:val="3299B71B"/>
    <w:multiLevelType w:val="hybridMultilevel"/>
    <w:lvl w:ilvl="0">
      <w:lvlJc w:val="left"/>
      <w:lvlText w:val="%1."/>
      <w:numFmt w:val="decimal"/>
      <w:start w:val="1"/>
    </w:lvl>
    <w:lvl w:ilvl="1">
      <w:lvlJc w:val="left"/>
      <w:lvlText w:val="(%2)"/>
      <w:numFmt w:val="lowerLetter"/>
      <w:start w:val="1"/>
    </w:lvl>
  </w:abstractNum>
  <w:abstractNum w:abstractNumId="683">
    <w:nsid w:val="7EA75F5A"/>
    <w:multiLevelType w:val="hybridMultilevel"/>
    <w:lvl w:ilvl="0">
      <w:lvlJc w:val="left"/>
      <w:lvlText w:val="%1"/>
      <w:numFmt w:val="decimal"/>
      <w:start w:val="1"/>
    </w:lvl>
    <w:lvl w:ilvl="1">
      <w:lvlJc w:val="left"/>
      <w:lvlText w:val="(%2)"/>
      <w:numFmt w:val="lowerLetter"/>
      <w:start w:val="2"/>
    </w:lvl>
  </w:abstractNum>
  <w:abstractNum w:abstractNumId="684">
    <w:nsid w:val="44419EF9"/>
    <w:multiLevelType w:val="hybridMultilevel"/>
    <w:lvl w:ilvl="0">
      <w:lvlJc w:val="left"/>
      <w:lvlText w:val="%1."/>
      <w:numFmt w:val="decimal"/>
      <w:start w:val="5"/>
    </w:lvl>
    <w:lvl w:ilvl="1">
      <w:lvlJc w:val="left"/>
      <w:lvlText w:val="%2"/>
      <w:numFmt w:val="lowerLetter"/>
      <w:start w:val="1"/>
    </w:lvl>
  </w:abstractNum>
  <w:abstractNum w:abstractNumId="685">
    <w:nsid w:val="3837F1DF"/>
    <w:multiLevelType w:val="hybridMultilevel"/>
    <w:lvl w:ilvl="0">
      <w:lvlJc w:val="left"/>
      <w:lvlText w:val="%1."/>
      <w:numFmt w:val="decimal"/>
      <w:start w:val="8"/>
    </w:lvl>
  </w:abstractNum>
  <w:abstractNum w:abstractNumId="686">
    <w:nsid w:val="5BE02A44"/>
    <w:multiLevelType w:val="hybridMultilevel"/>
    <w:lvl w:ilvl="0">
      <w:lvlJc w:val="left"/>
      <w:lvlText w:val="%1."/>
      <w:numFmt w:val="decimal"/>
      <w:start w:val="1"/>
    </w:lvl>
  </w:abstractNum>
  <w:abstractNum w:abstractNumId="687">
    <w:nsid w:val="4A35BF85"/>
    <w:multiLevelType w:val="hybridMultilevel"/>
    <w:lvl w:ilvl="0">
      <w:lvlJc w:val="left"/>
      <w:lvlText w:val="(%1)"/>
      <w:numFmt w:val="lowerLetter"/>
      <w:start w:val="1"/>
    </w:lvl>
  </w:abstractNum>
  <w:abstractNum w:abstractNumId="688">
    <w:nsid w:val="344702AC"/>
    <w:multiLevelType w:val="hybridMultilevel"/>
    <w:lvl w:ilvl="0">
      <w:lvlJc w:val="left"/>
      <w:lvlText w:val="%1"/>
      <w:numFmt w:val="decimal"/>
      <w:start w:val="1"/>
    </w:lvl>
    <w:lvl w:ilvl="1">
      <w:lvlJc w:val="left"/>
      <w:lvlText w:val="(%2)"/>
      <w:numFmt w:val="lowerLetter"/>
      <w:start w:val="2"/>
    </w:lvl>
  </w:abstractNum>
  <w:abstractNum w:abstractNumId="689">
    <w:nsid w:val="1CFAC1A"/>
    <w:multiLevelType w:val="hybridMultilevel"/>
    <w:lvl w:ilvl="0">
      <w:lvlJc w:val="left"/>
      <w:lvlText w:val="%1."/>
      <w:numFmt w:val="decimal"/>
      <w:start w:val="5"/>
    </w:lvl>
    <w:lvl w:ilvl="1">
      <w:lvlJc w:val="left"/>
      <w:lvlText w:val="%2"/>
      <w:numFmt w:val="lowerLetter"/>
      <w:start w:val="1"/>
    </w:lvl>
  </w:abstractNum>
  <w:abstractNum w:abstractNumId="690">
    <w:nsid w:val="5FDD549A"/>
    <w:multiLevelType w:val="hybridMultilevel"/>
    <w:lvl w:ilvl="0">
      <w:lvlJc w:val="left"/>
      <w:lvlText w:val="%1."/>
      <w:numFmt w:val="decimal"/>
      <w:start w:val="8"/>
    </w:lvl>
  </w:abstractNum>
  <w:abstractNum w:abstractNumId="691">
    <w:nsid w:val="38FD730E"/>
    <w:multiLevelType w:val="hybridMultilevel"/>
    <w:lvl w:ilvl="0">
      <w:lvlJc w:val="left"/>
      <w:lvlText w:val="%1"/>
      <w:numFmt w:val="upperLetter"/>
      <w:start w:val="1"/>
    </w:lvl>
    <w:lvl w:ilvl="1">
      <w:lvlJc w:val="left"/>
      <w:lvlText w:val="%2."/>
      <w:numFmt w:val="decimal"/>
      <w:start w:val="1"/>
    </w:lvl>
  </w:abstractNum>
  <w:abstractNum w:abstractNumId="692">
    <w:nsid w:val="52E6ED3D"/>
    <w:multiLevelType w:val="hybridMultilevel"/>
    <w:lvl w:ilvl="0">
      <w:lvlJc w:val="left"/>
      <w:lvlText w:val="%1."/>
      <w:numFmt w:val="upperLetter"/>
      <w:start w:val="1"/>
    </w:lvl>
    <w:lvl w:ilvl="1">
      <w:lvlJc w:val="left"/>
      <w:lvlText w:val="%2"/>
      <w:numFmt w:val="decimal"/>
      <w:start w:val="1"/>
    </w:lvl>
  </w:abstractNum>
  <w:abstractNum w:abstractNumId="693">
    <w:nsid w:val="3E1A864"/>
    <w:multiLevelType w:val="hybridMultilevel"/>
    <w:lvl w:ilvl="0">
      <w:lvlJc w:val="left"/>
      <w:lvlText w:val="%1."/>
      <w:numFmt w:val="upperLetter"/>
      <w:start w:val="2"/>
    </w:lvl>
    <w:lvl w:ilvl="1">
      <w:lvlJc w:val="left"/>
      <w:lvlText w:val="%2."/>
      <w:numFmt w:val="decimal"/>
      <w:start w:val="5"/>
    </w:lvl>
  </w:abstractNum>
  <w:abstractNum w:abstractNumId="694">
    <w:nsid w:val="672FE0A8"/>
    <w:multiLevelType w:val="hybridMultilevel"/>
    <w:lvl w:ilvl="0">
      <w:lvlJc w:val="left"/>
      <w:lvlText w:val="%1."/>
      <w:numFmt w:val="decimal"/>
      <w:start w:val="8"/>
    </w:lvl>
  </w:abstractNum>
  <w:abstractNum w:abstractNumId="695">
    <w:nsid w:val="31987F4D"/>
    <w:multiLevelType w:val="hybridMultilevel"/>
    <w:lvl w:ilvl="0">
      <w:lvlJc w:val="left"/>
      <w:lvlText w:val="%1"/>
      <w:numFmt w:val="upperLetter"/>
      <w:start w:val="1"/>
    </w:lvl>
    <w:lvl w:ilvl="1">
      <w:lvlJc w:val="left"/>
      <w:lvlText w:val="%2."/>
      <w:numFmt w:val="decimal"/>
      <w:start w:val="1"/>
    </w:lvl>
  </w:abstractNum>
  <w:abstractNum w:abstractNumId="696">
    <w:nsid w:val="48C0A800"/>
    <w:multiLevelType w:val="hybridMultilevel"/>
    <w:lvl w:ilvl="0">
      <w:lvlJc w:val="left"/>
      <w:lvlText w:val="%1."/>
      <w:numFmt w:val="upperLetter"/>
      <w:start w:val="1"/>
    </w:lvl>
    <w:lvl w:ilvl="1">
      <w:lvlJc w:val="left"/>
      <w:lvlText w:val="%2"/>
      <w:numFmt w:val="decimal"/>
      <w:start w:val="1"/>
    </w:lvl>
  </w:abstractNum>
  <w:abstractNum w:abstractNumId="697">
    <w:nsid w:val="717B226"/>
    <w:multiLevelType w:val="hybridMultilevel"/>
    <w:lvl w:ilvl="0">
      <w:lvlJc w:val="left"/>
      <w:lvlText w:val="%1."/>
      <w:numFmt w:val="upperLetter"/>
      <w:start w:val="2"/>
    </w:lvl>
    <w:lvl w:ilvl="1">
      <w:lvlJc w:val="left"/>
      <w:lvlText w:val="%2."/>
      <w:numFmt w:val="decimal"/>
      <w:start w:val="5"/>
    </w:lvl>
  </w:abstractNum>
  <w:abstractNum w:abstractNumId="698">
    <w:nsid w:val="4642A7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jpeg"/><Relationship Id="rId819" Type="http://schemas.openxmlformats.org/officeDocument/2006/relationships/image" Target="media/image812.png"/><Relationship Id="rId820" Type="http://schemas.openxmlformats.org/officeDocument/2006/relationships/image" Target="media/image813.jpeg"/><Relationship Id="rId821" Type="http://schemas.openxmlformats.org/officeDocument/2006/relationships/image" Target="media/image814.png"/><Relationship Id="rId822" Type="http://schemas.openxmlformats.org/officeDocument/2006/relationships/image" Target="media/image815.jpeg"/><Relationship Id="rId823" Type="http://schemas.openxmlformats.org/officeDocument/2006/relationships/image" Target="media/image816.png"/><Relationship Id="rId824" Type="http://schemas.openxmlformats.org/officeDocument/2006/relationships/image" Target="media/image817.jpeg"/><Relationship Id="rId825" Type="http://schemas.openxmlformats.org/officeDocument/2006/relationships/image" Target="media/image818.png"/><Relationship Id="rId826" Type="http://schemas.openxmlformats.org/officeDocument/2006/relationships/image" Target="media/image819.jpeg"/><Relationship Id="rId827" Type="http://schemas.openxmlformats.org/officeDocument/2006/relationships/image" Target="media/image820.png"/><Relationship Id="rId828" Type="http://schemas.openxmlformats.org/officeDocument/2006/relationships/image" Target="media/image821.jpeg"/><Relationship Id="rId829" Type="http://schemas.openxmlformats.org/officeDocument/2006/relationships/image" Target="media/image822.pn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jpe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jpe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jpe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jpe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2021-05-28T23:23:58Z</dcterms:created>
  <dcterms:modified xsi:type="dcterms:W3CDTF">2021-05-28T23:23:58Z</dcterms:modified>
</cp:coreProperties>
</file>