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20" w:firstLine="4"/>
        <w:spacing w:after="0" w:line="500" w:lineRule="auto"/>
        <w:tabs>
          <w:tab w:leader="none" w:pos="15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[_] Rule 13d-1(c)</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Rule 13d-1(d)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15673T100</w:t>
            </w:r>
          </w:p>
        </w:tc>
      </w:tr>
    </w:tbl>
    <w:p>
      <w:pPr>
        <w:spacing w:after="0" w:line="198" w:lineRule="exact"/>
        <w:rPr>
          <w:sz w:val="20"/>
          <w:szCs w:val="20"/>
          <w:color w:val="auto"/>
        </w:rPr>
      </w:pPr>
    </w:p>
    <w:p>
      <w:pPr>
        <w:ind w:left="1140" w:right="6800" w:hanging="1135"/>
        <w:spacing w:after="0" w:line="500"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Casdin Capital, LLC</w:t>
      </w:r>
    </w:p>
    <w:p>
      <w:pPr>
        <w:spacing w:after="0" w:line="1"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1140" w:hanging="113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right="5820" w:hanging="1135"/>
        <w:spacing w:after="0" w:line="53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1140" w:right="76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6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5,190,506</w:t>
      </w:r>
    </w:p>
    <w:p>
      <w:pPr>
        <w:spacing w:after="0" w:line="1" w:lineRule="exact"/>
        <w:rPr>
          <w:rFonts w:ascii="Times New Roman" w:cs="Times New Roman" w:eastAsia="Times New Roman" w:hAnsi="Times New Roman"/>
          <w:sz w:val="18"/>
          <w:szCs w:val="18"/>
          <w:color w:val="auto"/>
        </w:rPr>
      </w:pPr>
    </w:p>
    <w:p>
      <w:pPr>
        <w:ind w:left="1140" w:right="72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6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5,190,506</w:t>
      </w:r>
    </w:p>
    <w:p>
      <w:pPr>
        <w:spacing w:after="0" w:line="1" w:lineRule="exact"/>
        <w:rPr>
          <w:rFonts w:ascii="Times New Roman" w:cs="Times New Roman" w:eastAsia="Times New Roman" w:hAnsi="Times New Roman"/>
          <w:sz w:val="18"/>
          <w:szCs w:val="18"/>
          <w:color w:val="auto"/>
        </w:rPr>
      </w:pPr>
    </w:p>
    <w:p>
      <w:pPr>
        <w:ind w:left="1140" w:right="29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5,190,506</w:t>
      </w:r>
    </w:p>
    <w:p>
      <w:pPr>
        <w:spacing w:after="0" w:line="1" w:lineRule="exact"/>
        <w:rPr>
          <w:rFonts w:ascii="Times New Roman" w:cs="Times New Roman" w:eastAsia="Times New Roman" w:hAnsi="Times New Roman"/>
          <w:sz w:val="18"/>
          <w:szCs w:val="18"/>
          <w:color w:val="auto"/>
        </w:rPr>
      </w:pPr>
    </w:p>
    <w:p>
      <w:pPr>
        <w:ind w:left="1140" w:right="1980" w:hanging="1135"/>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9" w:lineRule="exact"/>
        <w:rPr>
          <w:sz w:val="20"/>
          <w:szCs w:val="20"/>
          <w:color w:val="auto"/>
        </w:rPr>
      </w:pPr>
    </w:p>
    <w:p>
      <w:pPr>
        <w:ind w:left="1140" w:right="4420" w:hanging="1135"/>
        <w:spacing w:after="0" w:line="49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6.08%</w:t>
      </w:r>
    </w:p>
    <w:p>
      <w:pPr>
        <w:ind w:left="1140" w:right="5140" w:hanging="1135"/>
        <w:spacing w:after="0" w:line="53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688"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15673T100</w:t>
            </w:r>
          </w:p>
        </w:tc>
      </w:tr>
    </w:tbl>
    <w:p>
      <w:pPr>
        <w:spacing w:after="0" w:line="198" w:lineRule="exact"/>
        <w:rPr>
          <w:sz w:val="20"/>
          <w:szCs w:val="20"/>
          <w:color w:val="auto"/>
        </w:rPr>
      </w:pPr>
    </w:p>
    <w:p>
      <w:pPr>
        <w:ind w:left="1140" w:right="6800" w:hanging="1135"/>
        <w:spacing w:after="0" w:line="50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Eli Casdin</w:t>
      </w:r>
    </w:p>
    <w:p>
      <w:pPr>
        <w:spacing w:after="0" w:line="1"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1140" w:hanging="113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right="5820" w:hanging="1135"/>
        <w:spacing w:after="0" w:line="53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1140" w:right="76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6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5,190,506</w:t>
      </w:r>
    </w:p>
    <w:p>
      <w:pPr>
        <w:spacing w:after="0" w:line="1" w:lineRule="exact"/>
        <w:rPr>
          <w:rFonts w:ascii="Times New Roman" w:cs="Times New Roman" w:eastAsia="Times New Roman" w:hAnsi="Times New Roman"/>
          <w:sz w:val="18"/>
          <w:szCs w:val="18"/>
          <w:color w:val="auto"/>
        </w:rPr>
      </w:pPr>
    </w:p>
    <w:p>
      <w:pPr>
        <w:ind w:left="1140" w:right="72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6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5,190,506</w:t>
      </w:r>
    </w:p>
    <w:p>
      <w:pPr>
        <w:spacing w:after="0" w:line="1" w:lineRule="exact"/>
        <w:rPr>
          <w:rFonts w:ascii="Times New Roman" w:cs="Times New Roman" w:eastAsia="Times New Roman" w:hAnsi="Times New Roman"/>
          <w:sz w:val="18"/>
          <w:szCs w:val="18"/>
          <w:color w:val="auto"/>
        </w:rPr>
      </w:pPr>
    </w:p>
    <w:p>
      <w:pPr>
        <w:ind w:left="1140" w:right="29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5,190,506</w:t>
      </w:r>
    </w:p>
    <w:p>
      <w:pPr>
        <w:spacing w:after="0" w:line="1" w:lineRule="exact"/>
        <w:rPr>
          <w:rFonts w:ascii="Times New Roman" w:cs="Times New Roman" w:eastAsia="Times New Roman" w:hAnsi="Times New Roman"/>
          <w:sz w:val="18"/>
          <w:szCs w:val="18"/>
          <w:color w:val="auto"/>
        </w:rPr>
      </w:pPr>
    </w:p>
    <w:p>
      <w:pPr>
        <w:ind w:left="1140" w:right="1980" w:hanging="1135"/>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2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6.08%</w:t>
      </w:r>
    </w:p>
    <w:p>
      <w:pPr>
        <w:spacing w:after="0" w:line="1" w:lineRule="exact"/>
        <w:rPr>
          <w:rFonts w:ascii="Times New Roman" w:cs="Times New Roman" w:eastAsia="Times New Roman" w:hAnsi="Times New Roman"/>
          <w:sz w:val="18"/>
          <w:szCs w:val="18"/>
          <w:color w:val="auto"/>
        </w:rPr>
      </w:pPr>
    </w:p>
    <w:p>
      <w:pPr>
        <w:ind w:left="1140" w:right="5140" w:hanging="1135"/>
        <w:spacing w:after="0" w:line="53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688"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80" w:type="dxa"/>
            <w:vAlign w:val="bottom"/>
          </w:tcPr>
          <w:p>
            <w:pPr>
              <w:spacing w:after="0"/>
              <w:rPr>
                <w:sz w:val="20"/>
                <w:szCs w:val="20"/>
                <w:color w:val="auto"/>
              </w:rPr>
            </w:pPr>
          </w:p>
        </w:tc>
        <w:tc>
          <w:tcPr>
            <w:tcW w:w="2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15673T100</w:t>
            </w:r>
          </w:p>
        </w:tc>
        <w:tc>
          <w:tcPr>
            <w:tcW w:w="6280" w:type="dxa"/>
            <w:vAlign w:val="bottom"/>
          </w:tcPr>
          <w:p>
            <w:pPr>
              <w:spacing w:after="0"/>
              <w:rPr>
                <w:sz w:val="20"/>
                <w:szCs w:val="20"/>
                <w:color w:val="auto"/>
              </w:rPr>
            </w:pPr>
          </w:p>
        </w:tc>
      </w:tr>
      <w:tr>
        <w:trPr>
          <w:trHeight w:val="4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Century Therapeutics, Inc.</w:t>
            </w:r>
          </w:p>
        </w:tc>
      </w:tr>
      <w:tr>
        <w:trPr>
          <w:trHeight w:val="426"/>
        </w:trPr>
        <w:tc>
          <w:tcPr>
            <w:tcW w:w="9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5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 North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Philadelphia, Pennsylvania 19104</w:t>
            </w:r>
          </w:p>
        </w:tc>
      </w:tr>
      <w:tr>
        <w:trPr>
          <w:trHeight w:val="6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Casdin Capital, LLC</w:t>
            </w:r>
          </w:p>
        </w:tc>
      </w:t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Eli Casdin</w:t>
            </w:r>
          </w:p>
        </w:tc>
      </w:tr>
      <w:tr>
        <w:trPr>
          <w:trHeight w:val="426"/>
        </w:trPr>
        <w:tc>
          <w:tcPr>
            <w:tcW w:w="9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Casdin Capital, LLC</w:t>
            </w: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1350 Avenue of the Americas, Suite 2600</w:t>
            </w:r>
          </w:p>
        </w:tc>
      </w:t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41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Eli Casdin</w:t>
            </w: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1350 Avenue of the Americas, Suite 2600</w:t>
            </w:r>
          </w:p>
        </w:tc>
      </w:t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425"/>
        </w:trPr>
        <w:tc>
          <w:tcPr>
            <w:tcW w:w="9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Casdin Capital, LLC - Delaware</w:t>
            </w:r>
          </w:p>
        </w:tc>
      </w:t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Eli Casdin– United States of America</w:t>
            </w:r>
          </w:p>
        </w:tc>
      </w:tr>
      <w:tr>
        <w:trPr>
          <w:trHeight w:val="425"/>
        </w:trPr>
        <w:tc>
          <w:tcPr>
            <w:tcW w:w="9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 per share</w:t>
            </w:r>
          </w:p>
        </w:tc>
      </w:tr>
      <w:tr>
        <w:trPr>
          <w:trHeight w:val="425"/>
        </w:trPr>
        <w:tc>
          <w:tcPr>
            <w:tcW w:w="9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15673T100</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25" w:lineRule="exact"/>
        <w:rPr>
          <w:sz w:val="20"/>
          <w:szCs w:val="20"/>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Exchange Act (15 U.S.C. 78c).</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[_]Bank as defined in Section 3(a)(6) of the Exchange Act (15 U.S.C. 78c).</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[_]Insurance company as defined in Section 3(a)(19) of the Exchange Act (15 U.S.C. 78c).</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480" w:hanging="1341"/>
        <w:spacing w:after="0" w:line="282" w:lineRule="auto"/>
        <w:tabs>
          <w:tab w:leader="none" w:pos="18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88" w:right="459" w:bottom="1440" w:gutter="0" w:footer="0" w:header="0"/>
        </w:sectPr>
      </w:pPr>
    </w:p>
    <w:bookmarkStart w:id="4" w:name="page5"/>
    <w:bookmarkEnd w:id="4"/>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140" w:right="46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820" w:hanging="681"/>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5,190,506 shares deemed beneficially owned by Casdin Capital, LLC</w:t>
      </w:r>
    </w:p>
    <w:p>
      <w:pPr>
        <w:spacing w:after="0" w:line="27"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5,190,506 shares deemed beneficially owned by Eli Casdin</w:t>
      </w:r>
    </w:p>
    <w:p>
      <w:pPr>
        <w:spacing w:after="0" w:line="220"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 deemed beneficially owned by Casdin Capital, LLC</w:t>
      </w:r>
    </w:p>
    <w:p>
      <w:pPr>
        <w:spacing w:after="0" w:line="27"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 deemed beneficially owned by Eli Casdin</w:t>
      </w:r>
    </w:p>
    <w:p>
      <w:pPr>
        <w:spacing w:after="0" w:line="220" w:lineRule="exact"/>
        <w:rPr>
          <w:rFonts w:ascii="Times New Roman" w:cs="Times New Roman" w:eastAsia="Times New Roman" w:hAnsi="Times New Roman"/>
          <w:sz w:val="18"/>
          <w:szCs w:val="18"/>
          <w:color w:val="auto"/>
        </w:rPr>
      </w:pPr>
    </w:p>
    <w:p>
      <w:pPr>
        <w:ind w:left="1820" w:hanging="681"/>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Casdin Capital, LLC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-959485</wp:posOffset>
            </wp:positionV>
            <wp:extent cx="5983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-264795</wp:posOffset>
            </wp:positionV>
            <wp:extent cx="5983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5"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5,190,506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5,190,506  .</w:t>
            </w:r>
          </w:p>
        </w:tc>
      </w:tr>
      <w:tr>
        <w:trPr>
          <w:trHeight w:val="20"/>
        </w:trPr>
        <w:tc>
          <w:tcPr>
            <w:tcW w:w="4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Number of shares as to which Eli Casdin has: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5,190,506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5,190,506  .</w:t>
            </w:r>
          </w:p>
        </w:tc>
      </w:tr>
      <w:tr>
        <w:trPr>
          <w:trHeight w:val="20"/>
        </w:trPr>
        <w:tc>
          <w:tcPr>
            <w:tcW w:w="4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140" w:right="38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251460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140" w:right="16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462915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8" w:right="33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140" w:right="6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140" w:right="10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14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88"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color w:val="auto"/>
        </w:rPr>
        <w:t>April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13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April 18, 2024 relating to the Common Stock, par value $0.0001 per share of Century Therapeutics, Inc., shall be filed on behalf of the undersigned.</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2024-04-18T15:47:07Z</dcterms:created>
  <dcterms:modified xsi:type="dcterms:W3CDTF">2024-04-18T15:47:07Z</dcterms:modified>
</cp:coreProperties>
</file>