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u w:val="single" w:color="auto"/>
          <w:color w:val="auto"/>
        </w:rPr>
        <w:t>Amendments to Articles of Incorporation or Bylaws; Change in Fiscal Year.</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further described under Item 5.07 of this Current Report on this Form 8-K, at the 2026 Annual Meeting of Stockholders (the “Annual Meeting”), and upon the recommendation of the Board of Directors (the “Board”), the stockholders of Century Therapeutics, Inc. (the “Company”) approved a Certificate of Amendment to the Company’s Second Amended and Restated Certificate of Incorporation, as amended, to increase the number of authorized shares of common stock, par value $0.0001 per share (“Common Stock”, and such amendment, the “Authorized Shares Amendment”). The Authorized Shares Amendment was previously approved by the Board, subject to stockholder approval.</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Authorized Shares Amendment was filed with the Secretary of State of the State of Delaware on June 11, 2026. The Authorized Shares Amendment became effective on June 12, 2026.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Authorized Shares Amendment does not purport to be complete and is qualified in its entirety by reference to the full text of the Certificate of Amendment, a copy of which is filed as Exhibit 3.1 to this Form 8-K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June 11, 2026, the Company held its Annual Meeting. As of April 16, 2026, the record date for the Annual Meeting, there were 180,354,197 outstanding shares of the Company’s common stock. The Annual Meeting was conducted virtually, and the following is a brief description of the final voting results for each of the proposals submitted to a vote of the stockholders at the Annual Meeting, which are described in detail in the Company’s Definitive Proxy Statement on Schedule 14A filed with the Securities Exchange Commission on April 27, 2026.</w:t>
      </w:r>
    </w:p>
    <w:p>
      <w:pPr>
        <w:spacing w:after="0" w:line="178" w:lineRule="exact"/>
        <w:rPr>
          <w:sz w:val="20"/>
          <w:szCs w:val="20"/>
          <w:color w:val="auto"/>
        </w:rPr>
      </w:pPr>
    </w:p>
    <w:p>
      <w:pPr>
        <w:ind w:right="80" w:firstLine="8"/>
        <w:spacing w:after="0" w:line="267"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 Election of Class II Directors</w:t>
      </w:r>
      <w:r>
        <w:rPr>
          <w:rFonts w:ascii="Times New Roman" w:cs="Times New Roman" w:eastAsia="Times New Roman" w:hAnsi="Times New Roman"/>
          <w:sz w:val="18"/>
          <w:szCs w:val="18"/>
          <w:color w:val="auto"/>
        </w:rPr>
        <w:t>. Each of Alessandro Riva, M.D. and Han Lee, Ph.D., M.B.A., were elected to the Company’s Board to 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Class II directors until the 2029 Annual Meeting of Stockholders and until their successors, if any, are elected or appointed, or their earlier death, resignation, retirement, disqualification or removal,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Alessandro Riva, M.D.</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96,165,182</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17,582,584</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21,941,333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 Lee, Ph.D., M.B.A.</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113,675,805</w:t>
            </w:r>
          </w:p>
        </w:tc>
        <w:tc>
          <w:tcPr>
            <w:tcW w:w="220" w:type="dxa"/>
            <w:vAlign w:val="bottom"/>
          </w:tcPr>
          <w:p>
            <w:pPr>
              <w:spacing w:after="0"/>
              <w:rPr>
                <w:sz w:val="20"/>
                <w:szCs w:val="20"/>
                <w:color w:val="auto"/>
              </w:rPr>
            </w:pP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71,961</w:t>
            </w:r>
          </w:p>
        </w:tc>
        <w:tc>
          <w:tcPr>
            <w:tcW w:w="220" w:type="dxa"/>
            <w:vAlign w:val="bottom"/>
          </w:tcPr>
          <w:p>
            <w:pPr>
              <w:spacing w:after="0"/>
              <w:rPr>
                <w:sz w:val="20"/>
                <w:szCs w:val="20"/>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21,941,333</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right="640" w:firstLine="8"/>
        <w:spacing w:after="0" w:line="28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 Ratification of Independent Registered Public Accountant</w:t>
      </w:r>
      <w:r>
        <w:rPr>
          <w:rFonts w:ascii="Times New Roman" w:cs="Times New Roman" w:eastAsia="Times New Roman" w:hAnsi="Times New Roman"/>
          <w:sz w:val="18"/>
          <w:szCs w:val="18"/>
          <w:color w:val="auto"/>
        </w:rPr>
        <w:t>. The appointment of Ernst &amp; Young LLP as the Company’s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for the 2026 fiscal year was ratified,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135,560,408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107,111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21,578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right="260" w:firstLine="8"/>
        <w:spacing w:after="0" w:line="277" w:lineRule="auto"/>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Proposal 3 - Approval of an amendment to the Second Amended and Restated Certificate of Incorporation, as amended. </w:t>
      </w:r>
      <w:r>
        <w:rPr>
          <w:rFonts w:ascii="Times New Roman" w:cs="Times New Roman" w:eastAsia="Times New Roman" w:hAnsi="Times New Roman"/>
          <w:sz w:val="17"/>
          <w:szCs w:val="17"/>
          <w:color w:val="auto"/>
        </w:rPr>
        <w:t>The amendment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Second Amended and Restated Certificate of Incorporation, as amended, to increase the number of authorized shares of common stock from</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300,000,000 to 450,000,000 was approved,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117,444,445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18,150,386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94,262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right="140" w:firstLine="8"/>
        <w:spacing w:after="0" w:line="267"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4 - Approval of an adjournment of the Annual Meeting. </w:t>
      </w:r>
      <w:r>
        <w:rPr>
          <w:rFonts w:ascii="Times New Roman" w:cs="Times New Roman" w:eastAsia="Times New Roman" w:hAnsi="Times New Roman"/>
          <w:sz w:val="18"/>
          <w:szCs w:val="18"/>
          <w:color w:val="auto"/>
        </w:rPr>
        <w:t>The adjournment of the Annual Meeting to the extent there were insufficient votes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Proposal 3 was approved, but such an adjournment was not necessary in light of the approval of Proposal 3 at the Annual Meeting. The adjournment was approved,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117,181,181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18,419,826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88,087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60" w:type="dxa"/>
            <w:vAlign w:val="bottom"/>
          </w:tcPr>
          <w:p>
            <w:pPr>
              <w:spacing w:after="0"/>
              <w:rPr>
                <w:sz w:val="17"/>
                <w:szCs w:val="17"/>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7260" w:type="dxa"/>
            <w:vAlign w:val="bottom"/>
            <w:tcBorders>
              <w:bottom w:val="single" w:sz="8" w:color="auto"/>
            </w:tcBorders>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of the Second Amended and Restated Certificate of Incorporation, as amended, of Century Therapeutics, Inc.</w:t>
            </w:r>
          </w:p>
        </w:tc>
        <w:tc>
          <w:tcPr>
            <w:tcW w:w="80" w:type="dxa"/>
            <w:vAlign w:val="bottom"/>
          </w:tcPr>
          <w:p>
            <w:pPr>
              <w:spacing w:after="0"/>
              <w:rPr>
                <w:sz w:val="24"/>
                <w:szCs w:val="24"/>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231F20"/>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CENTURY THERAPEUTICS, INC.</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Century Therapeutics, Inc. (the “</w:t>
      </w:r>
      <w:r>
        <w:rPr>
          <w:rFonts w:ascii="Times New Roman" w:cs="Times New Roman" w:eastAsia="Times New Roman" w:hAnsi="Times New Roman"/>
          <w:sz w:val="18"/>
          <w:szCs w:val="18"/>
          <w:u w:val="single" w:color="auto"/>
          <w:color w:val="231F20"/>
        </w:rPr>
        <w:t>Corporation</w:t>
      </w:r>
      <w:r>
        <w:rPr>
          <w:rFonts w:ascii="Times New Roman" w:cs="Times New Roman" w:eastAsia="Times New Roman" w:hAnsi="Times New Roman"/>
          <w:sz w:val="18"/>
          <w:szCs w:val="18"/>
          <w:color w:val="231F20"/>
        </w:rPr>
        <w:t>”), a corporation organized and existing under the provisions of the General Corporation Law of the State of Delaware (the “</w:t>
      </w:r>
      <w:r>
        <w:rPr>
          <w:rFonts w:ascii="Times New Roman" w:cs="Times New Roman" w:eastAsia="Times New Roman" w:hAnsi="Times New Roman"/>
          <w:sz w:val="18"/>
          <w:szCs w:val="18"/>
          <w:u w:val="single" w:color="auto"/>
          <w:color w:val="231F20"/>
        </w:rPr>
        <w:t>DGCL</w:t>
      </w:r>
      <w:r>
        <w:rPr>
          <w:rFonts w:ascii="Times New Roman" w:cs="Times New Roman" w:eastAsia="Times New Roman" w:hAnsi="Times New Roman"/>
          <w:sz w:val="18"/>
          <w:szCs w:val="18"/>
          <w:color w:val="231F20"/>
        </w:rPr>
        <w:t>”), hereby certifies that: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of this corporation is Century Therapeutics, Inc. The Corporation’s original Certificate of Incorporation was filed with the Secretary of State of the State of Delaware on February 25, 2021. Pursuant to Section 242 of the DGCL, this Certificate of Amendment (this “</w:t>
      </w:r>
      <w:r>
        <w:rPr>
          <w:rFonts w:ascii="Times New Roman" w:cs="Times New Roman" w:eastAsia="Times New Roman" w:hAnsi="Times New Roman"/>
          <w:sz w:val="18"/>
          <w:szCs w:val="18"/>
          <w:u w:val="single" w:color="auto"/>
          <w:color w:val="231F20"/>
        </w:rPr>
        <w:t>Amendment</w:t>
      </w:r>
      <w:r>
        <w:rPr>
          <w:rFonts w:ascii="Times New Roman" w:cs="Times New Roman" w:eastAsia="Times New Roman" w:hAnsi="Times New Roman"/>
          <w:sz w:val="18"/>
          <w:szCs w:val="18"/>
          <w:color w:val="231F20"/>
        </w:rPr>
        <w:t>”) amends certain provisions of the Company’s Second Amended and Restated Certificate of Incorporation, as amended (the “</w:t>
      </w:r>
      <w:r>
        <w:rPr>
          <w:rFonts w:ascii="Times New Roman" w:cs="Times New Roman" w:eastAsia="Times New Roman" w:hAnsi="Times New Roman"/>
          <w:sz w:val="18"/>
          <w:szCs w:val="18"/>
          <w:u w:val="single" w:color="auto"/>
          <w:color w:val="231F20"/>
        </w:rPr>
        <w:t>Charter</w:t>
      </w:r>
      <w:r>
        <w:rPr>
          <w:rFonts w:ascii="Times New Roman" w:cs="Times New Roman" w:eastAsia="Times New Roman" w:hAnsi="Times New Roman"/>
          <w:sz w:val="18"/>
          <w:szCs w:val="18"/>
          <w:color w:val="231F20"/>
        </w:rPr>
        <w:t>”).</w:t>
      </w:r>
    </w:p>
    <w:p>
      <w:pPr>
        <w:spacing w:after="0" w:line="175"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231F20"/>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Article IV of the Charter is hereby amended and restated in its entirety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231F20"/>
        </w:rPr>
        <w:t>Capital Stock</w:t>
      </w:r>
    </w:p>
    <w:p>
      <w:pPr>
        <w:spacing w:after="0" w:line="207"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231F20"/>
        </w:rPr>
        <w:t>The total number of shares of capital stock which the Corporation shall have authority to issue is 460,000,000 of which (i) 450,000,000 shares shall be a class designated as common stock, par value $0.0001 per share (the “</w:t>
      </w:r>
      <w:r>
        <w:rPr>
          <w:rFonts w:ascii="Times New Roman" w:cs="Times New Roman" w:eastAsia="Times New Roman" w:hAnsi="Times New Roman"/>
          <w:sz w:val="18"/>
          <w:szCs w:val="18"/>
          <w:u w:val="single" w:color="auto"/>
          <w:color w:val="231F20"/>
        </w:rPr>
        <w:t>Common Stock</w:t>
      </w:r>
      <w:r>
        <w:rPr>
          <w:rFonts w:ascii="Times New Roman" w:cs="Times New Roman" w:eastAsia="Times New Roman" w:hAnsi="Times New Roman"/>
          <w:sz w:val="18"/>
          <w:szCs w:val="18"/>
          <w:color w:val="231F20"/>
        </w:rPr>
        <w:t>”), and (ii) 10,000,000 shares shall be a class designated as undesignated preferred stock, par value $0.0001 per share (the “</w:t>
      </w:r>
      <w:r>
        <w:rPr>
          <w:rFonts w:ascii="Times New Roman" w:cs="Times New Roman" w:eastAsia="Times New Roman" w:hAnsi="Times New Roman"/>
          <w:sz w:val="18"/>
          <w:szCs w:val="18"/>
          <w:u w:val="single" w:color="auto"/>
          <w:color w:val="231F20"/>
        </w:rPr>
        <w:t>Undesignated Preferred Stock</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jc w:val="both"/>
        <w:ind w:left="660" w:firstLine="324"/>
        <w:spacing w:after="0" w:line="261" w:lineRule="auto"/>
        <w:rPr>
          <w:sz w:val="20"/>
          <w:szCs w:val="20"/>
          <w:color w:val="auto"/>
        </w:rPr>
      </w:pPr>
      <w:r>
        <w:rPr>
          <w:rFonts w:ascii="Times New Roman" w:cs="Times New Roman" w:eastAsia="Times New Roman" w:hAnsi="Times New Roman"/>
          <w:sz w:val="18"/>
          <w:szCs w:val="18"/>
          <w:color w:val="231F20"/>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0" w:lineRule="exact"/>
        <w:rPr>
          <w:sz w:val="20"/>
          <w:szCs w:val="20"/>
          <w:color w:val="auto"/>
        </w:rPr>
      </w:pPr>
    </w:p>
    <w:p>
      <w:pPr>
        <w:jc w:val="both"/>
        <w:ind w:left="660" w:firstLine="324"/>
        <w:spacing w:after="0" w:line="282" w:lineRule="auto"/>
        <w:rPr>
          <w:sz w:val="20"/>
          <w:szCs w:val="20"/>
          <w:color w:val="auto"/>
        </w:rPr>
      </w:pPr>
      <w:r>
        <w:rPr>
          <w:rFonts w:ascii="Times New Roman" w:cs="Times New Roman" w:eastAsia="Times New Roman" w:hAnsi="Times New Roman"/>
          <w:sz w:val="18"/>
          <w:szCs w:val="18"/>
          <w:color w:val="231F20"/>
        </w:rPr>
        <w:t>The powers, preferences and rights of, and the qualifications, limitations and restrictions upon, each class or series of stock shall be determined in accordance with, or as set forth below in, this Article IV.</w:t>
      </w:r>
    </w:p>
    <w:p>
      <w:pPr>
        <w:spacing w:after="0" w:line="14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36"/>
          <w:szCs w:val="36"/>
          <w:color w:val="231F20"/>
          <w:vertAlign w:val="superscript"/>
        </w:rPr>
      </w:pPr>
      <w:r>
        <w:rPr>
          <w:rFonts w:ascii="Times New Roman" w:cs="Times New Roman" w:eastAsia="Times New Roman" w:hAnsi="Times New Roman"/>
          <w:sz w:val="18"/>
          <w:szCs w:val="18"/>
          <w:color w:val="231F20"/>
        </w:rPr>
        <w:t>This Amendment shall become effective on June 12</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2026 at 12:01 a.m. Eastern Time.</w:t>
      </w:r>
    </w:p>
    <w:p>
      <w:pPr>
        <w:spacing w:after="0" w:line="77" w:lineRule="exact"/>
        <w:rPr>
          <w:rFonts w:ascii="Times New Roman" w:cs="Times New Roman" w:eastAsia="Times New Roman" w:hAnsi="Times New Roman"/>
          <w:sz w:val="36"/>
          <w:szCs w:val="36"/>
          <w:color w:val="231F20"/>
          <w:vertAlign w:val="superscript"/>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as set forth in this Amendment, the Charter remains in full force and effect.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Remainder of Page Intentionally Left Blank</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firstLine="324"/>
        <w:spacing w:after="0" w:line="292" w:lineRule="auto"/>
        <w:rPr>
          <w:sz w:val="20"/>
          <w:szCs w:val="20"/>
          <w:color w:val="auto"/>
        </w:rPr>
      </w:pPr>
      <w:r>
        <w:rPr>
          <w:rFonts w:ascii="Times New Roman" w:cs="Times New Roman" w:eastAsia="Times New Roman" w:hAnsi="Times New Roman"/>
          <w:sz w:val="18"/>
          <w:szCs w:val="18"/>
          <w:color w:val="231F20"/>
        </w:rPr>
        <w:t>IN WITNESS WHEREOF, this Certificate of Amendment to the Certificate of Incorporation has been executed by a duly authorized officer of this Corporation on this 11</w:t>
      </w:r>
      <w:r>
        <w:rPr>
          <w:rFonts w:ascii="Times New Roman" w:cs="Times New Roman" w:eastAsia="Times New Roman" w:hAnsi="Times New Roman"/>
          <w:sz w:val="29"/>
          <w:szCs w:val="29"/>
          <w:color w:val="231F20"/>
          <w:vertAlign w:val="superscript"/>
        </w:rPr>
        <w:t>th</w:t>
      </w:r>
      <w:r>
        <w:rPr>
          <w:rFonts w:ascii="Times New Roman" w:cs="Times New Roman" w:eastAsia="Times New Roman" w:hAnsi="Times New Roman"/>
          <w:sz w:val="18"/>
          <w:szCs w:val="18"/>
          <w:color w:val="231F20"/>
        </w:rPr>
        <w:t xml:space="preserve"> day of June, 2026.</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CENTURY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By: /s/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Brent Pfeiffenberger, Pharm.D.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231F20"/>
        </w:rPr>
        <w:t>President, Chief Executive Officer 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2026-06-12T15:18:37Z</dcterms:created>
  <dcterms:modified xsi:type="dcterms:W3CDTF">2026-06-12T15:18:37Z</dcterms:modified>
</cp:coreProperties>
</file>