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296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29691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BAYER</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Arial" w:cs="Arial" w:eastAsia="Arial" w:hAnsi="Arial"/>
                <w:sz w:val="20"/>
                <w:szCs w:val="20"/>
                <w:color w:val="0000FF"/>
              </w:rPr>
              <w:t>06/17/2021</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gridSpan w:val="3"/>
          </w:tcPr>
          <w:p>
            <w:pPr>
              <w:spacing w:after="0" w:line="250" w:lineRule="exact"/>
              <w:rPr>
                <w:rFonts w:ascii="Arial" w:cs="Arial" w:eastAsia="Arial" w:hAnsi="Arial"/>
                <w:sz w:val="24"/>
                <w:szCs w:val="24"/>
                <w:color w:val="0000EE"/>
                <w:w w:val="99"/>
              </w:rPr>
            </w:pPr>
            <w:hyperlink r:id="rId10">
              <w:r>
                <w:rPr>
                  <w:rFonts w:ascii="Arial" w:cs="Arial" w:eastAsia="Arial" w:hAnsi="Arial"/>
                  <w:sz w:val="24"/>
                  <w:szCs w:val="24"/>
                  <w:color w:val="0000EE"/>
                  <w:w w:val="99"/>
                </w:rPr>
                <w:t>AKTIENGESELLSCHAFT</w:t>
              </w:r>
            </w:hyperlink>
          </w:p>
        </w:tc>
        <w:tc>
          <w:tcPr>
            <w:tcW w:w="24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KAISER-WILHELM-ALLEE 1</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LEVERKUSEN 2M</w:t>
            </w:r>
          </w:p>
        </w:tc>
        <w:tc>
          <w:tcPr>
            <w:tcW w:w="1220" w:type="dxa"/>
            <w:vAlign w:val="bottom"/>
          </w:tcPr>
          <w:p>
            <w:pPr>
              <w:jc w:val="right"/>
              <w:ind w:right="294"/>
              <w:spacing w:after="0"/>
              <w:rPr>
                <w:sz w:val="20"/>
                <w:szCs w:val="20"/>
                <w:color w:val="auto"/>
              </w:rPr>
            </w:pPr>
            <w:r>
              <w:rPr>
                <w:rFonts w:ascii="Arial" w:cs="Arial" w:eastAsia="Arial" w:hAnsi="Arial"/>
                <w:sz w:val="20"/>
                <w:szCs w:val="20"/>
                <w:color w:val="0000FF"/>
              </w:rPr>
              <w:t>51373</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86"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8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6"/>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7"/>
                <w:szCs w:val="17"/>
                <w:color w:val="auto"/>
              </w:rPr>
            </w:pPr>
          </w:p>
        </w:tc>
        <w:tc>
          <w:tcPr>
            <w:tcW w:w="11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8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B Preferred Stock</w:t>
            </w:r>
          </w:p>
        </w:tc>
        <w:tc>
          <w:tcPr>
            <w:tcW w:w="800" w:type="dxa"/>
            <w:vAlign w:val="bottom"/>
            <w:tcBorders>
              <w:bottom w:val="single" w:sz="8" w:color="2C2C2C"/>
            </w:tcBorders>
            <w:gridSpan w:val="2"/>
          </w:tcPr>
          <w:p>
            <w:pPr>
              <w:ind w:left="420"/>
              <w:spacing w:after="0"/>
              <w:rPr>
                <w:sz w:val="20"/>
                <w:szCs w:val="20"/>
                <w:color w:val="auto"/>
              </w:rPr>
            </w:pPr>
            <w:r>
              <w:rPr>
                <w:rFonts w:ascii="Arial" w:cs="Arial" w:eastAsia="Arial" w:hAnsi="Arial"/>
                <w:sz w:val="13"/>
                <w:szCs w:val="13"/>
                <w:color w:val="008000"/>
              </w:rPr>
              <w:t>(1)</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6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rPr>
              <w:t>Common Stock</w:t>
            </w: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20"/>
                <w:szCs w:val="20"/>
                <w:color w:val="0000FF"/>
              </w:rPr>
              <w:t>10,390,600</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(2)</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(3)</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C Preferred Stock</w:t>
            </w:r>
          </w:p>
        </w:tc>
        <w:tc>
          <w:tcPr>
            <w:tcW w:w="800" w:type="dxa"/>
            <w:vAlign w:val="bottom"/>
            <w:tcBorders>
              <w:bottom w:val="single" w:sz="8" w:color="2C2C2C"/>
            </w:tcBorders>
            <w:gridSpan w:val="2"/>
          </w:tcPr>
          <w:p>
            <w:pPr>
              <w:ind w:left="420"/>
              <w:spacing w:after="0"/>
              <w:rPr>
                <w:sz w:val="20"/>
                <w:szCs w:val="20"/>
                <w:color w:val="auto"/>
              </w:rPr>
            </w:pPr>
            <w:r>
              <w:rPr>
                <w:rFonts w:ascii="Arial" w:cs="Arial" w:eastAsia="Arial" w:hAnsi="Arial"/>
                <w:sz w:val="13"/>
                <w:szCs w:val="13"/>
                <w:color w:val="008000"/>
              </w:rPr>
              <w:t>(1)</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6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rPr>
              <w:t>Common Stock</w:t>
            </w:r>
          </w:p>
        </w:tc>
        <w:tc>
          <w:tcPr>
            <w:tcW w:w="1140" w:type="dxa"/>
            <w:vAlign w:val="bottom"/>
            <w:tcBorders>
              <w:bottom w:val="single" w:sz="8" w:color="2C2C2C"/>
            </w:tcBorders>
          </w:tcPr>
          <w:p>
            <w:pPr>
              <w:jc w:val="right"/>
              <w:ind w:right="36"/>
              <w:spacing w:after="0"/>
              <w:rPr>
                <w:sz w:val="20"/>
                <w:szCs w:val="20"/>
                <w:color w:val="auto"/>
              </w:rPr>
            </w:pPr>
            <w:r>
              <w:rPr>
                <w:rFonts w:ascii="Arial" w:cs="Arial" w:eastAsia="Arial" w:hAnsi="Arial"/>
                <w:sz w:val="20"/>
                <w:szCs w:val="20"/>
                <w:color w:val="0000FF"/>
              </w:rPr>
              <w:t>1,535,238</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(4)</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(3)</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86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gridSpan w:val="5"/>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BAYER AKTIENGESELLSCHAFT</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60"/>
              <w:spacing w:after="0"/>
              <w:rPr>
                <w:sz w:val="20"/>
                <w:szCs w:val="20"/>
                <w:color w:val="auto"/>
              </w:rPr>
            </w:pPr>
            <w:r>
              <w:rPr>
                <w:rFonts w:ascii="Arial" w:cs="Arial" w:eastAsia="Arial" w:hAnsi="Arial"/>
                <w:sz w:val="15"/>
                <w:szCs w:val="15"/>
                <w:color w:val="auto"/>
              </w:rPr>
              <w:t>(First)</w:t>
            </w:r>
          </w:p>
        </w:tc>
        <w:tc>
          <w:tcPr>
            <w:tcW w:w="980" w:type="dxa"/>
            <w:vAlign w:val="bottom"/>
            <w:gridSpan w:val="3"/>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20"/>
                <w:szCs w:val="20"/>
                <w:color w:val="0000FF"/>
              </w:rPr>
              <w:t>KAISER-WILHELM-ALLEE 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20"/>
                <w:szCs w:val="20"/>
                <w:color w:val="0000FF"/>
                <w:w w:val="96"/>
              </w:rPr>
              <w:t>LEVERKUSEN</w:t>
            </w:r>
          </w:p>
        </w:tc>
        <w:tc>
          <w:tcPr>
            <w:tcW w:w="1440" w:type="dxa"/>
            <w:vAlign w:val="bottom"/>
          </w:tcPr>
          <w:p>
            <w:pPr>
              <w:ind w:left="60"/>
              <w:spacing w:after="0"/>
              <w:rPr>
                <w:sz w:val="20"/>
                <w:szCs w:val="20"/>
                <w:color w:val="auto"/>
              </w:rPr>
            </w:pPr>
            <w:r>
              <w:rPr>
                <w:rFonts w:ascii="Arial" w:cs="Arial" w:eastAsia="Arial" w:hAnsi="Arial"/>
                <w:sz w:val="20"/>
                <w:szCs w:val="20"/>
                <w:color w:val="0000FF"/>
              </w:rPr>
              <w:t>2M</w:t>
            </w:r>
          </w:p>
        </w:tc>
        <w:tc>
          <w:tcPr>
            <w:tcW w:w="800" w:type="dxa"/>
            <w:vAlign w:val="bottom"/>
            <w:gridSpan w:val="2"/>
          </w:tcPr>
          <w:p>
            <w:pPr>
              <w:spacing w:after="0"/>
              <w:rPr>
                <w:sz w:val="20"/>
                <w:szCs w:val="20"/>
                <w:color w:val="auto"/>
              </w:rPr>
            </w:pPr>
            <w:r>
              <w:rPr>
                <w:rFonts w:ascii="Arial" w:cs="Arial" w:eastAsia="Arial" w:hAnsi="Arial"/>
                <w:sz w:val="20"/>
                <w:szCs w:val="20"/>
                <w:color w:val="0000FF"/>
              </w:rPr>
              <w:t>51373</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60"/>
              <w:spacing w:after="0"/>
              <w:rPr>
                <w:sz w:val="20"/>
                <w:szCs w:val="20"/>
                <w:color w:val="auto"/>
              </w:rPr>
            </w:pPr>
            <w:r>
              <w:rPr>
                <w:rFonts w:ascii="Arial" w:cs="Arial" w:eastAsia="Arial" w:hAnsi="Arial"/>
                <w:sz w:val="15"/>
                <w:szCs w:val="15"/>
                <w:color w:val="auto"/>
              </w:rPr>
              <w:t>(State)</w:t>
            </w:r>
          </w:p>
        </w:tc>
        <w:tc>
          <w:tcPr>
            <w:tcW w:w="980" w:type="dxa"/>
            <w:vAlign w:val="bottom"/>
            <w:gridSpan w:val="3"/>
          </w:tcPr>
          <w:p>
            <w:pPr>
              <w:spacing w:after="0"/>
              <w:rPr>
                <w:sz w:val="20"/>
                <w:szCs w:val="20"/>
                <w:color w:val="auto"/>
              </w:rPr>
            </w:pPr>
            <w:r>
              <w:rPr>
                <w:rFonts w:ascii="Arial" w:cs="Arial" w:eastAsia="Arial" w:hAnsi="Arial"/>
                <w:sz w:val="15"/>
                <w:szCs w:val="15"/>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86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gridSpan w:val="5"/>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Bayer World Investments B.V.</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60"/>
              <w:spacing w:after="0"/>
              <w:rPr>
                <w:sz w:val="20"/>
                <w:szCs w:val="20"/>
                <w:color w:val="auto"/>
              </w:rPr>
            </w:pPr>
            <w:r>
              <w:rPr>
                <w:rFonts w:ascii="Arial" w:cs="Arial" w:eastAsia="Arial" w:hAnsi="Arial"/>
                <w:sz w:val="15"/>
                <w:szCs w:val="15"/>
                <w:color w:val="auto"/>
              </w:rPr>
              <w:t>(First)</w:t>
            </w:r>
          </w:p>
        </w:tc>
        <w:tc>
          <w:tcPr>
            <w:tcW w:w="980" w:type="dxa"/>
            <w:vAlign w:val="bottom"/>
            <w:gridSpan w:val="3"/>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20"/>
                <w:szCs w:val="20"/>
                <w:color w:val="0000FF"/>
              </w:rPr>
              <w:t>ENERGIEWEG 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20"/>
                <w:szCs w:val="20"/>
                <w:color w:val="0000FF"/>
              </w:rPr>
              <w:t>MIJDRECHT</w:t>
            </w:r>
          </w:p>
        </w:tc>
        <w:tc>
          <w:tcPr>
            <w:tcW w:w="1440" w:type="dxa"/>
            <w:vAlign w:val="bottom"/>
          </w:tcPr>
          <w:p>
            <w:pPr>
              <w:ind w:left="60"/>
              <w:spacing w:after="0"/>
              <w:rPr>
                <w:sz w:val="20"/>
                <w:szCs w:val="20"/>
                <w:color w:val="auto"/>
              </w:rPr>
            </w:pPr>
            <w:r>
              <w:rPr>
                <w:rFonts w:ascii="Arial" w:cs="Arial" w:eastAsia="Arial" w:hAnsi="Arial"/>
                <w:sz w:val="20"/>
                <w:szCs w:val="20"/>
                <w:color w:val="0000FF"/>
              </w:rPr>
              <w:t>P7</w:t>
            </w:r>
          </w:p>
        </w:tc>
        <w:tc>
          <w:tcPr>
            <w:tcW w:w="980" w:type="dxa"/>
            <w:vAlign w:val="bottom"/>
            <w:gridSpan w:val="3"/>
          </w:tcPr>
          <w:p>
            <w:pPr>
              <w:spacing w:after="0"/>
              <w:rPr>
                <w:sz w:val="20"/>
                <w:szCs w:val="20"/>
                <w:color w:val="auto"/>
              </w:rPr>
            </w:pPr>
            <w:r>
              <w:rPr>
                <w:rFonts w:ascii="Arial" w:cs="Arial" w:eastAsia="Arial" w:hAnsi="Arial"/>
                <w:sz w:val="20"/>
                <w:szCs w:val="20"/>
                <w:color w:val="0000FF"/>
              </w:rPr>
              <w:t>3641 RT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60"/>
              <w:spacing w:after="0"/>
              <w:rPr>
                <w:sz w:val="20"/>
                <w:szCs w:val="20"/>
                <w:color w:val="auto"/>
              </w:rPr>
            </w:pPr>
            <w:r>
              <w:rPr>
                <w:rFonts w:ascii="Arial" w:cs="Arial" w:eastAsia="Arial" w:hAnsi="Arial"/>
                <w:sz w:val="15"/>
                <w:szCs w:val="15"/>
                <w:color w:val="auto"/>
              </w:rPr>
              <w:t>(State)</w:t>
            </w:r>
          </w:p>
        </w:tc>
        <w:tc>
          <w:tcPr>
            <w:tcW w:w="980" w:type="dxa"/>
            <w:vAlign w:val="bottom"/>
            <w:gridSpan w:val="3"/>
          </w:tcPr>
          <w:p>
            <w:pPr>
              <w:spacing w:after="0"/>
              <w:rPr>
                <w:sz w:val="20"/>
                <w:szCs w:val="20"/>
                <w:color w:val="auto"/>
              </w:rPr>
            </w:pPr>
            <w:r>
              <w:rPr>
                <w:rFonts w:ascii="Arial" w:cs="Arial" w:eastAsia="Arial" w:hAnsi="Arial"/>
                <w:sz w:val="15"/>
                <w:szCs w:val="15"/>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24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Shares of Series B and Series C Preferred Stock (collectively, the "Preferred Stock") have no expiration date and are convertible, at the option of the holder, into shares of Common Stock at the then-effective conversion rate for no additional consideration (subject to the payment of cash in lieu of any fractional shares in accordance with the Issuer's Amended and Restated Certificate of Incorporation (as amended, the "Certificate of Incorporation")). The shares of Preferred Stock will automatically convert into shares of</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253" w:lineRule="auto"/>
        <w:rPr>
          <w:sz w:val="20"/>
          <w:szCs w:val="20"/>
          <w:color w:val="auto"/>
        </w:rPr>
      </w:pPr>
      <w:r>
        <w:rPr>
          <w:rFonts w:ascii="Arial" w:cs="Arial" w:eastAsia="Arial" w:hAnsi="Arial"/>
          <w:sz w:val="15"/>
          <w:szCs w:val="15"/>
          <w:color w:val="008000"/>
        </w:rPr>
        <w:t>Common Stock at the then-effective conversion rate for no additional consideration (subject to the payment in cash in lieu of any fractional shares in accordance with the Certificate of Incorporation) immediately prior to the closing of the Issuer's initial public offering.</w:t>
      </w:r>
    </w:p>
    <w:p>
      <w:pPr>
        <w:spacing w:after="0" w:line="27" w:lineRule="exact"/>
        <w:rPr>
          <w:sz w:val="20"/>
          <w:szCs w:val="20"/>
          <w:color w:val="auto"/>
        </w:rPr>
      </w:pPr>
    </w:p>
    <w:p>
      <w:pPr>
        <w:ind w:left="160" w:hanging="155"/>
        <w:spacing w:after="0"/>
        <w:tabs>
          <w:tab w:leader="none" w:pos="16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Shares of Series B Preferred Stock are convertible into shares of Common Stock at a 2.5161-for-1 conversion rate, which is the applicable conversion rate as of the date hereof.</w:t>
      </w:r>
    </w:p>
    <w:p>
      <w:pPr>
        <w:spacing w:after="0" w:line="75" w:lineRule="exact"/>
        <w:rPr>
          <w:rFonts w:ascii="Arial" w:cs="Arial" w:eastAsia="Arial" w:hAnsi="Arial"/>
          <w:sz w:val="13"/>
          <w:szCs w:val="13"/>
          <w:color w:val="008000"/>
        </w:rPr>
      </w:pPr>
    </w:p>
    <w:p>
      <w:pPr>
        <w:ind w:right="6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securities reported are held directly by Bayer World Investments B.V., a Dutch private limited company, which is an indirect, wholly owned subsidiary of Bayer Aktiengesellschaft, a German stock corporation. Accordingly, Bayer Aktiengesellschaft may be deemed to be an indirect beneficial owner of the shares beneficially owned directly by Bayer World Investments B.V.</w:t>
      </w:r>
    </w:p>
    <w:p>
      <w:pPr>
        <w:spacing w:after="0" w:line="35"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Shares of Series C Preferred Stock are convertible into shares of Common Stock at a 2.5161-for-1 conversion rate, which is the applicable conversion rate as of the date hereof.</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8"/>
              </w:rPr>
              <w:t>/s/ Christian Bank, on</w:t>
            </w:r>
          </w:p>
        </w:tc>
        <w:tc>
          <w:tcPr>
            <w:tcW w:w="48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2180" w:type="dxa"/>
            <w:vAlign w:val="bottom"/>
            <w:gridSpan w:val="6"/>
          </w:tcPr>
          <w:p>
            <w:pPr>
              <w:spacing w:after="0" w:line="220" w:lineRule="exact"/>
              <w:rPr>
                <w:sz w:val="20"/>
                <w:szCs w:val="20"/>
                <w:color w:val="auto"/>
              </w:rPr>
            </w:pPr>
            <w:r>
              <w:rPr>
                <w:rFonts w:ascii="Arial" w:cs="Arial" w:eastAsia="Arial" w:hAnsi="Arial"/>
                <w:sz w:val="20"/>
                <w:szCs w:val="20"/>
                <w:color w:val="0000FF"/>
              </w:rPr>
              <w:t>behalf of Bayer</w:t>
            </w: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0000FF"/>
                <w:w w:val="87"/>
              </w:rPr>
              <w:t>06/17/2021</w:t>
            </w:r>
          </w:p>
        </w:tc>
      </w:tr>
      <w:tr>
        <w:trPr>
          <w:trHeight w:val="20"/>
        </w:trPr>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20"/>
        </w:trPr>
        <w:tc>
          <w:tcPr>
            <w:tcW w:w="2180" w:type="dxa"/>
            <w:vAlign w:val="bottom"/>
            <w:gridSpan w:val="6"/>
          </w:tcPr>
          <w:p>
            <w:pPr>
              <w:spacing w:after="0" w:line="220" w:lineRule="exact"/>
              <w:rPr>
                <w:sz w:val="20"/>
                <w:szCs w:val="20"/>
                <w:color w:val="auto"/>
              </w:rPr>
            </w:pPr>
            <w:r>
              <w:rPr>
                <w:rFonts w:ascii="Arial" w:cs="Arial" w:eastAsia="Arial" w:hAnsi="Arial"/>
                <w:sz w:val="20"/>
                <w:szCs w:val="20"/>
                <w:color w:val="0000FF"/>
              </w:rPr>
              <w:t>Aktiengesellschaft</w:t>
            </w:r>
          </w:p>
        </w:tc>
        <w:tc>
          <w:tcPr>
            <w:tcW w:w="900" w:type="dxa"/>
            <w:vAlign w:val="bottom"/>
          </w:tcPr>
          <w:p>
            <w:pPr>
              <w:spacing w:after="0"/>
              <w:rPr>
                <w:sz w:val="19"/>
                <w:szCs w:val="19"/>
                <w:color w:val="auto"/>
              </w:rPr>
            </w:pPr>
          </w:p>
        </w:tc>
      </w:tr>
      <w:tr>
        <w:trPr>
          <w:trHeight w:val="20"/>
        </w:trPr>
        <w:tc>
          <w:tcPr>
            <w:tcW w:w="144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0"/>
        </w:trPr>
        <w:tc>
          <w:tcPr>
            <w:tcW w:w="2180" w:type="dxa"/>
            <w:vAlign w:val="bottom"/>
            <w:gridSpan w:val="6"/>
          </w:tcPr>
          <w:p>
            <w:pPr>
              <w:spacing w:after="0"/>
              <w:rPr>
                <w:sz w:val="20"/>
                <w:szCs w:val="20"/>
                <w:color w:val="auto"/>
              </w:rPr>
            </w:pPr>
            <w:r>
              <w:rPr>
                <w:rFonts w:ascii="Arial" w:cs="Arial" w:eastAsia="Arial" w:hAnsi="Arial"/>
                <w:sz w:val="20"/>
                <w:szCs w:val="20"/>
                <w:color w:val="0000FF"/>
              </w:rPr>
              <w:t>/s/ Patrick Lennaerts, on</w:t>
            </w:r>
          </w:p>
        </w:tc>
        <w:tc>
          <w:tcPr>
            <w:tcW w:w="900" w:type="dxa"/>
            <w:vAlign w:val="bottom"/>
          </w:tcPr>
          <w:p>
            <w:pPr>
              <w:spacing w:after="0"/>
              <w:rPr>
                <w:sz w:val="24"/>
                <w:szCs w:val="24"/>
                <w:color w:val="auto"/>
              </w:rPr>
            </w:pPr>
          </w:p>
        </w:tc>
      </w:tr>
      <w:tr>
        <w:trPr>
          <w:trHeight w:val="220"/>
        </w:trPr>
        <w:tc>
          <w:tcPr>
            <w:tcW w:w="1740" w:type="dxa"/>
            <w:vAlign w:val="bottom"/>
            <w:tcBorders>
              <w:top w:val="single" w:sz="8" w:color="auto"/>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89"/>
              </w:rPr>
              <w:t>behalf of Bayer World</w:t>
            </w:r>
          </w:p>
        </w:tc>
        <w:tc>
          <w:tcPr>
            <w:tcW w:w="1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0000FF"/>
                <w:w w:val="87"/>
              </w:rPr>
              <w:t>06/17/2021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920" w:type="dxa"/>
            <w:vAlign w:val="bottom"/>
            <w:gridSpan w:val="2"/>
          </w:tcPr>
          <w:p>
            <w:pPr>
              <w:spacing w:after="0" w:line="225" w:lineRule="exact"/>
              <w:rPr>
                <w:sz w:val="20"/>
                <w:szCs w:val="20"/>
                <w:color w:val="auto"/>
              </w:rPr>
            </w:pPr>
            <w:r>
              <w:rPr>
                <w:rFonts w:ascii="Arial" w:cs="Arial" w:eastAsia="Arial" w:hAnsi="Arial"/>
                <w:sz w:val="20"/>
                <w:szCs w:val="20"/>
                <w:color w:val="0000FF"/>
              </w:rPr>
              <w:t>Investments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44145" TargetMode="External"/><Relationship Id="rId11" Type="http://schemas.openxmlformats.org/officeDocument/2006/relationships/hyperlink" Target="http://www.sec.gov/cgi-bin/browse-edgar?action=getcompany&amp;CIK=0001850119" TargetMode="External"/><Relationship Id="rId12" Type="http://schemas.openxmlformats.org/officeDocument/2006/relationships/hyperlink" Target="http://www.sec.gov/cgi-bin/browse-edgar?action=getcompany&amp;CIK=00018200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2021-06-17T16:52:01Z</dcterms:created>
  <dcterms:modified xsi:type="dcterms:W3CDTF">2021-06-17T16:52:01Z</dcterms:modified>
</cp:coreProperties>
</file>