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8552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855210"/>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Pfeiffenberger Brent</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CENTURY THERAPEUTICS,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N 38TH STREET, 11TH FLOOR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Century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IPSC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03/10/2025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94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02"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20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PHILADELPHIA PA</w:t>
            </w:r>
          </w:p>
        </w:tc>
        <w:tc>
          <w:tcPr>
            <w:tcW w:w="16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19104</w:t>
            </w:r>
          </w:p>
        </w:tc>
      </w:tr>
      <w:tr>
        <w:trPr>
          <w:trHeight w:val="146"/>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54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03/10/2025</w:t>
            </w:r>
          </w:p>
        </w:tc>
        <w:tc>
          <w:tcPr>
            <w:tcW w:w="6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(1)</w:t>
            </w:r>
          </w:p>
        </w:tc>
        <w:tc>
          <w:tcPr>
            <w:tcW w:w="7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2,235</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0.615</w:t>
            </w:r>
          </w:p>
        </w:tc>
        <w:tc>
          <w:tcPr>
            <w:tcW w:w="126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7"/>
                <w:szCs w:val="17"/>
                <w:color w:val="0000FF"/>
              </w:rPr>
              <w:t>1,190,310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03/11/2025</w:t>
            </w:r>
          </w:p>
        </w:tc>
        <w:tc>
          <w:tcPr>
            <w:tcW w:w="6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(2)</w:t>
            </w:r>
          </w:p>
        </w:tc>
        <w:tc>
          <w:tcPr>
            <w:tcW w:w="84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521,500</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right="3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7"/>
                <w:szCs w:val="17"/>
                <w:color w:val="0000FF"/>
              </w:rPr>
              <w:t>1,711,810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jc w:val="right"/>
              <w:ind w:righ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0.601</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03/11/2025</w:t>
            </w:r>
          </w:p>
        </w:tc>
        <w:tc>
          <w:tcPr>
            <w:tcW w:w="108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521,500</w:t>
            </w:r>
          </w:p>
        </w:tc>
        <w:tc>
          <w:tcPr>
            <w:tcW w:w="260" w:type="dxa"/>
            <w:vAlign w:val="bottom"/>
          </w:tcPr>
          <w:p>
            <w:pPr>
              <w:spacing w:after="0"/>
              <w:rPr>
                <w:sz w:val="17"/>
                <w:szCs w:val="17"/>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03/11/2035</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521,500</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521,500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ind w:left="4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1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the number of shares required to be sold by the Reporting Person to cover tax withholding obligations in connection with the vesting of restricted stock units ("RSUs"). Such sales were automatic and not at the discretion of the Reporting Person.</w:t>
      </w:r>
    </w:p>
    <w:p>
      <w:pPr>
        <w:spacing w:after="0" w:line="19" w:lineRule="exact"/>
        <w:rPr>
          <w:rFonts w:ascii="Times New Roman" w:cs="Times New Roman" w:eastAsia="Times New Roman" w:hAnsi="Times New Roman"/>
          <w:sz w:val="13"/>
          <w:szCs w:val="13"/>
          <w:color w:val="008000"/>
        </w:rPr>
      </w:pPr>
    </w:p>
    <w:p>
      <w:pPr>
        <w:ind w:left="40" w:right="16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grant of RSUs. Each RSU represents a contingent right to receive one share of Issuer common stock. The RSUs vest 25% on March 11, 2026, with the remaining 75% vesting on a quarterly basis for the three years thereafter, in each case subject the Reporting Person's continued service through the applicable vesting date. The RSUs will be settled on each applicable vesting date in shares of the Issuer's common stock.</w:t>
      </w:r>
    </w:p>
    <w:p>
      <w:pPr>
        <w:spacing w:after="0" w:line="25"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25% on March 11, 2026, with the remaining 75% vesting in 36 equal monthly installments, subject to the Reporting Person's continued service through each applicable vesting date.</w:t>
      </w:r>
    </w:p>
    <w:p>
      <w:pPr>
        <w:spacing w:after="0" w:line="4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Douglas Carr, Attorney-in-</w:t>
            </w:r>
          </w:p>
        </w:tc>
        <w:tc>
          <w:tcPr>
            <w:tcW w:w="220" w:type="dxa"/>
            <w:vAlign w:val="bottom"/>
          </w:tcPr>
          <w:p>
            <w:pPr>
              <w:spacing w:after="0"/>
              <w:rPr>
                <w:sz w:val="17"/>
                <w:szCs w:val="17"/>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03/12/2025</w:t>
            </w:r>
          </w:p>
        </w:tc>
        <w:tc>
          <w:tcPr>
            <w:tcW w:w="0" w:type="dxa"/>
            <w:vAlign w:val="bottom"/>
          </w:tcPr>
          <w:p>
            <w:pPr>
              <w:spacing w:after="0"/>
              <w:rPr>
                <w:sz w:val="1"/>
                <w:szCs w:val="1"/>
                <w:color w:val="auto"/>
              </w:rPr>
            </w:pPr>
          </w:p>
        </w:tc>
      </w:tr>
      <w:tr>
        <w:trPr>
          <w:trHeight w:val="87"/>
        </w:trPr>
        <w:tc>
          <w:tcPr>
            <w:tcW w:w="28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01162" TargetMode="External"/><Relationship Id="rId14"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2025-03-12T18:35:13Z</dcterms:created>
  <dcterms:modified xsi:type="dcterms:W3CDTF">2025-03-12T18:35:13Z</dcterms:modified>
</cp:coreProperties>
</file>