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9823d1_8k.htm"/>
      <w:bookmarkStart w:id="1" w:name="kstm269823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326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March 26, 2026</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Century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360" w:type="dxa"/>
        <w:jc w:val="left"/>
        <w:tblInd w:w="0" w:type="dxa"/>
        <w:tblLayout w:type="fixed"/>
        <w:tblCellMar>
          <w:top w:w="0" w:type="dxa"/>
          <w:left w:w="0" w:type="dxa"/>
          <w:bottom w:w="0" w:type="dxa"/>
          <w:right w:w="0" w:type="dxa"/>
        </w:tblCellMar>
      </w:tblPr>
      <w:tblGrid>
        <w:gridCol w:w="2495"/>
        <w:gridCol w:w="60"/>
        <w:gridCol w:w="2210"/>
        <w:gridCol w:w="60"/>
        <w:gridCol w:w="1535"/>
      </w:tblGrid>
      <w:tr>
        <w:trPr/>
        <w:tc>
          <w:tcPr>
            <w:tcW w:w="2495" w:type="dxa"/>
            <w:tcBorders/>
            <w:vAlign w:val="center"/>
          </w:tcPr>
          <w:p>
            <w:pPr>
              <w:pStyle w:val="TableContents"/>
              <w:bidi w:val="0"/>
              <w:spacing w:before="0" w:after="283"/>
              <w:jc w:val="center"/>
              <w:rPr>
                <w:b/>
                <w:sz w:val="20"/>
              </w:rPr>
            </w:pPr>
            <w:bookmarkStart w:id="5" w:name="xdx_902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3_edei--EntityFileNumber_c20260326"/>
            <w:bookmarkEnd w:id="6"/>
            <w:r>
              <w:rPr>
                <w:b/>
                <w:sz w:val="20"/>
              </w:rPr>
              <w:t>001-40498</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2_edei--EntityTaxIdentificationNum"/>
            <w:bookmarkEnd w:id="7"/>
            <w:r>
              <w:rPr>
                <w:b/>
                <w:sz w:val="20"/>
              </w:rPr>
              <w:t>84-2040295</w:t>
            </w:r>
          </w:p>
        </w:tc>
      </w:tr>
      <w:tr>
        <w:trPr/>
        <w:tc>
          <w:tcPr>
            <w:tcW w:w="2495" w:type="dxa"/>
            <w:tcBorders/>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25 North 38th Street</w:t>
            </w:r>
            <w:r>
              <w:rPr>
                <w:rFonts w:ascii="Times New Roman;Times;Serif" w:hAnsi="Times New Roman;Times;Serif"/>
                <w:b w:val="false"/>
                <w:i w:val="false"/>
                <w:caps w:val="false"/>
                <w:smallCaps w:val="false"/>
                <w:sz w:val="20"/>
              </w:rPr>
              <w:t xml:space="preserve">, </w:t>
            </w:r>
            <w:bookmarkStart w:id="9" w:name="xdx_908_edei--EntityAddressAddressLine2_"/>
            <w:bookmarkEnd w:id="9"/>
            <w:r>
              <w:rPr>
                <w:rFonts w:ascii="Times New Roman;Times;Serif" w:hAnsi="Times New Roman;Times;Serif"/>
                <w:b/>
                <w:i w:val="false"/>
                <w:caps w:val="false"/>
                <w:smallCaps w:val="false"/>
                <w:sz w:val="20"/>
              </w:rPr>
              <w:t>11th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Philadelphia, </w:t>
            </w:r>
            <w:bookmarkStart w:id="11" w:name="xdx_90C_edei--EntityAddressStateOrProvin"/>
            <w:bookmarkEnd w:id="11"/>
            <w:r>
              <w:rPr>
                <w:rFonts w:ascii="Times New Roman;Times;Serif" w:hAnsi="Times New Roman;Times;Serif"/>
                <w:b/>
                <w:i w:val="false"/>
                <w:caps w:val="false"/>
                <w:smallCaps w:val="false"/>
                <w:sz w:val="20"/>
              </w:rPr>
              <w:t xml:space="preserve">Pennsylvania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D_edei--EntityAddressPostalZipCode"/>
            <w:bookmarkEnd w:id="12"/>
            <w:r>
              <w:rPr>
                <w:b/>
                <w:sz w:val="20"/>
              </w:rPr>
              <w:t>19104</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3_edei--CityAreaCode_c20260326__20"/>
      <w:bookmarkEnd w:id="13"/>
      <w:r>
        <w:rPr>
          <w:rFonts w:ascii="Times New Roman;Times;Serif" w:hAnsi="Times New Roman;Times;Serif"/>
          <w:b/>
          <w:i w:val="false"/>
          <w:caps w:val="false"/>
          <w:smallCaps w:val="false"/>
          <w:sz w:val="20"/>
        </w:rPr>
        <w:t xml:space="preserve">267) </w:t>
      </w:r>
      <w:bookmarkStart w:id="14" w:name="xdx_90A_edei--LocalPhoneNumber_c20260326"/>
      <w:bookmarkEnd w:id="14"/>
      <w:r>
        <w:rPr>
          <w:rFonts w:ascii="Times New Roman;Times;Serif" w:hAnsi="Times New Roman;Times;Serif"/>
          <w:b/>
          <w:i w:val="false"/>
          <w:caps w:val="false"/>
          <w:smallCaps w:val="false"/>
          <w:sz w:val="20"/>
        </w:rPr>
        <w:t>817-5790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9_edei--WrittenCommunications_c202"/>
            <w:bookmarkEnd w:id="15"/>
            <w:r>
              <w:rPr>
                <w:caps w:val="false"/>
                <w:smallCaps w:val="false"/>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6" w:name="xdx_90D_edei--SolicitingMaterial_c202603"/>
            <w:bookmarkEnd w:id="16"/>
            <w:r>
              <w:rPr>
                <w:caps w:val="false"/>
                <w:smallCaps w:val="false"/>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7" w:name="xdx_90C_edei--PreCommencementTenderOffer"/>
            <w:bookmarkEnd w:id="17"/>
            <w:r>
              <w:rPr>
                <w:caps w:val="false"/>
                <w:smallCaps w:val="false"/>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8" w:name="xdx_904_edei--PreCommencementIssuerTende"/>
            <w:bookmarkEnd w:id="18"/>
            <w:r>
              <w:rPr>
                <w:caps w:val="false"/>
                <w:smallCaps w:val="false"/>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3785"/>
        <w:gridCol w:w="60"/>
        <w:gridCol w:w="1415"/>
        <w:gridCol w:w="60"/>
        <w:gridCol w:w="3425"/>
      </w:tblGrid>
      <w:tr>
        <w:trPr/>
        <w:tc>
          <w:tcPr>
            <w:tcW w:w="378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425" w:type="dxa"/>
            <w:tcBorders>
              <w:bottom w:val="single" w:sz="8" w:space="0" w:color="000000"/>
            </w:tcBorders>
            <w:vAlign w:val="center"/>
          </w:tcPr>
          <w:p>
            <w:pPr>
              <w:pStyle w:val="TableContents"/>
              <w:bidi w:val="0"/>
              <w:spacing w:before="0" w:after="283"/>
              <w:jc w:val="center"/>
              <w:rPr>
                <w:b/>
                <w:sz w:val="20"/>
              </w:rPr>
            </w:pPr>
            <w:r>
              <w:rPr>
                <w:b/>
                <w:sz w:val="20"/>
              </w:rPr>
              <w:t>Name of Exchange on Which Registered</w:t>
            </w:r>
          </w:p>
        </w:tc>
      </w:tr>
      <w:tr>
        <w:trPr/>
        <w:tc>
          <w:tcPr>
            <w:tcW w:w="3785" w:type="dxa"/>
            <w:tcBorders/>
            <w:tcMar>
              <w:bottom w:w="0" w:type="dxa"/>
            </w:tcMar>
            <w:vAlign w:val="center"/>
          </w:tcPr>
          <w:p>
            <w:pPr>
              <w:pStyle w:val="TableContents"/>
              <w:bidi w:val="0"/>
              <w:spacing w:before="0" w:after="283"/>
              <w:jc w:val="center"/>
              <w:rPr>
                <w:b/>
                <w:sz w:val="20"/>
              </w:rPr>
            </w:pPr>
            <w:bookmarkStart w:id="19" w:name="xdx_908_edei--Security12bTitle_c20260326"/>
            <w:bookmarkEnd w:id="19"/>
            <w:r>
              <w:rPr>
                <w:b/>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b/>
                <w:sz w:val="20"/>
              </w:rPr>
            </w:pPr>
            <w:bookmarkStart w:id="20" w:name="xdx_90D_edei--TradingSymbol_c20260326__2"/>
            <w:bookmarkEnd w:id="20"/>
            <w:r>
              <w:rPr>
                <w:b/>
                <w:sz w:val="20"/>
              </w:rPr>
              <w:t>IPSC</w:t>
            </w:r>
          </w:p>
        </w:tc>
        <w:tc>
          <w:tcPr>
            <w:tcW w:w="60" w:type="dxa"/>
            <w:tcBorders/>
            <w:tcMar>
              <w:bottom w:w="0" w:type="dxa"/>
            </w:tcMar>
            <w:vAlign w:val="center"/>
          </w:tcPr>
          <w:p>
            <w:pPr>
              <w:pStyle w:val="TableContents"/>
              <w:bidi w:val="0"/>
              <w:spacing w:before="0" w:after="283"/>
              <w:jc w:val="left"/>
              <w:rPr/>
            </w:pPr>
            <w:r>
              <w:rPr/>
              <w:t> </w:t>
            </w:r>
          </w:p>
        </w:tc>
        <w:tc>
          <w:tcPr>
            <w:tcW w:w="3425" w:type="dxa"/>
            <w:tcBorders/>
            <w:tcMar>
              <w:bottom w:w="0" w:type="dxa"/>
            </w:tcMar>
            <w:vAlign w:val="center"/>
          </w:tcPr>
          <w:p>
            <w:pPr>
              <w:pStyle w:val="TableContents"/>
              <w:bidi w:val="0"/>
              <w:spacing w:before="0" w:after="283"/>
              <w:jc w:val="center"/>
              <w:rPr>
                <w:b/>
                <w:sz w:val="20"/>
              </w:rPr>
            </w:pPr>
            <w:bookmarkStart w:id="21" w:name="xdx_905_edei--SecurityExchangeName_c2026"/>
            <w:bookmarkEnd w:id="21"/>
            <w:r>
              <w:rPr>
                <w:b/>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4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980"/>
        <w:gridCol w:w="1445"/>
      </w:tblGrid>
      <w:tr>
        <w:trPr/>
        <w:tc>
          <w:tcPr>
            <w:tcW w:w="980"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Century Therapeutics, Inc. (the “Company”) filed with the Securities and Exchange Commission (the “SEC”) a shelf registration statement on Form S-3 (File No. 333-288616), which became effective on January 9, 2026, and replaced the Company’s previous shelf registration statement on Form S-3 (File No. 333-265975) filed with the SEC on July 1, 2022.</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effectiveness of the new shelf registration statement, the Company also filed with the SEC a new prospectus supplement (the “Prospectus Supplement”), dated March 26, 2026, with respect to the Company’s existing “at the market” equity offering program (the “ATM Program”), pursuant to which the Company may issue and sell shares of its common stock having an aggregate offering price of up to $150,000,000, from time to time through with Cowen and Company, LLC, predecessor to TD Securities (USA) LLC, as sales agent (the “Sales Agent”), pursuant to a Sales Agreement, dated July 1, 2022, between the Company and the Sales Agent (the “Sales Agreement”).</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sold shares of its common stock having an aggregate offering price of $18,380,259 under the ATM Program. Accordingly, as of the date of the Prospectus Supplement, shares of common stock having an aggregate offering price of up to $131,619,741 remain available for offer and sale under the ATM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Agreement is filed as Exhibit 1.1 hereto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filing of the Prospectus Supplement, the Company is filing as Exhibit 5.1 hereto the opinion of its counsel, Goodwin Procter LLP, which opinion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vAlign w:val="center"/>
          </w:tcPr>
          <w:p>
            <w:pPr>
              <w:pStyle w:val="TableContents"/>
              <w:bidi w:val="0"/>
              <w:spacing w:before="0" w:after="283"/>
              <w:jc w:val="left"/>
              <w:rPr/>
            </w:pPr>
            <w:hyperlink r:id="rId2">
              <w:r>
                <w:rPr>
                  <w:rStyle w:val="InternetLink"/>
                  <w:sz w:val="20"/>
                </w:rPr>
                <w:t>1.1</w:t>
              </w:r>
            </w:hyperlink>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hyperlink r:id="rId3">
              <w:r>
                <w:rPr>
                  <w:rStyle w:val="InternetLink"/>
                </w:rPr>
                <w:t>Sales Agreement (previously filed as Exhibit 1.2 to the Company’s Registration Statement on Form S-3 on July 1, 2022 and incorporated herein by reference).</w:t>
              </w:r>
            </w:hyperlink>
          </w:p>
        </w:tc>
      </w:tr>
      <w:tr>
        <w:trPr/>
        <w:tc>
          <w:tcPr>
            <w:tcW w:w="395" w:type="dxa"/>
            <w:tcBorders/>
            <w:vAlign w:val="center"/>
          </w:tcPr>
          <w:p>
            <w:pPr>
              <w:pStyle w:val="TableContents"/>
              <w:bidi w:val="0"/>
              <w:spacing w:before="0" w:after="283"/>
              <w:jc w:val="left"/>
              <w:rPr/>
            </w:pPr>
            <w:hyperlink w:anchor="tm269823d1_ex5-1.htm">
              <w:r>
                <w:rPr>
                  <w:rStyle w:val="InternetLink"/>
                  <w:sz w:val="20"/>
                </w:rPr>
                <w:t>5.1</w:t>
              </w:r>
            </w:hyperlink>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hyperlink w:anchor="tm269823d1_ex5-1.htm">
              <w:r>
                <w:rPr>
                  <w:rStyle w:val="InternetLink"/>
                </w:rPr>
                <w:t>Opinion of Goodwin Procter LLP with respect to the validity of the shares.</w:t>
              </w:r>
            </w:hyperlink>
          </w:p>
        </w:tc>
      </w:tr>
      <w:tr>
        <w:trPr/>
        <w:tc>
          <w:tcPr>
            <w:tcW w:w="395" w:type="dxa"/>
            <w:tcBorders/>
            <w:vAlign w:val="center"/>
          </w:tcPr>
          <w:p>
            <w:pPr>
              <w:pStyle w:val="TableContents"/>
              <w:bidi w:val="0"/>
              <w:spacing w:before="0" w:after="283"/>
              <w:jc w:val="left"/>
              <w:rPr/>
            </w:pPr>
            <w:hyperlink w:anchor="tm269823d1_ex5-1.htm">
              <w:r>
                <w:rPr>
                  <w:rStyle w:val="InternetLink"/>
                  <w:sz w:val="20"/>
                </w:rPr>
                <w:t>23.1</w:t>
              </w:r>
            </w:hyperlink>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hyperlink w:anchor="tm269823d1_ex5-1.htm">
              <w:r>
                <w:rPr>
                  <w:rStyle w:val="InternetLink"/>
                </w:rPr>
                <w:t>Consent of Goodwin Procter LLP (contained in its opinion filed as Exhibit 5.1 and incorporated herein by reference).</w:t>
              </w:r>
            </w:hyperlink>
          </w:p>
        </w:tc>
      </w:tr>
      <w:tr>
        <w:trPr/>
        <w:tc>
          <w:tcPr>
            <w:tcW w:w="39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sz w:val="20"/>
              </w:rPr>
            </w:pPr>
            <w:r>
              <w:rPr>
                <w:sz w:val="20"/>
              </w:rPr>
              <w:t>Cover Page Interactive Data File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545"/>
        <w:gridCol w:w="3185"/>
      </w:tblGrid>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b/>
                <w:sz w:val="20"/>
              </w:rPr>
            </w:pPr>
            <w:r>
              <w:rPr>
                <w:b/>
                <w:sz w:val="20"/>
              </w:rPr>
              <w:t>CENTURY THERAPEUTICS,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318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Brent Pfeiffenberger, PharmD, MBA</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185" w:type="dxa"/>
            <w:tcBorders/>
            <w:vAlign w:val="center"/>
          </w:tcPr>
          <w:p>
            <w:pPr>
              <w:pStyle w:val="TableContents"/>
              <w:bidi w:val="0"/>
              <w:spacing w:before="0" w:after="283"/>
              <w:jc w:val="left"/>
              <w:rPr>
                <w:sz w:val="20"/>
              </w:rPr>
            </w:pPr>
            <w:r>
              <w:rPr>
                <w:sz w:val="20"/>
              </w:rPr>
              <w:t>Brent Pfeiffenberger, PharmD, MBA</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18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4" w:name="tm269823d1_ex5-1.htm"/>
      <w:bookmarkStart w:id="25" w:name="kstm269823d1_ex51"/>
      <w:bookmarkEnd w:id="24"/>
      <w:bookmarkEnd w:id="25"/>
      <w:r>
        <w:rPr>
          <w:b/>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4315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2343150" cy="5524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44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Century 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N 38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19104</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w:t>
      </w:r>
      <w:r>
        <w:rPr>
          <w:rFonts w:ascii="Times New Roman;Times;Serif" w:hAnsi="Times New Roman;Times;Serif"/>
          <w:b w:val="false"/>
          <w:i w:val="false"/>
          <w:caps w:val="false"/>
          <w:smallCaps w:val="false"/>
          <w:sz w:val="20"/>
          <w:u w:val="single"/>
        </w:rPr>
        <w:t>Securities Registered under Registration Statement on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you in connection with your filing of a Registration Statement on Form S-3 (File No. 333-288616) (as amended or supplemented, the “Registration Statement”) filed on July 10, 2025 with the Securities and Exchange Commission (the “Commission”) pursuant to the Securities Act of 1933, as amended (the “Securities Act”), relating to the registration of the offering by Century Therapeutics, Inc., a Delaware corporation (the “Company”) of up to $200,000,000 of any combination of securities of the types specified therein. The Registration Statement was declared effective by the Commission on January 9, 2026. Reference is made to our opinion letter dated July 10, 2025 and included as Exhibit 5.1 to the Registration Statement. We are delivering this supplemental opinion letter in connection with the sales agreement prospectus supplement (the “Prospectus Supplement”) filed on March 26, 2026, by the Company with the Commission pursuant to Rule 424 under the Securities Act. The Prospectus Supplement relates to the offering by the Company of up to $150,000,000 in shares (the “Shares”) of the Company’s common stock, par value $0.0001 per share (“Common Stock”) covered by the Registration Statement. The Shares are being offered and sold by the sales agent named in, and pursuant to, the Sales Agreement, dated July 1, 2022, by and between the Company and such sales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 set forth below, we have assumed that the Shares are issued for a price per share equal to or greater than the minimum price authorized by the Company’s board of directors prior to the date hereof (the “Minimum Price”) and that no event occurs that causes the number of authorized shares of Common Stock available for issuance by the Company to be less than the number of then unissued Shares that may be issued for the Minimum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Century Therapeutics, Inc.</w:t>
        <w:br/>
        <w:t>March 26, 2026</w:t>
        <w:br/>
        <w:t>Page 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below is limited to the Delaware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we are of the opinion that the Shares have been duly authorized and, upon Future Approval and Issuance,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to you for submission to the Commission as an exhibit to the Company’s Current Report on Form 8-K relating to the Shares (the “Current Report”), which is incorporated by reference in the Registration Statement. We hereby consent to the filing of this opinion letter as an exhibit to the Current Report and its incorporation by reference and the reference to our firm in that report. In giving our consent, we do not admit that we are in the category of persons whose consent is required under Section 7 of the Securities Act or the rules and regulations thereunder.</w:t>
      </w:r>
    </w:p>
    <w:p>
      <w:pPr>
        <w:pStyle w:val="TextBody"/>
        <w:bidi w:val="0"/>
        <w:spacing w:before="0" w:after="0"/>
        <w:ind w:left="0" w:right="0" w:firstLine="720"/>
        <w:jc w:val="left"/>
        <w:rPr>
          <w:caps w:val="false"/>
          <w:smallCaps w:val="false"/>
        </w:rPr>
      </w:pPr>
      <w:r>
        <w:rPr>
          <w:caps w:val="false"/>
          <w:smallCaps w:val="false"/>
        </w:rPr>
        <w:t> </w:t>
      </w:r>
    </w:p>
    <w:tbl>
      <w:tblPr>
        <w:tblW w:w="2585" w:type="dxa"/>
        <w:jc w:val="left"/>
        <w:tblInd w:w="0" w:type="dxa"/>
        <w:tblLayout w:type="fixed"/>
        <w:tblCellMar>
          <w:top w:w="0" w:type="dxa"/>
          <w:left w:w="0" w:type="dxa"/>
          <w:bottom w:w="0" w:type="dxa"/>
          <w:right w:w="0" w:type="dxa"/>
        </w:tblCellMar>
      </w:tblPr>
      <w:tblGrid>
        <w:gridCol w:w="75"/>
        <w:gridCol w:w="2510"/>
      </w:tblGrid>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GOODWIN PROCTER LLP</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0119/000110465922076807/tm2219477d2_ex1-2.htm" TargetMode="External"/><Relationship Id="rId3" Type="http://schemas.openxmlformats.org/officeDocument/2006/relationships/hyperlink" Target="https://www.sec.gov/Archives/edgar/data/1850119/000110465922076807/tm2219477d2_ex1-2.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1336</Words>
  <Characters>7031</Characters>
  <CharactersWithSpaces>8384</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