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7" w:lineRule="exact"/>
        <w:rPr>
          <w:sz w:val="24"/>
          <w:szCs w:val="24"/>
          <w:color w:val="auto"/>
        </w:rPr>
      </w:pPr>
    </w:p>
    <w:p>
      <w:pPr>
        <w:jc w:val="center"/>
        <w:ind w:right="-860"/>
        <w:spacing w:after="0"/>
        <w:rPr>
          <w:sz w:val="20"/>
          <w:szCs w:val="20"/>
          <w:color w:val="auto"/>
        </w:rPr>
      </w:pPr>
      <w:r>
        <w:rPr>
          <w:rFonts w:ascii="Arial" w:cs="Arial" w:eastAsia="Arial" w:hAnsi="Arial"/>
          <w:sz w:val="25"/>
          <w:szCs w:val="25"/>
          <w:color w:val="auto"/>
        </w:rPr>
        <w:t>UNITED STATES</w:t>
      </w:r>
    </w:p>
    <w:p>
      <w:pPr>
        <w:spacing w:after="0" w:line="145" w:lineRule="exact"/>
        <w:rPr>
          <w:sz w:val="24"/>
          <w:szCs w:val="24"/>
          <w:color w:val="auto"/>
        </w:rPr>
      </w:pPr>
    </w:p>
    <w:p>
      <w:pPr>
        <w:jc w:val="center"/>
        <w:ind w:right="-860"/>
        <w:spacing w:after="0"/>
        <w:rPr>
          <w:sz w:val="20"/>
          <w:szCs w:val="20"/>
          <w:color w:val="auto"/>
        </w:rPr>
      </w:pPr>
      <w:r>
        <w:rPr>
          <w:rFonts w:ascii="Arial" w:cs="Arial" w:eastAsia="Arial" w:hAnsi="Arial"/>
          <w:sz w:val="25"/>
          <w:szCs w:val="25"/>
          <w:color w:val="auto"/>
        </w:rPr>
        <w:t>SECURITIES AND EXCHANGE COMMISSION</w:t>
      </w:r>
    </w:p>
    <w:p>
      <w:pPr>
        <w:spacing w:after="0" w:line="148"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p>
      <w:pPr>
        <w:ind w:left="4440"/>
        <w:spacing w:after="0"/>
        <w:rPr>
          <w:sz w:val="20"/>
          <w:szCs w:val="20"/>
          <w:color w:val="auto"/>
        </w:rPr>
      </w:pPr>
      <w:r>
        <w:rPr>
          <w:rFonts w:ascii="Arial" w:cs="Arial" w:eastAsia="Arial" w:hAnsi="Arial"/>
          <w:sz w:val="25"/>
          <w:szCs w:val="25"/>
          <w:b w:val="1"/>
          <w:bCs w:val="1"/>
          <w:color w:val="auto"/>
        </w:rPr>
        <w:t>SCHEDULE 14A</w:t>
      </w:r>
    </w:p>
    <w:p>
      <w:pPr>
        <w:spacing w:after="0" w:line="150" w:lineRule="exact"/>
        <w:rPr>
          <w:sz w:val="24"/>
          <w:szCs w:val="24"/>
          <w:color w:val="auto"/>
        </w:rPr>
      </w:pPr>
    </w:p>
    <w:tbl>
      <w:tblPr>
        <w:tblLayout w:type="fixed"/>
        <w:tblInd w:w="1270" w:type="dxa"/>
        <w:tblCellMar>
          <w:top w:w="0" w:type="dxa"/>
          <w:left w:w="0" w:type="dxa"/>
          <w:bottom w:w="0" w:type="dxa"/>
          <w:right w:w="0" w:type="dxa"/>
        </w:tblCellMar>
      </w:tblPr>
      <w:tr>
        <w:trPr>
          <w:trHeight w:val="239"/>
        </w:trPr>
        <w:tc>
          <w:tcPr>
            <w:tcW w:w="7720" w:type="dxa"/>
            <w:vAlign w:val="bottom"/>
          </w:tcPr>
          <w:p>
            <w:pPr>
              <w:ind w:left="880"/>
              <w:spacing w:after="0"/>
              <w:rPr>
                <w:sz w:val="20"/>
                <w:szCs w:val="20"/>
                <w:color w:val="auto"/>
              </w:rPr>
            </w:pPr>
            <w:r>
              <w:rPr>
                <w:rFonts w:ascii="Arial" w:cs="Arial" w:eastAsia="Arial" w:hAnsi="Arial"/>
                <w:sz w:val="18"/>
                <w:szCs w:val="18"/>
                <w:color w:val="auto"/>
              </w:rPr>
              <w:t>Proxy Statement Pursuant to Section 14(a) of the Securities Exchange Act of 1934</w:t>
            </w:r>
          </w:p>
        </w:tc>
        <w:tc>
          <w:tcPr>
            <w:tcW w:w="500" w:type="dxa"/>
            <w:vAlign w:val="bottom"/>
          </w:tcPr>
          <w:p>
            <w:pPr>
              <w:spacing w:after="0"/>
              <w:rPr>
                <w:sz w:val="20"/>
                <w:szCs w:val="20"/>
                <w:color w:val="auto"/>
              </w:rPr>
            </w:pPr>
          </w:p>
        </w:tc>
      </w:tr>
      <w:tr>
        <w:trPr>
          <w:trHeight w:val="375"/>
        </w:trPr>
        <w:tc>
          <w:tcPr>
            <w:tcW w:w="77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Filed by the Registrant </w:t>
            </w:r>
            <w:r>
              <w:rPr>
                <w:rFonts w:ascii="MS PGothic" w:cs="MS PGothic" w:eastAsia="MS PGothic" w:hAnsi="MS PGothic"/>
                <w:sz w:val="18"/>
                <w:szCs w:val="18"/>
                <w:color w:val="auto"/>
              </w:rPr>
              <w:t>☐</w:t>
            </w:r>
            <w:r>
              <w:rPr>
                <w:rFonts w:ascii="Arial" w:cs="Arial" w:eastAsia="Arial" w:hAnsi="Arial"/>
                <w:sz w:val="18"/>
                <w:szCs w:val="18"/>
                <w:color w:val="auto"/>
              </w:rPr>
              <w:t xml:space="preserve"> Filed by a Party other than the Registrant</w:t>
            </w:r>
          </w:p>
        </w:tc>
        <w:tc>
          <w:tcPr>
            <w:tcW w:w="500" w:type="dxa"/>
            <w:vAlign w:val="bottom"/>
          </w:tcPr>
          <w:p>
            <w:pPr>
              <w:spacing w:after="0"/>
              <w:rPr>
                <w:sz w:val="24"/>
                <w:szCs w:val="24"/>
                <w:color w:val="auto"/>
              </w:rPr>
            </w:pPr>
          </w:p>
        </w:tc>
      </w:tr>
      <w:tr>
        <w:trPr>
          <w:trHeight w:val="161"/>
        </w:trPr>
        <w:tc>
          <w:tcPr>
            <w:tcW w:w="77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r>
      <w:tr>
        <w:trPr>
          <w:trHeight w:val="304"/>
        </w:trPr>
        <w:tc>
          <w:tcPr>
            <w:tcW w:w="7720" w:type="dxa"/>
            <w:vAlign w:val="bottom"/>
            <w:tcBorders>
              <w:left w:val="single" w:sz="8" w:color="auto"/>
              <w:bottom w:val="single" w:sz="8" w:color="auto"/>
            </w:tcBorders>
          </w:tcPr>
          <w:p>
            <w:pPr>
              <w:ind w:left="20"/>
              <w:spacing w:after="0" w:line="304" w:lineRule="exact"/>
              <w:rPr>
                <w:sz w:val="20"/>
                <w:szCs w:val="20"/>
                <w:color w:val="auto"/>
              </w:rPr>
            </w:pPr>
            <w:r>
              <w:rPr>
                <w:rFonts w:ascii="Arial" w:cs="Arial" w:eastAsia="Arial" w:hAnsi="Arial"/>
                <w:sz w:val="35"/>
                <w:szCs w:val="35"/>
                <w:b w:val="1"/>
                <w:bCs w:val="1"/>
                <w:color w:val="auto"/>
                <w:vertAlign w:val="superscript"/>
              </w:rPr>
              <w:t>​</w:t>
            </w:r>
            <w:r>
              <w:rPr>
                <w:rFonts w:ascii="Arial" w:cs="Arial" w:eastAsia="Arial" w:hAnsi="Arial"/>
                <w:sz w:val="18"/>
                <w:szCs w:val="18"/>
                <w:b w:val="1"/>
                <w:bCs w:val="1"/>
                <w:color w:val="auto"/>
              </w:rPr>
              <w:t xml:space="preserve"> Check the appropriate box:</w:t>
            </w:r>
          </w:p>
        </w:tc>
        <w:tc>
          <w:tcPr>
            <w:tcW w:w="50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r>
      <w:tr>
        <w:trPr>
          <w:trHeight w:val="204"/>
        </w:trPr>
        <w:tc>
          <w:tcPr>
            <w:tcW w:w="7720" w:type="dxa"/>
            <w:vAlign w:val="bottom"/>
            <w:tcBorders>
              <w:left w:val="single" w:sz="8" w:color="auto"/>
            </w:tcBorders>
          </w:tcPr>
          <w:p>
            <w:pPr>
              <w:ind w:left="20"/>
              <w:spacing w:after="0" w:line="204"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4"/>
                <w:szCs w:val="14"/>
                <w:b w:val="1"/>
                <w:bCs w:val="1"/>
                <w:color w:val="auto"/>
              </w:rPr>
              <w:t xml:space="preserve"> </w:t>
            </w:r>
            <w:r>
              <w:rPr>
                <w:rFonts w:ascii="MS PGothic" w:cs="MS PGothic" w:eastAsia="MS PGothic" w:hAnsi="MS PGothic"/>
                <w:sz w:val="14"/>
                <w:szCs w:val="14"/>
                <w:color w:val="auto"/>
              </w:rPr>
              <w:t>☒</w:t>
            </w:r>
            <w:r>
              <w:rPr>
                <w:rFonts w:ascii="Arial" w:cs="Arial" w:eastAsia="Arial" w:hAnsi="Arial"/>
                <w:sz w:val="23"/>
                <w:szCs w:val="23"/>
                <w:color w:val="auto"/>
                <w:vertAlign w:val="superscript"/>
              </w:rPr>
              <w:t>​ ​</w:t>
            </w:r>
            <w:r>
              <w:rPr>
                <w:rFonts w:ascii="Arial" w:cs="Arial" w:eastAsia="Arial" w:hAnsi="Arial"/>
                <w:sz w:val="14"/>
                <w:szCs w:val="14"/>
                <w:b w:val="1"/>
                <w:bCs w:val="1"/>
                <w:color w:val="auto"/>
              </w:rPr>
              <w:t xml:space="preserve"> Preliminary Proxy Statement</w:t>
            </w:r>
          </w:p>
        </w:tc>
        <w:tc>
          <w:tcPr>
            <w:tcW w:w="500" w:type="dxa"/>
            <w:vAlign w:val="bottom"/>
            <w:tcBorders>
              <w:right w:val="single" w:sz="8" w:color="auto"/>
            </w:tcBorders>
          </w:tcPr>
          <w:p>
            <w:pPr>
              <w:ind w:left="380"/>
              <w:spacing w:after="0" w:line="204" w:lineRule="exact"/>
              <w:rPr>
                <w:sz w:val="20"/>
                <w:szCs w:val="20"/>
                <w:color w:val="auto"/>
              </w:rPr>
            </w:pPr>
            <w:r>
              <w:rPr>
                <w:rFonts w:ascii="Arial" w:cs="Arial" w:eastAsia="Arial" w:hAnsi="Arial"/>
                <w:sz w:val="18"/>
                <w:szCs w:val="18"/>
                <w:color w:val="auto"/>
              </w:rPr>
              <w:t>​</w:t>
            </w:r>
          </w:p>
        </w:tc>
      </w:tr>
      <w:tr>
        <w:trPr>
          <w:trHeight w:val="257"/>
        </w:trPr>
        <w:tc>
          <w:tcPr>
            <w:tcW w:w="7720" w:type="dxa"/>
            <w:vAlign w:val="bottom"/>
            <w:tcBorders>
              <w:left w:val="single" w:sz="8" w:color="auto"/>
            </w:tcBorders>
          </w:tcPr>
          <w:p>
            <w:pPr>
              <w:ind w:left="20"/>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b w:val="1"/>
                <w:bCs w:val="1"/>
                <w:color w:val="auto"/>
              </w:rPr>
              <w:t xml:space="preserve"> </w:t>
            </w:r>
            <w:r>
              <w:rPr>
                <w:rFonts w:ascii="MS PGothic" w:cs="MS PGothic" w:eastAsia="MS PGothic" w:hAnsi="MS PGothic"/>
                <w:sz w:val="16"/>
                <w:szCs w:val="16"/>
                <w:color w:val="auto"/>
              </w:rPr>
              <w:t>☐</w:t>
            </w:r>
            <w:r>
              <w:rPr>
                <w:rFonts w:ascii="Arial" w:cs="Arial" w:eastAsia="Arial" w:hAnsi="Arial"/>
                <w:sz w:val="29"/>
                <w:szCs w:val="29"/>
                <w:color w:val="auto"/>
                <w:vertAlign w:val="superscript"/>
              </w:rPr>
              <w:t>​ ​</w:t>
            </w:r>
            <w:r>
              <w:rPr>
                <w:rFonts w:ascii="Arial" w:cs="Arial" w:eastAsia="Arial" w:hAnsi="Arial"/>
                <w:sz w:val="16"/>
                <w:szCs w:val="16"/>
                <w:b w:val="1"/>
                <w:bCs w:val="1"/>
                <w:color w:val="auto"/>
              </w:rPr>
              <w:t xml:space="preserve"> Confidential, for Use of the Commission Only (as permitted by Rule 14a-6(e)(2))</w:t>
            </w:r>
          </w:p>
        </w:tc>
        <w:tc>
          <w:tcPr>
            <w:tcW w:w="50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w:t>
            </w:r>
          </w:p>
        </w:tc>
      </w:tr>
      <w:tr>
        <w:trPr>
          <w:trHeight w:val="257"/>
        </w:trPr>
        <w:tc>
          <w:tcPr>
            <w:tcW w:w="7720" w:type="dxa"/>
            <w:vAlign w:val="bottom"/>
            <w:tcBorders>
              <w:left w:val="single" w:sz="8" w:color="auto"/>
            </w:tcBorders>
          </w:tcPr>
          <w:p>
            <w:pPr>
              <w:ind w:left="20"/>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b w:val="1"/>
                <w:bCs w:val="1"/>
                <w:color w:val="auto"/>
              </w:rPr>
              <w:t xml:space="preserve"> </w:t>
            </w:r>
            <w:r>
              <w:rPr>
                <w:rFonts w:ascii="MS PGothic" w:cs="MS PGothic" w:eastAsia="MS PGothic" w:hAnsi="MS PGothic"/>
                <w:sz w:val="16"/>
                <w:szCs w:val="16"/>
                <w:color w:val="auto"/>
              </w:rPr>
              <w:t>☐</w:t>
            </w:r>
            <w:r>
              <w:rPr>
                <w:rFonts w:ascii="Arial" w:cs="Arial" w:eastAsia="Arial" w:hAnsi="Arial"/>
                <w:sz w:val="29"/>
                <w:szCs w:val="29"/>
                <w:color w:val="auto"/>
                <w:vertAlign w:val="superscript"/>
              </w:rPr>
              <w:t>​ ​</w:t>
            </w:r>
            <w:r>
              <w:rPr>
                <w:rFonts w:ascii="Arial" w:cs="Arial" w:eastAsia="Arial" w:hAnsi="Arial"/>
                <w:sz w:val="16"/>
                <w:szCs w:val="16"/>
                <w:b w:val="1"/>
                <w:bCs w:val="1"/>
                <w:color w:val="auto"/>
              </w:rPr>
              <w:t xml:space="preserve"> Definitive Proxy Statement</w:t>
            </w:r>
          </w:p>
        </w:tc>
        <w:tc>
          <w:tcPr>
            <w:tcW w:w="50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w:t>
            </w:r>
          </w:p>
        </w:tc>
      </w:tr>
      <w:tr>
        <w:trPr>
          <w:trHeight w:val="257"/>
        </w:trPr>
        <w:tc>
          <w:tcPr>
            <w:tcW w:w="7720" w:type="dxa"/>
            <w:vAlign w:val="bottom"/>
            <w:tcBorders>
              <w:left w:val="single" w:sz="8" w:color="auto"/>
            </w:tcBorders>
          </w:tcPr>
          <w:p>
            <w:pPr>
              <w:ind w:left="20"/>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b w:val="1"/>
                <w:bCs w:val="1"/>
                <w:color w:val="auto"/>
              </w:rPr>
              <w:t xml:space="preserve"> </w:t>
            </w:r>
            <w:r>
              <w:rPr>
                <w:rFonts w:ascii="MS PGothic" w:cs="MS PGothic" w:eastAsia="MS PGothic" w:hAnsi="MS PGothic"/>
                <w:sz w:val="16"/>
                <w:szCs w:val="16"/>
                <w:color w:val="auto"/>
              </w:rPr>
              <w:t>☐</w:t>
            </w:r>
            <w:r>
              <w:rPr>
                <w:rFonts w:ascii="Arial" w:cs="Arial" w:eastAsia="Arial" w:hAnsi="Arial"/>
                <w:sz w:val="29"/>
                <w:szCs w:val="29"/>
                <w:color w:val="auto"/>
                <w:vertAlign w:val="superscript"/>
              </w:rPr>
              <w:t>​ ​</w:t>
            </w:r>
            <w:r>
              <w:rPr>
                <w:rFonts w:ascii="Arial" w:cs="Arial" w:eastAsia="Arial" w:hAnsi="Arial"/>
                <w:sz w:val="16"/>
                <w:szCs w:val="16"/>
                <w:b w:val="1"/>
                <w:bCs w:val="1"/>
                <w:color w:val="auto"/>
              </w:rPr>
              <w:t xml:space="preserve"> Definitive Additional Materials</w:t>
            </w:r>
          </w:p>
        </w:tc>
        <w:tc>
          <w:tcPr>
            <w:tcW w:w="50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w:t>
            </w:r>
          </w:p>
        </w:tc>
      </w:tr>
      <w:tr>
        <w:trPr>
          <w:trHeight w:val="397"/>
        </w:trPr>
        <w:tc>
          <w:tcPr>
            <w:tcW w:w="7720" w:type="dxa"/>
            <w:vAlign w:val="bottom"/>
            <w:tcBorders>
              <w:left w:val="single" w:sz="8" w:color="auto"/>
              <w:bottom w:val="single" w:sz="8" w:color="auto"/>
            </w:tcBorders>
          </w:tcPr>
          <w:p>
            <w:pPr>
              <w:ind w:left="20"/>
              <w:spacing w:after="0" w:line="396" w:lineRule="exact"/>
              <w:rPr>
                <w:sz w:val="20"/>
                <w:szCs w:val="20"/>
                <w:color w:val="auto"/>
              </w:rPr>
            </w:pPr>
            <w:r>
              <w:rPr>
                <w:rFonts w:ascii="Arial" w:cs="Arial" w:eastAsia="Arial" w:hAnsi="Arial"/>
                <w:sz w:val="35"/>
                <w:szCs w:val="35"/>
                <w:b w:val="1"/>
                <w:bCs w:val="1"/>
                <w:color w:val="auto"/>
                <w:vertAlign w:val="superscript"/>
              </w:rPr>
              <w:t>​</w:t>
            </w:r>
            <w:r>
              <w:rPr>
                <w:rFonts w:ascii="Arial" w:cs="Arial" w:eastAsia="Arial" w:hAnsi="Arial"/>
                <w:sz w:val="18"/>
                <w:szCs w:val="18"/>
                <w:b w:val="1"/>
                <w:bCs w:val="1"/>
                <w:color w:val="auto"/>
              </w:rPr>
              <w:t xml:space="preserve"> </w:t>
            </w:r>
            <w:r>
              <w:rPr>
                <w:rFonts w:ascii="MS PGothic" w:cs="MS PGothic" w:eastAsia="MS PGothic" w:hAnsi="MS PGothic"/>
                <w:sz w:val="18"/>
                <w:szCs w:val="18"/>
                <w:color w:val="auto"/>
              </w:rPr>
              <w:t>☐</w:t>
            </w:r>
            <w:r>
              <w:rPr>
                <w:rFonts w:ascii="Arial" w:cs="Arial" w:eastAsia="Arial" w:hAnsi="Arial"/>
                <w:sz w:val="35"/>
                <w:szCs w:val="35"/>
                <w:b w:val="1"/>
                <w:bCs w:val="1"/>
                <w:color w:val="auto"/>
                <w:vertAlign w:val="superscript"/>
              </w:rPr>
              <w:t>​ ​</w:t>
            </w:r>
            <w:r>
              <w:rPr>
                <w:rFonts w:ascii="Arial" w:cs="Arial" w:eastAsia="Arial" w:hAnsi="Arial"/>
                <w:sz w:val="18"/>
                <w:szCs w:val="18"/>
                <w:b w:val="1"/>
                <w:bCs w:val="1"/>
                <w:color w:val="auto"/>
              </w:rPr>
              <w:t xml:space="preserve"> Soliciting Material under §240.14a-12</w:t>
            </w:r>
          </w:p>
        </w:tc>
        <w:tc>
          <w:tcPr>
            <w:tcW w:w="50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2171700</wp:posOffset>
            </wp:positionH>
            <wp:positionV relativeFrom="paragraph">
              <wp:posOffset>154305</wp:posOffset>
            </wp:positionV>
            <wp:extent cx="2468880" cy="7112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68880" cy="7112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3480"/>
        <w:spacing w:after="0"/>
        <w:rPr>
          <w:sz w:val="20"/>
          <w:szCs w:val="20"/>
          <w:color w:val="auto"/>
        </w:rPr>
      </w:pPr>
      <w:r>
        <w:rPr>
          <w:rFonts w:ascii="Arial" w:cs="Arial" w:eastAsia="Arial" w:hAnsi="Arial"/>
          <w:sz w:val="25"/>
          <w:szCs w:val="25"/>
          <w:b w:val="1"/>
          <w:bCs w:val="1"/>
          <w:color w:val="auto"/>
        </w:rPr>
        <w:t>CENTURY THERAPEUTICS, INC.</w:t>
      </w:r>
    </w:p>
    <w:p>
      <w:pPr>
        <w:spacing w:after="0" w:line="60"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(Name of Registrant as Specified In Its Charter)</w:t>
      </w:r>
    </w:p>
    <w:p>
      <w:pPr>
        <w:spacing w:after="0" w:line="178" w:lineRule="exact"/>
        <w:rPr>
          <w:sz w:val="24"/>
          <w:szCs w:val="24"/>
          <w:color w:val="auto"/>
        </w:rPr>
      </w:pPr>
    </w:p>
    <w:tbl>
      <w:tblPr>
        <w:tblLayout w:type="fixed"/>
        <w:tblInd w:w="1270" w:type="dxa"/>
        <w:tblCellMar>
          <w:top w:w="0" w:type="dxa"/>
          <w:left w:w="0" w:type="dxa"/>
          <w:bottom w:w="0" w:type="dxa"/>
          <w:right w:w="0" w:type="dxa"/>
        </w:tblCellMar>
      </w:tblPr>
      <w:tr>
        <w:trPr>
          <w:trHeight w:val="325"/>
        </w:trPr>
        <w:tc>
          <w:tcPr>
            <w:tcW w:w="6280" w:type="dxa"/>
            <w:vAlign w:val="bottom"/>
            <w:tcBorders>
              <w:top w:val="single" w:sz="8" w:color="auto"/>
              <w:left w:val="single" w:sz="8" w:color="auto"/>
              <w:bottom w:val="single" w:sz="8" w:color="auto"/>
            </w:tcBorders>
            <w:gridSpan w:val="2"/>
          </w:tcPr>
          <w:p>
            <w:pPr>
              <w:ind w:left="20"/>
              <w:spacing w:after="0" w:line="324"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Payment of Filing Fee (Check all boxes that apply):</w:t>
            </w:r>
          </w:p>
        </w:tc>
        <w:tc>
          <w:tcPr>
            <w:tcW w:w="194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4"/>
        </w:trPr>
        <w:tc>
          <w:tcPr>
            <w:tcW w:w="6280" w:type="dxa"/>
            <w:vAlign w:val="bottom"/>
            <w:tcBorders>
              <w:left w:val="single" w:sz="8" w:color="auto"/>
            </w:tcBorders>
            <w:gridSpan w:val="2"/>
          </w:tcPr>
          <w:p>
            <w:pPr>
              <w:ind w:left="20"/>
              <w:spacing w:after="0" w:line="204"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4"/>
                <w:szCs w:val="14"/>
                <w:b w:val="1"/>
                <w:bCs w:val="1"/>
                <w:color w:val="auto"/>
              </w:rPr>
              <w:t xml:space="preserve"> </w:t>
            </w:r>
            <w:r>
              <w:rPr>
                <w:rFonts w:ascii="MS PGothic" w:cs="MS PGothic" w:eastAsia="MS PGothic" w:hAnsi="MS PGothic"/>
                <w:sz w:val="14"/>
                <w:szCs w:val="14"/>
                <w:color w:val="auto"/>
              </w:rPr>
              <w:t>☒</w:t>
            </w:r>
            <w:r>
              <w:rPr>
                <w:rFonts w:ascii="Arial" w:cs="Arial" w:eastAsia="Arial" w:hAnsi="Arial"/>
                <w:sz w:val="23"/>
                <w:szCs w:val="23"/>
                <w:color w:val="auto"/>
                <w:vertAlign w:val="superscript"/>
              </w:rPr>
              <w:t>​ ​</w:t>
            </w:r>
            <w:r>
              <w:rPr>
                <w:rFonts w:ascii="Arial" w:cs="Arial" w:eastAsia="Arial" w:hAnsi="Arial"/>
                <w:sz w:val="14"/>
                <w:szCs w:val="14"/>
                <w:b w:val="1"/>
                <w:bCs w:val="1"/>
                <w:color w:val="auto"/>
              </w:rPr>
              <w:t xml:space="preserve"> No fee required</w:t>
            </w:r>
          </w:p>
        </w:tc>
        <w:tc>
          <w:tcPr>
            <w:tcW w:w="1940" w:type="dxa"/>
            <w:vAlign w:val="bottom"/>
            <w:tcBorders>
              <w:right w:val="single" w:sz="8" w:color="auto"/>
            </w:tcBorders>
          </w:tcPr>
          <w:p>
            <w:pPr>
              <w:jc w:val="right"/>
              <w:spacing w:after="0" w:line="204" w:lineRule="exact"/>
              <w:rPr>
                <w:sz w:val="20"/>
                <w:szCs w:val="20"/>
                <w:color w:val="auto"/>
              </w:rPr>
            </w:pPr>
            <w:r>
              <w:rPr>
                <w:rFonts w:ascii="Arial" w:cs="Arial" w:eastAsia="Arial" w:hAnsi="Arial"/>
                <w:sz w:val="18"/>
                <w:szCs w:val="18"/>
                <w:color w:val="auto"/>
              </w:rPr>
              <w:t>​</w:t>
            </w:r>
          </w:p>
        </w:tc>
      </w:tr>
      <w:tr>
        <w:trPr>
          <w:trHeight w:val="257"/>
        </w:trPr>
        <w:tc>
          <w:tcPr>
            <w:tcW w:w="1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180" w:type="dxa"/>
            <w:vAlign w:val="bottom"/>
          </w:tcPr>
          <w:p>
            <w:pPr>
              <w:ind w:left="20"/>
              <w:spacing w:after="0" w:line="256"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29"/>
                <w:szCs w:val="29"/>
                <w:color w:val="auto"/>
                <w:vertAlign w:val="superscript"/>
              </w:rPr>
              <w:t>​ ​</w:t>
            </w:r>
            <w:r>
              <w:rPr>
                <w:rFonts w:ascii="Arial" w:cs="Arial" w:eastAsia="Arial" w:hAnsi="Arial"/>
                <w:sz w:val="16"/>
                <w:szCs w:val="16"/>
                <w:b w:val="1"/>
                <w:bCs w:val="1"/>
                <w:color w:val="auto"/>
              </w:rPr>
              <w:t xml:space="preserve"> Fee paid previously with preliminary materials</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1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120" w:type="dxa"/>
            <w:vAlign w:val="bottom"/>
            <w:tcBorders>
              <w:right w:val="single" w:sz="8" w:color="auto"/>
            </w:tcBorders>
            <w:gridSpan w:val="2"/>
          </w:tcPr>
          <w:p>
            <w:pPr>
              <w:jc w:val="right"/>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 </w:t>
            </w:r>
            <w:r>
              <w:rPr>
                <w:rFonts w:ascii="Arial" w:cs="Arial" w:eastAsia="Arial" w:hAnsi="Arial"/>
                <w:sz w:val="18"/>
                <w:szCs w:val="18"/>
                <w:b w:val="1"/>
                <w:bCs w:val="1"/>
                <w:color w:val="auto"/>
              </w:rPr>
              <w:t>Fee computed on table in exhibit required by Item 25(b) per Exchange Act Rules 14a-6(i)</w:t>
            </w:r>
            <w:r>
              <w:rPr>
                <w:rFonts w:ascii="Arial" w:cs="Arial" w:eastAsia="Arial" w:hAnsi="Arial"/>
                <w:sz w:val="18"/>
                <w:szCs w:val="18"/>
                <w:color w:val="auto"/>
              </w:rPr>
              <w:t xml:space="preserve"> ​</w:t>
            </w:r>
          </w:p>
        </w:tc>
      </w:tr>
      <w:tr>
        <w:trPr>
          <w:trHeight w:val="247"/>
        </w:trPr>
        <w:tc>
          <w:tcPr>
            <w:tcW w:w="100" w:type="dxa"/>
            <w:vAlign w:val="bottom"/>
            <w:tcBorders>
              <w:left w:val="single" w:sz="8" w:color="auto"/>
            </w:tcBorders>
          </w:tcPr>
          <w:p>
            <w:pPr>
              <w:spacing w:after="0"/>
              <w:rPr>
                <w:sz w:val="21"/>
                <w:szCs w:val="21"/>
                <w:color w:val="auto"/>
              </w:rPr>
            </w:pPr>
          </w:p>
        </w:tc>
        <w:tc>
          <w:tcPr>
            <w:tcW w:w="6180" w:type="dxa"/>
            <w:vAlign w:val="bottom"/>
          </w:tcPr>
          <w:p>
            <w:pPr>
              <w:ind w:left="420"/>
              <w:spacing w:after="0"/>
              <w:rPr>
                <w:sz w:val="20"/>
                <w:szCs w:val="20"/>
                <w:color w:val="auto"/>
              </w:rPr>
            </w:pPr>
            <w:r>
              <w:rPr>
                <w:rFonts w:ascii="Arial" w:cs="Arial" w:eastAsia="Arial" w:hAnsi="Arial"/>
                <w:sz w:val="18"/>
                <w:szCs w:val="18"/>
                <w:b w:val="1"/>
                <w:bCs w:val="1"/>
                <w:color w:val="auto"/>
              </w:rPr>
              <w:t>(1) and 0-11</w:t>
            </w:r>
          </w:p>
        </w:tc>
        <w:tc>
          <w:tcPr>
            <w:tcW w:w="1940" w:type="dxa"/>
            <w:vAlign w:val="bottom"/>
            <w:tcBorders>
              <w:right w:val="single" w:sz="8" w:color="auto"/>
            </w:tcBorders>
          </w:tcPr>
          <w:p>
            <w:pPr>
              <w:spacing w:after="0"/>
              <w:rPr>
                <w:sz w:val="21"/>
                <w:szCs w:val="21"/>
                <w:color w:val="auto"/>
              </w:rPr>
            </w:pPr>
          </w:p>
        </w:tc>
      </w:tr>
      <w:tr>
        <w:trPr>
          <w:trHeight w:val="123"/>
        </w:trPr>
        <w:tc>
          <w:tcPr>
            <w:tcW w:w="100" w:type="dxa"/>
            <w:vAlign w:val="bottom"/>
            <w:tcBorders>
              <w:left w:val="single" w:sz="8" w:color="auto"/>
              <w:bottom w:val="single" w:sz="8" w:color="auto"/>
            </w:tcBorders>
          </w:tcPr>
          <w:p>
            <w:pPr>
              <w:spacing w:after="0"/>
              <w:rPr>
                <w:sz w:val="10"/>
                <w:szCs w:val="10"/>
                <w:color w:val="auto"/>
              </w:rPr>
            </w:pPr>
          </w:p>
        </w:tc>
        <w:tc>
          <w:tcPr>
            <w:tcW w:w="6180" w:type="dxa"/>
            <w:vAlign w:val="bottom"/>
            <w:tcBorders>
              <w:bottom w:val="single" w:sz="8" w:color="auto"/>
            </w:tcBorders>
          </w:tcPr>
          <w:p>
            <w:pPr>
              <w:spacing w:after="0"/>
              <w:rPr>
                <w:sz w:val="10"/>
                <w:szCs w:val="10"/>
                <w:color w:val="auto"/>
              </w:rPr>
            </w:pPr>
          </w:p>
        </w:tc>
        <w:tc>
          <w:tcPr>
            <w:tcW w:w="1940" w:type="dxa"/>
            <w:vAlign w:val="bottom"/>
            <w:tcBorders>
              <w:bottom w:val="single" w:sz="8" w:color="auto"/>
              <w:right w:val="single" w:sz="8" w:color="auto"/>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2995930</wp:posOffset>
            </wp:positionV>
            <wp:extent cx="68319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FC0014"/>
        </w:rPr>
        <w:t>PRELIMINARY COPY SUBJECT TO COMPLETION DATED APRIL 16, 2026</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8"/>
          <w:szCs w:val="18"/>
          <w:color w:val="FC0014"/>
        </w:rPr>
        <w:t>In accordance with Rule 14a-6(d) under Regulation 14A, please be advised that Century Therapeutics, Inc.</w:t>
      </w:r>
    </w:p>
    <w:p>
      <w:pPr>
        <w:spacing w:after="0" w:line="27" w:lineRule="exact"/>
        <w:rPr>
          <w:sz w:val="20"/>
          <w:szCs w:val="20"/>
          <w:color w:val="auto"/>
        </w:rPr>
      </w:pPr>
    </w:p>
    <w:p>
      <w:pPr>
        <w:ind w:left="1220"/>
        <w:spacing w:after="0"/>
        <w:rPr>
          <w:sz w:val="20"/>
          <w:szCs w:val="20"/>
          <w:color w:val="auto"/>
        </w:rPr>
      </w:pPr>
      <w:r>
        <w:rPr>
          <w:rFonts w:ascii="Arial" w:cs="Arial" w:eastAsia="Arial" w:hAnsi="Arial"/>
          <w:sz w:val="18"/>
          <w:szCs w:val="18"/>
          <w:color w:val="FC0014"/>
        </w:rPr>
        <w:t>intends to release definitive copies of this Proxy Statement to security holders on or about April [ 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117475</wp:posOffset>
            </wp:positionV>
            <wp:extent cx="2468880" cy="7112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6888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25 North 38th Street, 11th Floor</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Philadelphia, Pennsylvania 19104</w:t>
      </w:r>
    </w:p>
    <w:p>
      <w:pPr>
        <w:spacing w:after="0" w:line="207"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2026 ANNUAL MEETING OF STOCKHOLDERS</w:t>
      </w:r>
    </w:p>
    <w:p>
      <w:pPr>
        <w:spacing w:after="0" w:line="27"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To be Held on June 11, 2026</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April [    ], 2026</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Dear Stockholder:</w:t>
      </w:r>
    </w:p>
    <w:p>
      <w:pPr>
        <w:spacing w:after="0" w:line="158" w:lineRule="exact"/>
        <w:rPr>
          <w:sz w:val="20"/>
          <w:szCs w:val="20"/>
          <w:color w:val="auto"/>
        </w:rPr>
      </w:pPr>
    </w:p>
    <w:p>
      <w:pPr>
        <w:jc w:val="both"/>
        <w:ind w:left="880" w:right="40"/>
        <w:spacing w:after="0" w:line="256" w:lineRule="auto"/>
        <w:rPr>
          <w:sz w:val="20"/>
          <w:szCs w:val="20"/>
          <w:color w:val="auto"/>
        </w:rPr>
      </w:pPr>
      <w:r>
        <w:rPr>
          <w:rFonts w:ascii="Arial" w:cs="Arial" w:eastAsia="Arial" w:hAnsi="Arial"/>
          <w:sz w:val="18"/>
          <w:szCs w:val="18"/>
          <w:color w:val="auto"/>
        </w:rPr>
        <w:t>We are pleased to invite you to attend the 2026 Annual Meeting of Stockholders of Century Therapeutics, Inc., or the Annual Meeting, which will be held at 9:00 a.m., Eastern Time, on Thursday, June 11, 2026. The Annual Meeting will be held in virtual meeting format only. You will not be able to attend the Annual Meeting physically. We believe that the virtual meeting format enables stockholders to attend and participate from any location around the world at no cost, provides for cost savings to Century Therapeutics, Inc. and reduces the environmental impact of our Annual Meeting. The Annual Meeting can be accessed via the Internet at https://web.lumiconnect.com/265375813, using the password century2026.</w:t>
      </w:r>
    </w:p>
    <w:p>
      <w:pPr>
        <w:spacing w:after="0" w:line="102" w:lineRule="exact"/>
        <w:rPr>
          <w:sz w:val="20"/>
          <w:szCs w:val="20"/>
          <w:color w:val="auto"/>
        </w:rPr>
      </w:pPr>
    </w:p>
    <w:p>
      <w:pPr>
        <w:jc w:val="both"/>
        <w:ind w:left="880" w:right="40"/>
        <w:spacing w:after="0" w:line="257" w:lineRule="auto"/>
        <w:rPr>
          <w:sz w:val="20"/>
          <w:szCs w:val="20"/>
          <w:color w:val="auto"/>
        </w:rPr>
      </w:pPr>
      <w:r>
        <w:rPr>
          <w:rFonts w:ascii="Arial" w:cs="Arial" w:eastAsia="Arial" w:hAnsi="Arial"/>
          <w:sz w:val="18"/>
          <w:szCs w:val="18"/>
          <w:color w:val="auto"/>
        </w:rPr>
        <w:t>Details regarding the business to be conducted at the Annual Meeting are more fully described in the accompanying Notice of 2026 Annual Meeting of Stockholders, or the Notice, and 2026 Annual Meeting Proxy Statement, or the Proxy Statement. Other than the proposals described in the Proxy Statement, our Board of Directors is not aware of any other matters to be presented for a vote at the Annual Meeting. We are pleased to take advantage of the Securities and Exchange Commission, or SEC, rules that allow companies to furnish their proxy materials over the Internet.</w:t>
      </w:r>
    </w:p>
    <w:p>
      <w:pPr>
        <w:spacing w:after="0" w:line="115" w:lineRule="exact"/>
        <w:rPr>
          <w:sz w:val="20"/>
          <w:szCs w:val="20"/>
          <w:color w:val="auto"/>
        </w:rPr>
      </w:pPr>
    </w:p>
    <w:p>
      <w:pPr>
        <w:jc w:val="both"/>
        <w:ind w:left="880" w:right="60"/>
        <w:spacing w:after="0" w:line="268" w:lineRule="auto"/>
        <w:rPr>
          <w:sz w:val="20"/>
          <w:szCs w:val="20"/>
          <w:color w:val="auto"/>
        </w:rPr>
      </w:pPr>
      <w:r>
        <w:rPr>
          <w:rFonts w:ascii="Arial" w:cs="Arial" w:eastAsia="Arial" w:hAnsi="Arial"/>
          <w:sz w:val="18"/>
          <w:szCs w:val="18"/>
          <w:b w:val="1"/>
          <w:bCs w:val="1"/>
          <w:color w:val="auto"/>
        </w:rPr>
        <w:t>Your vote is important</w:t>
      </w:r>
      <w:r>
        <w:rPr>
          <w:rFonts w:ascii="Arial" w:cs="Arial" w:eastAsia="Arial" w:hAnsi="Arial"/>
          <w:sz w:val="18"/>
          <w:szCs w:val="18"/>
          <w:color w:val="auto"/>
        </w:rPr>
        <w:t>. Whether or not you plan to virtually attend the Annual Meeting, we encourage you to vote</w:t>
      </w:r>
      <w:r>
        <w:rPr>
          <w:rFonts w:ascii="Arial" w:cs="Arial" w:eastAsia="Arial" w:hAnsi="Arial"/>
          <w:sz w:val="18"/>
          <w:szCs w:val="18"/>
          <w:b w:val="1"/>
          <w:bCs w:val="1"/>
          <w:color w:val="auto"/>
        </w:rPr>
        <w:t xml:space="preserve"> </w:t>
      </w:r>
      <w:r>
        <w:rPr>
          <w:rFonts w:ascii="Arial" w:cs="Arial" w:eastAsia="Arial" w:hAnsi="Arial"/>
          <w:sz w:val="18"/>
          <w:szCs w:val="18"/>
          <w:color w:val="auto"/>
        </w:rPr>
        <w:t>as soon as possible to ensure that your shares are represented. Information about voting methods is set forth in the accompanying Notice and Proxy Statement.</w:t>
      </w:r>
    </w:p>
    <w:p>
      <w:pPr>
        <w:spacing w:after="0" w:line="103" w:lineRule="exact"/>
        <w:rPr>
          <w:sz w:val="20"/>
          <w:szCs w:val="20"/>
          <w:color w:val="auto"/>
        </w:rPr>
      </w:pPr>
    </w:p>
    <w:p>
      <w:pPr>
        <w:jc w:val="both"/>
        <w:ind w:left="880" w:right="40"/>
        <w:spacing w:after="0" w:line="287" w:lineRule="auto"/>
        <w:rPr>
          <w:sz w:val="20"/>
          <w:szCs w:val="20"/>
          <w:color w:val="auto"/>
        </w:rPr>
      </w:pPr>
      <w:r>
        <w:rPr>
          <w:rFonts w:ascii="Arial" w:cs="Arial" w:eastAsia="Arial" w:hAnsi="Arial"/>
          <w:sz w:val="18"/>
          <w:szCs w:val="18"/>
          <w:color w:val="auto"/>
        </w:rPr>
        <w:t>If you have any questions with respect to voting, please call our Senior Vice President, Finance and Operations, Douglas Carr, at (267) 817-5790.</w:t>
      </w:r>
    </w:p>
    <w:p>
      <w:pPr>
        <w:spacing w:after="0" w:line="7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Sincerely,</w:t>
      </w:r>
    </w:p>
    <w:p>
      <w:pPr>
        <w:spacing w:after="0" w:line="198" w:lineRule="exact"/>
        <w:rPr>
          <w:sz w:val="20"/>
          <w:szCs w:val="20"/>
          <w:color w:val="auto"/>
        </w:rPr>
      </w:pPr>
    </w:p>
    <w:p>
      <w:pPr>
        <w:ind w:left="880"/>
        <w:spacing w:after="0"/>
        <w:tabs>
          <w:tab w:leader="none" w:pos="9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Brent Pfeiffenberger, Pharm.D.</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President, Chief Executive Officer and</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Chairman of the Board of Directors</w:t>
      </w:r>
    </w:p>
    <w:p>
      <w:pPr>
        <w:spacing w:after="0" w:line="22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THIS PROXY STATEMENT AND ENCLOSED PROXY CARD ARE</w:t>
      </w:r>
    </w:p>
    <w:p>
      <w:pPr>
        <w:spacing w:after="0" w:line="2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FIRST BEING MADE AVAILABLE ON OR ABOUT APRIL [ 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1013460</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1015365</wp:posOffset>
            </wp:positionV>
            <wp:extent cx="2468880" cy="711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6888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NOTICE OF 2026 ANNUAL MEETING OF STOCKHOLDERS</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To be Held on June 11, 2026</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Dear Stockholders:</w:t>
      </w:r>
    </w:p>
    <w:p>
      <w:pPr>
        <w:spacing w:after="0" w:line="63" w:lineRule="exact"/>
        <w:rPr>
          <w:sz w:val="20"/>
          <w:szCs w:val="20"/>
          <w:color w:val="auto"/>
        </w:rPr>
      </w:pPr>
    </w:p>
    <w:p>
      <w:pPr>
        <w:jc w:val="both"/>
        <w:ind w:left="880" w:right="60"/>
        <w:spacing w:after="0" w:line="258" w:lineRule="auto"/>
        <w:rPr>
          <w:sz w:val="20"/>
          <w:szCs w:val="20"/>
          <w:color w:val="auto"/>
        </w:rPr>
      </w:pPr>
      <w:r>
        <w:rPr>
          <w:rFonts w:ascii="Arial" w:cs="Arial" w:eastAsia="Arial" w:hAnsi="Arial"/>
          <w:sz w:val="17"/>
          <w:szCs w:val="17"/>
          <w:b w:val="1"/>
          <w:bCs w:val="1"/>
          <w:color w:val="auto"/>
        </w:rPr>
        <w:t xml:space="preserve">NOTICE IS HEREBY GIVEN </w:t>
      </w:r>
      <w:r>
        <w:rPr>
          <w:rFonts w:ascii="Arial" w:cs="Arial" w:eastAsia="Arial" w:hAnsi="Arial"/>
          <w:sz w:val="17"/>
          <w:szCs w:val="17"/>
          <w:color w:val="auto"/>
        </w:rPr>
        <w:t>that the 2026 Annual Meeting of Stockholders of Century Therapeutics, Inc., or the</w:t>
      </w:r>
      <w:r>
        <w:rPr>
          <w:rFonts w:ascii="Arial" w:cs="Arial" w:eastAsia="Arial" w:hAnsi="Arial"/>
          <w:sz w:val="17"/>
          <w:szCs w:val="17"/>
          <w:b w:val="1"/>
          <w:bCs w:val="1"/>
          <w:color w:val="auto"/>
        </w:rPr>
        <w:t xml:space="preserve"> </w:t>
      </w:r>
      <w:r>
        <w:rPr>
          <w:rFonts w:ascii="Arial" w:cs="Arial" w:eastAsia="Arial" w:hAnsi="Arial"/>
          <w:sz w:val="17"/>
          <w:szCs w:val="17"/>
          <w:color w:val="auto"/>
        </w:rPr>
        <w:t>Annual Meeting, will be held on Thursday, June 11, 2026, at 9:00 a.m. Eastern Time. The Annual Meeting will be held in a virtual meeting format only. We are holding the meeting for the purpose of considering and acting upon:</w:t>
      </w:r>
    </w:p>
    <w:p>
      <w:pPr>
        <w:spacing w:after="0" w:line="4" w:lineRule="exact"/>
        <w:rPr>
          <w:sz w:val="20"/>
          <w:szCs w:val="20"/>
          <w:color w:val="auto"/>
        </w:rPr>
      </w:pPr>
    </w:p>
    <w:p>
      <w:pPr>
        <w:ind w:left="1600" w:right="40" w:hanging="370"/>
        <w:spacing w:after="0" w:line="271" w:lineRule="auto"/>
        <w:tabs>
          <w:tab w:leader="none" w:pos="1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election of the two director nominees that are set forth in the attached 2026 Annual Meeting Proxy Statement, or the Proxy Statement, to serve as Class II directors, whose term will expire in 2029;</w:t>
      </w:r>
    </w:p>
    <w:p>
      <w:pPr>
        <w:spacing w:after="0" w:line="5" w:lineRule="exact"/>
        <w:rPr>
          <w:rFonts w:ascii="Arial" w:cs="Arial" w:eastAsia="Arial" w:hAnsi="Arial"/>
          <w:sz w:val="18"/>
          <w:szCs w:val="18"/>
          <w:color w:val="auto"/>
        </w:rPr>
      </w:pPr>
    </w:p>
    <w:p>
      <w:pPr>
        <w:ind w:left="1600" w:right="60" w:hanging="370"/>
        <w:spacing w:after="0" w:line="256" w:lineRule="auto"/>
        <w:tabs>
          <w:tab w:leader="none" w:pos="1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ratification of the appointment of Ernst &amp; Young LLP, or EY, as our independent registered public accounting firm for the 2026 fiscal year;</w:t>
      </w:r>
    </w:p>
    <w:p>
      <w:pPr>
        <w:spacing w:after="0" w:line="17" w:lineRule="exact"/>
        <w:rPr>
          <w:rFonts w:ascii="Arial" w:cs="Arial" w:eastAsia="Arial" w:hAnsi="Arial"/>
          <w:sz w:val="18"/>
          <w:szCs w:val="18"/>
          <w:color w:val="auto"/>
        </w:rPr>
      </w:pPr>
    </w:p>
    <w:p>
      <w:pPr>
        <w:jc w:val="both"/>
        <w:ind w:left="1600" w:right="60" w:hanging="370"/>
        <w:spacing w:after="0" w:line="245" w:lineRule="auto"/>
        <w:tabs>
          <w:tab w:leader="none" w:pos="1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approval of an amendment to our Second Amended and Restated Certificate of Incorporation, as amended, or our Charter, to increase the number of authorized shares of common stock from 300,000,000 to 450,000,000;</w:t>
      </w:r>
    </w:p>
    <w:p>
      <w:pPr>
        <w:spacing w:after="0" w:line="27" w:lineRule="exact"/>
        <w:rPr>
          <w:rFonts w:ascii="Arial" w:cs="Arial" w:eastAsia="Arial" w:hAnsi="Arial"/>
          <w:sz w:val="18"/>
          <w:szCs w:val="18"/>
          <w:color w:val="auto"/>
        </w:rPr>
      </w:pPr>
    </w:p>
    <w:p>
      <w:pPr>
        <w:ind w:left="1600" w:right="60" w:hanging="370"/>
        <w:spacing w:after="0" w:line="266" w:lineRule="auto"/>
        <w:tabs>
          <w:tab w:leader="none" w:pos="1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approval of adjournment of the Annual Meeting to the extent there are insufficient votes at the Annual Meeting to approve the immediately preceding proposal; and</w:t>
      </w:r>
    </w:p>
    <w:p>
      <w:pPr>
        <w:ind w:left="1600" w:right="60" w:hanging="370"/>
        <w:spacing w:after="0" w:line="271" w:lineRule="auto"/>
        <w:tabs>
          <w:tab w:leader="none" w:pos="1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other matters that may properly be brought before the Annual Meeting or any adjournment or postponement thereof.</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225" w:lineRule="exact"/>
        <w:rPr>
          <w:sz w:val="20"/>
          <w:szCs w:val="20"/>
          <w:color w:val="auto"/>
        </w:rPr>
      </w:pPr>
    </w:p>
    <w:tbl>
      <w:tblPr>
        <w:tblLayout w:type="fixed"/>
        <w:tblInd w:w="880" w:type="dxa"/>
        <w:tblCellMar>
          <w:top w:w="0" w:type="dxa"/>
          <w:left w:w="0" w:type="dxa"/>
          <w:bottom w:w="0" w:type="dxa"/>
          <w:right w:w="0" w:type="dxa"/>
        </w:tblCellMar>
      </w:tblPr>
      <w:tr>
        <w:trPr>
          <w:trHeight w:val="247"/>
        </w:trPr>
        <w:tc>
          <w:tcPr>
            <w:tcW w:w="2120" w:type="dxa"/>
            <w:vAlign w:val="bottom"/>
          </w:tcPr>
          <w:p>
            <w:pPr>
              <w:spacing w:after="0"/>
              <w:rPr>
                <w:sz w:val="20"/>
                <w:szCs w:val="20"/>
                <w:color w:val="auto"/>
              </w:rPr>
            </w:pPr>
            <w:r>
              <w:rPr>
                <w:rFonts w:ascii="Arial" w:cs="Arial" w:eastAsia="Arial" w:hAnsi="Arial"/>
                <w:sz w:val="18"/>
                <w:szCs w:val="18"/>
                <w:b w:val="1"/>
                <w:bCs w:val="1"/>
                <w:color w:val="auto"/>
                <w:w w:val="98"/>
              </w:rPr>
              <w:t>MEETING INFORMATION</w:t>
            </w:r>
          </w:p>
        </w:tc>
        <w:tc>
          <w:tcPr>
            <w:tcW w:w="220" w:type="dxa"/>
            <w:vAlign w:val="bottom"/>
          </w:tcPr>
          <w:p>
            <w:pPr>
              <w:spacing w:after="0"/>
              <w:rPr>
                <w:sz w:val="21"/>
                <w:szCs w:val="21"/>
                <w:color w:val="auto"/>
              </w:rPr>
            </w:pPr>
          </w:p>
        </w:tc>
        <w:tc>
          <w:tcPr>
            <w:tcW w:w="6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2120" w:type="dxa"/>
            <w:vAlign w:val="bottom"/>
          </w:tcPr>
          <w:p>
            <w:pPr>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w:t>
            </w:r>
          </w:p>
        </w:tc>
        <w:tc>
          <w:tcPr>
            <w:tcW w:w="6820" w:type="dxa"/>
            <w:vAlign w:val="bottom"/>
            <w:gridSpan w:val="2"/>
          </w:tcPr>
          <w:p>
            <w:pPr>
              <w:ind w:left="40"/>
              <w:spacing w:after="0"/>
              <w:rPr>
                <w:sz w:val="20"/>
                <w:szCs w:val="20"/>
                <w:color w:val="auto"/>
              </w:rPr>
            </w:pPr>
            <w:r>
              <w:rPr>
                <w:rFonts w:ascii="Arial" w:cs="Arial" w:eastAsia="Arial" w:hAnsi="Arial"/>
                <w:sz w:val="18"/>
                <w:szCs w:val="18"/>
                <w:color w:val="auto"/>
              </w:rPr>
              <w:t>​ ​ June 11, 2026</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1"/>
        </w:trPr>
        <w:tc>
          <w:tcPr>
            <w:tcW w:w="2120" w:type="dxa"/>
            <w:vAlign w:val="bottom"/>
          </w:tcPr>
          <w:p>
            <w:pPr>
              <w:spacing w:after="0" w:line="181" w:lineRule="exact"/>
              <w:rPr>
                <w:sz w:val="20"/>
                <w:szCs w:val="20"/>
                <w:color w:val="auto"/>
              </w:rPr>
            </w:pPr>
            <w:r>
              <w:rPr>
                <w:rFonts w:ascii="Arial" w:cs="Arial" w:eastAsia="Arial" w:hAnsi="Arial"/>
                <w:sz w:val="18"/>
                <w:szCs w:val="18"/>
                <w:color w:val="auto"/>
              </w:rPr>
              <w:t>​</w:t>
            </w:r>
          </w:p>
        </w:tc>
        <w:tc>
          <w:tcPr>
            <w:tcW w:w="220" w:type="dxa"/>
            <w:vAlign w:val="bottom"/>
          </w:tcPr>
          <w:p>
            <w:pPr>
              <w:ind w:left="40"/>
              <w:spacing w:after="0" w:line="181" w:lineRule="exact"/>
              <w:rPr>
                <w:sz w:val="20"/>
                <w:szCs w:val="20"/>
                <w:color w:val="auto"/>
              </w:rPr>
            </w:pPr>
            <w:r>
              <w:rPr>
                <w:rFonts w:ascii="Arial" w:cs="Arial" w:eastAsia="Arial" w:hAnsi="Arial"/>
                <w:sz w:val="18"/>
                <w:szCs w:val="18"/>
                <w:color w:val="auto"/>
              </w:rPr>
              <w:t>​ ​</w:t>
            </w:r>
          </w:p>
        </w:tc>
        <w:tc>
          <w:tcPr>
            <w:tcW w:w="6600" w:type="dxa"/>
            <w:vAlign w:val="bottom"/>
            <w:vMerge w:val="restart"/>
          </w:tcPr>
          <w:p>
            <w:pPr>
              <w:ind w:left="20"/>
              <w:spacing w:after="0"/>
              <w:rPr>
                <w:sz w:val="20"/>
                <w:szCs w:val="20"/>
                <w:color w:val="auto"/>
              </w:rPr>
            </w:pPr>
            <w:r>
              <w:rPr>
                <w:rFonts w:ascii="Arial" w:cs="Arial" w:eastAsia="Arial" w:hAnsi="Arial"/>
                <w:sz w:val="18"/>
                <w:szCs w:val="18"/>
                <w:color w:val="auto"/>
              </w:rPr>
              <w:t>9:00 a.m., Eastern Time</w:t>
            </w:r>
          </w:p>
        </w:tc>
        <w:tc>
          <w:tcPr>
            <w:tcW w:w="80" w:type="dxa"/>
            <w:vAlign w:val="bottom"/>
          </w:tcPr>
          <w:p>
            <w:pPr>
              <w:ind w:left="2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3"/>
        </w:trPr>
        <w:tc>
          <w:tcPr>
            <w:tcW w:w="2120" w:type="dxa"/>
            <w:vAlign w:val="bottom"/>
          </w:tcPr>
          <w:p>
            <w:pPr>
              <w:spacing w:after="0" w:line="103" w:lineRule="exact"/>
              <w:rPr>
                <w:sz w:val="20"/>
                <w:szCs w:val="20"/>
                <w:color w:val="auto"/>
              </w:rPr>
            </w:pPr>
            <w:r>
              <w:rPr>
                <w:rFonts w:ascii="Arial" w:cs="Arial" w:eastAsia="Arial" w:hAnsi="Arial"/>
                <w:sz w:val="11"/>
                <w:szCs w:val="11"/>
                <w:b w:val="1"/>
                <w:bCs w:val="1"/>
                <w:color w:val="auto"/>
              </w:rPr>
              <w:t>Time:</w:t>
            </w:r>
          </w:p>
        </w:tc>
        <w:tc>
          <w:tcPr>
            <w:tcW w:w="220" w:type="dxa"/>
            <w:vAlign w:val="bottom"/>
          </w:tcPr>
          <w:p>
            <w:pPr>
              <w:spacing w:after="0"/>
              <w:rPr>
                <w:sz w:val="8"/>
                <w:szCs w:val="8"/>
                <w:color w:val="auto"/>
              </w:rPr>
            </w:pPr>
          </w:p>
        </w:tc>
        <w:tc>
          <w:tcPr>
            <w:tcW w:w="66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120" w:type="dxa"/>
            <w:vAlign w:val="bottom"/>
          </w:tcPr>
          <w:p>
            <w:pPr>
              <w:spacing w:after="0" w:line="181" w:lineRule="exact"/>
              <w:rPr>
                <w:sz w:val="20"/>
                <w:szCs w:val="20"/>
                <w:color w:val="auto"/>
              </w:rPr>
            </w:pPr>
            <w:r>
              <w:rPr>
                <w:rFonts w:ascii="Arial" w:cs="Arial" w:eastAsia="Arial" w:hAnsi="Arial"/>
                <w:sz w:val="18"/>
                <w:szCs w:val="18"/>
                <w:color w:val="auto"/>
              </w:rPr>
              <w:t>​</w:t>
            </w:r>
          </w:p>
        </w:tc>
        <w:tc>
          <w:tcPr>
            <w:tcW w:w="220" w:type="dxa"/>
            <w:vAlign w:val="bottom"/>
          </w:tcPr>
          <w:p>
            <w:pPr>
              <w:ind w:left="40"/>
              <w:spacing w:after="0" w:line="181" w:lineRule="exact"/>
              <w:rPr>
                <w:sz w:val="20"/>
                <w:szCs w:val="20"/>
                <w:color w:val="auto"/>
              </w:rPr>
            </w:pPr>
            <w:r>
              <w:rPr>
                <w:rFonts w:ascii="Arial" w:cs="Arial" w:eastAsia="Arial" w:hAnsi="Arial"/>
                <w:sz w:val="18"/>
                <w:szCs w:val="18"/>
                <w:color w:val="auto"/>
              </w:rPr>
              <w:t>​ ​</w:t>
            </w:r>
          </w:p>
        </w:tc>
        <w:tc>
          <w:tcPr>
            <w:tcW w:w="6600" w:type="dxa"/>
            <w:vAlign w:val="bottom"/>
            <w:vMerge w:val="restart"/>
          </w:tcPr>
          <w:p>
            <w:pPr>
              <w:ind w:left="20"/>
              <w:spacing w:after="0"/>
              <w:rPr>
                <w:sz w:val="20"/>
                <w:szCs w:val="20"/>
                <w:color w:val="auto"/>
              </w:rPr>
            </w:pPr>
            <w:r>
              <w:rPr>
                <w:rFonts w:ascii="Arial" w:cs="Arial" w:eastAsia="Arial" w:hAnsi="Arial"/>
                <w:sz w:val="18"/>
                <w:szCs w:val="18"/>
                <w:color w:val="auto"/>
              </w:rPr>
              <w:t>The meeting can be accessed by visiting https://web.lumiconnect.com/265375813</w:t>
            </w:r>
          </w:p>
        </w:tc>
        <w:tc>
          <w:tcPr>
            <w:tcW w:w="80" w:type="dxa"/>
            <w:vAlign w:val="bottom"/>
          </w:tcPr>
          <w:p>
            <w:pPr>
              <w:ind w:left="2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2"/>
        </w:trPr>
        <w:tc>
          <w:tcPr>
            <w:tcW w:w="2120" w:type="dxa"/>
            <w:vAlign w:val="bottom"/>
          </w:tcPr>
          <w:p>
            <w:pPr>
              <w:spacing w:after="0" w:line="63" w:lineRule="exact"/>
              <w:rPr>
                <w:sz w:val="20"/>
                <w:szCs w:val="20"/>
                <w:color w:val="auto"/>
              </w:rPr>
            </w:pPr>
            <w:r>
              <w:rPr>
                <w:rFonts w:ascii="Arial" w:cs="Arial" w:eastAsia="Arial" w:hAnsi="Arial"/>
                <w:sz w:val="7"/>
                <w:szCs w:val="7"/>
                <w:b w:val="1"/>
                <w:bCs w:val="1"/>
                <w:color w:val="auto"/>
              </w:rPr>
              <w:t>Website Address:</w:t>
            </w:r>
          </w:p>
        </w:tc>
        <w:tc>
          <w:tcPr>
            <w:tcW w:w="220" w:type="dxa"/>
            <w:vAlign w:val="bottom"/>
          </w:tcPr>
          <w:p>
            <w:pPr>
              <w:spacing w:after="0"/>
              <w:rPr>
                <w:sz w:val="5"/>
                <w:szCs w:val="5"/>
                <w:color w:val="auto"/>
              </w:rPr>
            </w:pPr>
          </w:p>
        </w:tc>
        <w:tc>
          <w:tcPr>
            <w:tcW w:w="66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w w:val="98"/>
              </w:rPr>
              <w:t>(password: century2026), where you will be able to listen to the meeting live, submit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questions and vote online. There will be no physical location for stockholders to</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120" w:type="dxa"/>
            <w:vAlign w:val="bottom"/>
            <w:vMerge w:val="restart"/>
          </w:tcPr>
          <w:p>
            <w:pPr>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 ​</w:t>
            </w:r>
          </w:p>
        </w:tc>
        <w:tc>
          <w:tcPr>
            <w:tcW w:w="6600" w:type="dxa"/>
            <w:vAlign w:val="bottom"/>
          </w:tcPr>
          <w:p>
            <w:pPr>
              <w:ind w:left="20"/>
              <w:spacing w:after="0"/>
              <w:rPr>
                <w:sz w:val="20"/>
                <w:szCs w:val="20"/>
                <w:color w:val="auto"/>
              </w:rPr>
            </w:pPr>
            <w:r>
              <w:rPr>
                <w:rFonts w:ascii="Arial" w:cs="Arial" w:eastAsia="Arial" w:hAnsi="Arial"/>
                <w:sz w:val="18"/>
                <w:szCs w:val="18"/>
                <w:color w:val="auto"/>
              </w:rPr>
              <w:t>attend.</w:t>
            </w:r>
          </w:p>
        </w:tc>
        <w:tc>
          <w:tcPr>
            <w:tcW w:w="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1"/>
        </w:trPr>
        <w:tc>
          <w:tcPr>
            <w:tcW w:w="21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600" w:type="dxa"/>
            <w:vAlign w:val="bottom"/>
            <w:vMerge w:val="restart"/>
          </w:tcPr>
          <w:p>
            <w:pPr>
              <w:ind w:left="20"/>
              <w:spacing w:after="0"/>
              <w:rPr>
                <w:sz w:val="20"/>
                <w:szCs w:val="20"/>
                <w:color w:val="auto"/>
              </w:rPr>
            </w:pPr>
            <w:r>
              <w:rPr>
                <w:rFonts w:ascii="Arial" w:cs="Arial" w:eastAsia="Arial" w:hAnsi="Arial"/>
                <w:sz w:val="18"/>
                <w:szCs w:val="18"/>
                <w:color w:val="auto"/>
              </w:rPr>
              <w:t>You can vote if you were a stockholder of record on April 16, 2026.</w:t>
            </w: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120" w:type="dxa"/>
            <w:vAlign w:val="bottom"/>
          </w:tcPr>
          <w:p>
            <w:pPr>
              <w:spacing w:after="0" w:line="161" w:lineRule="exact"/>
              <w:rPr>
                <w:sz w:val="20"/>
                <w:szCs w:val="20"/>
                <w:color w:val="auto"/>
              </w:rPr>
            </w:pPr>
            <w:r>
              <w:rPr>
                <w:rFonts w:ascii="Arial" w:cs="Arial" w:eastAsia="Arial" w:hAnsi="Arial"/>
                <w:sz w:val="18"/>
                <w:szCs w:val="18"/>
                <w:b w:val="1"/>
                <w:bCs w:val="1"/>
                <w:color w:val="auto"/>
              </w:rPr>
              <w:t>Record Date:</w:t>
            </w:r>
          </w:p>
        </w:tc>
        <w:tc>
          <w:tcPr>
            <w:tcW w:w="220" w:type="dxa"/>
            <w:vAlign w:val="bottom"/>
          </w:tcPr>
          <w:p>
            <w:pPr>
              <w:spacing w:after="0"/>
              <w:rPr>
                <w:sz w:val="14"/>
                <w:szCs w:val="14"/>
                <w:color w:val="auto"/>
              </w:rPr>
            </w:pPr>
          </w:p>
        </w:tc>
        <w:tc>
          <w:tcPr>
            <w:tcW w:w="6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jc w:val="both"/>
        <w:ind w:left="880" w:right="40"/>
        <w:spacing w:after="0" w:line="231" w:lineRule="auto"/>
        <w:rPr>
          <w:sz w:val="20"/>
          <w:szCs w:val="20"/>
          <w:color w:val="auto"/>
        </w:rPr>
      </w:pPr>
      <w:r>
        <w:rPr>
          <w:rFonts w:ascii="Arial" w:cs="Arial" w:eastAsia="Arial" w:hAnsi="Arial"/>
          <w:sz w:val="18"/>
          <w:szCs w:val="18"/>
          <w:b w:val="1"/>
          <w:bCs w:val="1"/>
          <w:i w:val="1"/>
          <w:iCs w:val="1"/>
          <w:color w:val="auto"/>
        </w:rPr>
        <w:t>Your vote matters</w:t>
      </w:r>
      <w:r>
        <w:rPr>
          <w:rFonts w:ascii="Arial" w:cs="Arial" w:eastAsia="Arial" w:hAnsi="Arial"/>
          <w:sz w:val="18"/>
          <w:szCs w:val="18"/>
          <w:i w:val="1"/>
          <w:iCs w:val="1"/>
          <w:color w:val="auto"/>
        </w:rPr>
        <w:t>. Whether or not you plan to virtually attend the Annual Meeting, please ensure that your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shares are represented by voting, signing, dating and returning your proxy in the enclosed envelope, which requires no postage if mailed in the United States.</w:t>
      </w:r>
    </w:p>
    <w:p>
      <w:pPr>
        <w:spacing w:after="0" w:line="1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Order of the Board of Directors,</w:t>
      </w:r>
    </w:p>
    <w:p>
      <w:pPr>
        <w:spacing w:after="0" w:line="21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Douglas Carr</w:t>
      </w:r>
    </w:p>
    <w:p>
      <w:pPr>
        <w:ind w:left="5920"/>
        <w:spacing w:after="0" w:line="219" w:lineRule="auto"/>
        <w:rPr>
          <w:sz w:val="20"/>
          <w:szCs w:val="20"/>
          <w:color w:val="auto"/>
        </w:rPr>
      </w:pPr>
      <w:r>
        <w:rPr>
          <w:rFonts w:ascii="Arial" w:cs="Arial" w:eastAsia="Arial" w:hAnsi="Arial"/>
          <w:sz w:val="18"/>
          <w:szCs w:val="18"/>
          <w:i w:val="1"/>
          <w:iCs w:val="1"/>
          <w:color w:val="auto"/>
        </w:rPr>
        <w:t>Senior Vice President, Finance and Operations,</w:t>
      </w:r>
    </w:p>
    <w:p>
      <w:pPr>
        <w:ind w:left="5920"/>
        <w:spacing w:after="0" w:line="219" w:lineRule="auto"/>
        <w:rPr>
          <w:sz w:val="20"/>
          <w:szCs w:val="20"/>
          <w:color w:val="auto"/>
        </w:rPr>
      </w:pPr>
      <w:r>
        <w:rPr>
          <w:rFonts w:ascii="Arial" w:cs="Arial" w:eastAsia="Arial" w:hAnsi="Arial"/>
          <w:sz w:val="18"/>
          <w:szCs w:val="18"/>
          <w:i w:val="1"/>
          <w:iCs w:val="1"/>
          <w:color w:val="auto"/>
        </w:rPr>
        <w:t>and Secretary</w:t>
      </w:r>
    </w:p>
    <w:p>
      <w:pPr>
        <w:ind w:left="5920"/>
        <w:spacing w:after="0"/>
        <w:rPr>
          <w:sz w:val="20"/>
          <w:szCs w:val="20"/>
          <w:color w:val="auto"/>
        </w:rPr>
      </w:pPr>
      <w:r>
        <w:rPr>
          <w:rFonts w:ascii="Arial" w:cs="Arial" w:eastAsia="Arial" w:hAnsi="Arial"/>
          <w:sz w:val="18"/>
          <w:szCs w:val="18"/>
          <w:color w:val="auto"/>
        </w:rPr>
        <w:t>April [    ], 2026</w:t>
      </w:r>
    </w:p>
    <w:p>
      <w:pPr>
        <w:spacing w:after="0" w:line="180" w:lineRule="exact"/>
        <w:rPr>
          <w:sz w:val="20"/>
          <w:szCs w:val="20"/>
          <w:color w:val="auto"/>
        </w:rPr>
      </w:pPr>
    </w:p>
    <w:p>
      <w:pPr>
        <w:jc w:val="both"/>
        <w:ind w:left="880" w:right="40"/>
        <w:spacing w:after="0" w:line="227"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JUNE 11, 2026. This Proxy Statement and the proxy card are being furnished to our stockholders on or about April [    ], 2026. This Proxy Statement and our Annual Report on Form 10-K for the fiscal year ended December 31, 2025 are available to holders of our common stock at www.astproxyportal.com/ast/24419. If you would like to receive, without charge, a paper copy of our Annual Report on Form 10-K for the fiscal year ended December 31, 2025, including the financial statements, please send your request to Corporate Secretary, Century Therapeutics, Inc., 25 North 38th Street, 11th Floor, Philadelphia, PA 19104.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479425</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​SUMMARY INFORMATION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39"/>
        <w:spacing w:after="0" w:line="262" w:lineRule="auto"/>
        <w:rPr>
          <w:sz w:val="20"/>
          <w:szCs w:val="20"/>
          <w:color w:val="auto"/>
        </w:rPr>
      </w:pPr>
      <w:r>
        <w:rPr>
          <w:rFonts w:ascii="Arial" w:cs="Arial" w:eastAsia="Arial" w:hAnsi="Arial"/>
          <w:sz w:val="18"/>
          <w:szCs w:val="18"/>
          <w:color w:val="148CD9"/>
        </w:rPr>
        <w:t>This summary highlights information contained elsewhere in this Proxy Statement and our Annual Report on Form 10-K for the fiscal year ended December 31, 2025, or the 2025 Annual Report. This summary does not contain all of the information you should consider and we encourage you to read this Proxy Statement and the 2025 Annual Report carefully before voting.</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2026 Annual Meeting of Stockholders</w:t>
      </w:r>
    </w:p>
    <w:p>
      <w:pPr>
        <w:spacing w:after="0" w:line="183" w:lineRule="exact"/>
        <w:rPr>
          <w:sz w:val="20"/>
          <w:szCs w:val="20"/>
          <w:color w:val="auto"/>
        </w:rPr>
      </w:pPr>
    </w:p>
    <w:tbl>
      <w:tblPr>
        <w:tblLayout w:type="fixed"/>
        <w:tblInd w:w="870" w:type="dxa"/>
        <w:tblCellMar>
          <w:top w:w="0" w:type="dxa"/>
          <w:left w:w="0" w:type="dxa"/>
          <w:bottom w:w="0" w:type="dxa"/>
          <w:right w:w="0" w:type="dxa"/>
        </w:tblCellMar>
      </w:tblPr>
      <w:tr>
        <w:trPr>
          <w:trHeight w:val="270"/>
        </w:trPr>
        <w:tc>
          <w:tcPr>
            <w:tcW w:w="120" w:type="dxa"/>
            <w:vAlign w:val="bottom"/>
            <w:tcBorders>
              <w:top w:val="single" w:sz="8" w:color="auto"/>
              <w:left w:val="single" w:sz="8" w:color="auto"/>
              <w:bottom w:val="single" w:sz="8" w:color="auto"/>
            </w:tcBorders>
            <w:shd w:val="clear" w:color="auto" w:fill="148CD9"/>
          </w:tcPr>
          <w:p>
            <w:pPr>
              <w:ind w:left="80"/>
              <w:spacing w:after="0"/>
              <w:rPr>
                <w:sz w:val="20"/>
                <w:szCs w:val="20"/>
                <w:color w:val="auto"/>
              </w:rPr>
            </w:pPr>
            <w:r>
              <w:rPr>
                <w:rFonts w:ascii="Arial" w:cs="Arial" w:eastAsia="Arial" w:hAnsi="Arial"/>
                <w:sz w:val="16"/>
                <w:szCs w:val="16"/>
                <w:b w:val="1"/>
                <w:bCs w:val="1"/>
                <w:color w:val="FFFFFF"/>
              </w:rPr>
              <w:t>​</w:t>
            </w:r>
          </w:p>
        </w:tc>
        <w:tc>
          <w:tcPr>
            <w:tcW w:w="2040" w:type="dxa"/>
            <w:vAlign w:val="bottom"/>
            <w:tcBorders>
              <w:top w:val="single" w:sz="8" w:color="auto"/>
              <w:bottom w:val="single" w:sz="8" w:color="auto"/>
            </w:tcBorders>
            <w:shd w:val="clear" w:color="auto" w:fill="148CD9"/>
          </w:tcPr>
          <w:p>
            <w:pPr>
              <w:jc w:val="center"/>
              <w:spacing w:after="0"/>
              <w:rPr>
                <w:sz w:val="20"/>
                <w:szCs w:val="20"/>
                <w:color w:val="auto"/>
              </w:rPr>
            </w:pPr>
            <w:r>
              <w:rPr>
                <w:rFonts w:ascii="Arial" w:cs="Arial" w:eastAsia="Arial" w:hAnsi="Arial"/>
                <w:sz w:val="16"/>
                <w:szCs w:val="16"/>
                <w:b w:val="1"/>
                <w:bCs w:val="1"/>
                <w:color w:val="FFFFFF"/>
                <w:w w:val="98"/>
              </w:rPr>
              <w:t>TIME AND DATE</w:t>
            </w:r>
          </w:p>
        </w:tc>
        <w:tc>
          <w:tcPr>
            <w:tcW w:w="3240" w:type="dxa"/>
            <w:vAlign w:val="bottom"/>
            <w:tcBorders>
              <w:top w:val="single" w:sz="8" w:color="auto"/>
              <w:bottom w:val="single" w:sz="8" w:color="auto"/>
            </w:tcBorders>
            <w:shd w:val="clear" w:color="auto" w:fill="148CD9"/>
          </w:tcPr>
          <w:p>
            <w:pPr>
              <w:ind w:left="60"/>
              <w:spacing w:after="0" w:line="269" w:lineRule="exact"/>
              <w:rPr>
                <w:sz w:val="20"/>
                <w:szCs w:val="20"/>
                <w:color w:val="auto"/>
              </w:rPr>
            </w:pPr>
            <w:r>
              <w:rPr>
                <w:rFonts w:ascii="Arial" w:cs="Arial" w:eastAsia="Arial" w:hAnsi="Arial"/>
                <w:sz w:val="31"/>
                <w:szCs w:val="31"/>
                <w:b w:val="1"/>
                <w:bCs w:val="1"/>
                <w:color w:val="FFFFFF"/>
                <w:vertAlign w:val="subscript"/>
              </w:rPr>
              <w:t>​ ​</w:t>
            </w:r>
            <w:r>
              <w:rPr>
                <w:rFonts w:ascii="Arial" w:cs="Arial" w:eastAsia="Arial" w:hAnsi="Arial"/>
                <w:sz w:val="16"/>
                <w:szCs w:val="16"/>
                <w:b w:val="1"/>
                <w:bCs w:val="1"/>
                <w:color w:val="FFFFFF"/>
              </w:rPr>
              <w:t xml:space="preserve">RECORD DATE </w:t>
            </w:r>
            <w:r>
              <w:rPr>
                <w:rFonts w:ascii="Arial" w:cs="Arial" w:eastAsia="Arial" w:hAnsi="Arial"/>
                <w:sz w:val="31"/>
                <w:szCs w:val="31"/>
                <w:b w:val="1"/>
                <w:bCs w:val="1"/>
                <w:color w:val="FFFFFF"/>
                <w:vertAlign w:val="subscript"/>
              </w:rPr>
              <w:t>​ ​</w:t>
            </w:r>
          </w:p>
        </w:tc>
        <w:tc>
          <w:tcPr>
            <w:tcW w:w="1700" w:type="dxa"/>
            <w:vAlign w:val="bottom"/>
            <w:tcBorders>
              <w:top w:val="single" w:sz="8" w:color="auto"/>
              <w:bottom w:val="single" w:sz="8" w:color="auto"/>
            </w:tcBorders>
            <w:gridSpan w:val="4"/>
            <w:shd w:val="clear" w:color="auto" w:fill="148CD9"/>
          </w:tcPr>
          <w:p>
            <w:pPr>
              <w:jc w:val="center"/>
              <w:ind w:left="32"/>
              <w:spacing w:after="0"/>
              <w:rPr>
                <w:sz w:val="20"/>
                <w:szCs w:val="20"/>
                <w:color w:val="auto"/>
              </w:rPr>
            </w:pPr>
            <w:r>
              <w:rPr>
                <w:rFonts w:ascii="Arial" w:cs="Arial" w:eastAsia="Arial" w:hAnsi="Arial"/>
                <w:sz w:val="16"/>
                <w:szCs w:val="16"/>
                <w:b w:val="1"/>
                <w:bCs w:val="1"/>
                <w:color w:val="FFFFFF"/>
                <w:w w:val="98"/>
              </w:rPr>
              <w:t>WEBSITE ADDRESS</w:t>
            </w:r>
          </w:p>
        </w:tc>
        <w:tc>
          <w:tcPr>
            <w:tcW w:w="440" w:type="dxa"/>
            <w:vAlign w:val="bottom"/>
            <w:tcBorders>
              <w:top w:val="single" w:sz="8" w:color="auto"/>
              <w:bottom w:val="single" w:sz="8" w:color="auto"/>
            </w:tcBorders>
            <w:shd w:val="clear" w:color="auto" w:fill="148CD9"/>
          </w:tcPr>
          <w:p>
            <w:pPr>
              <w:spacing w:after="0"/>
              <w:rPr>
                <w:sz w:val="23"/>
                <w:szCs w:val="23"/>
                <w:color w:val="auto"/>
              </w:rPr>
            </w:pPr>
          </w:p>
        </w:tc>
        <w:tc>
          <w:tcPr>
            <w:tcW w:w="1320" w:type="dxa"/>
            <w:vAlign w:val="bottom"/>
            <w:tcBorders>
              <w:top w:val="single" w:sz="8" w:color="auto"/>
              <w:bottom w:val="single" w:sz="8" w:color="auto"/>
            </w:tcBorders>
            <w:shd w:val="clear" w:color="auto" w:fill="148CD9"/>
          </w:tcPr>
          <w:p>
            <w:pPr>
              <w:spacing w:after="0"/>
              <w:rPr>
                <w:sz w:val="23"/>
                <w:szCs w:val="23"/>
                <w:color w:val="auto"/>
              </w:rPr>
            </w:pPr>
          </w:p>
        </w:tc>
        <w:tc>
          <w:tcPr>
            <w:tcW w:w="140" w:type="dxa"/>
            <w:vAlign w:val="bottom"/>
            <w:tcBorders>
              <w:top w:val="single" w:sz="8" w:color="auto"/>
              <w:bottom w:val="single" w:sz="8" w:color="auto"/>
              <w:right w:val="single" w:sz="8" w:color="auto"/>
            </w:tcBorders>
            <w:shd w:val="clear" w:color="auto" w:fill="148CD9"/>
          </w:tcPr>
          <w:p>
            <w:pPr>
              <w:ind w:left="6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04"/>
        </w:trPr>
        <w:tc>
          <w:tcPr>
            <w:tcW w:w="120" w:type="dxa"/>
            <w:vAlign w:val="bottom"/>
            <w:tcBorders>
              <w:left w:val="single" w:sz="8" w:color="auto"/>
            </w:tcBorders>
          </w:tcPr>
          <w:p>
            <w:pPr>
              <w:spacing w:after="0"/>
              <w:rPr>
                <w:sz w:val="17"/>
                <w:szCs w:val="17"/>
                <w:color w:val="auto"/>
              </w:rPr>
            </w:pPr>
          </w:p>
        </w:tc>
        <w:tc>
          <w:tcPr>
            <w:tcW w:w="2040" w:type="dxa"/>
            <w:vAlign w:val="bottom"/>
          </w:tcPr>
          <w:p>
            <w:pPr>
              <w:spacing w:after="0"/>
              <w:rPr>
                <w:sz w:val="17"/>
                <w:szCs w:val="17"/>
                <w:color w:val="auto"/>
              </w:rPr>
            </w:pPr>
          </w:p>
        </w:tc>
        <w:tc>
          <w:tcPr>
            <w:tcW w:w="6700" w:type="dxa"/>
            <w:vAlign w:val="bottom"/>
            <w:gridSpan w:val="7"/>
          </w:tcPr>
          <w:p>
            <w:pPr>
              <w:jc w:val="center"/>
              <w:ind w:left="1512"/>
              <w:spacing w:after="0" w:line="204" w:lineRule="exact"/>
              <w:rPr>
                <w:sz w:val="20"/>
                <w:szCs w:val="20"/>
                <w:color w:val="auto"/>
              </w:rPr>
            </w:pPr>
            <w:r>
              <w:rPr>
                <w:rFonts w:ascii="Arial" w:cs="Arial" w:eastAsia="Arial" w:hAnsi="Arial"/>
                <w:sz w:val="18"/>
                <w:szCs w:val="18"/>
                <w:color w:val="auto"/>
                <w:w w:val="98"/>
              </w:rPr>
              <w:t>The meeting can be accessed by visiting</w:t>
            </w: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auto"/>
                <w:w w:val="97"/>
              </w:rPr>
              <w:t>Thursday, June 11, 2026</w:t>
            </w:r>
          </w:p>
        </w:tc>
        <w:tc>
          <w:tcPr>
            <w:tcW w:w="6700" w:type="dxa"/>
            <w:vAlign w:val="bottom"/>
            <w:gridSpan w:val="7"/>
          </w:tcPr>
          <w:p>
            <w:pPr>
              <w:jc w:val="center"/>
              <w:ind w:left="1512"/>
              <w:spacing w:after="0"/>
              <w:rPr>
                <w:sz w:val="20"/>
                <w:szCs w:val="20"/>
                <w:color w:val="auto"/>
              </w:rPr>
            </w:pPr>
            <w:r>
              <w:rPr>
                <w:rFonts w:ascii="Arial" w:cs="Arial" w:eastAsia="Arial" w:hAnsi="Arial"/>
                <w:sz w:val="18"/>
                <w:szCs w:val="18"/>
                <w:color w:val="auto"/>
                <w:w w:val="98"/>
              </w:rPr>
              <w:t>https://web.lumiconnect.com/265375813</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0" w:type="dxa"/>
            <w:vAlign w:val="bottom"/>
            <w:tcBorders>
              <w:left w:val="single" w:sz="8" w:color="auto"/>
            </w:tcBorders>
          </w:tcPr>
          <w:p>
            <w:pPr>
              <w:ind w:left="80"/>
              <w:spacing w:after="0" w:line="195" w:lineRule="exact"/>
              <w:rPr>
                <w:sz w:val="20"/>
                <w:szCs w:val="20"/>
                <w:color w:val="auto"/>
              </w:rPr>
            </w:pPr>
            <w:r>
              <w:rPr>
                <w:rFonts w:ascii="Arial" w:cs="Arial" w:eastAsia="Arial" w:hAnsi="Arial"/>
                <w:sz w:val="18"/>
                <w:szCs w:val="18"/>
                <w:color w:val="auto"/>
              </w:rPr>
              <w:t>​</w:t>
            </w:r>
          </w:p>
        </w:tc>
        <w:tc>
          <w:tcPr>
            <w:tcW w:w="2040" w:type="dxa"/>
            <w:vAlign w:val="bottom"/>
            <w:vMerge w:val="continue"/>
          </w:tcPr>
          <w:p>
            <w:pPr>
              <w:spacing w:after="0"/>
              <w:rPr>
                <w:sz w:val="16"/>
                <w:szCs w:val="16"/>
                <w:color w:val="auto"/>
              </w:rPr>
            </w:pPr>
          </w:p>
        </w:tc>
        <w:tc>
          <w:tcPr>
            <w:tcW w:w="6700" w:type="dxa"/>
            <w:vAlign w:val="bottom"/>
            <w:gridSpan w:val="7"/>
          </w:tcPr>
          <w:p>
            <w:pPr>
              <w:ind w:left="60"/>
              <w:spacing w:after="0" w:line="195" w:lineRule="exact"/>
              <w:rPr>
                <w:sz w:val="20"/>
                <w:szCs w:val="20"/>
                <w:color w:val="auto"/>
              </w:rPr>
            </w:pPr>
            <w:r>
              <w:rPr>
                <w:rFonts w:ascii="Arial" w:cs="Arial" w:eastAsia="Arial" w:hAnsi="Arial"/>
                <w:sz w:val="18"/>
                <w:szCs w:val="18"/>
                <w:color w:val="auto"/>
              </w:rPr>
              <w:t>​ ​ April 16, 2026 ​ ​ (password: century2026), where you will be able to listen to the</w:t>
            </w:r>
          </w:p>
        </w:tc>
        <w:tc>
          <w:tcPr>
            <w:tcW w:w="1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Borders>
              <w:left w:val="single" w:sz="8" w:color="auto"/>
            </w:tcBorders>
          </w:tcPr>
          <w:p>
            <w:pPr>
              <w:spacing w:after="0"/>
              <w:rPr>
                <w:sz w:val="17"/>
                <w:szCs w:val="17"/>
                <w:color w:val="auto"/>
              </w:rPr>
            </w:pPr>
          </w:p>
        </w:tc>
        <w:tc>
          <w:tcPr>
            <w:tcW w:w="2040" w:type="dxa"/>
            <w:vAlign w:val="bottom"/>
          </w:tcPr>
          <w:p>
            <w:pPr>
              <w:jc w:val="center"/>
              <w:spacing w:after="0" w:line="202" w:lineRule="exact"/>
              <w:rPr>
                <w:sz w:val="20"/>
                <w:szCs w:val="20"/>
                <w:color w:val="auto"/>
              </w:rPr>
            </w:pPr>
            <w:r>
              <w:rPr>
                <w:rFonts w:ascii="Arial" w:cs="Arial" w:eastAsia="Arial" w:hAnsi="Arial"/>
                <w:sz w:val="18"/>
                <w:szCs w:val="18"/>
                <w:color w:val="auto"/>
                <w:w w:val="97"/>
              </w:rPr>
              <w:t>9:00 a.m., Eastern Time</w:t>
            </w:r>
          </w:p>
        </w:tc>
        <w:tc>
          <w:tcPr>
            <w:tcW w:w="6700" w:type="dxa"/>
            <w:vAlign w:val="bottom"/>
            <w:gridSpan w:val="7"/>
            <w:vMerge w:val="restart"/>
          </w:tcPr>
          <w:p>
            <w:pPr>
              <w:jc w:val="center"/>
              <w:ind w:left="1512"/>
              <w:spacing w:after="0"/>
              <w:rPr>
                <w:sz w:val="20"/>
                <w:szCs w:val="20"/>
                <w:color w:val="auto"/>
              </w:rPr>
            </w:pPr>
            <w:r>
              <w:rPr>
                <w:rFonts w:ascii="Arial" w:cs="Arial" w:eastAsia="Arial" w:hAnsi="Arial"/>
                <w:sz w:val="18"/>
                <w:szCs w:val="18"/>
                <w:color w:val="auto"/>
                <w:w w:val="98"/>
              </w:rPr>
              <w:t>meeting live, submit questions and vote online. There will be no</w:t>
            </w: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120" w:type="dxa"/>
            <w:vAlign w:val="bottom"/>
            <w:tcBorders>
              <w:left w:val="single" w:sz="8" w:color="auto"/>
            </w:tcBorders>
          </w:tcPr>
          <w:p>
            <w:pPr>
              <w:spacing w:after="0"/>
              <w:rPr>
                <w:sz w:val="3"/>
                <w:szCs w:val="3"/>
                <w:color w:val="auto"/>
              </w:rPr>
            </w:pPr>
          </w:p>
        </w:tc>
        <w:tc>
          <w:tcPr>
            <w:tcW w:w="2040" w:type="dxa"/>
            <w:vAlign w:val="bottom"/>
          </w:tcPr>
          <w:p>
            <w:pPr>
              <w:spacing w:after="0"/>
              <w:rPr>
                <w:sz w:val="3"/>
                <w:szCs w:val="3"/>
                <w:color w:val="auto"/>
              </w:rPr>
            </w:pPr>
          </w:p>
        </w:tc>
        <w:tc>
          <w:tcPr>
            <w:tcW w:w="6700" w:type="dxa"/>
            <w:vAlign w:val="bottom"/>
            <w:gridSpan w:val="7"/>
            <w:vMerge w:val="continue"/>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120" w:type="dxa"/>
            <w:vAlign w:val="bottom"/>
            <w:tcBorders>
              <w:left w:val="single" w:sz="8" w:color="auto"/>
            </w:tcBorders>
          </w:tcPr>
          <w:p>
            <w:pPr>
              <w:spacing w:after="0"/>
              <w:rPr>
                <w:sz w:val="20"/>
                <w:szCs w:val="20"/>
                <w:color w:val="auto"/>
              </w:rPr>
            </w:pPr>
          </w:p>
        </w:tc>
        <w:tc>
          <w:tcPr>
            <w:tcW w:w="2040" w:type="dxa"/>
            <w:vAlign w:val="bottom"/>
          </w:tcPr>
          <w:p>
            <w:pPr>
              <w:spacing w:after="0"/>
              <w:rPr>
                <w:sz w:val="20"/>
                <w:szCs w:val="20"/>
                <w:color w:val="auto"/>
              </w:rPr>
            </w:pPr>
          </w:p>
        </w:tc>
        <w:tc>
          <w:tcPr>
            <w:tcW w:w="6700" w:type="dxa"/>
            <w:vAlign w:val="bottom"/>
            <w:gridSpan w:val="7"/>
          </w:tcPr>
          <w:p>
            <w:pPr>
              <w:jc w:val="center"/>
              <w:ind w:left="1512"/>
              <w:spacing w:after="0"/>
              <w:rPr>
                <w:sz w:val="20"/>
                <w:szCs w:val="20"/>
                <w:color w:val="auto"/>
              </w:rPr>
            </w:pPr>
            <w:r>
              <w:rPr>
                <w:rFonts w:ascii="Arial" w:cs="Arial" w:eastAsia="Arial" w:hAnsi="Arial"/>
                <w:sz w:val="18"/>
                <w:szCs w:val="18"/>
                <w:color w:val="auto"/>
                <w:w w:val="98"/>
              </w:rPr>
              <w:t>physical location for stockholders to attend.</w:t>
            </w: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5400" w:type="dxa"/>
            <w:vAlign w:val="bottom"/>
            <w:tcBorders>
              <w:left w:val="single" w:sz="8" w:color="auto"/>
              <w:bottom w:val="single" w:sz="8" w:color="auto"/>
            </w:tcBorders>
            <w:gridSpan w:val="3"/>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37"/>
        </w:trPr>
        <w:tc>
          <w:tcPr>
            <w:tcW w:w="5400" w:type="dxa"/>
            <w:vAlign w:val="bottom"/>
            <w:gridSpan w:val="3"/>
          </w:tcPr>
          <w:p>
            <w:pPr>
              <w:ind w:left="20"/>
              <w:spacing w:after="0"/>
              <w:rPr>
                <w:sz w:val="20"/>
                <w:szCs w:val="20"/>
                <w:color w:val="auto"/>
              </w:rPr>
            </w:pPr>
            <w:r>
              <w:rPr>
                <w:rFonts w:ascii="Arial" w:cs="Arial" w:eastAsia="Arial" w:hAnsi="Arial"/>
                <w:sz w:val="18"/>
                <w:szCs w:val="18"/>
                <w:b w:val="1"/>
                <w:bCs w:val="1"/>
                <w:color w:val="auto"/>
              </w:rPr>
              <w:t>Summary of Stockholder Voting Matters</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tcBorders>
            <w:vMerge w:val="restart"/>
            <w:shd w:val="clear" w:color="auto" w:fill="148CD9"/>
          </w:tcPr>
          <w:p>
            <w:pPr>
              <w:ind w:left="80"/>
              <w:spacing w:after="0"/>
              <w:rPr>
                <w:sz w:val="20"/>
                <w:szCs w:val="20"/>
                <w:color w:val="auto"/>
              </w:rPr>
            </w:pPr>
            <w:r>
              <w:rPr>
                <w:rFonts w:ascii="Arial" w:cs="Arial" w:eastAsia="Arial" w:hAnsi="Arial"/>
                <w:sz w:val="16"/>
                <w:szCs w:val="16"/>
                <w:b w:val="1"/>
                <w:bCs w:val="1"/>
                <w:color w:val="FFFFFF"/>
              </w:rPr>
              <w:t>​</w:t>
            </w:r>
          </w:p>
        </w:tc>
        <w:tc>
          <w:tcPr>
            <w:tcW w:w="5280" w:type="dxa"/>
            <w:vAlign w:val="bottom"/>
            <w:gridSpan w:val="2"/>
            <w:vMerge w:val="restart"/>
            <w:shd w:val="clear" w:color="auto" w:fill="148CD9"/>
          </w:tcPr>
          <w:p>
            <w:pPr>
              <w:ind w:left="1960"/>
              <w:spacing w:after="0"/>
              <w:rPr>
                <w:sz w:val="20"/>
                <w:szCs w:val="20"/>
                <w:color w:val="auto"/>
              </w:rPr>
            </w:pPr>
            <w:r>
              <w:rPr>
                <w:rFonts w:ascii="Arial" w:cs="Arial" w:eastAsia="Arial" w:hAnsi="Arial"/>
                <w:sz w:val="16"/>
                <w:szCs w:val="16"/>
                <w:b w:val="1"/>
                <w:bCs w:val="1"/>
                <w:color w:val="FFFFFF"/>
              </w:rPr>
              <w:t>VOTING MATTERS</w:t>
            </w:r>
          </w:p>
        </w:tc>
        <w:tc>
          <w:tcPr>
            <w:tcW w:w="340" w:type="dxa"/>
            <w:vAlign w:val="bottom"/>
            <w:vMerge w:val="restart"/>
            <w:shd w:val="clear" w:color="auto" w:fill="148CD9"/>
          </w:tcPr>
          <w:p>
            <w:pPr>
              <w:jc w:val="center"/>
              <w:spacing w:after="0"/>
              <w:rPr>
                <w:sz w:val="20"/>
                <w:szCs w:val="20"/>
                <w:color w:val="auto"/>
              </w:rPr>
            </w:pPr>
            <w:r>
              <w:rPr>
                <w:rFonts w:ascii="Arial" w:cs="Arial" w:eastAsia="Arial" w:hAnsi="Arial"/>
                <w:sz w:val="16"/>
                <w:szCs w:val="16"/>
                <w:b w:val="1"/>
                <w:bCs w:val="1"/>
                <w:color w:val="FFFFFF"/>
              </w:rPr>
              <w:t>​ ​</w:t>
            </w:r>
          </w:p>
        </w:tc>
        <w:tc>
          <w:tcPr>
            <w:tcW w:w="1360" w:type="dxa"/>
            <w:vAlign w:val="bottom"/>
            <w:gridSpan w:val="3"/>
            <w:shd w:val="clear" w:color="auto" w:fill="148CD9"/>
          </w:tcPr>
          <w:p>
            <w:pPr>
              <w:jc w:val="center"/>
              <w:ind w:right="100"/>
              <w:spacing w:after="0"/>
              <w:rPr>
                <w:sz w:val="20"/>
                <w:szCs w:val="20"/>
                <w:color w:val="auto"/>
              </w:rPr>
            </w:pPr>
            <w:r>
              <w:rPr>
                <w:rFonts w:ascii="Arial" w:cs="Arial" w:eastAsia="Arial" w:hAnsi="Arial"/>
                <w:sz w:val="16"/>
                <w:szCs w:val="16"/>
                <w:b w:val="1"/>
                <w:bCs w:val="1"/>
                <w:color w:val="FFFFFF"/>
                <w:w w:val="99"/>
              </w:rPr>
              <w:t>FOR MORE</w:t>
            </w:r>
          </w:p>
        </w:tc>
        <w:tc>
          <w:tcPr>
            <w:tcW w:w="440" w:type="dxa"/>
            <w:vAlign w:val="bottom"/>
            <w:vMerge w:val="restart"/>
            <w:shd w:val="clear" w:color="auto" w:fill="148CD9"/>
          </w:tcPr>
          <w:p>
            <w:pPr>
              <w:ind w:left="60"/>
              <w:spacing w:after="0"/>
              <w:rPr>
                <w:sz w:val="20"/>
                <w:szCs w:val="20"/>
                <w:color w:val="auto"/>
              </w:rPr>
            </w:pPr>
            <w:r>
              <w:rPr>
                <w:rFonts w:ascii="Arial" w:cs="Arial" w:eastAsia="Arial" w:hAnsi="Arial"/>
                <w:sz w:val="16"/>
                <w:szCs w:val="16"/>
                <w:b w:val="1"/>
                <w:bCs w:val="1"/>
                <w:color w:val="FFFFFF"/>
              </w:rPr>
              <w:t>​ ​</w:t>
            </w:r>
          </w:p>
        </w:tc>
        <w:tc>
          <w:tcPr>
            <w:tcW w:w="1320" w:type="dxa"/>
            <w:vAlign w:val="bottom"/>
            <w:shd w:val="clear" w:color="auto" w:fill="148CD9"/>
          </w:tcPr>
          <w:p>
            <w:pPr>
              <w:jc w:val="center"/>
              <w:ind w:right="173"/>
              <w:spacing w:after="0"/>
              <w:rPr>
                <w:sz w:val="20"/>
                <w:szCs w:val="20"/>
                <w:color w:val="auto"/>
              </w:rPr>
            </w:pPr>
            <w:r>
              <w:rPr>
                <w:rFonts w:ascii="Arial" w:cs="Arial" w:eastAsia="Arial" w:hAnsi="Arial"/>
                <w:sz w:val="16"/>
                <w:szCs w:val="16"/>
                <w:b w:val="1"/>
                <w:bCs w:val="1"/>
                <w:color w:val="FFFFFF"/>
              </w:rPr>
              <w:t>BOARD OF</w:t>
            </w:r>
          </w:p>
        </w:tc>
        <w:tc>
          <w:tcPr>
            <w:tcW w:w="140" w:type="dxa"/>
            <w:vAlign w:val="bottom"/>
            <w:tcBorders>
              <w:right w:val="single" w:sz="8" w:color="auto"/>
            </w:tcBorders>
            <w:vMerge w:val="restart"/>
            <w:shd w:val="clear" w:color="auto" w:fill="148CD9"/>
          </w:tcPr>
          <w:p>
            <w:pPr>
              <w:ind w:left="6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162"/>
        </w:trPr>
        <w:tc>
          <w:tcPr>
            <w:tcW w:w="120" w:type="dxa"/>
            <w:vAlign w:val="bottom"/>
            <w:tcBorders>
              <w:left w:val="single" w:sz="8" w:color="auto"/>
            </w:tcBorders>
            <w:vMerge w:val="continue"/>
            <w:shd w:val="clear" w:color="auto" w:fill="148CD9"/>
          </w:tcPr>
          <w:p>
            <w:pPr>
              <w:spacing w:after="0"/>
              <w:rPr>
                <w:sz w:val="14"/>
                <w:szCs w:val="14"/>
                <w:color w:val="auto"/>
              </w:rPr>
            </w:pPr>
          </w:p>
        </w:tc>
        <w:tc>
          <w:tcPr>
            <w:tcW w:w="5280" w:type="dxa"/>
            <w:vAlign w:val="bottom"/>
            <w:gridSpan w:val="2"/>
            <w:vMerge w:val="continue"/>
            <w:shd w:val="clear" w:color="auto" w:fill="148CD9"/>
          </w:tcPr>
          <w:p>
            <w:pPr>
              <w:spacing w:after="0"/>
              <w:rPr>
                <w:sz w:val="14"/>
                <w:szCs w:val="14"/>
                <w:color w:val="auto"/>
              </w:rPr>
            </w:pPr>
          </w:p>
        </w:tc>
        <w:tc>
          <w:tcPr>
            <w:tcW w:w="340" w:type="dxa"/>
            <w:vAlign w:val="bottom"/>
            <w:vMerge w:val="continue"/>
            <w:shd w:val="clear" w:color="auto" w:fill="148CD9"/>
          </w:tcPr>
          <w:p>
            <w:pPr>
              <w:spacing w:after="0"/>
              <w:rPr>
                <w:sz w:val="14"/>
                <w:szCs w:val="14"/>
                <w:color w:val="auto"/>
              </w:rPr>
            </w:pPr>
          </w:p>
        </w:tc>
        <w:tc>
          <w:tcPr>
            <w:tcW w:w="1360" w:type="dxa"/>
            <w:vAlign w:val="bottom"/>
            <w:gridSpan w:val="3"/>
            <w:shd w:val="clear" w:color="auto" w:fill="148CD9"/>
          </w:tcPr>
          <w:p>
            <w:pPr>
              <w:jc w:val="center"/>
              <w:ind w:right="80"/>
              <w:spacing w:after="0" w:line="162" w:lineRule="exact"/>
              <w:rPr>
                <w:sz w:val="20"/>
                <w:szCs w:val="20"/>
                <w:color w:val="auto"/>
              </w:rPr>
            </w:pPr>
            <w:r>
              <w:rPr>
                <w:rFonts w:ascii="Arial" w:cs="Arial" w:eastAsia="Arial" w:hAnsi="Arial"/>
                <w:sz w:val="16"/>
                <w:szCs w:val="16"/>
                <w:b w:val="1"/>
                <w:bCs w:val="1"/>
                <w:color w:val="FFFFFF"/>
                <w:w w:val="99"/>
              </w:rPr>
              <w:t>INFORMATION</w:t>
            </w:r>
          </w:p>
        </w:tc>
        <w:tc>
          <w:tcPr>
            <w:tcW w:w="440" w:type="dxa"/>
            <w:vAlign w:val="bottom"/>
            <w:vMerge w:val="continue"/>
            <w:shd w:val="clear" w:color="auto" w:fill="148CD9"/>
          </w:tcPr>
          <w:p>
            <w:pPr>
              <w:spacing w:after="0"/>
              <w:rPr>
                <w:sz w:val="14"/>
                <w:szCs w:val="14"/>
                <w:color w:val="auto"/>
              </w:rPr>
            </w:pPr>
          </w:p>
        </w:tc>
        <w:tc>
          <w:tcPr>
            <w:tcW w:w="1320" w:type="dxa"/>
            <w:vAlign w:val="bottom"/>
            <w:shd w:val="clear" w:color="auto" w:fill="148CD9"/>
          </w:tcPr>
          <w:p>
            <w:pPr>
              <w:jc w:val="center"/>
              <w:ind w:right="173"/>
              <w:spacing w:after="0" w:line="162" w:lineRule="exact"/>
              <w:rPr>
                <w:sz w:val="20"/>
                <w:szCs w:val="20"/>
                <w:color w:val="auto"/>
              </w:rPr>
            </w:pPr>
            <w:r>
              <w:rPr>
                <w:rFonts w:ascii="Arial" w:cs="Arial" w:eastAsia="Arial" w:hAnsi="Arial"/>
                <w:sz w:val="16"/>
                <w:szCs w:val="16"/>
                <w:b w:val="1"/>
                <w:bCs w:val="1"/>
                <w:color w:val="FFFFFF"/>
                <w:w w:val="99"/>
              </w:rPr>
              <w:t>DIRECTORS</w:t>
            </w:r>
          </w:p>
        </w:tc>
        <w:tc>
          <w:tcPr>
            <w:tcW w:w="140" w:type="dxa"/>
            <w:vAlign w:val="bottom"/>
            <w:tcBorders>
              <w:right w:val="single" w:sz="8" w:color="auto"/>
            </w:tcBorders>
            <w:vMerge w:val="continue"/>
            <w:shd w:val="clear" w:color="auto" w:fill="148CD9"/>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0" w:type="dxa"/>
            <w:vAlign w:val="bottom"/>
            <w:tcBorders>
              <w:left w:val="single" w:sz="8" w:color="auto"/>
              <w:bottom w:val="single" w:sz="8" w:color="auto"/>
            </w:tcBorders>
            <w:shd w:val="clear" w:color="auto" w:fill="148CD9"/>
          </w:tcPr>
          <w:p>
            <w:pPr>
              <w:spacing w:after="0"/>
              <w:rPr>
                <w:sz w:val="12"/>
                <w:szCs w:val="12"/>
                <w:color w:val="auto"/>
              </w:rPr>
            </w:pPr>
          </w:p>
        </w:tc>
        <w:tc>
          <w:tcPr>
            <w:tcW w:w="2040" w:type="dxa"/>
            <w:vAlign w:val="bottom"/>
            <w:tcBorders>
              <w:bottom w:val="single" w:sz="8" w:color="auto"/>
            </w:tcBorders>
            <w:shd w:val="clear" w:color="auto" w:fill="148CD9"/>
          </w:tcPr>
          <w:p>
            <w:pPr>
              <w:spacing w:after="0"/>
              <w:rPr>
                <w:sz w:val="12"/>
                <w:szCs w:val="12"/>
                <w:color w:val="auto"/>
              </w:rPr>
            </w:pPr>
          </w:p>
        </w:tc>
        <w:tc>
          <w:tcPr>
            <w:tcW w:w="3240" w:type="dxa"/>
            <w:vAlign w:val="bottom"/>
            <w:tcBorders>
              <w:bottom w:val="single" w:sz="8" w:color="auto"/>
            </w:tcBorders>
            <w:shd w:val="clear" w:color="auto" w:fill="148CD9"/>
          </w:tcPr>
          <w:p>
            <w:pPr>
              <w:spacing w:after="0"/>
              <w:rPr>
                <w:sz w:val="12"/>
                <w:szCs w:val="12"/>
                <w:color w:val="auto"/>
              </w:rPr>
            </w:pPr>
          </w:p>
        </w:tc>
        <w:tc>
          <w:tcPr>
            <w:tcW w:w="340" w:type="dxa"/>
            <w:vAlign w:val="bottom"/>
            <w:tcBorders>
              <w:bottom w:val="single" w:sz="8" w:color="auto"/>
            </w:tcBorders>
            <w:shd w:val="clear" w:color="auto" w:fill="148CD9"/>
          </w:tcPr>
          <w:p>
            <w:pPr>
              <w:spacing w:after="0"/>
              <w:rPr>
                <w:sz w:val="12"/>
                <w:szCs w:val="12"/>
                <w:color w:val="auto"/>
              </w:rPr>
            </w:pPr>
          </w:p>
        </w:tc>
        <w:tc>
          <w:tcPr>
            <w:tcW w:w="780" w:type="dxa"/>
            <w:vAlign w:val="bottom"/>
            <w:tcBorders>
              <w:bottom w:val="single" w:sz="8" w:color="auto"/>
            </w:tcBorders>
            <w:shd w:val="clear" w:color="auto" w:fill="148CD9"/>
          </w:tcPr>
          <w:p>
            <w:pPr>
              <w:spacing w:after="0"/>
              <w:rPr>
                <w:sz w:val="12"/>
                <w:szCs w:val="12"/>
                <w:color w:val="auto"/>
              </w:rPr>
            </w:pPr>
          </w:p>
        </w:tc>
        <w:tc>
          <w:tcPr>
            <w:tcW w:w="200" w:type="dxa"/>
            <w:vAlign w:val="bottom"/>
            <w:tcBorders>
              <w:bottom w:val="single" w:sz="8" w:color="auto"/>
            </w:tcBorders>
            <w:shd w:val="clear" w:color="auto" w:fill="148CD9"/>
          </w:tcPr>
          <w:p>
            <w:pPr>
              <w:spacing w:after="0"/>
              <w:rPr>
                <w:sz w:val="12"/>
                <w:szCs w:val="12"/>
                <w:color w:val="auto"/>
              </w:rPr>
            </w:pPr>
          </w:p>
        </w:tc>
        <w:tc>
          <w:tcPr>
            <w:tcW w:w="380" w:type="dxa"/>
            <w:vAlign w:val="bottom"/>
            <w:tcBorders>
              <w:bottom w:val="single" w:sz="8" w:color="auto"/>
            </w:tcBorders>
            <w:shd w:val="clear" w:color="auto" w:fill="148CD9"/>
          </w:tcPr>
          <w:p>
            <w:pPr>
              <w:spacing w:after="0"/>
              <w:rPr>
                <w:sz w:val="12"/>
                <w:szCs w:val="12"/>
                <w:color w:val="auto"/>
              </w:rPr>
            </w:pPr>
          </w:p>
        </w:tc>
        <w:tc>
          <w:tcPr>
            <w:tcW w:w="1760" w:type="dxa"/>
            <w:vAlign w:val="bottom"/>
            <w:tcBorders>
              <w:bottom w:val="single" w:sz="8" w:color="auto"/>
            </w:tcBorders>
            <w:gridSpan w:val="2"/>
            <w:shd w:val="clear" w:color="auto" w:fill="148CD9"/>
          </w:tcPr>
          <w:p>
            <w:pPr>
              <w:jc w:val="center"/>
              <w:ind w:left="133"/>
              <w:spacing w:after="0" w:line="148" w:lineRule="exact"/>
              <w:rPr>
                <w:sz w:val="20"/>
                <w:szCs w:val="20"/>
                <w:color w:val="auto"/>
              </w:rPr>
            </w:pPr>
            <w:r>
              <w:rPr>
                <w:rFonts w:ascii="Arial" w:cs="Arial" w:eastAsia="Arial" w:hAnsi="Arial"/>
                <w:sz w:val="16"/>
                <w:szCs w:val="16"/>
                <w:b w:val="1"/>
                <w:bCs w:val="1"/>
                <w:color w:val="FFFFFF"/>
                <w:w w:val="98"/>
              </w:rPr>
              <w:t>RECOMMENDATION</w:t>
            </w:r>
          </w:p>
        </w:tc>
        <w:tc>
          <w:tcPr>
            <w:tcW w:w="140" w:type="dxa"/>
            <w:vAlign w:val="bottom"/>
            <w:tcBorders>
              <w:bottom w:val="single" w:sz="8" w:color="auto"/>
              <w:right w:val="single" w:sz="8" w:color="auto"/>
            </w:tcBorders>
            <w:shd w:val="clear" w:color="auto" w:fill="148CD9"/>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80" w:type="dxa"/>
            <w:vAlign w:val="bottom"/>
            <w:gridSpan w:val="2"/>
          </w:tcPr>
          <w:p>
            <w:pPr>
              <w:ind w:left="20"/>
              <w:spacing w:after="0"/>
              <w:rPr>
                <w:sz w:val="20"/>
                <w:szCs w:val="20"/>
                <w:color w:val="auto"/>
              </w:rPr>
            </w:pPr>
            <w:r>
              <w:rPr>
                <w:rFonts w:ascii="Arial" w:cs="Arial" w:eastAsia="Arial" w:hAnsi="Arial"/>
                <w:sz w:val="18"/>
                <w:szCs w:val="18"/>
                <w:b w:val="1"/>
                <w:bCs w:val="1"/>
                <w:color w:val="1DA46F"/>
                <w:w w:val="97"/>
              </w:rPr>
              <w:t>PROPOSAL 1</w:t>
            </w:r>
            <w:r>
              <w:rPr>
                <w:rFonts w:ascii="Arial" w:cs="Arial" w:eastAsia="Arial" w:hAnsi="Arial"/>
                <w:sz w:val="18"/>
                <w:szCs w:val="18"/>
                <w:color w:val="1DA46F"/>
                <w:w w:val="97"/>
              </w:rPr>
              <w:t>: Election of Class II Directors for a Three-Year Term</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vMerge w:val="restart"/>
          </w:tcPr>
          <w:p>
            <w:pPr>
              <w:spacing w:after="0" w:line="403" w:lineRule="exact"/>
              <w:rPr>
                <w:sz w:val="20"/>
                <w:szCs w:val="20"/>
                <w:color w:val="auto"/>
              </w:rPr>
            </w:pPr>
            <w:r>
              <w:rPr>
                <w:rFonts w:ascii="Arial" w:cs="Arial" w:eastAsia="Arial" w:hAnsi="Arial"/>
                <w:sz w:val="18"/>
                <w:szCs w:val="18"/>
                <w:color w:val="auto"/>
              </w:rPr>
              <w:t xml:space="preserve">​ ​ </w:t>
            </w:r>
            <w:r>
              <w:rPr>
                <w:rFonts w:ascii="MS PGothic" w:cs="MS PGothic" w:eastAsia="MS PGothic" w:hAnsi="MS PGothic"/>
                <w:sz w:val="35"/>
                <w:szCs w:val="35"/>
                <w:color w:val="auto"/>
                <w:highlight w:val="black"/>
                <w:vertAlign w:val="superscript"/>
              </w:rPr>
              <w:t>✓</w:t>
            </w:r>
          </w:p>
        </w:tc>
        <w:tc>
          <w:tcPr>
            <w:tcW w:w="13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120" w:type="dxa"/>
            <w:vAlign w:val="bottom"/>
            <w:tcBorders>
              <w:left w:val="single" w:sz="8" w:color="auto"/>
            </w:tcBorders>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1DA46F"/>
              </w:rPr>
              <w:t>Expiring in 2029</w:t>
            </w:r>
          </w:p>
        </w:tc>
        <w:tc>
          <w:tcPr>
            <w:tcW w:w="3240" w:type="dxa"/>
            <w:vAlign w:val="bottom"/>
          </w:tcPr>
          <w:p>
            <w:pPr>
              <w:spacing w:after="0"/>
              <w:rPr>
                <w:sz w:val="20"/>
                <w:szCs w:val="20"/>
                <w:color w:val="auto"/>
              </w:rPr>
            </w:pPr>
          </w:p>
        </w:tc>
        <w:tc>
          <w:tcPr>
            <w:tcW w:w="34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360" w:type="dxa"/>
            <w:vAlign w:val="bottom"/>
            <w:gridSpan w:val="3"/>
            <w:vMerge w:val="restart"/>
          </w:tcPr>
          <w:p>
            <w:pPr>
              <w:jc w:val="center"/>
              <w:ind w:right="60"/>
              <w:spacing w:after="0"/>
              <w:rPr>
                <w:sz w:val="20"/>
                <w:szCs w:val="20"/>
                <w:color w:val="auto"/>
              </w:rPr>
            </w:pPr>
            <w:r>
              <w:rPr>
                <w:rFonts w:ascii="Arial" w:cs="Arial" w:eastAsia="Arial" w:hAnsi="Arial"/>
                <w:sz w:val="18"/>
                <w:szCs w:val="18"/>
                <w:color w:val="auto"/>
                <w:w w:val="98"/>
              </w:rPr>
              <w:t xml:space="preserve">Page </w:t>
            </w:r>
            <w:r>
              <w:rPr>
                <w:rFonts w:ascii="Arial" w:cs="Arial" w:eastAsia="Arial" w:hAnsi="Arial"/>
                <w:sz w:val="18"/>
                <w:szCs w:val="18"/>
                <w:color w:val="0000EE"/>
                <w:w w:val="98"/>
              </w:rPr>
              <w:t>34</w:t>
            </w:r>
          </w:p>
        </w:tc>
        <w:tc>
          <w:tcPr>
            <w:tcW w:w="440" w:type="dxa"/>
            <w:vAlign w:val="bottom"/>
            <w:vMerge w:val="continue"/>
          </w:tcPr>
          <w:p>
            <w:pPr>
              <w:spacing w:after="0"/>
              <w:rPr>
                <w:sz w:val="20"/>
                <w:szCs w:val="20"/>
                <w:color w:val="auto"/>
              </w:rPr>
            </w:pPr>
          </w:p>
        </w:tc>
        <w:tc>
          <w:tcPr>
            <w:tcW w:w="13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FOR Each</w:t>
            </w:r>
          </w:p>
        </w:tc>
        <w:tc>
          <w:tcPr>
            <w:tcW w:w="1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2"/>
        </w:trPr>
        <w:tc>
          <w:tcPr>
            <w:tcW w:w="120" w:type="dxa"/>
            <w:vAlign w:val="bottom"/>
            <w:tcBorders>
              <w:left w:val="single" w:sz="8" w:color="auto"/>
            </w:tcBorders>
          </w:tcPr>
          <w:p>
            <w:pPr>
              <w:spacing w:after="0"/>
              <w:rPr>
                <w:sz w:val="4"/>
                <w:szCs w:val="4"/>
                <w:color w:val="auto"/>
              </w:rPr>
            </w:pPr>
          </w:p>
        </w:tc>
        <w:tc>
          <w:tcPr>
            <w:tcW w:w="2040" w:type="dxa"/>
            <w:vAlign w:val="bottom"/>
          </w:tcPr>
          <w:p>
            <w:pPr>
              <w:spacing w:after="0"/>
              <w:rPr>
                <w:sz w:val="4"/>
                <w:szCs w:val="4"/>
                <w:color w:val="auto"/>
              </w:rPr>
            </w:pPr>
          </w:p>
        </w:tc>
        <w:tc>
          <w:tcPr>
            <w:tcW w:w="324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1360" w:type="dxa"/>
            <w:vAlign w:val="bottom"/>
            <w:gridSpan w:val="3"/>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1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20" w:type="dxa"/>
            <w:vAlign w:val="bottom"/>
            <w:tcBorders>
              <w:left w:val="single" w:sz="8" w:color="auto"/>
            </w:tcBorders>
          </w:tcPr>
          <w:p>
            <w:pPr>
              <w:ind w:left="20"/>
              <w:spacing w:after="0" w:line="189" w:lineRule="exact"/>
              <w:rPr>
                <w:sz w:val="20"/>
                <w:szCs w:val="20"/>
                <w:color w:val="auto"/>
              </w:rPr>
            </w:pPr>
            <w:r>
              <w:rPr>
                <w:rFonts w:ascii="Arial" w:cs="Arial" w:eastAsia="Arial" w:hAnsi="Arial"/>
                <w:sz w:val="18"/>
                <w:szCs w:val="18"/>
                <w:color w:val="auto"/>
              </w:rPr>
              <w:t>​</w:t>
            </w:r>
          </w:p>
        </w:tc>
        <w:tc>
          <w:tcPr>
            <w:tcW w:w="2040" w:type="dxa"/>
            <w:vAlign w:val="bottom"/>
          </w:tcPr>
          <w:p>
            <w:pPr>
              <w:ind w:left="20"/>
              <w:spacing w:after="0" w:line="189" w:lineRule="exact"/>
              <w:rPr>
                <w:sz w:val="20"/>
                <w:szCs w:val="20"/>
                <w:color w:val="auto"/>
              </w:rPr>
            </w:pPr>
            <w:r>
              <w:rPr>
                <w:rFonts w:ascii="Arial" w:cs="Arial" w:eastAsia="Arial" w:hAnsi="Arial"/>
                <w:sz w:val="18"/>
                <w:szCs w:val="18"/>
                <w:color w:val="auto"/>
              </w:rPr>
              <w:t>Alessandro Riva, M.D.</w:t>
            </w:r>
          </w:p>
        </w:tc>
        <w:tc>
          <w:tcPr>
            <w:tcW w:w="3240" w:type="dxa"/>
            <w:vAlign w:val="bottom"/>
          </w:tcPr>
          <w:p>
            <w:pPr>
              <w:spacing w:after="0"/>
              <w:rPr>
                <w:sz w:val="16"/>
                <w:szCs w:val="16"/>
                <w:color w:val="auto"/>
              </w:rPr>
            </w:pPr>
          </w:p>
        </w:tc>
        <w:tc>
          <w:tcPr>
            <w:tcW w:w="340" w:type="dxa"/>
            <w:vAlign w:val="bottom"/>
          </w:tcPr>
          <w:p>
            <w:pPr>
              <w:ind w:left="60"/>
              <w:spacing w:after="0" w:line="189" w:lineRule="exact"/>
              <w:rPr>
                <w:sz w:val="20"/>
                <w:szCs w:val="20"/>
                <w:color w:val="auto"/>
              </w:rPr>
            </w:pPr>
            <w:r>
              <w:rPr>
                <w:rFonts w:ascii="Arial" w:cs="Arial" w:eastAsia="Arial" w:hAnsi="Arial"/>
                <w:sz w:val="18"/>
                <w:szCs w:val="18"/>
                <w:color w:val="auto"/>
              </w:rPr>
              <w:t>​</w:t>
            </w:r>
          </w:p>
        </w:tc>
        <w:tc>
          <w:tcPr>
            <w:tcW w:w="78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tcPr>
          <w:p>
            <w:pPr>
              <w:ind w:left="140"/>
              <w:spacing w:after="0" w:line="189" w:lineRule="exact"/>
              <w:rPr>
                <w:sz w:val="20"/>
                <w:szCs w:val="20"/>
                <w:color w:val="auto"/>
              </w:rPr>
            </w:pPr>
            <w:r>
              <w:rPr>
                <w:rFonts w:ascii="Arial" w:cs="Arial" w:eastAsia="Arial" w:hAnsi="Arial"/>
                <w:sz w:val="18"/>
                <w:szCs w:val="18"/>
                <w:b w:val="1"/>
                <w:bCs w:val="1"/>
                <w:color w:val="auto"/>
              </w:rPr>
              <w:t>Nominee</w:t>
            </w: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0" w:type="dxa"/>
            <w:vAlign w:val="bottom"/>
            <w:tcBorders>
              <w:left w:val="single" w:sz="8" w:color="auto"/>
              <w:bottom w:val="single" w:sz="8" w:color="auto"/>
            </w:tcBorders>
          </w:tcPr>
          <w:p>
            <w:pPr>
              <w:spacing w:after="0"/>
              <w:rPr>
                <w:sz w:val="20"/>
                <w:szCs w:val="20"/>
                <w:color w:val="auto"/>
              </w:rPr>
            </w:pPr>
          </w:p>
        </w:tc>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Han Lee, Ph.D., M.B.A.</w:t>
            </w:r>
          </w:p>
        </w:tc>
        <w:tc>
          <w:tcPr>
            <w:tcW w:w="32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80" w:type="dxa"/>
            <w:vAlign w:val="bottom"/>
            <w:gridSpan w:val="2"/>
          </w:tcPr>
          <w:p>
            <w:pPr>
              <w:ind w:left="20"/>
              <w:spacing w:after="0"/>
              <w:rPr>
                <w:sz w:val="20"/>
                <w:szCs w:val="20"/>
                <w:color w:val="auto"/>
              </w:rPr>
            </w:pPr>
            <w:r>
              <w:rPr>
                <w:rFonts w:ascii="Arial" w:cs="Arial" w:eastAsia="Arial" w:hAnsi="Arial"/>
                <w:sz w:val="18"/>
                <w:szCs w:val="18"/>
                <w:b w:val="1"/>
                <w:bCs w:val="1"/>
                <w:color w:val="1DA46F"/>
              </w:rPr>
              <w:t>PROPOSAL 2</w:t>
            </w:r>
            <w:r>
              <w:rPr>
                <w:rFonts w:ascii="Arial" w:cs="Arial" w:eastAsia="Arial" w:hAnsi="Arial"/>
                <w:sz w:val="18"/>
                <w:szCs w:val="18"/>
                <w:color w:val="1DA46F"/>
              </w:rPr>
              <w:t>: Ratification of Appointment of Ernst &amp; Young LLP</w:t>
            </w:r>
          </w:p>
        </w:tc>
        <w:tc>
          <w:tcPr>
            <w:tcW w:w="340" w:type="dxa"/>
            <w:vAlign w:val="bottom"/>
          </w:tcPr>
          <w:p>
            <w:pPr>
              <w:ind w:left="60"/>
              <w:spacing w:after="0"/>
              <w:rPr>
                <w:sz w:val="20"/>
                <w:szCs w:val="20"/>
                <w:color w:val="auto"/>
              </w:rPr>
            </w:pPr>
            <w:r>
              <w:rPr>
                <w:rFonts w:ascii="Arial" w:cs="Arial" w:eastAsia="Arial" w:hAnsi="Arial"/>
                <w:sz w:val="18"/>
                <w:szCs w:val="18"/>
                <w:color w:val="auto"/>
              </w:rPr>
              <w:t>​ ​</w:t>
            </w:r>
          </w:p>
        </w:tc>
        <w:tc>
          <w:tcPr>
            <w:tcW w:w="1360" w:type="dxa"/>
            <w:vAlign w:val="bottom"/>
            <w:gridSpan w:val="3"/>
          </w:tcPr>
          <w:p>
            <w:pPr>
              <w:jc w:val="center"/>
              <w:ind w:right="60"/>
              <w:spacing w:after="0"/>
              <w:rPr>
                <w:sz w:val="20"/>
                <w:szCs w:val="20"/>
                <w:color w:val="auto"/>
              </w:rPr>
            </w:pPr>
            <w:r>
              <w:rPr>
                <w:rFonts w:ascii="Arial" w:cs="Arial" w:eastAsia="Arial" w:hAnsi="Arial"/>
                <w:sz w:val="18"/>
                <w:szCs w:val="18"/>
                <w:color w:val="auto"/>
                <w:w w:val="98"/>
              </w:rPr>
              <w:t xml:space="preserve">Page </w:t>
            </w:r>
            <w:r>
              <w:rPr>
                <w:rFonts w:ascii="Arial" w:cs="Arial" w:eastAsia="Arial" w:hAnsi="Arial"/>
                <w:sz w:val="18"/>
                <w:szCs w:val="18"/>
                <w:color w:val="0000EE"/>
                <w:w w:val="98"/>
              </w:rPr>
              <w:t>35</w:t>
            </w:r>
          </w:p>
        </w:tc>
        <w:tc>
          <w:tcPr>
            <w:tcW w:w="440" w:type="dxa"/>
            <w:vAlign w:val="bottom"/>
          </w:tcPr>
          <w:p>
            <w:pPr>
              <w:spacing w:after="0" w:line="207" w:lineRule="exact"/>
              <w:rPr>
                <w:sz w:val="20"/>
                <w:szCs w:val="20"/>
                <w:color w:val="auto"/>
              </w:rPr>
            </w:pPr>
            <w:r>
              <w:rPr>
                <w:rFonts w:ascii="Arial" w:cs="Arial" w:eastAsia="Arial" w:hAnsi="Arial"/>
                <w:sz w:val="18"/>
                <w:szCs w:val="18"/>
                <w:color w:val="auto"/>
              </w:rPr>
              <w:t xml:space="preserve">​ ​ </w:t>
            </w:r>
            <w:r>
              <w:rPr>
                <w:rFonts w:ascii="MS PGothic" w:cs="MS PGothic" w:eastAsia="MS PGothic" w:hAnsi="MS PGothic"/>
                <w:sz w:val="18"/>
                <w:szCs w:val="18"/>
                <w:color w:val="auto"/>
                <w:highlight w:val="black"/>
              </w:rPr>
              <w:t>✓</w:t>
            </w:r>
          </w:p>
        </w:tc>
        <w:tc>
          <w:tcPr>
            <w:tcW w:w="1320" w:type="dxa"/>
            <w:vAlign w:val="bottom"/>
          </w:tcPr>
          <w:p>
            <w:pPr>
              <w:ind w:left="140"/>
              <w:spacing w:after="0"/>
              <w:rPr>
                <w:sz w:val="20"/>
                <w:szCs w:val="20"/>
                <w:color w:val="auto"/>
              </w:rPr>
            </w:pPr>
            <w:r>
              <w:rPr>
                <w:rFonts w:ascii="Arial" w:cs="Arial" w:eastAsia="Arial" w:hAnsi="Arial"/>
                <w:sz w:val="18"/>
                <w:szCs w:val="18"/>
                <w:b w:val="1"/>
                <w:bCs w:val="1"/>
                <w:color w:val="auto"/>
              </w:rPr>
              <w:t>FOR</w:t>
            </w:r>
          </w:p>
        </w:tc>
        <w:tc>
          <w:tcPr>
            <w:tcW w:w="1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120" w:type="dxa"/>
            <w:vAlign w:val="bottom"/>
            <w:tcBorders>
              <w:left w:val="single" w:sz="8" w:color="auto"/>
            </w:tcBorders>
          </w:tcPr>
          <w:p>
            <w:pPr>
              <w:spacing w:after="0"/>
              <w:rPr>
                <w:sz w:val="3"/>
                <w:szCs w:val="3"/>
                <w:color w:val="auto"/>
              </w:rPr>
            </w:pPr>
          </w:p>
        </w:tc>
        <w:tc>
          <w:tcPr>
            <w:tcW w:w="5280" w:type="dxa"/>
            <w:vAlign w:val="bottom"/>
            <w:gridSpan w:val="2"/>
            <w:vMerge w:val="restart"/>
          </w:tcPr>
          <w:p>
            <w:pPr>
              <w:ind w:left="20"/>
              <w:spacing w:after="0"/>
              <w:rPr>
                <w:sz w:val="20"/>
                <w:szCs w:val="20"/>
                <w:color w:val="auto"/>
              </w:rPr>
            </w:pPr>
            <w:r>
              <w:rPr>
                <w:rFonts w:ascii="Arial" w:cs="Arial" w:eastAsia="Arial" w:hAnsi="Arial"/>
                <w:sz w:val="18"/>
                <w:szCs w:val="18"/>
                <w:color w:val="1DA46F"/>
              </w:rPr>
              <w:t>as our Independent Registered Public Accounting Firm for 2026</w:t>
            </w: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Borders>
              <w:bottom w:val="single" w:sz="8" w:color="0000EE"/>
            </w:tcBorders>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20" w:type="dxa"/>
            <w:vAlign w:val="bottom"/>
            <w:tcBorders>
              <w:left w:val="single" w:sz="8" w:color="auto"/>
              <w:bottom w:val="single" w:sz="8" w:color="auto"/>
            </w:tcBorders>
          </w:tcPr>
          <w:p>
            <w:pPr>
              <w:spacing w:after="0"/>
              <w:rPr>
                <w:sz w:val="14"/>
                <w:szCs w:val="14"/>
                <w:color w:val="auto"/>
              </w:rPr>
            </w:pPr>
          </w:p>
        </w:tc>
        <w:tc>
          <w:tcPr>
            <w:tcW w:w="5280" w:type="dxa"/>
            <w:vAlign w:val="bottom"/>
            <w:tcBorders>
              <w:bottom w:val="single" w:sz="8" w:color="auto"/>
            </w:tcBorders>
            <w:gridSpan w:val="2"/>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20" w:type="dxa"/>
            <w:vAlign w:val="bottom"/>
            <w:tcBorders>
              <w:left w:val="single" w:sz="8" w:color="auto"/>
            </w:tcBorders>
          </w:tcPr>
          <w:p>
            <w:pPr>
              <w:spacing w:after="0"/>
              <w:rPr>
                <w:sz w:val="18"/>
                <w:szCs w:val="18"/>
                <w:color w:val="auto"/>
              </w:rPr>
            </w:pPr>
          </w:p>
        </w:tc>
        <w:tc>
          <w:tcPr>
            <w:tcW w:w="5280" w:type="dxa"/>
            <w:vAlign w:val="bottom"/>
            <w:gridSpan w:val="2"/>
          </w:tcPr>
          <w:p>
            <w:pPr>
              <w:ind w:left="20"/>
              <w:spacing w:after="0"/>
              <w:rPr>
                <w:sz w:val="20"/>
                <w:szCs w:val="20"/>
                <w:color w:val="auto"/>
              </w:rPr>
            </w:pPr>
            <w:r>
              <w:rPr>
                <w:rFonts w:ascii="Arial" w:cs="Arial" w:eastAsia="Arial" w:hAnsi="Arial"/>
                <w:sz w:val="18"/>
                <w:szCs w:val="18"/>
                <w:b w:val="1"/>
                <w:bCs w:val="1"/>
                <w:color w:val="1DA46F"/>
              </w:rPr>
              <w:t>PROPOSAL 3</w:t>
            </w:r>
            <w:r>
              <w:rPr>
                <w:rFonts w:ascii="Arial" w:cs="Arial" w:eastAsia="Arial" w:hAnsi="Arial"/>
                <w:sz w:val="18"/>
                <w:szCs w:val="18"/>
                <w:color w:val="1DA46F"/>
              </w:rPr>
              <w:t>: Approval of an amendment to our Charter to</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 ​ </w:t>
            </w:r>
            <w:r>
              <w:rPr>
                <w:rFonts w:ascii="MS PGothic" w:cs="MS PGothic" w:eastAsia="MS PGothic" w:hAnsi="MS PGothic"/>
                <w:sz w:val="18"/>
                <w:szCs w:val="18"/>
                <w:color w:val="auto"/>
                <w:highlight w:val="black"/>
              </w:rPr>
              <w:t>✓</w:t>
            </w:r>
          </w:p>
        </w:tc>
        <w:tc>
          <w:tcPr>
            <w:tcW w:w="13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400" w:type="dxa"/>
            <w:vAlign w:val="bottom"/>
            <w:tcBorders>
              <w:left w:val="single" w:sz="8" w:color="auto"/>
            </w:tcBorders>
            <w:gridSpan w:val="3"/>
          </w:tcPr>
          <w:p>
            <w:pPr>
              <w:ind w:left="20"/>
              <w:spacing w:after="0" w:line="188"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1DA46F"/>
              </w:rPr>
              <w:t>increase the number of authorized shares of common stock from</w:t>
            </w:r>
          </w:p>
        </w:tc>
        <w:tc>
          <w:tcPr>
            <w:tcW w:w="340" w:type="dxa"/>
            <w:vAlign w:val="bottom"/>
          </w:tcPr>
          <w:p>
            <w:pPr>
              <w:ind w:left="60"/>
              <w:spacing w:after="0" w:line="188" w:lineRule="exact"/>
              <w:rPr>
                <w:sz w:val="20"/>
                <w:szCs w:val="20"/>
                <w:color w:val="auto"/>
              </w:rPr>
            </w:pPr>
            <w:r>
              <w:rPr>
                <w:rFonts w:ascii="Arial" w:cs="Arial" w:eastAsia="Arial" w:hAnsi="Arial"/>
                <w:sz w:val="18"/>
                <w:szCs w:val="18"/>
                <w:color w:val="auto"/>
              </w:rPr>
              <w:t>​ ​</w:t>
            </w:r>
          </w:p>
        </w:tc>
        <w:tc>
          <w:tcPr>
            <w:tcW w:w="780" w:type="dxa"/>
            <w:vAlign w:val="bottom"/>
          </w:tcPr>
          <w:p>
            <w:pPr>
              <w:ind w:left="320"/>
              <w:spacing w:after="0" w:line="188" w:lineRule="exact"/>
              <w:rPr>
                <w:sz w:val="20"/>
                <w:szCs w:val="20"/>
                <w:color w:val="auto"/>
              </w:rPr>
            </w:pPr>
            <w:r>
              <w:rPr>
                <w:rFonts w:ascii="Arial" w:cs="Arial" w:eastAsia="Arial" w:hAnsi="Arial"/>
                <w:sz w:val="18"/>
                <w:szCs w:val="18"/>
                <w:color w:val="auto"/>
              </w:rPr>
              <w:t>Page</w:t>
            </w:r>
          </w:p>
        </w:tc>
        <w:tc>
          <w:tcPr>
            <w:tcW w:w="200" w:type="dxa"/>
            <w:vAlign w:val="bottom"/>
            <w:tcBorders>
              <w:bottom w:val="single" w:sz="8" w:color="0000EE"/>
            </w:tcBorders>
          </w:tcPr>
          <w:p>
            <w:pPr>
              <w:jc w:val="right"/>
              <w:spacing w:after="0" w:line="175" w:lineRule="exact"/>
              <w:rPr>
                <w:sz w:val="20"/>
                <w:szCs w:val="20"/>
                <w:color w:val="auto"/>
              </w:rPr>
            </w:pPr>
            <w:r>
              <w:rPr>
                <w:rFonts w:ascii="Arial" w:cs="Arial" w:eastAsia="Arial" w:hAnsi="Arial"/>
                <w:sz w:val="18"/>
                <w:szCs w:val="18"/>
                <w:color w:val="0000EE"/>
                <w:w w:val="89"/>
              </w:rPr>
              <w:t>36</w:t>
            </w:r>
          </w:p>
        </w:tc>
        <w:tc>
          <w:tcPr>
            <w:tcW w:w="38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320" w:type="dxa"/>
            <w:vAlign w:val="bottom"/>
          </w:tcPr>
          <w:p>
            <w:pPr>
              <w:ind w:left="140"/>
              <w:spacing w:after="0" w:line="188" w:lineRule="exact"/>
              <w:rPr>
                <w:sz w:val="20"/>
                <w:szCs w:val="20"/>
                <w:color w:val="auto"/>
              </w:rPr>
            </w:pPr>
            <w:r>
              <w:rPr>
                <w:rFonts w:ascii="Arial" w:cs="Arial" w:eastAsia="Arial" w:hAnsi="Arial"/>
                <w:sz w:val="18"/>
                <w:szCs w:val="18"/>
                <w:b w:val="1"/>
                <w:bCs w:val="1"/>
                <w:color w:val="auto"/>
              </w:rPr>
              <w:t>FOR</w:t>
            </w:r>
          </w:p>
        </w:tc>
        <w:tc>
          <w:tcPr>
            <w:tcW w:w="140" w:type="dxa"/>
            <w:vAlign w:val="bottom"/>
            <w:tcBorders>
              <w:right w:val="single" w:sz="8" w:color="auto"/>
            </w:tcBorders>
          </w:tcPr>
          <w:p>
            <w:pPr>
              <w:spacing w:after="0" w:line="18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2"/>
        </w:trPr>
        <w:tc>
          <w:tcPr>
            <w:tcW w:w="120" w:type="dxa"/>
            <w:vAlign w:val="bottom"/>
            <w:tcBorders>
              <w:left w:val="single" w:sz="8" w:color="auto"/>
              <w:bottom w:val="single" w:sz="8" w:color="auto"/>
            </w:tcBorders>
          </w:tcPr>
          <w:p>
            <w:pPr>
              <w:spacing w:after="0"/>
              <w:rPr>
                <w:sz w:val="23"/>
                <w:szCs w:val="23"/>
                <w:color w:val="auto"/>
              </w:rPr>
            </w:pPr>
          </w:p>
        </w:tc>
        <w:tc>
          <w:tcPr>
            <w:tcW w:w="52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1DA46F"/>
              </w:rPr>
              <w:t>300,000,000 to 450,000,000</w:t>
            </w: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120" w:type="dxa"/>
            <w:vAlign w:val="bottom"/>
            <w:tcBorders>
              <w:left w:val="single" w:sz="8" w:color="auto"/>
            </w:tcBorders>
          </w:tcPr>
          <w:p>
            <w:pPr>
              <w:spacing w:after="0"/>
              <w:rPr>
                <w:sz w:val="20"/>
                <w:szCs w:val="20"/>
                <w:color w:val="auto"/>
              </w:rPr>
            </w:pPr>
          </w:p>
        </w:tc>
        <w:tc>
          <w:tcPr>
            <w:tcW w:w="5280" w:type="dxa"/>
            <w:vAlign w:val="bottom"/>
            <w:gridSpan w:val="2"/>
          </w:tcPr>
          <w:p>
            <w:pPr>
              <w:ind w:left="20"/>
              <w:spacing w:after="0"/>
              <w:rPr>
                <w:sz w:val="20"/>
                <w:szCs w:val="20"/>
                <w:color w:val="auto"/>
              </w:rPr>
            </w:pPr>
            <w:r>
              <w:rPr>
                <w:rFonts w:ascii="Arial" w:cs="Arial" w:eastAsia="Arial" w:hAnsi="Arial"/>
                <w:sz w:val="18"/>
                <w:szCs w:val="18"/>
                <w:b w:val="1"/>
                <w:bCs w:val="1"/>
                <w:color w:val="1DA46F"/>
              </w:rPr>
              <w:t>PROPOSAL 4</w:t>
            </w:r>
            <w:r>
              <w:rPr>
                <w:rFonts w:ascii="Arial" w:cs="Arial" w:eastAsia="Arial" w:hAnsi="Arial"/>
                <w:sz w:val="18"/>
                <w:szCs w:val="18"/>
                <w:color w:val="1DA46F"/>
              </w:rPr>
              <w:t>: Approval of adjournment of the Annual Meeting to</w:t>
            </w: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 ​ </w:t>
            </w:r>
            <w:r>
              <w:rPr>
                <w:rFonts w:ascii="MS PGothic" w:cs="MS PGothic" w:eastAsia="MS PGothic" w:hAnsi="MS PGothic"/>
                <w:sz w:val="18"/>
                <w:szCs w:val="18"/>
                <w:color w:val="auto"/>
                <w:highlight w:val="black"/>
              </w:rPr>
              <w:t>✓</w:t>
            </w:r>
          </w:p>
        </w:tc>
        <w:tc>
          <w:tcPr>
            <w:tcW w:w="13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400" w:type="dxa"/>
            <w:vAlign w:val="bottom"/>
            <w:tcBorders>
              <w:left w:val="single" w:sz="8" w:color="auto"/>
            </w:tcBorders>
            <w:gridSpan w:val="3"/>
          </w:tcPr>
          <w:p>
            <w:pPr>
              <w:ind w:left="20"/>
              <w:spacing w:after="0" w:line="175"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1DA46F"/>
              </w:rPr>
              <w:t>the extent there are insufficient votes at the Annual Meeting to</w:t>
            </w:r>
          </w:p>
        </w:tc>
        <w:tc>
          <w:tcPr>
            <w:tcW w:w="340" w:type="dxa"/>
            <w:vAlign w:val="bottom"/>
          </w:tcPr>
          <w:p>
            <w:pPr>
              <w:ind w:left="60"/>
              <w:spacing w:after="0" w:line="175" w:lineRule="exact"/>
              <w:rPr>
                <w:sz w:val="20"/>
                <w:szCs w:val="20"/>
                <w:color w:val="auto"/>
              </w:rPr>
            </w:pPr>
            <w:r>
              <w:rPr>
                <w:rFonts w:ascii="Arial" w:cs="Arial" w:eastAsia="Arial" w:hAnsi="Arial"/>
                <w:sz w:val="18"/>
                <w:szCs w:val="18"/>
                <w:color w:val="auto"/>
              </w:rPr>
              <w:t>​ ​</w:t>
            </w:r>
          </w:p>
        </w:tc>
        <w:tc>
          <w:tcPr>
            <w:tcW w:w="1360" w:type="dxa"/>
            <w:vAlign w:val="bottom"/>
            <w:gridSpan w:val="3"/>
          </w:tcPr>
          <w:p>
            <w:pPr>
              <w:jc w:val="center"/>
              <w:ind w:right="60"/>
              <w:spacing w:after="0" w:line="175" w:lineRule="exact"/>
              <w:rPr>
                <w:sz w:val="20"/>
                <w:szCs w:val="20"/>
                <w:color w:val="auto"/>
              </w:rPr>
            </w:pPr>
            <w:r>
              <w:rPr>
                <w:rFonts w:ascii="Arial" w:cs="Arial" w:eastAsia="Arial" w:hAnsi="Arial"/>
                <w:sz w:val="18"/>
                <w:szCs w:val="18"/>
                <w:color w:val="auto"/>
                <w:w w:val="98"/>
              </w:rPr>
              <w:t xml:space="preserve">Page </w:t>
            </w:r>
            <w:r>
              <w:rPr>
                <w:rFonts w:ascii="Arial" w:cs="Arial" w:eastAsia="Arial" w:hAnsi="Arial"/>
                <w:sz w:val="18"/>
                <w:szCs w:val="18"/>
                <w:color w:val="0000EE"/>
                <w:w w:val="98"/>
              </w:rPr>
              <w:t>39</w:t>
            </w:r>
          </w:p>
        </w:tc>
        <w:tc>
          <w:tcPr>
            <w:tcW w:w="440" w:type="dxa"/>
            <w:vAlign w:val="bottom"/>
            <w:vMerge w:val="continue"/>
          </w:tcPr>
          <w:p>
            <w:pPr>
              <w:spacing w:after="0"/>
              <w:rPr>
                <w:sz w:val="16"/>
                <w:szCs w:val="16"/>
                <w:color w:val="auto"/>
              </w:rPr>
            </w:pPr>
          </w:p>
        </w:tc>
        <w:tc>
          <w:tcPr>
            <w:tcW w:w="1320" w:type="dxa"/>
            <w:vAlign w:val="bottom"/>
          </w:tcPr>
          <w:p>
            <w:pPr>
              <w:ind w:left="140"/>
              <w:spacing w:after="0" w:line="175" w:lineRule="exact"/>
              <w:rPr>
                <w:sz w:val="20"/>
                <w:szCs w:val="20"/>
                <w:color w:val="auto"/>
              </w:rPr>
            </w:pPr>
            <w:r>
              <w:rPr>
                <w:rFonts w:ascii="Arial" w:cs="Arial" w:eastAsia="Arial" w:hAnsi="Arial"/>
                <w:sz w:val="18"/>
                <w:szCs w:val="18"/>
                <w:b w:val="1"/>
                <w:bCs w:val="1"/>
                <w:color w:val="auto"/>
              </w:rPr>
              <w:t>FOR</w:t>
            </w:r>
          </w:p>
        </w:tc>
        <w:tc>
          <w:tcPr>
            <w:tcW w:w="140" w:type="dxa"/>
            <w:vAlign w:val="bottom"/>
            <w:tcBorders>
              <w:right w:val="single" w:sz="8" w:color="auto"/>
            </w:tcBorders>
          </w:tcPr>
          <w:p>
            <w:pPr>
              <w:spacing w:after="0" w:line="17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4"/>
        </w:trPr>
        <w:tc>
          <w:tcPr>
            <w:tcW w:w="120" w:type="dxa"/>
            <w:vAlign w:val="bottom"/>
            <w:tcBorders>
              <w:left w:val="single" w:sz="8" w:color="auto"/>
            </w:tcBorders>
          </w:tcPr>
          <w:p>
            <w:pPr>
              <w:spacing w:after="0"/>
              <w:rPr>
                <w:sz w:val="22"/>
                <w:szCs w:val="22"/>
                <w:color w:val="auto"/>
              </w:rPr>
            </w:pPr>
          </w:p>
        </w:tc>
        <w:tc>
          <w:tcPr>
            <w:tcW w:w="5280" w:type="dxa"/>
            <w:vAlign w:val="bottom"/>
            <w:gridSpan w:val="2"/>
          </w:tcPr>
          <w:p>
            <w:pPr>
              <w:ind w:left="20"/>
              <w:spacing w:after="0"/>
              <w:rPr>
                <w:sz w:val="20"/>
                <w:szCs w:val="20"/>
                <w:color w:val="auto"/>
              </w:rPr>
            </w:pPr>
            <w:r>
              <w:rPr>
                <w:rFonts w:ascii="Arial" w:cs="Arial" w:eastAsia="Arial" w:hAnsi="Arial"/>
                <w:sz w:val="18"/>
                <w:szCs w:val="18"/>
                <w:color w:val="1DA46F"/>
              </w:rPr>
              <w:t>approve the immediately preceding proposal</w:t>
            </w: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20" w:type="dxa"/>
            <w:vAlign w:val="bottom"/>
            <w:tcBorders>
              <w:left w:val="single" w:sz="8" w:color="auto"/>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Our Director Nominees</w:t>
      </w:r>
    </w:p>
    <w:p>
      <w:pPr>
        <w:spacing w:after="0" w:line="158" w:lineRule="exact"/>
        <w:rPr>
          <w:sz w:val="20"/>
          <w:szCs w:val="20"/>
          <w:color w:val="auto"/>
        </w:rPr>
      </w:pPr>
    </w:p>
    <w:p>
      <w:pPr>
        <w:jc w:val="both"/>
        <w:ind w:left="880" w:right="19"/>
        <w:spacing w:after="0" w:line="254" w:lineRule="auto"/>
        <w:rPr>
          <w:sz w:val="20"/>
          <w:szCs w:val="20"/>
          <w:color w:val="auto"/>
        </w:rPr>
      </w:pPr>
      <w:r>
        <w:rPr>
          <w:rFonts w:ascii="Arial" w:cs="Arial" w:eastAsia="Arial" w:hAnsi="Arial"/>
          <w:sz w:val="18"/>
          <w:szCs w:val="18"/>
          <w:color w:val="auto"/>
        </w:rPr>
        <w:t>You are being asked to vote on the election of Alessandro Riva, M.D. and Han Lee, Ph.D., M.B.A. as Class II directors, each to serve for a three-year term expiring at our 2029 Annual Meeting of Stockholders. The number of members of our Board of Directors, or the Board, is currently set at seven members and is divided into three classes, each of which has a three-year term. Class I consists of one director, Class II consists of three directors and Class III consists of three directors. In connection with our nomination process for the Annual Meeting, our Board has determined not to appoint Mr. Walbert to stand for re-election and his term on the Board, including his service on the Compensation Committee which he serves, will end effective as of the date of the Annual Meeting. As such, the Board will consist of six members and Class II will consist of two directors effective as of the date of the Annual Meeting. The Board’s decision does not reflect any concerns regarding Mr. Walbert’s performance or qualifications. We extend our gratitude and appreciation for Mr. Walbert for his service and contributions to us and our Board.</w:t>
      </w:r>
    </w:p>
    <w:p>
      <w:pPr>
        <w:spacing w:after="0" w:line="115" w:lineRule="exact"/>
        <w:rPr>
          <w:sz w:val="20"/>
          <w:szCs w:val="20"/>
          <w:color w:val="auto"/>
        </w:rPr>
      </w:pPr>
    </w:p>
    <w:p>
      <w:pPr>
        <w:jc w:val="both"/>
        <w:ind w:left="880" w:right="39"/>
        <w:spacing w:after="0" w:line="255" w:lineRule="auto"/>
        <w:rPr>
          <w:sz w:val="20"/>
          <w:szCs w:val="20"/>
          <w:color w:val="auto"/>
        </w:rPr>
      </w:pPr>
      <w:r>
        <w:rPr>
          <w:rFonts w:ascii="Arial" w:cs="Arial" w:eastAsia="Arial" w:hAnsi="Arial"/>
          <w:sz w:val="18"/>
          <w:szCs w:val="18"/>
          <w:color w:val="auto"/>
        </w:rPr>
        <w:t>The term of office of our Class II directors expires at the Annual Meeting. We are nominating Alessandro Riva, M.D. and Han Lee, Ph.D., M.B.A. for election at our Annual Meeting to serve until the 2029 Annual Meeting of Stockholders and until their successors, if any, are elected or appointed, or their earlier death, resignation, retirement, disqualification or removal. Directors are elected by a plurality of the votes properly cast by our stockholders at the Annual Meeting. The two nominees receiving the most FOR votes (among votes properly cast online at the meeting or by proxy) will be elected. If no contrary indication is made, shares represented by executed proxies will be voted FOR the election of Alessandro Riva, M.D. and Han Lee, Ph.D., M.B.A. Each nominee has agreed to serve as a director if elected, and we have no reason to believe that any nominee will be unable to serve.</w:t>
      </w:r>
    </w:p>
    <w:p>
      <w:pPr>
        <w:spacing w:after="0" w:line="289"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140970</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73" w:lineRule="exact"/>
        <w:rPr>
          <w:sz w:val="20"/>
          <w:szCs w:val="20"/>
          <w:color w:val="auto"/>
        </w:rPr>
      </w:pPr>
    </w:p>
    <w:tbl>
      <w:tblPr>
        <w:tblLayout w:type="fixed"/>
        <w:tblInd w:w="870" w:type="dxa"/>
        <w:tblCellMar>
          <w:top w:w="0" w:type="dxa"/>
          <w:left w:w="0" w:type="dxa"/>
          <w:bottom w:w="0" w:type="dxa"/>
          <w:right w:w="0" w:type="dxa"/>
        </w:tblCellMar>
      </w:tblPr>
      <w:tr>
        <w:trPr>
          <w:trHeight w:val="378"/>
        </w:trPr>
        <w:tc>
          <w:tcPr>
            <w:tcW w:w="4980" w:type="dxa"/>
            <w:vAlign w:val="bottom"/>
            <w:tcBorders>
              <w:left w:val="single" w:sz="8" w:color="1DA46F"/>
            </w:tcBorders>
            <w:gridSpan w:val="8"/>
            <w:shd w:val="clear" w:color="auto" w:fill="1DA46F"/>
          </w:tcPr>
          <w:p>
            <w:pPr>
              <w:ind w:left="20"/>
              <w:spacing w:after="0"/>
              <w:rPr>
                <w:sz w:val="20"/>
                <w:szCs w:val="20"/>
                <w:color w:val="auto"/>
              </w:rPr>
            </w:pPr>
            <w:r>
              <w:rPr>
                <w:rFonts w:ascii="Arial" w:cs="Arial" w:eastAsia="Arial" w:hAnsi="Arial"/>
                <w:sz w:val="32"/>
                <w:szCs w:val="32"/>
                <w:b w:val="1"/>
                <w:bCs w:val="1"/>
                <w:color w:val="FFFFFF"/>
              </w:rPr>
              <w:t>​SUMMARY INFORMATION</w:t>
            </w:r>
          </w:p>
        </w:tc>
        <w:tc>
          <w:tcPr>
            <w:tcW w:w="520" w:type="dxa"/>
            <w:vAlign w:val="bottom"/>
            <w:shd w:val="clear" w:color="auto" w:fill="1DA46F"/>
          </w:tcPr>
          <w:p>
            <w:pPr>
              <w:spacing w:after="0"/>
              <w:rPr>
                <w:sz w:val="24"/>
                <w:szCs w:val="24"/>
                <w:color w:val="auto"/>
              </w:rPr>
            </w:pPr>
          </w:p>
        </w:tc>
        <w:tc>
          <w:tcPr>
            <w:tcW w:w="720" w:type="dxa"/>
            <w:vAlign w:val="bottom"/>
            <w:shd w:val="clear" w:color="auto" w:fill="1DA46F"/>
          </w:tcPr>
          <w:p>
            <w:pPr>
              <w:spacing w:after="0"/>
              <w:rPr>
                <w:sz w:val="24"/>
                <w:szCs w:val="24"/>
                <w:color w:val="auto"/>
              </w:rPr>
            </w:pPr>
          </w:p>
        </w:tc>
        <w:tc>
          <w:tcPr>
            <w:tcW w:w="240" w:type="dxa"/>
            <w:vAlign w:val="bottom"/>
            <w:shd w:val="clear" w:color="auto" w:fill="1DA46F"/>
          </w:tcPr>
          <w:p>
            <w:pPr>
              <w:spacing w:after="0"/>
              <w:rPr>
                <w:sz w:val="24"/>
                <w:szCs w:val="24"/>
                <w:color w:val="auto"/>
              </w:rPr>
            </w:pPr>
          </w:p>
        </w:tc>
        <w:tc>
          <w:tcPr>
            <w:tcW w:w="100" w:type="dxa"/>
            <w:vAlign w:val="bottom"/>
            <w:shd w:val="clear" w:color="auto" w:fill="1DA46F"/>
          </w:tcPr>
          <w:p>
            <w:pPr>
              <w:spacing w:after="0"/>
              <w:rPr>
                <w:sz w:val="24"/>
                <w:szCs w:val="24"/>
                <w:color w:val="auto"/>
              </w:rPr>
            </w:pPr>
          </w:p>
        </w:tc>
        <w:tc>
          <w:tcPr>
            <w:tcW w:w="500" w:type="dxa"/>
            <w:vAlign w:val="bottom"/>
            <w:shd w:val="clear" w:color="auto" w:fill="1DA46F"/>
          </w:tcPr>
          <w:p>
            <w:pPr>
              <w:spacing w:after="0"/>
              <w:rPr>
                <w:sz w:val="24"/>
                <w:szCs w:val="24"/>
                <w:color w:val="auto"/>
              </w:rPr>
            </w:pPr>
          </w:p>
        </w:tc>
        <w:tc>
          <w:tcPr>
            <w:tcW w:w="320" w:type="dxa"/>
            <w:vAlign w:val="bottom"/>
            <w:shd w:val="clear" w:color="auto" w:fill="1DA46F"/>
          </w:tcPr>
          <w:p>
            <w:pPr>
              <w:spacing w:after="0"/>
              <w:rPr>
                <w:sz w:val="24"/>
                <w:szCs w:val="24"/>
                <w:color w:val="auto"/>
              </w:rPr>
            </w:pPr>
          </w:p>
        </w:tc>
        <w:tc>
          <w:tcPr>
            <w:tcW w:w="480" w:type="dxa"/>
            <w:vAlign w:val="bottom"/>
            <w:shd w:val="clear" w:color="auto" w:fill="1DA46F"/>
          </w:tcPr>
          <w:p>
            <w:pPr>
              <w:spacing w:after="0"/>
              <w:rPr>
                <w:sz w:val="24"/>
                <w:szCs w:val="24"/>
                <w:color w:val="auto"/>
              </w:rPr>
            </w:pPr>
          </w:p>
        </w:tc>
        <w:tc>
          <w:tcPr>
            <w:tcW w:w="280" w:type="dxa"/>
            <w:vAlign w:val="bottom"/>
            <w:shd w:val="clear" w:color="auto" w:fill="1DA46F"/>
          </w:tcPr>
          <w:p>
            <w:pPr>
              <w:spacing w:after="0"/>
              <w:rPr>
                <w:sz w:val="24"/>
                <w:szCs w:val="24"/>
                <w:color w:val="auto"/>
              </w:rPr>
            </w:pPr>
          </w:p>
        </w:tc>
        <w:tc>
          <w:tcPr>
            <w:tcW w:w="700" w:type="dxa"/>
            <w:vAlign w:val="bottom"/>
            <w:shd w:val="clear" w:color="auto" w:fill="1DA46F"/>
          </w:tcPr>
          <w:p>
            <w:pPr>
              <w:spacing w:after="0"/>
              <w:rPr>
                <w:sz w:val="24"/>
                <w:szCs w:val="24"/>
                <w:color w:val="auto"/>
              </w:rPr>
            </w:pPr>
          </w:p>
        </w:tc>
        <w:tc>
          <w:tcPr>
            <w:tcW w:w="160" w:type="dxa"/>
            <w:vAlign w:val="bottom"/>
            <w:tcBorders>
              <w:right w:val="single" w:sz="8" w:color="1DA46F"/>
            </w:tcBorders>
            <w:shd w:val="clear" w:color="auto" w:fill="1DA46F"/>
          </w:tcPr>
          <w:p>
            <w:pPr>
              <w:jc w:val="right"/>
              <w:spacing w:after="0"/>
              <w:rPr>
                <w:sz w:val="20"/>
                <w:szCs w:val="20"/>
                <w:color w:val="auto"/>
              </w:rPr>
            </w:pPr>
            <w:r>
              <w:rPr>
                <w:rFonts w:ascii="Arial" w:cs="Arial" w:eastAsia="Arial" w:hAnsi="Arial"/>
                <w:sz w:val="32"/>
                <w:szCs w:val="32"/>
                <w:b w:val="1"/>
                <w:bCs w:val="1"/>
                <w:color w:val="FFFFFF"/>
              </w:rPr>
              <w:t>​</w:t>
            </w:r>
          </w:p>
        </w:tc>
        <w:tc>
          <w:tcPr>
            <w:tcW w:w="0" w:type="dxa"/>
            <w:vAlign w:val="bottom"/>
          </w:tcPr>
          <w:p>
            <w:pPr>
              <w:spacing w:after="0"/>
              <w:rPr>
                <w:sz w:val="1"/>
                <w:szCs w:val="1"/>
                <w:color w:val="auto"/>
              </w:rPr>
            </w:pPr>
          </w:p>
        </w:tc>
      </w:tr>
      <w:tr>
        <w:trPr>
          <w:trHeight w:val="324"/>
        </w:trPr>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spacing w:after="0"/>
              <w:rPr>
                <w:sz w:val="24"/>
                <w:szCs w:val="24"/>
                <w:color w:val="auto"/>
              </w:rPr>
            </w:pPr>
          </w:p>
        </w:tc>
        <w:tc>
          <w:tcPr>
            <w:tcW w:w="2380" w:type="dxa"/>
            <w:vAlign w:val="bottom"/>
            <w:tcBorders>
              <w:bottom w:val="single" w:sz="8" w:color="auto"/>
            </w:tcBorders>
            <w:gridSpan w:val="6"/>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Borders>
              <w:left w:val="single" w:sz="8" w:color="auto"/>
              <w:bottom w:val="single" w:sz="8" w:color="148CD9"/>
            </w:tcBorders>
            <w:vMerge w:val="restart"/>
            <w:shd w:val="clear" w:color="auto" w:fill="148CD9"/>
          </w:tcPr>
          <w:p>
            <w:pPr>
              <w:ind w:left="80"/>
              <w:spacing w:after="0"/>
              <w:rPr>
                <w:sz w:val="20"/>
                <w:szCs w:val="20"/>
                <w:color w:val="auto"/>
              </w:rPr>
            </w:pPr>
            <w:r>
              <w:rPr>
                <w:rFonts w:ascii="Arial" w:cs="Arial" w:eastAsia="Arial" w:hAnsi="Arial"/>
                <w:sz w:val="16"/>
                <w:szCs w:val="16"/>
                <w:b w:val="1"/>
                <w:bCs w:val="1"/>
                <w:color w:val="FFFFFF"/>
              </w:rPr>
              <w:t>​</w:t>
            </w:r>
          </w:p>
        </w:tc>
        <w:tc>
          <w:tcPr>
            <w:tcW w:w="240" w:type="dxa"/>
            <w:vAlign w:val="bottom"/>
            <w:tcBorders>
              <w:bottom w:val="single" w:sz="8" w:color="148CD9"/>
            </w:tcBorders>
            <w:shd w:val="clear" w:color="auto" w:fill="148CD9"/>
          </w:tcPr>
          <w:p>
            <w:pPr>
              <w:spacing w:after="0"/>
              <w:rPr>
                <w:sz w:val="17"/>
                <w:szCs w:val="17"/>
                <w:color w:val="auto"/>
              </w:rPr>
            </w:pPr>
          </w:p>
        </w:tc>
        <w:tc>
          <w:tcPr>
            <w:tcW w:w="1200" w:type="dxa"/>
            <w:vAlign w:val="bottom"/>
            <w:tcBorders>
              <w:bottom w:val="single" w:sz="8" w:color="148CD9"/>
            </w:tcBorders>
            <w:vMerge w:val="restart"/>
            <w:shd w:val="clear" w:color="auto" w:fill="148CD9"/>
          </w:tcPr>
          <w:p>
            <w:pPr>
              <w:jc w:val="center"/>
              <w:ind w:right="252"/>
              <w:spacing w:after="0"/>
              <w:rPr>
                <w:sz w:val="20"/>
                <w:szCs w:val="20"/>
                <w:color w:val="auto"/>
              </w:rPr>
            </w:pPr>
            <w:r>
              <w:rPr>
                <w:rFonts w:ascii="Arial" w:cs="Arial" w:eastAsia="Arial" w:hAnsi="Arial"/>
                <w:sz w:val="16"/>
                <w:szCs w:val="16"/>
                <w:b w:val="1"/>
                <w:bCs w:val="1"/>
                <w:color w:val="FFFFFF"/>
                <w:w w:val="97"/>
              </w:rPr>
              <w:t>NAME</w:t>
            </w:r>
          </w:p>
        </w:tc>
        <w:tc>
          <w:tcPr>
            <w:tcW w:w="1640" w:type="dxa"/>
            <w:vAlign w:val="bottom"/>
            <w:tcBorders>
              <w:bottom w:val="single" w:sz="8" w:color="148CD9"/>
            </w:tcBorders>
            <w:gridSpan w:val="3"/>
            <w:vMerge w:val="restart"/>
            <w:shd w:val="clear" w:color="auto" w:fill="148CD9"/>
          </w:tcPr>
          <w:p>
            <w:pPr>
              <w:ind w:left="40"/>
              <w:spacing w:after="0" w:line="264" w:lineRule="exact"/>
              <w:rPr>
                <w:sz w:val="20"/>
                <w:szCs w:val="20"/>
                <w:color w:val="auto"/>
              </w:rPr>
            </w:pPr>
            <w:r>
              <w:rPr>
                <w:rFonts w:ascii="Arial" w:cs="Arial" w:eastAsia="Arial" w:hAnsi="Arial"/>
                <w:sz w:val="16"/>
                <w:szCs w:val="16"/>
                <w:b w:val="1"/>
                <w:bCs w:val="1"/>
                <w:color w:val="FFFFFF"/>
                <w:w w:val="97"/>
              </w:rPr>
              <w:t xml:space="preserve">​ ​ AGE ​ ​ </w:t>
            </w:r>
            <w:r>
              <w:rPr>
                <w:rFonts w:ascii="Arial" w:cs="Arial" w:eastAsia="Arial" w:hAnsi="Arial"/>
                <w:sz w:val="30"/>
                <w:szCs w:val="30"/>
                <w:b w:val="1"/>
                <w:bCs w:val="1"/>
                <w:color w:val="FFFFFF"/>
                <w:w w:val="97"/>
                <w:vertAlign w:val="superscript"/>
              </w:rPr>
              <w:t>DIRECTOR</w:t>
            </w:r>
          </w:p>
        </w:tc>
        <w:tc>
          <w:tcPr>
            <w:tcW w:w="240" w:type="dxa"/>
            <w:vAlign w:val="bottom"/>
            <w:tcBorders>
              <w:bottom w:val="single" w:sz="8" w:color="148CD9"/>
            </w:tcBorders>
            <w:vMerge w:val="restart"/>
            <w:shd w:val="clear" w:color="auto" w:fill="148CD9"/>
          </w:tcPr>
          <w:p>
            <w:pPr>
              <w:ind w:left="60"/>
              <w:spacing w:after="0"/>
              <w:rPr>
                <w:sz w:val="20"/>
                <w:szCs w:val="20"/>
                <w:color w:val="auto"/>
              </w:rPr>
            </w:pPr>
            <w:r>
              <w:rPr>
                <w:rFonts w:ascii="Arial" w:cs="Arial" w:eastAsia="Arial" w:hAnsi="Arial"/>
                <w:sz w:val="16"/>
                <w:szCs w:val="16"/>
                <w:b w:val="1"/>
                <w:bCs w:val="1"/>
                <w:color w:val="FFFFFF"/>
              </w:rPr>
              <w:t>​ ​</w:t>
            </w:r>
          </w:p>
        </w:tc>
        <w:tc>
          <w:tcPr>
            <w:tcW w:w="1440" w:type="dxa"/>
            <w:vAlign w:val="bottom"/>
            <w:tcBorders>
              <w:bottom w:val="single" w:sz="8" w:color="148CD9"/>
            </w:tcBorders>
            <w:vMerge w:val="restart"/>
            <w:shd w:val="clear" w:color="auto" w:fill="148CD9"/>
          </w:tcPr>
          <w:p>
            <w:pPr>
              <w:jc w:val="center"/>
              <w:spacing w:after="0"/>
              <w:rPr>
                <w:sz w:val="20"/>
                <w:szCs w:val="20"/>
                <w:color w:val="auto"/>
              </w:rPr>
            </w:pPr>
            <w:r>
              <w:rPr>
                <w:rFonts w:ascii="Arial" w:cs="Arial" w:eastAsia="Arial" w:hAnsi="Arial"/>
                <w:sz w:val="16"/>
                <w:szCs w:val="16"/>
                <w:b w:val="1"/>
                <w:bCs w:val="1"/>
                <w:color w:val="FFFFFF"/>
                <w:w w:val="98"/>
              </w:rPr>
              <w:t>OCCUPATION</w:t>
            </w:r>
          </w:p>
        </w:tc>
        <w:tc>
          <w:tcPr>
            <w:tcW w:w="1480" w:type="dxa"/>
            <w:vAlign w:val="bottom"/>
            <w:tcBorders>
              <w:bottom w:val="single" w:sz="8" w:color="148CD9"/>
            </w:tcBorders>
            <w:gridSpan w:val="3"/>
            <w:vMerge w:val="restart"/>
            <w:shd w:val="clear" w:color="auto" w:fill="148CD9"/>
          </w:tcPr>
          <w:p>
            <w:pPr>
              <w:ind w:left="80"/>
              <w:spacing w:after="0"/>
              <w:rPr>
                <w:sz w:val="20"/>
                <w:szCs w:val="20"/>
                <w:color w:val="auto"/>
              </w:rPr>
            </w:pPr>
            <w:r>
              <w:rPr>
                <w:rFonts w:ascii="Arial" w:cs="Arial" w:eastAsia="Arial" w:hAnsi="Arial"/>
                <w:sz w:val="16"/>
                <w:szCs w:val="16"/>
                <w:b w:val="1"/>
                <w:bCs w:val="1"/>
                <w:color w:val="FFFFFF"/>
              </w:rPr>
              <w:t>​ ​ INDEPENDENT ​</w:t>
            </w:r>
          </w:p>
        </w:tc>
        <w:tc>
          <w:tcPr>
            <w:tcW w:w="100" w:type="dxa"/>
            <w:vAlign w:val="bottom"/>
            <w:tcBorders>
              <w:bottom w:val="single" w:sz="8" w:color="auto"/>
            </w:tcBorders>
            <w:shd w:val="clear" w:color="auto" w:fill="148CD9"/>
          </w:tcPr>
          <w:p>
            <w:pPr>
              <w:jc w:val="right"/>
              <w:spacing w:after="0" w:line="183" w:lineRule="exact"/>
              <w:rPr>
                <w:sz w:val="20"/>
                <w:szCs w:val="20"/>
                <w:color w:val="auto"/>
              </w:rPr>
            </w:pPr>
            <w:r>
              <w:rPr>
                <w:rFonts w:ascii="Arial" w:cs="Arial" w:eastAsia="Arial" w:hAnsi="Arial"/>
                <w:sz w:val="16"/>
                <w:szCs w:val="16"/>
                <w:b w:val="1"/>
                <w:bCs w:val="1"/>
                <w:color w:val="FFFFFF"/>
              </w:rPr>
              <w:t>​</w:t>
            </w:r>
          </w:p>
        </w:tc>
        <w:tc>
          <w:tcPr>
            <w:tcW w:w="2280" w:type="dxa"/>
            <w:vAlign w:val="bottom"/>
            <w:tcBorders>
              <w:bottom w:val="single" w:sz="8" w:color="auto"/>
            </w:tcBorders>
            <w:gridSpan w:val="5"/>
            <w:shd w:val="clear" w:color="auto" w:fill="148CD9"/>
          </w:tcPr>
          <w:p>
            <w:pPr>
              <w:ind w:left="60"/>
              <w:spacing w:after="0" w:line="183" w:lineRule="exact"/>
              <w:rPr>
                <w:sz w:val="20"/>
                <w:szCs w:val="20"/>
                <w:color w:val="auto"/>
              </w:rPr>
            </w:pPr>
            <w:r>
              <w:rPr>
                <w:rFonts w:ascii="Arial" w:cs="Arial" w:eastAsia="Arial" w:hAnsi="Arial"/>
                <w:sz w:val="16"/>
                <w:szCs w:val="16"/>
                <w:b w:val="1"/>
                <w:bCs w:val="1"/>
                <w:color w:val="FFFFFF"/>
              </w:rPr>
              <w:t>COMMITTEE MEMBERSHIPS</w:t>
            </w:r>
          </w:p>
        </w:tc>
        <w:tc>
          <w:tcPr>
            <w:tcW w:w="160" w:type="dxa"/>
            <w:vAlign w:val="bottom"/>
            <w:tcBorders>
              <w:bottom w:val="single" w:sz="8" w:color="auto"/>
              <w:right w:val="single" w:sz="8" w:color="auto"/>
            </w:tcBorders>
            <w:shd w:val="clear" w:color="auto" w:fill="148CD9"/>
          </w:tcPr>
          <w:p>
            <w:pPr>
              <w:jc w:val="right"/>
              <w:spacing w:after="0" w:line="183" w:lineRule="exact"/>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48"/>
        </w:trPr>
        <w:tc>
          <w:tcPr>
            <w:tcW w:w="220" w:type="dxa"/>
            <w:vAlign w:val="bottom"/>
            <w:tcBorders>
              <w:left w:val="single" w:sz="8" w:color="auto"/>
            </w:tcBorders>
            <w:vMerge w:val="continue"/>
            <w:shd w:val="clear" w:color="auto" w:fill="148CD9"/>
          </w:tcPr>
          <w:p>
            <w:pPr>
              <w:spacing w:after="0"/>
              <w:rPr>
                <w:sz w:val="4"/>
                <w:szCs w:val="4"/>
                <w:color w:val="auto"/>
              </w:rPr>
            </w:pPr>
          </w:p>
        </w:tc>
        <w:tc>
          <w:tcPr>
            <w:tcW w:w="240" w:type="dxa"/>
            <w:vAlign w:val="bottom"/>
            <w:shd w:val="clear" w:color="auto" w:fill="148CD9"/>
          </w:tcPr>
          <w:p>
            <w:pPr>
              <w:spacing w:after="0"/>
              <w:rPr>
                <w:sz w:val="4"/>
                <w:szCs w:val="4"/>
                <w:color w:val="auto"/>
              </w:rPr>
            </w:pPr>
          </w:p>
        </w:tc>
        <w:tc>
          <w:tcPr>
            <w:tcW w:w="1200" w:type="dxa"/>
            <w:vAlign w:val="bottom"/>
            <w:vMerge w:val="continue"/>
            <w:shd w:val="clear" w:color="auto" w:fill="148CD9"/>
          </w:tcPr>
          <w:p>
            <w:pPr>
              <w:spacing w:after="0"/>
              <w:rPr>
                <w:sz w:val="4"/>
                <w:szCs w:val="4"/>
                <w:color w:val="auto"/>
              </w:rPr>
            </w:pPr>
          </w:p>
        </w:tc>
        <w:tc>
          <w:tcPr>
            <w:tcW w:w="1640" w:type="dxa"/>
            <w:vAlign w:val="bottom"/>
            <w:gridSpan w:val="3"/>
            <w:vMerge w:val="continue"/>
            <w:shd w:val="clear" w:color="auto" w:fill="148CD9"/>
          </w:tcPr>
          <w:p>
            <w:pPr>
              <w:spacing w:after="0"/>
              <w:rPr>
                <w:sz w:val="4"/>
                <w:szCs w:val="4"/>
                <w:color w:val="auto"/>
              </w:rPr>
            </w:pPr>
          </w:p>
        </w:tc>
        <w:tc>
          <w:tcPr>
            <w:tcW w:w="240" w:type="dxa"/>
            <w:vAlign w:val="bottom"/>
            <w:vMerge w:val="continue"/>
            <w:shd w:val="clear" w:color="auto" w:fill="148CD9"/>
          </w:tcPr>
          <w:p>
            <w:pPr>
              <w:spacing w:after="0"/>
              <w:rPr>
                <w:sz w:val="4"/>
                <w:szCs w:val="4"/>
                <w:color w:val="auto"/>
              </w:rPr>
            </w:pPr>
          </w:p>
        </w:tc>
        <w:tc>
          <w:tcPr>
            <w:tcW w:w="1440" w:type="dxa"/>
            <w:vAlign w:val="bottom"/>
            <w:vMerge w:val="continue"/>
            <w:shd w:val="clear" w:color="auto" w:fill="148CD9"/>
          </w:tcPr>
          <w:p>
            <w:pPr>
              <w:spacing w:after="0"/>
              <w:rPr>
                <w:sz w:val="4"/>
                <w:szCs w:val="4"/>
                <w:color w:val="auto"/>
              </w:rPr>
            </w:pPr>
          </w:p>
        </w:tc>
        <w:tc>
          <w:tcPr>
            <w:tcW w:w="1480" w:type="dxa"/>
            <w:vAlign w:val="bottom"/>
            <w:gridSpan w:val="3"/>
            <w:vMerge w:val="continue"/>
            <w:shd w:val="clear" w:color="auto" w:fill="148CD9"/>
          </w:tcPr>
          <w:p>
            <w:pPr>
              <w:spacing w:after="0"/>
              <w:rPr>
                <w:sz w:val="4"/>
                <w:szCs w:val="4"/>
                <w:color w:val="auto"/>
              </w:rPr>
            </w:pPr>
          </w:p>
        </w:tc>
        <w:tc>
          <w:tcPr>
            <w:tcW w:w="100" w:type="dxa"/>
            <w:vAlign w:val="bottom"/>
            <w:vMerge w:val="restart"/>
            <w:shd w:val="clear" w:color="auto" w:fill="148CD9"/>
          </w:tcPr>
          <w:p>
            <w:pPr>
              <w:jc w:val="right"/>
              <w:spacing w:after="0"/>
              <w:rPr>
                <w:sz w:val="20"/>
                <w:szCs w:val="20"/>
                <w:color w:val="auto"/>
              </w:rPr>
            </w:pPr>
            <w:r>
              <w:rPr>
                <w:rFonts w:ascii="Arial" w:cs="Arial" w:eastAsia="Arial" w:hAnsi="Arial"/>
                <w:sz w:val="16"/>
                <w:szCs w:val="16"/>
                <w:b w:val="1"/>
                <w:bCs w:val="1"/>
                <w:color w:val="FFFFFF"/>
              </w:rPr>
              <w:t>​</w:t>
            </w:r>
          </w:p>
        </w:tc>
        <w:tc>
          <w:tcPr>
            <w:tcW w:w="500" w:type="dxa"/>
            <w:vAlign w:val="bottom"/>
            <w:vMerge w:val="restart"/>
            <w:shd w:val="clear" w:color="auto" w:fill="148CD9"/>
          </w:tcPr>
          <w:p>
            <w:pPr>
              <w:jc w:val="center"/>
              <w:spacing w:after="0"/>
              <w:rPr>
                <w:sz w:val="20"/>
                <w:szCs w:val="20"/>
                <w:color w:val="auto"/>
              </w:rPr>
            </w:pPr>
            <w:r>
              <w:rPr>
                <w:rFonts w:ascii="Arial" w:cs="Arial" w:eastAsia="Arial" w:hAnsi="Arial"/>
                <w:sz w:val="16"/>
                <w:szCs w:val="16"/>
                <w:b w:val="1"/>
                <w:bCs w:val="1"/>
                <w:color w:val="FFFFFF"/>
              </w:rPr>
              <w:t>AC</w:t>
            </w:r>
          </w:p>
        </w:tc>
        <w:tc>
          <w:tcPr>
            <w:tcW w:w="320" w:type="dxa"/>
            <w:vAlign w:val="bottom"/>
            <w:vMerge w:val="restart"/>
            <w:shd w:val="clear" w:color="auto" w:fill="148CD9"/>
          </w:tcPr>
          <w:p>
            <w:pPr>
              <w:ind w:left="100"/>
              <w:spacing w:after="0"/>
              <w:rPr>
                <w:sz w:val="20"/>
                <w:szCs w:val="20"/>
                <w:color w:val="auto"/>
              </w:rPr>
            </w:pPr>
            <w:r>
              <w:rPr>
                <w:rFonts w:ascii="Arial" w:cs="Arial" w:eastAsia="Arial" w:hAnsi="Arial"/>
                <w:sz w:val="16"/>
                <w:szCs w:val="16"/>
                <w:b w:val="1"/>
                <w:bCs w:val="1"/>
                <w:color w:val="FFFFFF"/>
              </w:rPr>
              <w:t>​ ​</w:t>
            </w:r>
          </w:p>
        </w:tc>
        <w:tc>
          <w:tcPr>
            <w:tcW w:w="480" w:type="dxa"/>
            <w:vAlign w:val="bottom"/>
            <w:vMerge w:val="restart"/>
            <w:shd w:val="clear" w:color="auto" w:fill="148CD9"/>
          </w:tcPr>
          <w:p>
            <w:pPr>
              <w:jc w:val="center"/>
              <w:spacing w:after="0"/>
              <w:rPr>
                <w:sz w:val="20"/>
                <w:szCs w:val="20"/>
                <w:color w:val="auto"/>
              </w:rPr>
            </w:pPr>
            <w:r>
              <w:rPr>
                <w:rFonts w:ascii="Arial" w:cs="Arial" w:eastAsia="Arial" w:hAnsi="Arial"/>
                <w:sz w:val="16"/>
                <w:szCs w:val="16"/>
                <w:b w:val="1"/>
                <w:bCs w:val="1"/>
                <w:color w:val="FFFFFF"/>
              </w:rPr>
              <w:t>CC</w:t>
            </w:r>
          </w:p>
        </w:tc>
        <w:tc>
          <w:tcPr>
            <w:tcW w:w="280" w:type="dxa"/>
            <w:vAlign w:val="bottom"/>
            <w:vMerge w:val="restart"/>
            <w:shd w:val="clear" w:color="auto" w:fill="148CD9"/>
          </w:tcPr>
          <w:p>
            <w:pPr>
              <w:ind w:left="40"/>
              <w:spacing w:after="0"/>
              <w:rPr>
                <w:sz w:val="20"/>
                <w:szCs w:val="20"/>
                <w:color w:val="auto"/>
              </w:rPr>
            </w:pPr>
            <w:r>
              <w:rPr>
                <w:rFonts w:ascii="Arial" w:cs="Arial" w:eastAsia="Arial" w:hAnsi="Arial"/>
                <w:sz w:val="16"/>
                <w:szCs w:val="16"/>
                <w:b w:val="1"/>
                <w:bCs w:val="1"/>
                <w:color w:val="FFFFFF"/>
              </w:rPr>
              <w:t>​ ​</w:t>
            </w:r>
          </w:p>
        </w:tc>
        <w:tc>
          <w:tcPr>
            <w:tcW w:w="700" w:type="dxa"/>
            <w:vAlign w:val="bottom"/>
            <w:vMerge w:val="restart"/>
            <w:shd w:val="clear" w:color="auto" w:fill="148CD9"/>
          </w:tcPr>
          <w:p>
            <w:pPr>
              <w:jc w:val="center"/>
              <w:spacing w:after="0"/>
              <w:rPr>
                <w:sz w:val="20"/>
                <w:szCs w:val="20"/>
                <w:color w:val="auto"/>
              </w:rPr>
            </w:pPr>
            <w:r>
              <w:rPr>
                <w:rFonts w:ascii="Arial" w:cs="Arial" w:eastAsia="Arial" w:hAnsi="Arial"/>
                <w:sz w:val="16"/>
                <w:szCs w:val="16"/>
                <w:b w:val="1"/>
                <w:bCs w:val="1"/>
                <w:color w:val="FFFFFF"/>
                <w:w w:val="97"/>
              </w:rPr>
              <w:t>NCGC</w:t>
            </w:r>
          </w:p>
        </w:tc>
        <w:tc>
          <w:tcPr>
            <w:tcW w:w="160" w:type="dxa"/>
            <w:vAlign w:val="bottom"/>
            <w:tcBorders>
              <w:right w:val="single" w:sz="8" w:color="auto"/>
            </w:tcBorders>
            <w:vMerge w:val="restart"/>
            <w:shd w:val="clear" w:color="auto" w:fill="148CD9"/>
          </w:tcPr>
          <w:p>
            <w:pPr>
              <w:jc w:val="right"/>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189"/>
        </w:trPr>
        <w:tc>
          <w:tcPr>
            <w:tcW w:w="220" w:type="dxa"/>
            <w:vAlign w:val="bottom"/>
            <w:tcBorders>
              <w:left w:val="single" w:sz="8" w:color="auto"/>
              <w:bottom w:val="single" w:sz="8" w:color="auto"/>
            </w:tcBorders>
            <w:shd w:val="clear" w:color="auto" w:fill="148CD9"/>
          </w:tcPr>
          <w:p>
            <w:pPr>
              <w:spacing w:after="0"/>
              <w:rPr>
                <w:sz w:val="16"/>
                <w:szCs w:val="16"/>
                <w:color w:val="auto"/>
              </w:rPr>
            </w:pPr>
          </w:p>
        </w:tc>
        <w:tc>
          <w:tcPr>
            <w:tcW w:w="240" w:type="dxa"/>
            <w:vAlign w:val="bottom"/>
            <w:tcBorders>
              <w:bottom w:val="single" w:sz="8" w:color="auto"/>
            </w:tcBorders>
            <w:shd w:val="clear" w:color="auto" w:fill="148CD9"/>
          </w:tcPr>
          <w:p>
            <w:pPr>
              <w:spacing w:after="0"/>
              <w:rPr>
                <w:sz w:val="16"/>
                <w:szCs w:val="16"/>
                <w:color w:val="auto"/>
              </w:rPr>
            </w:pPr>
          </w:p>
        </w:tc>
        <w:tc>
          <w:tcPr>
            <w:tcW w:w="1200" w:type="dxa"/>
            <w:vAlign w:val="bottom"/>
            <w:tcBorders>
              <w:bottom w:val="single" w:sz="8" w:color="auto"/>
            </w:tcBorders>
            <w:shd w:val="clear" w:color="auto" w:fill="148CD9"/>
          </w:tcPr>
          <w:p>
            <w:pPr>
              <w:spacing w:after="0"/>
              <w:rPr>
                <w:sz w:val="16"/>
                <w:szCs w:val="16"/>
                <w:color w:val="auto"/>
              </w:rPr>
            </w:pPr>
          </w:p>
        </w:tc>
        <w:tc>
          <w:tcPr>
            <w:tcW w:w="520" w:type="dxa"/>
            <w:vAlign w:val="bottom"/>
            <w:tcBorders>
              <w:bottom w:val="single" w:sz="8" w:color="auto"/>
            </w:tcBorders>
            <w:shd w:val="clear" w:color="auto" w:fill="148CD9"/>
          </w:tcPr>
          <w:p>
            <w:pPr>
              <w:spacing w:after="0"/>
              <w:rPr>
                <w:sz w:val="16"/>
                <w:szCs w:val="16"/>
                <w:color w:val="auto"/>
              </w:rPr>
            </w:pPr>
          </w:p>
        </w:tc>
        <w:tc>
          <w:tcPr>
            <w:tcW w:w="400" w:type="dxa"/>
            <w:vAlign w:val="bottom"/>
            <w:tcBorders>
              <w:bottom w:val="single" w:sz="8" w:color="auto"/>
            </w:tcBorders>
            <w:shd w:val="clear" w:color="auto" w:fill="148CD9"/>
          </w:tcPr>
          <w:p>
            <w:pPr>
              <w:spacing w:after="0"/>
              <w:rPr>
                <w:sz w:val="16"/>
                <w:szCs w:val="16"/>
                <w:color w:val="auto"/>
              </w:rPr>
            </w:pPr>
          </w:p>
        </w:tc>
        <w:tc>
          <w:tcPr>
            <w:tcW w:w="720" w:type="dxa"/>
            <w:vAlign w:val="bottom"/>
            <w:tcBorders>
              <w:bottom w:val="single" w:sz="8" w:color="auto"/>
            </w:tcBorders>
            <w:shd w:val="clear" w:color="auto" w:fill="148CD9"/>
          </w:tcPr>
          <w:p>
            <w:pPr>
              <w:jc w:val="center"/>
              <w:ind w:right="92"/>
              <w:spacing w:after="0"/>
              <w:rPr>
                <w:sz w:val="20"/>
                <w:szCs w:val="20"/>
                <w:color w:val="auto"/>
              </w:rPr>
            </w:pPr>
            <w:r>
              <w:rPr>
                <w:rFonts w:ascii="Arial" w:cs="Arial" w:eastAsia="Arial" w:hAnsi="Arial"/>
                <w:sz w:val="16"/>
                <w:szCs w:val="16"/>
                <w:b w:val="1"/>
                <w:bCs w:val="1"/>
                <w:color w:val="FFFFFF"/>
              </w:rPr>
              <w:t>SINCE</w:t>
            </w:r>
          </w:p>
        </w:tc>
        <w:tc>
          <w:tcPr>
            <w:tcW w:w="240" w:type="dxa"/>
            <w:vAlign w:val="bottom"/>
            <w:tcBorders>
              <w:bottom w:val="single" w:sz="8" w:color="auto"/>
            </w:tcBorders>
            <w:shd w:val="clear" w:color="auto" w:fill="148CD9"/>
          </w:tcPr>
          <w:p>
            <w:pPr>
              <w:spacing w:after="0"/>
              <w:rPr>
                <w:sz w:val="16"/>
                <w:szCs w:val="16"/>
                <w:color w:val="auto"/>
              </w:rPr>
            </w:pPr>
          </w:p>
        </w:tc>
        <w:tc>
          <w:tcPr>
            <w:tcW w:w="1440" w:type="dxa"/>
            <w:vAlign w:val="bottom"/>
            <w:tcBorders>
              <w:bottom w:val="single" w:sz="8" w:color="auto"/>
            </w:tcBorders>
            <w:shd w:val="clear" w:color="auto" w:fill="148CD9"/>
          </w:tcPr>
          <w:p>
            <w:pPr>
              <w:spacing w:after="0"/>
              <w:rPr>
                <w:sz w:val="16"/>
                <w:szCs w:val="16"/>
                <w:color w:val="auto"/>
              </w:rPr>
            </w:pPr>
          </w:p>
        </w:tc>
        <w:tc>
          <w:tcPr>
            <w:tcW w:w="520" w:type="dxa"/>
            <w:vAlign w:val="bottom"/>
            <w:tcBorders>
              <w:bottom w:val="single" w:sz="8" w:color="auto"/>
            </w:tcBorders>
            <w:shd w:val="clear" w:color="auto" w:fill="148CD9"/>
          </w:tcPr>
          <w:p>
            <w:pPr>
              <w:spacing w:after="0"/>
              <w:rPr>
                <w:sz w:val="16"/>
                <w:szCs w:val="16"/>
                <w:color w:val="auto"/>
              </w:rPr>
            </w:pPr>
          </w:p>
        </w:tc>
        <w:tc>
          <w:tcPr>
            <w:tcW w:w="720" w:type="dxa"/>
            <w:vAlign w:val="bottom"/>
            <w:tcBorders>
              <w:bottom w:val="single" w:sz="8" w:color="auto"/>
            </w:tcBorders>
            <w:shd w:val="clear" w:color="auto" w:fill="148CD9"/>
          </w:tcPr>
          <w:p>
            <w:pPr>
              <w:spacing w:after="0"/>
              <w:rPr>
                <w:sz w:val="16"/>
                <w:szCs w:val="16"/>
                <w:color w:val="auto"/>
              </w:rPr>
            </w:pPr>
          </w:p>
        </w:tc>
        <w:tc>
          <w:tcPr>
            <w:tcW w:w="240" w:type="dxa"/>
            <w:vAlign w:val="bottom"/>
            <w:tcBorders>
              <w:bottom w:val="single" w:sz="8" w:color="auto"/>
            </w:tcBorders>
            <w:shd w:val="clear" w:color="auto" w:fill="148CD9"/>
          </w:tcPr>
          <w:p>
            <w:pPr>
              <w:spacing w:after="0"/>
              <w:rPr>
                <w:sz w:val="16"/>
                <w:szCs w:val="16"/>
                <w:color w:val="auto"/>
              </w:rPr>
            </w:pPr>
          </w:p>
        </w:tc>
        <w:tc>
          <w:tcPr>
            <w:tcW w:w="100" w:type="dxa"/>
            <w:vAlign w:val="bottom"/>
            <w:tcBorders>
              <w:bottom w:val="single" w:sz="8" w:color="auto"/>
            </w:tcBorders>
            <w:vMerge w:val="continue"/>
            <w:shd w:val="clear" w:color="auto" w:fill="148CD9"/>
          </w:tcPr>
          <w:p>
            <w:pPr>
              <w:spacing w:after="0"/>
              <w:rPr>
                <w:sz w:val="16"/>
                <w:szCs w:val="16"/>
                <w:color w:val="auto"/>
              </w:rPr>
            </w:pPr>
          </w:p>
        </w:tc>
        <w:tc>
          <w:tcPr>
            <w:tcW w:w="500" w:type="dxa"/>
            <w:vAlign w:val="bottom"/>
            <w:tcBorders>
              <w:bottom w:val="single" w:sz="8" w:color="auto"/>
            </w:tcBorders>
            <w:vMerge w:val="continue"/>
            <w:shd w:val="clear" w:color="auto" w:fill="148CD9"/>
          </w:tcPr>
          <w:p>
            <w:pPr>
              <w:spacing w:after="0"/>
              <w:rPr>
                <w:sz w:val="16"/>
                <w:szCs w:val="16"/>
                <w:color w:val="auto"/>
              </w:rPr>
            </w:pPr>
          </w:p>
        </w:tc>
        <w:tc>
          <w:tcPr>
            <w:tcW w:w="320" w:type="dxa"/>
            <w:vAlign w:val="bottom"/>
            <w:tcBorders>
              <w:bottom w:val="single" w:sz="8" w:color="auto"/>
            </w:tcBorders>
            <w:vMerge w:val="continue"/>
            <w:shd w:val="clear" w:color="auto" w:fill="148CD9"/>
          </w:tcPr>
          <w:p>
            <w:pPr>
              <w:spacing w:after="0"/>
              <w:rPr>
                <w:sz w:val="16"/>
                <w:szCs w:val="16"/>
                <w:color w:val="auto"/>
              </w:rPr>
            </w:pPr>
          </w:p>
        </w:tc>
        <w:tc>
          <w:tcPr>
            <w:tcW w:w="480" w:type="dxa"/>
            <w:vAlign w:val="bottom"/>
            <w:tcBorders>
              <w:bottom w:val="single" w:sz="8" w:color="auto"/>
            </w:tcBorders>
            <w:vMerge w:val="continue"/>
            <w:shd w:val="clear" w:color="auto" w:fill="148CD9"/>
          </w:tcPr>
          <w:p>
            <w:pPr>
              <w:spacing w:after="0"/>
              <w:rPr>
                <w:sz w:val="16"/>
                <w:szCs w:val="16"/>
                <w:color w:val="auto"/>
              </w:rPr>
            </w:pPr>
          </w:p>
        </w:tc>
        <w:tc>
          <w:tcPr>
            <w:tcW w:w="280" w:type="dxa"/>
            <w:vAlign w:val="bottom"/>
            <w:tcBorders>
              <w:bottom w:val="single" w:sz="8" w:color="auto"/>
            </w:tcBorders>
            <w:vMerge w:val="continue"/>
            <w:shd w:val="clear" w:color="auto" w:fill="148CD9"/>
          </w:tcPr>
          <w:p>
            <w:pPr>
              <w:spacing w:after="0"/>
              <w:rPr>
                <w:sz w:val="16"/>
                <w:szCs w:val="16"/>
                <w:color w:val="auto"/>
              </w:rPr>
            </w:pPr>
          </w:p>
        </w:tc>
        <w:tc>
          <w:tcPr>
            <w:tcW w:w="700" w:type="dxa"/>
            <w:vAlign w:val="bottom"/>
            <w:tcBorders>
              <w:bottom w:val="single" w:sz="8" w:color="auto"/>
            </w:tcBorders>
            <w:vMerge w:val="continue"/>
            <w:shd w:val="clear" w:color="auto" w:fill="148CD9"/>
          </w:tcPr>
          <w:p>
            <w:pPr>
              <w:spacing w:after="0"/>
              <w:rPr>
                <w:sz w:val="16"/>
                <w:szCs w:val="16"/>
                <w:color w:val="auto"/>
              </w:rPr>
            </w:pPr>
          </w:p>
        </w:tc>
        <w:tc>
          <w:tcPr>
            <w:tcW w:w="160" w:type="dxa"/>
            <w:vAlign w:val="bottom"/>
            <w:tcBorders>
              <w:bottom w:val="single" w:sz="8" w:color="auto"/>
              <w:right w:val="single" w:sz="8" w:color="auto"/>
            </w:tcBorders>
            <w:vMerge w:val="continue"/>
            <w:shd w:val="clear" w:color="auto" w:fill="148CD9"/>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66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b w:val="1"/>
                <w:bCs w:val="1"/>
                <w:color w:val="auto"/>
              </w:rPr>
              <w:t xml:space="preserve"> Alessandro Riva,</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Chairman and</w:t>
            </w: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660" w:type="dxa"/>
            <w:vAlign w:val="bottom"/>
            <w:tcBorders>
              <w:left w:val="single" w:sz="8" w:color="auto"/>
            </w:tcBorders>
            <w:gridSpan w:val="3"/>
            <w:vMerge w:val="continue"/>
          </w:tcPr>
          <w:p>
            <w:pPr>
              <w:spacing w:after="0"/>
              <w:rPr>
                <w:sz w:val="22"/>
                <w:szCs w:val="22"/>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 ​ 65</w:t>
            </w:r>
          </w:p>
        </w:tc>
        <w:tc>
          <w:tcPr>
            <w:tcW w:w="400" w:type="dxa"/>
            <w:vAlign w:val="bottom"/>
          </w:tcPr>
          <w:p>
            <w:pPr>
              <w:ind w:left="80"/>
              <w:spacing w:after="0"/>
              <w:rPr>
                <w:sz w:val="20"/>
                <w:szCs w:val="20"/>
                <w:color w:val="auto"/>
              </w:rPr>
            </w:pPr>
            <w:r>
              <w:rPr>
                <w:rFonts w:ascii="Arial" w:cs="Arial" w:eastAsia="Arial" w:hAnsi="Arial"/>
                <w:sz w:val="18"/>
                <w:szCs w:val="18"/>
                <w:color w:val="auto"/>
              </w:rPr>
              <w:t>​ ​</w:t>
            </w:r>
          </w:p>
        </w:tc>
        <w:tc>
          <w:tcPr>
            <w:tcW w:w="720" w:type="dxa"/>
            <w:vAlign w:val="bottom"/>
          </w:tcPr>
          <w:p>
            <w:pPr>
              <w:jc w:val="center"/>
              <w:ind w:right="72"/>
              <w:spacing w:after="0"/>
              <w:rPr>
                <w:sz w:val="20"/>
                <w:szCs w:val="20"/>
                <w:color w:val="auto"/>
              </w:rPr>
            </w:pPr>
            <w:r>
              <w:rPr>
                <w:rFonts w:ascii="Arial" w:cs="Arial" w:eastAsia="Arial" w:hAnsi="Arial"/>
                <w:sz w:val="18"/>
                <w:szCs w:val="18"/>
                <w:color w:val="auto"/>
                <w:w w:val="99"/>
              </w:rPr>
              <w:t>2021</w:t>
            </w:r>
          </w:p>
        </w:tc>
        <w:tc>
          <w:tcPr>
            <w:tcW w:w="240" w:type="dxa"/>
            <w:vAlign w:val="bottom"/>
          </w:tcPr>
          <w:p>
            <w:pPr>
              <w:ind w:left="60"/>
              <w:spacing w:after="0"/>
              <w:rPr>
                <w:sz w:val="20"/>
                <w:szCs w:val="20"/>
                <w:color w:val="auto"/>
              </w:rPr>
            </w:pPr>
            <w:r>
              <w:rPr>
                <w:rFonts w:ascii="Arial" w:cs="Arial" w:eastAsia="Arial" w:hAnsi="Arial"/>
                <w:sz w:val="18"/>
                <w:szCs w:val="18"/>
                <w:color w:val="auto"/>
              </w:rPr>
              <w:t>​ ​</w:t>
            </w: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Chief Executive</w:t>
            </w:r>
          </w:p>
        </w:tc>
        <w:tc>
          <w:tcPr>
            <w:tcW w:w="520" w:type="dxa"/>
            <w:vAlign w:val="bottom"/>
          </w:tcPr>
          <w:p>
            <w:pPr>
              <w:ind w:left="80"/>
              <w:spacing w:after="0"/>
              <w:rPr>
                <w:sz w:val="20"/>
                <w:szCs w:val="20"/>
                <w:color w:val="auto"/>
              </w:rPr>
            </w:pPr>
            <w:r>
              <w:rPr>
                <w:rFonts w:ascii="Arial" w:cs="Arial" w:eastAsia="Arial" w:hAnsi="Arial"/>
                <w:sz w:val="18"/>
                <w:szCs w:val="18"/>
                <w:color w:val="auto"/>
              </w:rPr>
              <w:t>​ ​</w:t>
            </w: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Yes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500" w:type="dxa"/>
            <w:vAlign w:val="bottom"/>
          </w:tcPr>
          <w:p>
            <w:pPr>
              <w:jc w:val="center"/>
              <w:spacing w:after="0"/>
              <w:rPr>
                <w:sz w:val="20"/>
                <w:szCs w:val="20"/>
                <w:color w:val="auto"/>
              </w:rPr>
            </w:pPr>
            <w:r>
              <w:rPr>
                <w:rFonts w:ascii="Arial" w:cs="Arial" w:eastAsia="Arial" w:hAnsi="Arial"/>
                <w:sz w:val="18"/>
                <w:szCs w:val="18"/>
                <w:color w:val="auto"/>
              </w:rPr>
              <w:t>M</w:t>
            </w:r>
          </w:p>
        </w:tc>
        <w:tc>
          <w:tcPr>
            <w:tcW w:w="320" w:type="dxa"/>
            <w:vAlign w:val="bottom"/>
          </w:tcPr>
          <w:p>
            <w:pPr>
              <w:ind w:left="100"/>
              <w:spacing w:after="0"/>
              <w:rPr>
                <w:sz w:val="20"/>
                <w:szCs w:val="20"/>
                <w:color w:val="auto"/>
              </w:rPr>
            </w:pPr>
            <w:r>
              <w:rPr>
                <w:rFonts w:ascii="Arial" w:cs="Arial" w:eastAsia="Arial" w:hAnsi="Arial"/>
                <w:sz w:val="18"/>
                <w:szCs w:val="18"/>
                <w:color w:val="auto"/>
              </w:rPr>
              <w:t>​ ​</w:t>
            </w:r>
          </w:p>
        </w:tc>
        <w:tc>
          <w:tcPr>
            <w:tcW w:w="480" w:type="dxa"/>
            <w:vAlign w:val="bottom"/>
          </w:tcPr>
          <w:p>
            <w:pPr>
              <w:jc w:val="center"/>
              <w:spacing w:after="0"/>
              <w:rPr>
                <w:sz w:val="20"/>
                <w:szCs w:val="20"/>
                <w:color w:val="auto"/>
              </w:rPr>
            </w:pPr>
            <w:r>
              <w:rPr>
                <w:rFonts w:ascii="Arial" w:cs="Arial" w:eastAsia="Arial" w:hAnsi="Arial"/>
                <w:sz w:val="18"/>
                <w:szCs w:val="18"/>
                <w:color w:val="auto"/>
              </w:rPr>
              <w:t>M</w:t>
            </w:r>
          </w:p>
        </w:tc>
        <w:tc>
          <w:tcPr>
            <w:tcW w:w="280" w:type="dxa"/>
            <w:vAlign w:val="bottom"/>
          </w:tcPr>
          <w:p>
            <w:pPr>
              <w:ind w:left="40"/>
              <w:spacing w:after="0"/>
              <w:rPr>
                <w:sz w:val="20"/>
                <w:szCs w:val="20"/>
                <w:color w:val="auto"/>
              </w:rPr>
            </w:pPr>
            <w:r>
              <w:rPr>
                <w:rFonts w:ascii="Arial" w:cs="Arial" w:eastAsia="Arial" w:hAnsi="Arial"/>
                <w:sz w:val="18"/>
                <w:szCs w:val="18"/>
                <w:color w:val="auto"/>
              </w:rPr>
              <w:t>​ ​</w:t>
            </w: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0"/>
        </w:trPr>
        <w:tc>
          <w:tcPr>
            <w:tcW w:w="220" w:type="dxa"/>
            <w:vAlign w:val="bottom"/>
            <w:tcBorders>
              <w:lef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252"/>
              <w:spacing w:after="0" w:line="170" w:lineRule="exact"/>
              <w:rPr>
                <w:sz w:val="20"/>
                <w:szCs w:val="20"/>
                <w:color w:val="auto"/>
              </w:rPr>
            </w:pPr>
            <w:r>
              <w:rPr>
                <w:rFonts w:ascii="Arial" w:cs="Arial" w:eastAsia="Arial" w:hAnsi="Arial"/>
                <w:sz w:val="18"/>
                <w:szCs w:val="18"/>
                <w:b w:val="1"/>
                <w:bCs w:val="1"/>
                <w:color w:val="auto"/>
                <w:w w:val="99"/>
              </w:rPr>
              <w:t>M.D.</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center"/>
              <w:spacing w:after="0" w:line="170" w:lineRule="exact"/>
              <w:rPr>
                <w:sz w:val="20"/>
                <w:szCs w:val="20"/>
                <w:color w:val="auto"/>
              </w:rPr>
            </w:pPr>
            <w:r>
              <w:rPr>
                <w:rFonts w:ascii="Arial" w:cs="Arial" w:eastAsia="Arial" w:hAnsi="Arial"/>
                <w:sz w:val="18"/>
                <w:szCs w:val="18"/>
                <w:color w:val="auto"/>
                <w:w w:val="95"/>
              </w:rPr>
              <w:t>Officer of</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20" w:type="dxa"/>
            <w:vAlign w:val="bottom"/>
            <w:tcBorders>
              <w:left w:val="single" w:sz="8" w:color="auto"/>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Transgene S.A.</w:t>
            </w:r>
          </w:p>
        </w:tc>
        <w:tc>
          <w:tcPr>
            <w:tcW w:w="5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20" w:type="dxa"/>
            <w:vAlign w:val="bottom"/>
            <w:tcBorders>
              <w:lef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vMerge w:val="restart"/>
          </w:tcPr>
          <w:p>
            <w:pPr>
              <w:jc w:val="center"/>
              <w:ind w:right="312"/>
              <w:spacing w:after="0"/>
              <w:rPr>
                <w:sz w:val="20"/>
                <w:szCs w:val="20"/>
                <w:color w:val="auto"/>
              </w:rPr>
            </w:pPr>
            <w:r>
              <w:rPr>
                <w:rFonts w:ascii="Arial" w:cs="Arial" w:eastAsia="Arial" w:hAnsi="Arial"/>
                <w:sz w:val="18"/>
                <w:szCs w:val="18"/>
                <w:b w:val="1"/>
                <w:bCs w:val="1"/>
                <w:color w:val="auto"/>
              </w:rPr>
              <w:t>Han Lee,</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8"/>
              </w:rPr>
              <w:t>Co-Chief</w:t>
            </w: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00" w:type="dxa"/>
            <w:vAlign w:val="bottom"/>
            <w:vMerge w:val="continue"/>
          </w:tcPr>
          <w:p>
            <w:pPr>
              <w:spacing w:after="0"/>
              <w:rPr>
                <w:sz w:val="23"/>
                <w:szCs w:val="23"/>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 ​ 45</w:t>
            </w:r>
          </w:p>
        </w:tc>
        <w:tc>
          <w:tcPr>
            <w:tcW w:w="400" w:type="dxa"/>
            <w:vAlign w:val="bottom"/>
          </w:tcPr>
          <w:p>
            <w:pPr>
              <w:ind w:left="80"/>
              <w:spacing w:after="0"/>
              <w:rPr>
                <w:sz w:val="20"/>
                <w:szCs w:val="20"/>
                <w:color w:val="auto"/>
              </w:rPr>
            </w:pPr>
            <w:r>
              <w:rPr>
                <w:rFonts w:ascii="Arial" w:cs="Arial" w:eastAsia="Arial" w:hAnsi="Arial"/>
                <w:sz w:val="18"/>
                <w:szCs w:val="18"/>
                <w:color w:val="auto"/>
              </w:rPr>
              <w:t>​ ​</w:t>
            </w:r>
          </w:p>
        </w:tc>
        <w:tc>
          <w:tcPr>
            <w:tcW w:w="720" w:type="dxa"/>
            <w:vAlign w:val="bottom"/>
          </w:tcPr>
          <w:p>
            <w:pPr>
              <w:jc w:val="center"/>
              <w:ind w:right="72"/>
              <w:spacing w:after="0"/>
              <w:rPr>
                <w:sz w:val="20"/>
                <w:szCs w:val="20"/>
                <w:color w:val="auto"/>
              </w:rPr>
            </w:pPr>
            <w:r>
              <w:rPr>
                <w:rFonts w:ascii="Arial" w:cs="Arial" w:eastAsia="Arial" w:hAnsi="Arial"/>
                <w:sz w:val="18"/>
                <w:szCs w:val="18"/>
                <w:color w:val="auto"/>
                <w:w w:val="99"/>
              </w:rPr>
              <w:t>2025</w:t>
            </w:r>
          </w:p>
        </w:tc>
        <w:tc>
          <w:tcPr>
            <w:tcW w:w="240" w:type="dxa"/>
            <w:vAlign w:val="bottom"/>
          </w:tcPr>
          <w:p>
            <w:pPr>
              <w:ind w:left="60"/>
              <w:spacing w:after="0"/>
              <w:rPr>
                <w:sz w:val="20"/>
                <w:szCs w:val="20"/>
                <w:color w:val="auto"/>
              </w:rPr>
            </w:pPr>
            <w:r>
              <w:rPr>
                <w:rFonts w:ascii="Arial" w:cs="Arial" w:eastAsia="Arial" w:hAnsi="Arial"/>
                <w:sz w:val="18"/>
                <w:szCs w:val="18"/>
                <w:color w:val="auto"/>
              </w:rPr>
              <w:t>​ ​</w:t>
            </w:r>
          </w:p>
        </w:tc>
        <w:tc>
          <w:tcPr>
            <w:tcW w:w="1440" w:type="dxa"/>
            <w:vAlign w:val="bottom"/>
          </w:tcPr>
          <w:p>
            <w:pPr>
              <w:jc w:val="center"/>
              <w:spacing w:after="0"/>
              <w:rPr>
                <w:sz w:val="20"/>
                <w:szCs w:val="20"/>
                <w:color w:val="auto"/>
              </w:rPr>
            </w:pPr>
            <w:r>
              <w:rPr>
                <w:rFonts w:ascii="Arial" w:cs="Arial" w:eastAsia="Arial" w:hAnsi="Arial"/>
                <w:sz w:val="18"/>
                <w:szCs w:val="18"/>
                <w:color w:val="auto"/>
                <w:w w:val="98"/>
              </w:rPr>
              <w:t>Executive Officer</w:t>
            </w:r>
          </w:p>
        </w:tc>
        <w:tc>
          <w:tcPr>
            <w:tcW w:w="520" w:type="dxa"/>
            <w:vAlign w:val="bottom"/>
          </w:tcPr>
          <w:p>
            <w:pPr>
              <w:ind w:left="80"/>
              <w:spacing w:after="0"/>
              <w:rPr>
                <w:sz w:val="20"/>
                <w:szCs w:val="20"/>
                <w:color w:val="auto"/>
              </w:rPr>
            </w:pPr>
            <w:r>
              <w:rPr>
                <w:rFonts w:ascii="Arial" w:cs="Arial" w:eastAsia="Arial" w:hAnsi="Arial"/>
                <w:sz w:val="18"/>
                <w:szCs w:val="18"/>
                <w:color w:val="auto"/>
              </w:rPr>
              <w:t>​ ​</w:t>
            </w: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Yes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500" w:type="dxa"/>
            <w:vAlign w:val="bottom"/>
          </w:tcPr>
          <w:p>
            <w:pPr>
              <w:jc w:val="center"/>
              <w:spacing w:after="0"/>
              <w:rPr>
                <w:sz w:val="20"/>
                <w:szCs w:val="20"/>
                <w:color w:val="auto"/>
              </w:rPr>
            </w:pPr>
            <w:r>
              <w:rPr>
                <w:rFonts w:ascii="Arial" w:cs="Arial" w:eastAsia="Arial" w:hAnsi="Arial"/>
                <w:sz w:val="18"/>
                <w:szCs w:val="18"/>
                <w:color w:val="auto"/>
              </w:rPr>
              <w:t>M</w:t>
            </w:r>
          </w:p>
        </w:tc>
        <w:tc>
          <w:tcPr>
            <w:tcW w:w="320" w:type="dxa"/>
            <w:vAlign w:val="bottom"/>
          </w:tcPr>
          <w:p>
            <w:pPr>
              <w:ind w:left="100"/>
              <w:spacing w:after="0"/>
              <w:rPr>
                <w:sz w:val="20"/>
                <w:szCs w:val="20"/>
                <w:color w:val="auto"/>
              </w:rPr>
            </w:pPr>
            <w:r>
              <w:rPr>
                <w:rFonts w:ascii="Arial" w:cs="Arial" w:eastAsia="Arial" w:hAnsi="Arial"/>
                <w:sz w:val="18"/>
                <w:szCs w:val="18"/>
                <w:color w:val="auto"/>
              </w:rPr>
              <w:t>​ ​</w:t>
            </w:r>
          </w:p>
        </w:tc>
        <w:tc>
          <w:tcPr>
            <w:tcW w:w="480" w:type="dxa"/>
            <w:vAlign w:val="bottom"/>
          </w:tcPr>
          <w:p>
            <w:pPr>
              <w:jc w:val="center"/>
              <w:spacing w:after="0"/>
              <w:rPr>
                <w:sz w:val="20"/>
                <w:szCs w:val="20"/>
                <w:color w:val="auto"/>
              </w:rPr>
            </w:pPr>
            <w:r>
              <w:rPr>
                <w:rFonts w:ascii="Arial" w:cs="Arial" w:eastAsia="Arial" w:hAnsi="Arial"/>
                <w:sz w:val="18"/>
                <w:szCs w:val="18"/>
                <w:color w:val="auto"/>
              </w:rPr>
              <w:t>M</w:t>
            </w:r>
          </w:p>
        </w:tc>
        <w:tc>
          <w:tcPr>
            <w:tcW w:w="280" w:type="dxa"/>
            <w:vAlign w:val="bottom"/>
          </w:tcPr>
          <w:p>
            <w:pPr>
              <w:ind w:left="40"/>
              <w:spacing w:after="0"/>
              <w:rPr>
                <w:sz w:val="20"/>
                <w:szCs w:val="20"/>
                <w:color w:val="auto"/>
              </w:rPr>
            </w:pPr>
            <w:r>
              <w:rPr>
                <w:rFonts w:ascii="Arial" w:cs="Arial" w:eastAsia="Arial" w:hAnsi="Arial"/>
                <w:sz w:val="18"/>
                <w:szCs w:val="18"/>
                <w:color w:val="auto"/>
              </w:rPr>
              <w:t>​ ​</w:t>
            </w: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7"/>
        </w:trPr>
        <w:tc>
          <w:tcPr>
            <w:tcW w:w="220" w:type="dxa"/>
            <w:vAlign w:val="bottom"/>
            <w:tcBorders>
              <w:left w:val="single" w:sz="8" w:color="auto"/>
            </w:tcBorders>
          </w:tcPr>
          <w:p>
            <w:pPr>
              <w:spacing w:after="0"/>
              <w:rPr>
                <w:sz w:val="13"/>
                <w:szCs w:val="13"/>
                <w:color w:val="auto"/>
              </w:rPr>
            </w:pPr>
          </w:p>
        </w:tc>
        <w:tc>
          <w:tcPr>
            <w:tcW w:w="1440" w:type="dxa"/>
            <w:vAlign w:val="bottom"/>
            <w:gridSpan w:val="2"/>
          </w:tcPr>
          <w:p>
            <w:pPr>
              <w:jc w:val="center"/>
              <w:ind w:right="12"/>
              <w:spacing w:after="0" w:line="157" w:lineRule="exact"/>
              <w:rPr>
                <w:sz w:val="20"/>
                <w:szCs w:val="20"/>
                <w:color w:val="auto"/>
              </w:rPr>
            </w:pPr>
            <w:r>
              <w:rPr>
                <w:rFonts w:ascii="Arial" w:cs="Arial" w:eastAsia="Arial" w:hAnsi="Arial"/>
                <w:sz w:val="18"/>
                <w:szCs w:val="18"/>
                <w:b w:val="1"/>
                <w:bCs w:val="1"/>
                <w:color w:val="auto"/>
                <w:w w:val="98"/>
              </w:rPr>
              <w:t>Ph.D., M.B.A.</w:t>
            </w: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center"/>
              <w:spacing w:after="0" w:line="157" w:lineRule="exact"/>
              <w:rPr>
                <w:sz w:val="20"/>
                <w:szCs w:val="20"/>
                <w:color w:val="auto"/>
              </w:rPr>
            </w:pPr>
            <w:r>
              <w:rPr>
                <w:rFonts w:ascii="Arial" w:cs="Arial" w:eastAsia="Arial" w:hAnsi="Arial"/>
                <w:sz w:val="18"/>
                <w:szCs w:val="18"/>
                <w:color w:val="auto"/>
                <w:w w:val="95"/>
              </w:rPr>
              <w:t>of Vibrant</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2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Therapeutics</w:t>
            </w: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2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c>
          <w:tcPr>
            <w:tcW w:w="36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220" w:type="dxa"/>
            <w:vAlign w:val="bottom"/>
          </w:tcPr>
          <w:p>
            <w:pPr>
              <w:spacing w:after="0"/>
              <w:rPr>
                <w:sz w:val="24"/>
                <w:szCs w:val="24"/>
                <w:color w:val="auto"/>
              </w:rPr>
            </w:pPr>
          </w:p>
        </w:tc>
        <w:tc>
          <w:tcPr>
            <w:tcW w:w="240" w:type="dxa"/>
            <w:vAlign w:val="bottom"/>
          </w:tcPr>
          <w:p>
            <w:pPr>
              <w:ind w:left="160"/>
              <w:spacing w:after="0"/>
              <w:rPr>
                <w:sz w:val="20"/>
                <w:szCs w:val="20"/>
                <w:color w:val="auto"/>
              </w:rPr>
            </w:pPr>
            <w:r>
              <w:rPr>
                <w:rFonts w:ascii="Arial" w:cs="Arial" w:eastAsia="Arial" w:hAnsi="Arial"/>
                <w:sz w:val="18"/>
                <w:szCs w:val="18"/>
                <w:b w:val="1"/>
                <w:bCs w:val="1"/>
                <w:color w:val="auto"/>
              </w:rPr>
              <w:t>​</w:t>
            </w:r>
          </w:p>
        </w:tc>
        <w:tc>
          <w:tcPr>
            <w:tcW w:w="2120" w:type="dxa"/>
            <w:vAlign w:val="bottom"/>
            <w:gridSpan w:val="3"/>
          </w:tcPr>
          <w:p>
            <w:pPr>
              <w:ind w:left="320"/>
              <w:spacing w:after="0"/>
              <w:rPr>
                <w:sz w:val="20"/>
                <w:szCs w:val="20"/>
                <w:color w:val="auto"/>
              </w:rPr>
            </w:pPr>
            <w:r>
              <w:rPr>
                <w:rFonts w:ascii="Arial" w:cs="Arial" w:eastAsia="Arial" w:hAnsi="Arial"/>
                <w:sz w:val="18"/>
                <w:szCs w:val="18"/>
                <w:b w:val="1"/>
                <w:bCs w:val="1"/>
                <w:color w:val="auto"/>
                <w:w w:val="99"/>
              </w:rPr>
              <w:t xml:space="preserve">AC </w:t>
            </w:r>
            <w:r>
              <w:rPr>
                <w:rFonts w:ascii="Arial" w:cs="Arial" w:eastAsia="Arial" w:hAnsi="Arial"/>
                <w:sz w:val="18"/>
                <w:szCs w:val="18"/>
                <w:color w:val="auto"/>
                <w:w w:val="99"/>
              </w:rPr>
              <w:t>= Audit Committee</w:t>
            </w:r>
          </w:p>
        </w:tc>
        <w:tc>
          <w:tcPr>
            <w:tcW w:w="364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rPr>
              <w:t xml:space="preserve">​ ​ CC </w:t>
            </w:r>
            <w:r>
              <w:rPr>
                <w:rFonts w:ascii="Arial" w:cs="Arial" w:eastAsia="Arial" w:hAnsi="Arial"/>
                <w:sz w:val="18"/>
                <w:szCs w:val="18"/>
                <w:color w:val="auto"/>
              </w:rPr>
              <w:t>= Compensation Committee</w:t>
            </w:r>
            <w:r>
              <w:rPr>
                <w:rFonts w:ascii="Arial" w:cs="Arial" w:eastAsia="Arial" w:hAnsi="Arial"/>
                <w:sz w:val="18"/>
                <w:szCs w:val="18"/>
                <w:b w:val="1"/>
                <w:bCs w:val="1"/>
                <w:color w:val="auto"/>
              </w:rPr>
              <w:t xml:space="preserve"> ​ ​</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3"/>
          </w:tcPr>
          <w:p>
            <w:pPr>
              <w:jc w:val="center"/>
              <w:ind w:left="133"/>
              <w:spacing w:after="0"/>
              <w:rPr>
                <w:sz w:val="20"/>
                <w:szCs w:val="20"/>
                <w:color w:val="auto"/>
              </w:rPr>
            </w:pPr>
            <w:r>
              <w:rPr>
                <w:rFonts w:ascii="Arial" w:cs="Arial" w:eastAsia="Arial" w:hAnsi="Arial"/>
                <w:sz w:val="18"/>
                <w:szCs w:val="18"/>
                <w:b w:val="1"/>
                <w:bCs w:val="1"/>
                <w:color w:val="auto"/>
                <w:w w:val="99"/>
              </w:rPr>
              <w:t xml:space="preserve">C </w:t>
            </w:r>
            <w:r>
              <w:rPr>
                <w:rFonts w:ascii="Arial" w:cs="Arial" w:eastAsia="Arial" w:hAnsi="Arial"/>
                <w:sz w:val="18"/>
                <w:szCs w:val="18"/>
                <w:color w:val="auto"/>
                <w:w w:val="99"/>
              </w:rPr>
              <w:t>= Chair</w:t>
            </w:r>
          </w:p>
        </w:tc>
        <w:tc>
          <w:tcPr>
            <w:tcW w:w="280" w:type="dxa"/>
            <w:vAlign w:val="bottom"/>
          </w:tcPr>
          <w:p>
            <w:pPr>
              <w:spacing w:after="0"/>
              <w:rPr>
                <w:sz w:val="24"/>
                <w:szCs w:val="24"/>
                <w:color w:val="auto"/>
              </w:rPr>
            </w:pPr>
          </w:p>
        </w:tc>
        <w:tc>
          <w:tcPr>
            <w:tcW w:w="700" w:type="dxa"/>
            <w:vAlign w:val="bottom"/>
          </w:tcPr>
          <w:p>
            <w:pPr>
              <w:ind w:left="4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20" w:type="dxa"/>
            <w:vAlign w:val="bottom"/>
          </w:tcPr>
          <w:p>
            <w:pPr>
              <w:spacing w:after="0"/>
              <w:rPr>
                <w:sz w:val="24"/>
                <w:szCs w:val="24"/>
                <w:color w:val="auto"/>
              </w:rPr>
            </w:pPr>
          </w:p>
        </w:tc>
        <w:tc>
          <w:tcPr>
            <w:tcW w:w="240" w:type="dxa"/>
            <w:vAlign w:val="bottom"/>
          </w:tcPr>
          <w:p>
            <w:pPr>
              <w:ind w:left="160"/>
              <w:spacing w:after="0"/>
              <w:rPr>
                <w:sz w:val="20"/>
                <w:szCs w:val="20"/>
                <w:color w:val="auto"/>
              </w:rPr>
            </w:pPr>
            <w:r>
              <w:rPr>
                <w:rFonts w:ascii="Arial" w:cs="Arial" w:eastAsia="Arial" w:hAnsi="Arial"/>
                <w:sz w:val="18"/>
                <w:szCs w:val="18"/>
                <w:b w:val="1"/>
                <w:bCs w:val="1"/>
                <w:color w:val="auto"/>
              </w:rPr>
              <w:t>​</w:t>
            </w:r>
          </w:p>
        </w:tc>
        <w:tc>
          <w:tcPr>
            <w:tcW w:w="5040" w:type="dxa"/>
            <w:vAlign w:val="bottom"/>
            <w:gridSpan w:val="7"/>
          </w:tcPr>
          <w:p>
            <w:pPr>
              <w:ind w:left="360"/>
              <w:spacing w:after="0"/>
              <w:rPr>
                <w:sz w:val="20"/>
                <w:szCs w:val="20"/>
                <w:color w:val="auto"/>
              </w:rPr>
            </w:pPr>
            <w:r>
              <w:rPr>
                <w:rFonts w:ascii="Arial" w:cs="Arial" w:eastAsia="Arial" w:hAnsi="Arial"/>
                <w:sz w:val="18"/>
                <w:szCs w:val="18"/>
                <w:b w:val="1"/>
                <w:bCs w:val="1"/>
                <w:color w:val="auto"/>
              </w:rPr>
              <w:t xml:space="preserve">NCGC </w:t>
            </w:r>
            <w:r>
              <w:rPr>
                <w:rFonts w:ascii="Arial" w:cs="Arial" w:eastAsia="Arial" w:hAnsi="Arial"/>
                <w:sz w:val="18"/>
                <w:szCs w:val="18"/>
                <w:color w:val="auto"/>
              </w:rPr>
              <w:t>= Nominating &amp; Corporate Governance Committee</w:t>
            </w:r>
          </w:p>
        </w:tc>
        <w:tc>
          <w:tcPr>
            <w:tcW w:w="720" w:type="dxa"/>
            <w:vAlign w:val="bottom"/>
          </w:tcPr>
          <w:p>
            <w:pPr>
              <w:jc w:val="right"/>
              <w:ind w:right="130"/>
              <w:spacing w:after="0"/>
              <w:rPr>
                <w:sz w:val="20"/>
                <w:szCs w:val="20"/>
                <w:color w:val="auto"/>
              </w:rPr>
            </w:pPr>
            <w:r>
              <w:rPr>
                <w:rFonts w:ascii="Arial" w:cs="Arial" w:eastAsia="Arial" w:hAnsi="Arial"/>
                <w:sz w:val="18"/>
                <w:szCs w:val="18"/>
                <w:b w:val="1"/>
                <w:bCs w:val="1"/>
                <w:color w:val="auto"/>
              </w:rPr>
              <w:t>​ ​</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3"/>
          </w:tcPr>
          <w:p>
            <w:pPr>
              <w:jc w:val="center"/>
              <w:ind w:left="133"/>
              <w:spacing w:after="0"/>
              <w:rPr>
                <w:sz w:val="20"/>
                <w:szCs w:val="20"/>
                <w:color w:val="auto"/>
              </w:rPr>
            </w:pPr>
            <w:r>
              <w:rPr>
                <w:rFonts w:ascii="Arial" w:cs="Arial" w:eastAsia="Arial" w:hAnsi="Arial"/>
                <w:sz w:val="18"/>
                <w:szCs w:val="18"/>
                <w:b w:val="1"/>
                <w:bCs w:val="1"/>
                <w:color w:val="auto"/>
                <w:w w:val="98"/>
              </w:rPr>
              <w:t xml:space="preserve">M </w:t>
            </w:r>
            <w:r>
              <w:rPr>
                <w:rFonts w:ascii="Arial" w:cs="Arial" w:eastAsia="Arial" w:hAnsi="Arial"/>
                <w:sz w:val="18"/>
                <w:szCs w:val="18"/>
                <w:color w:val="auto"/>
                <w:w w:val="98"/>
              </w:rPr>
              <w:t>= Member</w:t>
            </w:r>
          </w:p>
        </w:tc>
        <w:tc>
          <w:tcPr>
            <w:tcW w:w="280" w:type="dxa"/>
            <w:vAlign w:val="bottom"/>
          </w:tcPr>
          <w:p>
            <w:pPr>
              <w:spacing w:after="0"/>
              <w:rPr>
                <w:sz w:val="24"/>
                <w:szCs w:val="24"/>
                <w:color w:val="auto"/>
              </w:rPr>
            </w:pPr>
          </w:p>
        </w:tc>
        <w:tc>
          <w:tcPr>
            <w:tcW w:w="700" w:type="dxa"/>
            <w:vAlign w:val="bottom"/>
          </w:tcPr>
          <w:p>
            <w:pPr>
              <w:ind w:left="4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CORPORATE GOVERNANCE HIGHLIGHTS</w:t>
      </w:r>
    </w:p>
    <w:p>
      <w:pPr>
        <w:spacing w:after="0" w:line="158" w:lineRule="exact"/>
        <w:rPr>
          <w:sz w:val="20"/>
          <w:szCs w:val="20"/>
          <w:color w:val="auto"/>
        </w:rPr>
      </w:pPr>
    </w:p>
    <w:p>
      <w:pPr>
        <w:jc w:val="both"/>
        <w:ind w:left="880" w:right="39"/>
        <w:spacing w:after="0" w:line="287" w:lineRule="auto"/>
        <w:rPr>
          <w:sz w:val="20"/>
          <w:szCs w:val="20"/>
          <w:color w:val="auto"/>
        </w:rPr>
      </w:pPr>
      <w:r>
        <w:rPr>
          <w:rFonts w:ascii="Arial" w:cs="Arial" w:eastAsia="Arial" w:hAnsi="Arial"/>
          <w:sz w:val="18"/>
          <w:szCs w:val="18"/>
          <w:color w:val="auto"/>
        </w:rPr>
        <w:t>The following table summarizes our current Board structure and key elements of our corporate governance framework:</w:t>
      </w:r>
    </w:p>
    <w:p>
      <w:pPr>
        <w:spacing w:after="0" w:line="111" w:lineRule="exact"/>
        <w:rPr>
          <w:sz w:val="20"/>
          <w:szCs w:val="20"/>
          <w:color w:val="auto"/>
        </w:rPr>
      </w:pPr>
    </w:p>
    <w:tbl>
      <w:tblPr>
        <w:tblLayout w:type="fixed"/>
        <w:tblInd w:w="870" w:type="dxa"/>
        <w:tblCellMar>
          <w:top w:w="0" w:type="dxa"/>
          <w:left w:w="0" w:type="dxa"/>
          <w:bottom w:w="0" w:type="dxa"/>
          <w:right w:w="0" w:type="dxa"/>
        </w:tblCellMar>
      </w:tblPr>
      <w:tr>
        <w:trPr>
          <w:trHeight w:val="270"/>
        </w:trPr>
        <w:tc>
          <w:tcPr>
            <w:tcW w:w="3240" w:type="dxa"/>
            <w:vAlign w:val="bottom"/>
            <w:tcBorders>
              <w:top w:val="single" w:sz="8" w:color="auto"/>
              <w:left w:val="single" w:sz="8" w:color="auto"/>
              <w:bottom w:val="single" w:sz="8" w:color="auto"/>
            </w:tcBorders>
            <w:shd w:val="clear" w:color="auto" w:fill="148CD9"/>
          </w:tcPr>
          <w:p>
            <w:pPr>
              <w:ind w:left="80"/>
              <w:spacing w:after="0"/>
              <w:rPr>
                <w:sz w:val="20"/>
                <w:szCs w:val="20"/>
                <w:color w:val="auto"/>
              </w:rPr>
            </w:pPr>
            <w:r>
              <w:rPr>
                <w:rFonts w:ascii="Arial" w:cs="Arial" w:eastAsia="Arial" w:hAnsi="Arial"/>
                <w:sz w:val="16"/>
                <w:szCs w:val="16"/>
                <w:b w:val="1"/>
                <w:bCs w:val="1"/>
                <w:color w:val="FFFFFF"/>
              </w:rPr>
              <w:t>​</w:t>
            </w:r>
          </w:p>
        </w:tc>
        <w:tc>
          <w:tcPr>
            <w:tcW w:w="2680" w:type="dxa"/>
            <w:vAlign w:val="bottom"/>
            <w:tcBorders>
              <w:top w:val="single" w:sz="8" w:color="auto"/>
              <w:bottom w:val="single" w:sz="8" w:color="auto"/>
            </w:tcBorders>
            <w:shd w:val="clear" w:color="auto" w:fill="148CD9"/>
          </w:tcPr>
          <w:p>
            <w:pPr>
              <w:ind w:left="420"/>
              <w:spacing w:after="0"/>
              <w:rPr>
                <w:sz w:val="20"/>
                <w:szCs w:val="20"/>
                <w:color w:val="auto"/>
              </w:rPr>
            </w:pPr>
            <w:r>
              <w:rPr>
                <w:rFonts w:ascii="Arial" w:cs="Arial" w:eastAsia="Arial" w:hAnsi="Arial"/>
                <w:sz w:val="16"/>
                <w:szCs w:val="16"/>
                <w:b w:val="1"/>
                <w:bCs w:val="1"/>
                <w:color w:val="FFFFFF"/>
              </w:rPr>
              <w:t>GOVERNANCE ITEMS</w:t>
            </w:r>
          </w:p>
        </w:tc>
        <w:tc>
          <w:tcPr>
            <w:tcW w:w="780" w:type="dxa"/>
            <w:vAlign w:val="bottom"/>
            <w:tcBorders>
              <w:top w:val="single" w:sz="8" w:color="auto"/>
              <w:bottom w:val="single" w:sz="8" w:color="auto"/>
            </w:tcBorders>
            <w:shd w:val="clear" w:color="auto" w:fill="148CD9"/>
          </w:tcPr>
          <w:p>
            <w:pPr>
              <w:spacing w:after="0"/>
              <w:rPr>
                <w:sz w:val="23"/>
                <w:szCs w:val="23"/>
                <w:color w:val="auto"/>
              </w:rPr>
            </w:pPr>
          </w:p>
        </w:tc>
        <w:tc>
          <w:tcPr>
            <w:tcW w:w="1780" w:type="dxa"/>
            <w:vAlign w:val="bottom"/>
            <w:tcBorders>
              <w:top w:val="single" w:sz="8" w:color="auto"/>
              <w:bottom w:val="single" w:sz="8" w:color="auto"/>
            </w:tcBorders>
            <w:shd w:val="clear" w:color="auto" w:fill="148CD9"/>
          </w:tcPr>
          <w:p>
            <w:pPr>
              <w:spacing w:after="0"/>
              <w:rPr>
                <w:sz w:val="23"/>
                <w:szCs w:val="23"/>
                <w:color w:val="auto"/>
              </w:rPr>
            </w:pPr>
          </w:p>
        </w:tc>
        <w:tc>
          <w:tcPr>
            <w:tcW w:w="520" w:type="dxa"/>
            <w:vAlign w:val="bottom"/>
            <w:tcBorders>
              <w:top w:val="single" w:sz="8" w:color="auto"/>
              <w:bottom w:val="single" w:sz="8" w:color="auto"/>
              <w:right w:val="single" w:sz="8" w:color="auto"/>
            </w:tcBorders>
            <w:shd w:val="clear" w:color="auto" w:fill="148CD9"/>
          </w:tcPr>
          <w:p>
            <w:pPr>
              <w:jc w:val="right"/>
              <w:spacing w:after="0"/>
              <w:rPr>
                <w:sz w:val="20"/>
                <w:szCs w:val="20"/>
                <w:color w:val="auto"/>
              </w:rPr>
            </w:pPr>
            <w:r>
              <w:rPr>
                <w:rFonts w:ascii="Arial" w:cs="Arial" w:eastAsia="Arial" w:hAnsi="Arial"/>
                <w:sz w:val="16"/>
                <w:szCs w:val="16"/>
                <w:b w:val="1"/>
                <w:bCs w:val="1"/>
                <w:color w:val="FFFFFF"/>
              </w:rPr>
              <w:t>​</w:t>
            </w:r>
          </w:p>
        </w:tc>
      </w:tr>
      <w:tr>
        <w:trPr>
          <w:trHeight w:val="250"/>
        </w:trPr>
        <w:tc>
          <w:tcPr>
            <w:tcW w:w="3240" w:type="dxa"/>
            <w:vAlign w:val="bottom"/>
            <w:tcBorders>
              <w:left w:val="single" w:sz="8" w:color="auto"/>
              <w:bottom w:val="single" w:sz="8" w:color="auto"/>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Size of Board (set by the Board)</w:t>
            </w:r>
          </w:p>
        </w:tc>
        <w:tc>
          <w:tcPr>
            <w:tcW w:w="26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 ​</w:t>
            </w:r>
          </w:p>
        </w:tc>
        <w:tc>
          <w:tcPr>
            <w:tcW w:w="2300" w:type="dxa"/>
            <w:vAlign w:val="bottom"/>
            <w:tcBorders>
              <w:bottom w:val="single" w:sz="8" w:color="auto"/>
              <w:right w:val="single" w:sz="8" w:color="auto"/>
            </w:tcBorders>
            <w:gridSpan w:val="2"/>
          </w:tcPr>
          <w:p>
            <w:pPr>
              <w:jc w:val="right"/>
              <w:spacing w:after="0" w:line="250" w:lineRule="exact"/>
              <w:rPr>
                <w:sz w:val="20"/>
                <w:szCs w:val="20"/>
                <w:color w:val="auto"/>
              </w:rPr>
            </w:pPr>
            <w:r>
              <w:rPr>
                <w:rFonts w:ascii="Arial" w:cs="Arial" w:eastAsia="Arial" w:hAnsi="Arial"/>
                <w:sz w:val="15"/>
                <w:szCs w:val="15"/>
                <w:color w:val="auto"/>
              </w:rPr>
              <w:t xml:space="preserve">7 (6 after Annual Meeting) </w:t>
            </w:r>
            <w:r>
              <w:rPr>
                <w:rFonts w:ascii="Arial" w:cs="Arial" w:eastAsia="Arial" w:hAnsi="Arial"/>
                <w:sz w:val="28"/>
                <w:szCs w:val="28"/>
                <w:color w:val="auto"/>
                <w:vertAlign w:val="superscript"/>
              </w:rPr>
              <w:t>​</w:t>
            </w:r>
          </w:p>
        </w:tc>
      </w:tr>
      <w:tr>
        <w:trPr>
          <w:trHeight w:val="250"/>
        </w:trPr>
        <w:tc>
          <w:tcPr>
            <w:tcW w:w="3240" w:type="dxa"/>
            <w:vAlign w:val="bottom"/>
            <w:tcBorders>
              <w:left w:val="single" w:sz="8" w:color="auto"/>
              <w:bottom w:val="single" w:sz="8" w:color="auto"/>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Number of Independent Directors</w:t>
            </w:r>
          </w:p>
        </w:tc>
        <w:tc>
          <w:tcPr>
            <w:tcW w:w="26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 ​</w:t>
            </w:r>
          </w:p>
        </w:tc>
        <w:tc>
          <w:tcPr>
            <w:tcW w:w="2300" w:type="dxa"/>
            <w:vAlign w:val="bottom"/>
            <w:tcBorders>
              <w:bottom w:val="single" w:sz="8" w:color="auto"/>
              <w:right w:val="single" w:sz="8" w:color="auto"/>
            </w:tcBorders>
            <w:gridSpan w:val="2"/>
          </w:tcPr>
          <w:p>
            <w:pPr>
              <w:jc w:val="right"/>
              <w:spacing w:after="0" w:line="250" w:lineRule="exact"/>
              <w:rPr>
                <w:sz w:val="20"/>
                <w:szCs w:val="20"/>
                <w:color w:val="auto"/>
              </w:rPr>
            </w:pPr>
            <w:r>
              <w:rPr>
                <w:rFonts w:ascii="Arial" w:cs="Arial" w:eastAsia="Arial" w:hAnsi="Arial"/>
                <w:sz w:val="15"/>
                <w:szCs w:val="15"/>
                <w:color w:val="auto"/>
              </w:rPr>
              <w:t xml:space="preserve">6 (5 after Annual Meeting) </w:t>
            </w:r>
            <w:r>
              <w:rPr>
                <w:rFonts w:ascii="Arial" w:cs="Arial" w:eastAsia="Arial" w:hAnsi="Arial"/>
                <w:sz w:val="28"/>
                <w:szCs w:val="28"/>
                <w:color w:val="auto"/>
                <w:vertAlign w:val="superscript"/>
              </w:rPr>
              <w:t>​</w:t>
            </w:r>
          </w:p>
        </w:tc>
      </w:tr>
      <w:tr>
        <w:trPr>
          <w:trHeight w:val="250"/>
        </w:trPr>
        <w:tc>
          <w:tcPr>
            <w:tcW w:w="3240" w:type="dxa"/>
            <w:vAlign w:val="bottom"/>
            <w:tcBorders>
              <w:left w:val="single" w:sz="8" w:color="auto"/>
              <w:bottom w:val="single" w:sz="8" w:color="auto"/>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Lead Independent Director</w:t>
            </w:r>
          </w:p>
        </w:tc>
        <w:tc>
          <w:tcPr>
            <w:tcW w:w="26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 ​</w:t>
            </w:r>
          </w:p>
        </w:tc>
        <w:tc>
          <w:tcPr>
            <w:tcW w:w="1780" w:type="dxa"/>
            <w:vAlign w:val="bottom"/>
            <w:tcBorders>
              <w:bottom w:val="single" w:sz="8" w:color="auto"/>
            </w:tcBorders>
          </w:tcPr>
          <w:p>
            <w:pPr>
              <w:jc w:val="center"/>
              <w:ind w:left="313"/>
              <w:spacing w:after="0"/>
              <w:rPr>
                <w:sz w:val="20"/>
                <w:szCs w:val="20"/>
                <w:color w:val="auto"/>
              </w:rPr>
            </w:pPr>
            <w:r>
              <w:rPr>
                <w:rFonts w:ascii="Arial" w:cs="Arial" w:eastAsia="Arial" w:hAnsi="Arial"/>
                <w:sz w:val="18"/>
                <w:szCs w:val="18"/>
                <w:color w:val="auto"/>
                <w:w w:val="96"/>
              </w:rPr>
              <w:t>Yes</w:t>
            </w: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240" w:type="dxa"/>
            <w:vAlign w:val="bottom"/>
            <w:tcBorders>
              <w:left w:val="single" w:sz="8" w:color="auto"/>
              <w:bottom w:val="single" w:sz="8" w:color="auto"/>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Board Self-Evaluation</w:t>
            </w:r>
          </w:p>
        </w:tc>
        <w:tc>
          <w:tcPr>
            <w:tcW w:w="26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 ​</w:t>
            </w:r>
          </w:p>
        </w:tc>
        <w:tc>
          <w:tcPr>
            <w:tcW w:w="1780" w:type="dxa"/>
            <w:vAlign w:val="bottom"/>
            <w:tcBorders>
              <w:bottom w:val="single" w:sz="8" w:color="auto"/>
            </w:tcBorders>
          </w:tcPr>
          <w:p>
            <w:pPr>
              <w:jc w:val="center"/>
              <w:ind w:left="313"/>
              <w:spacing w:after="0"/>
              <w:rPr>
                <w:sz w:val="20"/>
                <w:szCs w:val="20"/>
                <w:color w:val="auto"/>
              </w:rPr>
            </w:pPr>
            <w:r>
              <w:rPr>
                <w:rFonts w:ascii="Arial" w:cs="Arial" w:eastAsia="Arial" w:hAnsi="Arial"/>
                <w:sz w:val="18"/>
                <w:szCs w:val="18"/>
                <w:color w:val="auto"/>
                <w:w w:val="96"/>
              </w:rPr>
              <w:t>Annual</w:t>
            </w: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240" w:type="dxa"/>
            <w:vAlign w:val="bottom"/>
            <w:tcBorders>
              <w:left w:val="single" w:sz="8" w:color="auto"/>
              <w:bottom w:val="single" w:sz="8" w:color="auto"/>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Review of Independence of Board</w:t>
            </w:r>
          </w:p>
        </w:tc>
        <w:tc>
          <w:tcPr>
            <w:tcW w:w="26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 ​</w:t>
            </w:r>
          </w:p>
        </w:tc>
        <w:tc>
          <w:tcPr>
            <w:tcW w:w="1780" w:type="dxa"/>
            <w:vAlign w:val="bottom"/>
            <w:tcBorders>
              <w:bottom w:val="single" w:sz="8" w:color="auto"/>
            </w:tcBorders>
          </w:tcPr>
          <w:p>
            <w:pPr>
              <w:jc w:val="center"/>
              <w:ind w:left="313"/>
              <w:spacing w:after="0"/>
              <w:rPr>
                <w:sz w:val="20"/>
                <w:szCs w:val="20"/>
                <w:color w:val="auto"/>
              </w:rPr>
            </w:pPr>
            <w:r>
              <w:rPr>
                <w:rFonts w:ascii="Arial" w:cs="Arial" w:eastAsia="Arial" w:hAnsi="Arial"/>
                <w:sz w:val="18"/>
                <w:szCs w:val="18"/>
                <w:color w:val="auto"/>
                <w:w w:val="96"/>
              </w:rPr>
              <w:t>Annual</w:t>
            </w: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920" w:type="dxa"/>
            <w:vAlign w:val="bottom"/>
            <w:tcBorders>
              <w:left w:val="single" w:sz="8" w:color="auto"/>
              <w:bottom w:val="single" w:sz="8" w:color="auto"/>
            </w:tcBorders>
            <w:gridSpan w:val="2"/>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Independent Directors Meet Without Management Present</w:t>
            </w: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 ​</w:t>
            </w:r>
          </w:p>
        </w:tc>
        <w:tc>
          <w:tcPr>
            <w:tcW w:w="1780" w:type="dxa"/>
            <w:vAlign w:val="bottom"/>
            <w:tcBorders>
              <w:bottom w:val="single" w:sz="8" w:color="auto"/>
            </w:tcBorders>
          </w:tcPr>
          <w:p>
            <w:pPr>
              <w:jc w:val="center"/>
              <w:ind w:left="313"/>
              <w:spacing w:after="0"/>
              <w:rPr>
                <w:sz w:val="20"/>
                <w:szCs w:val="20"/>
                <w:color w:val="auto"/>
              </w:rPr>
            </w:pPr>
            <w:r>
              <w:rPr>
                <w:rFonts w:ascii="Arial" w:cs="Arial" w:eastAsia="Arial" w:hAnsi="Arial"/>
                <w:sz w:val="18"/>
                <w:szCs w:val="18"/>
                <w:color w:val="auto"/>
                <w:w w:val="96"/>
              </w:rPr>
              <w:t>Yes</w:t>
            </w: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920" w:type="dxa"/>
            <w:vAlign w:val="bottom"/>
            <w:tcBorders>
              <w:left w:val="single" w:sz="8" w:color="auto"/>
              <w:bottom w:val="single" w:sz="8" w:color="auto"/>
            </w:tcBorders>
            <w:gridSpan w:val="2"/>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Voting Standard for Election of Directors in Uncontested Elections</w:t>
            </w: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 ​</w:t>
            </w:r>
          </w:p>
        </w:tc>
        <w:tc>
          <w:tcPr>
            <w:tcW w:w="1780" w:type="dxa"/>
            <w:vAlign w:val="bottom"/>
            <w:tcBorders>
              <w:bottom w:val="single" w:sz="8" w:color="auto"/>
            </w:tcBorders>
          </w:tcPr>
          <w:p>
            <w:pPr>
              <w:jc w:val="center"/>
              <w:ind w:left="313"/>
              <w:spacing w:after="0"/>
              <w:rPr>
                <w:sz w:val="20"/>
                <w:szCs w:val="20"/>
                <w:color w:val="auto"/>
              </w:rPr>
            </w:pPr>
            <w:r>
              <w:rPr>
                <w:rFonts w:ascii="Arial" w:cs="Arial" w:eastAsia="Arial" w:hAnsi="Arial"/>
                <w:sz w:val="18"/>
                <w:szCs w:val="18"/>
                <w:color w:val="auto"/>
                <w:w w:val="96"/>
              </w:rPr>
              <w:t>Plurality</w:t>
            </w: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920" w:type="dxa"/>
            <w:vAlign w:val="bottom"/>
            <w:tcBorders>
              <w:left w:val="single" w:sz="8" w:color="auto"/>
              <w:bottom w:val="single" w:sz="8" w:color="auto"/>
            </w:tcBorders>
            <w:gridSpan w:val="2"/>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Diversity of Board background, experience and skills</w:t>
            </w: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 ​</w:t>
            </w:r>
          </w:p>
        </w:tc>
        <w:tc>
          <w:tcPr>
            <w:tcW w:w="1780" w:type="dxa"/>
            <w:vAlign w:val="bottom"/>
            <w:tcBorders>
              <w:bottom w:val="single" w:sz="8" w:color="auto"/>
            </w:tcBorders>
          </w:tcPr>
          <w:p>
            <w:pPr>
              <w:jc w:val="center"/>
              <w:ind w:left="313"/>
              <w:spacing w:after="0"/>
              <w:rPr>
                <w:sz w:val="20"/>
                <w:szCs w:val="20"/>
                <w:color w:val="auto"/>
              </w:rPr>
            </w:pPr>
            <w:r>
              <w:rPr>
                <w:rFonts w:ascii="Arial" w:cs="Arial" w:eastAsia="Arial" w:hAnsi="Arial"/>
                <w:sz w:val="18"/>
                <w:szCs w:val="18"/>
                <w:color w:val="auto"/>
                <w:w w:val="96"/>
              </w:rPr>
              <w:t>Yes</w:t>
            </w: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19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RECENT CORPORATE HIGHLIGHTS</w:t>
      </w:r>
    </w:p>
    <w:p>
      <w:pPr>
        <w:spacing w:after="0" w:line="117" w:lineRule="exact"/>
        <w:rPr>
          <w:sz w:val="20"/>
          <w:szCs w:val="20"/>
          <w:color w:val="auto"/>
        </w:rPr>
      </w:pPr>
    </w:p>
    <w:p>
      <w:pPr>
        <w:jc w:val="both"/>
        <w:ind w:left="1420" w:right="19" w:hanging="190"/>
        <w:spacing w:after="0" w:line="259" w:lineRule="auto"/>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November 2025, we announced our plans to develop a beta islet program, CNTY-813, for Type 1 diabetes, or T1D. We are leveraging our deep expertise in selective iPSC differentiation to advance this program, engineered with Allo-Evasion™ 5.0, toward clinical evaluation subject to regulatory clearance. We have moved CNTY-813 into IND-enabling studies and anticipate submission of an IND application as early as 2026.</w:t>
      </w:r>
    </w:p>
    <w:p>
      <w:pPr>
        <w:spacing w:after="0" w:line="71" w:lineRule="exact"/>
        <w:rPr>
          <w:rFonts w:ascii="Arial" w:cs="Arial" w:eastAsia="Arial" w:hAnsi="Arial"/>
          <w:sz w:val="18"/>
          <w:szCs w:val="18"/>
          <w:color w:val="auto"/>
        </w:rPr>
      </w:pPr>
    </w:p>
    <w:p>
      <w:pPr>
        <w:jc w:val="both"/>
        <w:ind w:left="1420" w:right="39" w:hanging="190"/>
        <w:spacing w:after="0" w:line="259" w:lineRule="auto"/>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also continue to make progress with IND-enabling studies for CNTY-308, a CD19-targeted CD4+/CD8+ αβ CAR-iT cell therapy functionally comparable to primary T cells and engineered with Allo-Evasion™ 5.0. CNTY-308 is being developed as a potential treatment for B-cell-mediated diseases. Following successful completion of these IND-enabling studies, and the receipt of requisite regulatory authorization, we expect to initiate clinical studies in 2026.</w:t>
      </w:r>
    </w:p>
    <w:p>
      <w:pPr>
        <w:spacing w:after="0" w:line="71" w:lineRule="exact"/>
        <w:rPr>
          <w:rFonts w:ascii="Arial" w:cs="Arial" w:eastAsia="Arial" w:hAnsi="Arial"/>
          <w:sz w:val="18"/>
          <w:szCs w:val="18"/>
          <w:color w:val="auto"/>
        </w:rPr>
      </w:pPr>
    </w:p>
    <w:p>
      <w:pPr>
        <w:jc w:val="both"/>
        <w:ind w:left="1420" w:right="19" w:hanging="190"/>
        <w:spacing w:after="0" w:line="278" w:lineRule="auto"/>
        <w:tabs>
          <w:tab w:leader="none" w:pos="142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 November 2025, we also announced that we will prioritize clinical development activities for CNTY-101, a CAR-iNK cell therapy with six precision gene edits, in CARAMEL, a Phase 1/2 investigator sponsored trial, or IST, which is currently enrolling and dosing patients living with B-cell-mediated autoimmune diseases, led by Professors Georg Schett and Andreas Mackensen and is sponsored by the Friedrich-Alexander University Erlangen-Nürnberg. Investigators of the CARAMEL IST presented initial data in December 2025.</w:t>
      </w:r>
    </w:p>
    <w:p>
      <w:pPr>
        <w:spacing w:after="0" w:line="55" w:lineRule="exact"/>
        <w:rPr>
          <w:rFonts w:ascii="Arial" w:cs="Arial" w:eastAsia="Arial" w:hAnsi="Arial"/>
          <w:sz w:val="17"/>
          <w:szCs w:val="17"/>
          <w:color w:val="auto"/>
        </w:rPr>
      </w:pPr>
    </w:p>
    <w:p>
      <w:pPr>
        <w:jc w:val="both"/>
        <w:ind w:left="1420" w:right="19" w:hanging="190"/>
        <w:spacing w:after="0" w:line="262" w:lineRule="auto"/>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December 2025, Han Lee, Ph.D., M.B.A., and Martin Murphy, Ph.D., were appointed to our Board. As part of their appointments, Dr. Lee serves as a member of the Audit and the Compensation Committees and Dr. Murphy serves as Chair of the Compensation Committee and a member of the Nominating and Corporate Governance Committee.</w:t>
      </w:r>
    </w:p>
    <w:p>
      <w:pPr>
        <w:spacing w:after="0" w:line="284" w:lineRule="exact"/>
        <w:rPr>
          <w:sz w:val="20"/>
          <w:szCs w:val="20"/>
          <w:color w:val="auto"/>
        </w:rPr>
      </w:pPr>
    </w:p>
    <w:p>
      <w:pPr>
        <w:ind w:left="362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140970</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​SUMMARY INFORMATION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1420" w:right="19" w:hanging="190"/>
        <w:spacing w:after="0" w:line="262"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January 2026, we entered into a securities purchase agreement led by new investor TCGX with participation from additional new and existing investors, including RA Capital Management, Commodore Capital, Deep Track Capital, RTW Investments, Venrock Healthcare Capital Partners, and the T1D Fund. The gross proceeds were approximately $135 million before placement agent fees and offering expenses.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58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rPr>
          <w:sz w:val="20"/>
          <w:szCs w:val="20"/>
          <w:color w:val="auto"/>
        </w:rPr>
      </w:pPr>
      <w:r>
        <w:rPr>
          <w:rFonts w:ascii="Arial" w:cs="Arial" w:eastAsia="Arial" w:hAnsi="Arial"/>
          <w:sz w:val="32"/>
          <w:szCs w:val="32"/>
          <w:b w:val="1"/>
          <w:bCs w:val="1"/>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12"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SUMMARY</w:t>
      </w:r>
      <w:r>
        <w:rPr>
          <w:rFonts w:ascii="Arial" w:cs="Arial" w:eastAsia="Arial" w:hAnsi="Arial"/>
          <w:sz w:val="18"/>
          <w:szCs w:val="18"/>
          <w:color w:val="000000"/>
        </w:rPr>
        <w:t>​</w:t>
      </w:r>
      <w:r>
        <w:rPr>
          <w:rFonts w:ascii="Arial" w:cs="Arial" w:eastAsia="Arial" w:hAnsi="Arial"/>
          <w:sz w:val="18"/>
          <w:szCs w:val="18"/>
          <w:color w:val="0000EE"/>
        </w:rPr>
        <w:t xml:space="preserv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-110490</wp:posOffset>
            </wp:positionV>
            <wp:extent cx="5700395"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00395" cy="120015"/>
                    </a:xfrm>
                    <a:prstGeom prst="rect">
                      <a:avLst/>
                    </a:prstGeom>
                    <a:noFill/>
                  </pic:spPr>
                </pic:pic>
              </a:graphicData>
            </a:graphic>
          </wp:anchor>
        </w:drawing>
      </w:r>
    </w:p>
    <w:p>
      <w:pPr>
        <w:spacing w:after="0" w:line="25" w:lineRule="exact"/>
        <w:rPr>
          <w:sz w:val="20"/>
          <w:szCs w:val="20"/>
          <w:color w:val="auto"/>
        </w:rPr>
      </w:pPr>
    </w:p>
    <w:p>
      <w:pPr>
        <w:ind w:left="1600" w:hanging="730"/>
        <w:spacing w:after="0"/>
        <w:tabs>
          <w:tab w:leader="none" w:pos="16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EE"/>
        </w:rPr>
        <w:t>CORPORATE GOVERNANCE HIGHLIGHTS</w:t>
      </w:r>
    </w:p>
    <w:p>
      <w:pPr>
        <w:spacing w:after="0" w:line="49" w:lineRule="exact"/>
        <w:rPr>
          <w:rFonts w:ascii="Arial" w:cs="Arial" w:eastAsia="Arial" w:hAnsi="Arial"/>
          <w:sz w:val="18"/>
          <w:szCs w:val="18"/>
          <w:color w:val="auto"/>
        </w:rPr>
      </w:pPr>
    </w:p>
    <w:p>
      <w:pPr>
        <w:ind w:left="1600" w:hanging="730"/>
        <w:spacing w:after="0"/>
        <w:tabs>
          <w:tab w:leader="none" w:pos="16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EE"/>
        </w:rPr>
        <w:t>RECENT CORPORATE HIGHLIGHTS</w:t>
      </w:r>
    </w:p>
    <w:p>
      <w:pPr>
        <w:spacing w:after="0" w:line="49" w:lineRule="exact"/>
        <w:rPr>
          <w:rFonts w:ascii="Arial" w:cs="Arial" w:eastAsia="Arial" w:hAnsi="Arial"/>
          <w:sz w:val="18"/>
          <w:szCs w:val="18"/>
          <w:color w:val="auto"/>
        </w:rPr>
      </w:pPr>
    </w:p>
    <w:p>
      <w:pPr>
        <w:ind w:left="1600" w:hanging="730"/>
        <w:spacing w:after="0"/>
        <w:tabs>
          <w:tab w:leader="none" w:pos="16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EE"/>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-313055</wp:posOffset>
            </wp:positionV>
            <wp:extent cx="5700395"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00395" cy="16256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12065</wp:posOffset>
            </wp:positionV>
            <wp:extent cx="5700395" cy="214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00395" cy="214630"/>
                    </a:xfrm>
                    <a:prstGeom prst="rect">
                      <a:avLst/>
                    </a:prstGeom>
                    <a:noFill/>
                  </pic:spPr>
                </pic:pic>
              </a:graphicData>
            </a:graphic>
          </wp:anchor>
        </w:drawing>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GENERAL</w:t>
      </w:r>
      <w:r>
        <w:rPr>
          <w:rFonts w:ascii="Arial" w:cs="Arial" w:eastAsia="Arial" w:hAnsi="Arial"/>
          <w:sz w:val="18"/>
          <w:szCs w:val="18"/>
          <w:color w:val="000000"/>
        </w:rPr>
        <w:t>​</w:t>
      </w:r>
      <w:r>
        <w:rPr>
          <w:rFonts w:ascii="Arial" w:cs="Arial" w:eastAsia="Arial" w:hAnsi="Arial"/>
          <w:sz w:val="18"/>
          <w:szCs w:val="18"/>
          <w:color w:val="0000EE"/>
        </w:rPr>
        <w:t xml:space="preserve"> INFORMATION ABOUT THE MEETING</w:t>
      </w:r>
    </w:p>
    <w:p>
      <w:pPr>
        <w:spacing w:after="0" w:line="59" w:lineRule="exact"/>
        <w:rPr>
          <w:sz w:val="20"/>
          <w:szCs w:val="20"/>
          <w:color w:val="auto"/>
        </w:rPr>
      </w:pPr>
    </w:p>
    <w:p>
      <w:pPr>
        <w:ind w:left="1600" w:hanging="730"/>
        <w:spacing w:after="0"/>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EE"/>
        </w:rPr>
        <w:t>PROXY SOLICITATION</w:t>
      </w:r>
    </w:p>
    <w:p>
      <w:pPr>
        <w:spacing w:after="0" w:line="49" w:lineRule="exact"/>
        <w:rPr>
          <w:rFonts w:ascii="Arial" w:cs="Arial" w:eastAsia="Arial" w:hAnsi="Arial"/>
          <w:sz w:val="18"/>
          <w:szCs w:val="18"/>
          <w:color w:val="auto"/>
        </w:rPr>
      </w:pPr>
    </w:p>
    <w:p>
      <w:pPr>
        <w:ind w:left="1600" w:hanging="730"/>
        <w:spacing w:after="0"/>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EE"/>
        </w:rPr>
        <w:t>STOCKHOLDERS ENTITLED TO VOTE</w:t>
      </w:r>
    </w:p>
    <w:p>
      <w:pPr>
        <w:spacing w:after="0" w:line="53" w:lineRule="exact"/>
        <w:rPr>
          <w:rFonts w:ascii="Arial" w:cs="Arial" w:eastAsia="Arial" w:hAnsi="Arial"/>
          <w:sz w:val="18"/>
          <w:szCs w:val="18"/>
          <w:color w:val="auto"/>
        </w:rPr>
      </w:pPr>
    </w:p>
    <w:p>
      <w:pPr>
        <w:ind w:left="1600" w:hanging="730"/>
        <w:spacing w:after="0"/>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EE"/>
        </w:rPr>
        <w:t>VOTING METHODS</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EE"/>
        </w:rPr>
        <w:t>HOW YOUR SHARES WILL BE VOTED</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EE"/>
        </w:rPr>
        <w:t>BROKER VOTING AND VOTES REQUIRED FOR EACH PROPOSAL</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EE"/>
        </w:rPr>
        <w:t>QUORUM</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EE"/>
        </w:rPr>
        <w:t>PROXY SOLICITATION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-1002030</wp:posOffset>
            </wp:positionV>
            <wp:extent cx="570039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-667385</wp:posOffset>
            </wp:positionV>
            <wp:extent cx="570039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-324485</wp:posOffset>
            </wp:positionV>
            <wp:extent cx="570039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17780</wp:posOffset>
            </wp:positionV>
            <wp:extent cx="5700395" cy="2228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00395" cy="222885"/>
                    </a:xfrm>
                    <a:prstGeom prst="rect">
                      <a:avLst/>
                    </a:prstGeom>
                    <a:noFill/>
                  </pic:spPr>
                </pic:pic>
              </a:graphicData>
            </a:graphic>
          </wp:anchor>
        </w:drawing>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BOARD</w:t>
      </w:r>
      <w:r>
        <w:rPr>
          <w:rFonts w:ascii="Arial" w:cs="Arial" w:eastAsia="Arial" w:hAnsi="Arial"/>
          <w:sz w:val="18"/>
          <w:szCs w:val="18"/>
          <w:color w:val="000000"/>
        </w:rPr>
        <w:t>​</w:t>
      </w:r>
      <w:r>
        <w:rPr>
          <w:rFonts w:ascii="Arial" w:cs="Arial" w:eastAsia="Arial" w:hAnsi="Arial"/>
          <w:sz w:val="18"/>
          <w:szCs w:val="18"/>
          <w:color w:val="0000EE"/>
        </w:rPr>
        <w:t xml:space="preserve"> OF DIRECTORS</w:t>
      </w:r>
    </w:p>
    <w:p>
      <w:pPr>
        <w:spacing w:after="0" w:line="63" w:lineRule="exact"/>
        <w:rPr>
          <w:sz w:val="20"/>
          <w:szCs w:val="20"/>
          <w:color w:val="auto"/>
        </w:rPr>
      </w:pPr>
    </w:p>
    <w:p>
      <w:pPr>
        <w:ind w:left="1600" w:hanging="730"/>
        <w:spacing w:after="0"/>
        <w:tabs>
          <w:tab w:leader="none" w:pos="16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0000EE"/>
        </w:rPr>
        <w:t>BOARD STRUCTURE AND COMPOSITION</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0000EE"/>
        </w:rPr>
        <w:t>CRITERIA FOR BOARD MEMBERSHIP</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0000EE"/>
        </w:rPr>
        <w:t>SELECTION OF CANDIDATES</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BOARD DIVERSITY</w:t>
      </w:r>
    </w:p>
    <w:p>
      <w:pPr>
        <w:spacing w:after="0" w:line="58"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7"/>
          <w:szCs w:val="17"/>
          <w:u w:val="single" w:color="auto"/>
          <w:color w:val="0000EE"/>
        </w:rPr>
        <w:t>BOARD OVERSIGHT OF COMPANY CULTURE AND ENVIRONMENTAL, SOCIAL AND</w:t>
      </w:r>
    </w:p>
    <w:p>
      <w:pPr>
        <w:spacing w:after="0" w:line="29" w:lineRule="exact"/>
        <w:rPr>
          <w:rFonts w:ascii="Arial" w:cs="Arial" w:eastAsia="Arial" w:hAnsi="Arial"/>
          <w:sz w:val="18"/>
          <w:szCs w:val="18"/>
          <w:color w:val="auto"/>
        </w:rPr>
      </w:pPr>
    </w:p>
    <w:p>
      <w:pPr>
        <w:ind w:left="1600" w:hanging="730"/>
        <w:spacing w:after="0"/>
        <w:tabs>
          <w:tab w:leader="none" w:pos="16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0000EE"/>
        </w:rPr>
        <w:t>GOVERNANCE HIGHLIGHTS</w:t>
      </w:r>
    </w:p>
    <w:p>
      <w:pPr>
        <w:spacing w:after="0" w:line="58" w:lineRule="exact"/>
        <w:rPr>
          <w:rFonts w:ascii="Arial" w:cs="Arial" w:eastAsia="Arial" w:hAnsi="Arial"/>
          <w:sz w:val="18"/>
          <w:szCs w:val="18"/>
          <w:color w:val="auto"/>
        </w:rPr>
      </w:pPr>
    </w:p>
    <w:p>
      <w:pPr>
        <w:ind w:left="1600" w:hanging="730"/>
        <w:spacing w:after="0"/>
        <w:tabs>
          <w:tab w:leader="none" w:pos="16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0000EE"/>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-975995</wp:posOffset>
            </wp:positionV>
            <wp:extent cx="570039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-633095</wp:posOffset>
            </wp:positionV>
            <wp:extent cx="570039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-153035</wp:posOffset>
            </wp:positionV>
            <wp:extent cx="570039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00395" cy="171450"/>
                    </a:xfrm>
                    <a:prstGeom prst="rect">
                      <a:avLst/>
                    </a:prstGeom>
                    <a:noFill/>
                  </pic:spPr>
                </pic:pic>
              </a:graphicData>
            </a:graphic>
          </wp:anchor>
        </w:drawing>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CORPORATE</w:t>
      </w:r>
      <w:r>
        <w:rPr>
          <w:rFonts w:ascii="Arial" w:cs="Arial" w:eastAsia="Arial" w:hAnsi="Arial"/>
          <w:sz w:val="18"/>
          <w:szCs w:val="18"/>
          <w:color w:val="000000"/>
        </w:rPr>
        <w:t>​</w:t>
      </w:r>
      <w:r>
        <w:rPr>
          <w:rFonts w:ascii="Arial" w:cs="Arial" w:eastAsia="Arial" w:hAnsi="Arial"/>
          <w:sz w:val="18"/>
          <w:szCs w:val="18"/>
          <w:color w:val="0000EE"/>
        </w:rPr>
        <w:t xml:space="preserve"> GOVERNANCE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-7620</wp:posOffset>
            </wp:positionV>
            <wp:extent cx="5700395" cy="196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00395" cy="196850"/>
                    </a:xfrm>
                    <a:prstGeom prst="rect">
                      <a:avLst/>
                    </a:prstGeom>
                    <a:noFill/>
                  </pic:spPr>
                </pic:pic>
              </a:graphicData>
            </a:graphic>
          </wp:anchor>
        </w:drawing>
      </w:r>
    </w:p>
    <w:p>
      <w:pPr>
        <w:spacing w:after="0" w:line="43" w:lineRule="exact"/>
        <w:rPr>
          <w:sz w:val="20"/>
          <w:szCs w:val="20"/>
          <w:color w:val="auto"/>
        </w:rPr>
      </w:pPr>
    </w:p>
    <w:p>
      <w:pPr>
        <w:ind w:left="1600" w:hanging="730"/>
        <w:spacing w:after="0"/>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EE"/>
        </w:rPr>
        <w:t>BOARD INDEPENDENCE</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EE"/>
        </w:rPr>
        <w:t>BOARD LEADERSHIP STRUCTURE</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EE"/>
        </w:rPr>
        <w:t>BOARD COMMITTEES</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EE"/>
        </w:rPr>
        <w:t>RISK MANAGEMENT</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EE"/>
        </w:rPr>
        <w:t>EVALUATING BOARD EFFECTIVENESS</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EE"/>
        </w:rPr>
        <w:t>CODE OF BUSINESS CONDUCT AND ETHICS</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EE"/>
        </w:rPr>
        <w:t>DIRECTOR ORIENTATION AND CONTINUING EDUCATION</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EE"/>
        </w:rPr>
        <w:t>CORPORATE GOVERNANCE GUIDELINES</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EE"/>
        </w:rPr>
        <w:t>COMPENSATION CONSULTANT</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EE"/>
        </w:rPr>
        <w:t>FAMILY RELATIONSHIPS</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EE"/>
        </w:rPr>
        <w:t>STOCKHOLDER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-1524635</wp:posOffset>
            </wp:positionV>
            <wp:extent cx="570039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-1181735</wp:posOffset>
            </wp:positionV>
            <wp:extent cx="570039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-838835</wp:posOffset>
            </wp:positionV>
            <wp:extent cx="570039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-495935</wp:posOffset>
            </wp:positionV>
            <wp:extent cx="570039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-153035</wp:posOffset>
            </wp:positionV>
            <wp:extent cx="570039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00395" cy="171450"/>
                    </a:xfrm>
                    <a:prstGeom prst="rect">
                      <a:avLst/>
                    </a:prstGeom>
                    <a:noFill/>
                  </pic:spPr>
                </pic:pic>
              </a:graphicData>
            </a:graphic>
          </wp:anchor>
        </w:drawing>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DIRECTOR</w:t>
      </w:r>
      <w:r>
        <w:rPr>
          <w:rFonts w:ascii="Arial" w:cs="Arial" w:eastAsia="Arial" w:hAnsi="Arial"/>
          <w:sz w:val="18"/>
          <w:szCs w:val="18"/>
          <w:color w:val="000000"/>
        </w:rPr>
        <w:t>​</w:t>
      </w:r>
      <w:r>
        <w:rPr>
          <w:rFonts w:ascii="Arial" w:cs="Arial" w:eastAsia="Arial" w:hAnsi="Arial"/>
          <w:sz w:val="18"/>
          <w:szCs w:val="18"/>
          <w:color w:val="0000EE"/>
        </w:rPr>
        <w:t xml:space="preser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-7620</wp:posOffset>
            </wp:positionV>
            <wp:extent cx="5700395" cy="196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00395" cy="196850"/>
                    </a:xfrm>
                    <a:prstGeom prst="rect">
                      <a:avLst/>
                    </a:prstGeom>
                    <a:noFill/>
                  </pic:spPr>
                </pic:pic>
              </a:graphicData>
            </a:graphic>
          </wp:anchor>
        </w:drawing>
      </w:r>
    </w:p>
    <w:p>
      <w:pPr>
        <w:spacing w:after="0" w:line="43" w:lineRule="exact"/>
        <w:rPr>
          <w:sz w:val="20"/>
          <w:szCs w:val="20"/>
          <w:color w:val="auto"/>
        </w:rPr>
      </w:pPr>
    </w:p>
    <w:p>
      <w:pPr>
        <w:ind w:left="1600" w:hanging="730"/>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0000EE"/>
        </w:rPr>
        <w:t>DIRECTOR COMPENSATION TABLE</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INDEPENDENT</w:t>
      </w:r>
      <w:r>
        <w:rPr>
          <w:rFonts w:ascii="Arial" w:cs="Arial" w:eastAsia="Arial" w:hAnsi="Arial"/>
          <w:sz w:val="18"/>
          <w:szCs w:val="18"/>
          <w:color w:val="000000"/>
        </w:rPr>
        <w:t>​</w:t>
      </w:r>
      <w:r>
        <w:rPr>
          <w:rFonts w:ascii="Arial" w:cs="Arial" w:eastAsia="Arial" w:hAnsi="Arial"/>
          <w:sz w:val="18"/>
          <w:szCs w:val="18"/>
          <w:color w:val="0000EE"/>
        </w:rPr>
        <w:t xml:space="preserve">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-7620</wp:posOffset>
            </wp:positionV>
            <wp:extent cx="5700395" cy="196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00395" cy="196850"/>
                    </a:xfrm>
                    <a:prstGeom prst="rect">
                      <a:avLst/>
                    </a:prstGeom>
                    <a:noFill/>
                  </pic:spPr>
                </pic:pic>
              </a:graphicData>
            </a:graphic>
          </wp:anchor>
        </w:drawing>
      </w:r>
    </w:p>
    <w:p>
      <w:pPr>
        <w:spacing w:after="0" w:line="43" w:lineRule="exact"/>
        <w:rPr>
          <w:sz w:val="20"/>
          <w:szCs w:val="20"/>
          <w:color w:val="auto"/>
        </w:rPr>
      </w:pPr>
    </w:p>
    <w:p>
      <w:pPr>
        <w:ind w:left="1600" w:hanging="730"/>
        <w:spacing w:after="0"/>
        <w:tabs>
          <w:tab w:leader="none" w:pos="16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0000EE"/>
        </w:rPr>
        <w:t>INDEPENDENT REGISTERED PUBLIC ACCOUNTING FIRM FEES</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0000EE"/>
        </w:rPr>
        <w:t>AUDIT COMMITTEE PRE-APPROVAL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17780</wp:posOffset>
            </wp:positionV>
            <wp:extent cx="5700395" cy="2228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00395" cy="222885"/>
                    </a:xfrm>
                    <a:prstGeom prst="rect">
                      <a:avLst/>
                    </a:prstGeom>
                    <a:noFill/>
                  </pic:spPr>
                </pic:pic>
              </a:graphicData>
            </a:graphic>
          </wp:anchor>
        </w:drawing>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AUDIT</w:t>
      </w:r>
      <w:r>
        <w:rPr>
          <w:rFonts w:ascii="Arial" w:cs="Arial" w:eastAsia="Arial" w:hAnsi="Arial"/>
          <w:sz w:val="18"/>
          <w:szCs w:val="18"/>
          <w:color w:val="000000"/>
        </w:rPr>
        <w:t>​</w:t>
      </w:r>
      <w:r>
        <w:rPr>
          <w:rFonts w:ascii="Arial" w:cs="Arial" w:eastAsia="Arial" w:hAnsi="Arial"/>
          <w:sz w:val="18"/>
          <w:szCs w:val="18"/>
          <w:color w:val="0000EE"/>
        </w:rPr>
        <w:t xml:space="preserve"> COMMITTEE REPORT</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EXECUTIVE</w:t>
      </w:r>
      <w:r>
        <w:rPr>
          <w:rFonts w:ascii="Arial" w:cs="Arial" w:eastAsia="Arial" w:hAnsi="Arial"/>
          <w:sz w:val="18"/>
          <w:szCs w:val="18"/>
          <w:color w:val="000000"/>
        </w:rPr>
        <w:t>​</w:t>
      </w:r>
      <w:r>
        <w:rPr>
          <w:rFonts w:ascii="Arial" w:cs="Arial" w:eastAsia="Arial" w:hAnsi="Arial"/>
          <w:sz w:val="18"/>
          <w:szCs w:val="18"/>
          <w:color w:val="0000EE"/>
        </w:rPr>
        <w:t xml:space="preser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552450</wp:posOffset>
            </wp:positionH>
            <wp:positionV relativeFrom="paragraph">
              <wp:posOffset>-7620</wp:posOffset>
            </wp:positionV>
            <wp:extent cx="12414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414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47"/>
        </w:trPr>
        <w:tc>
          <w:tcPr>
            <w:tcW w:w="260" w:type="dxa"/>
            <w:vAlign w:val="bottom"/>
          </w:tcPr>
          <w:p>
            <w:pPr>
              <w:spacing w:after="0"/>
              <w:rPr>
                <w:sz w:val="24"/>
                <w:szCs w:val="24"/>
                <w:color w:val="auto"/>
              </w:rPr>
            </w:pPr>
          </w:p>
        </w:tc>
        <w:tc>
          <w:tcPr>
            <w:tcW w:w="220" w:type="dxa"/>
            <w:vAlign w:val="bottom"/>
            <w:gridSpan w:val="7"/>
          </w:tcPr>
          <w:p>
            <w:pPr>
              <w:ind w:left="60"/>
              <w:spacing w:after="0"/>
              <w:rPr>
                <w:sz w:val="20"/>
                <w:szCs w:val="20"/>
                <w:color w:val="auto"/>
              </w:rPr>
            </w:pPr>
            <w:r>
              <w:rPr>
                <w:rFonts w:ascii="Arial" w:cs="Arial" w:eastAsia="Arial" w:hAnsi="Arial"/>
                <w:sz w:val="32"/>
                <w:szCs w:val="32"/>
                <w:b w:val="1"/>
                <w:bCs w:val="1"/>
                <w:color w:val="FFFFFF"/>
              </w:rPr>
              <w:t>​</w:t>
            </w:r>
          </w:p>
        </w:tc>
      </w:tr>
      <w:tr>
        <w:trPr>
          <w:trHeight w:val="496"/>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gridSpan w:val="4"/>
          </w:tcPr>
          <w:p>
            <w:pPr>
              <w:jc w:val="right"/>
              <w:spacing w:after="0"/>
              <w:rPr>
                <w:sz w:val="20"/>
                <w:szCs w:val="20"/>
                <w:color w:val="auto"/>
              </w:rPr>
            </w:pPr>
            <w:r>
              <w:rPr>
                <w:rFonts w:ascii="Arial" w:cs="Arial" w:eastAsia="Arial" w:hAnsi="Arial"/>
                <w:sz w:val="18"/>
                <w:szCs w:val="18"/>
                <w:u w:val="single" w:color="auto"/>
                <w:color w:val="0000EE"/>
              </w:rPr>
              <w:t>i</w:t>
            </w:r>
            <w:r>
              <w:rPr>
                <w:rFonts w:ascii="Arial" w:cs="Arial" w:eastAsia="Arial" w:hAnsi="Arial"/>
                <w:sz w:val="18"/>
                <w:szCs w:val="18"/>
                <w:color w:val="000000"/>
              </w:rPr>
              <w:t>​</w:t>
            </w:r>
          </w:p>
        </w:tc>
      </w:tr>
      <w:tr>
        <w:trPr>
          <w:trHeight w:val="194"/>
        </w:trPr>
        <w:tc>
          <w:tcPr>
            <w:tcW w:w="260" w:type="dxa"/>
            <w:vAlign w:val="bottom"/>
          </w:tcPr>
          <w:p>
            <w:pPr>
              <w:spacing w:after="0" w:line="188"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0000EE"/>
            </w:tcBorders>
            <w:gridSpan w:val="2"/>
          </w:tcPr>
          <w:p>
            <w:pPr>
              <w:spacing w:after="0" w:line="175" w:lineRule="exact"/>
              <w:rPr>
                <w:sz w:val="20"/>
                <w:szCs w:val="20"/>
                <w:color w:val="auto"/>
              </w:rPr>
            </w:pPr>
            <w:r>
              <w:rPr>
                <w:rFonts w:ascii="Arial" w:cs="Arial" w:eastAsia="Arial" w:hAnsi="Arial"/>
                <w:sz w:val="18"/>
                <w:szCs w:val="18"/>
                <w:color w:val="0000EE"/>
                <w:w w:val="74"/>
              </w:rPr>
              <w:t>ii</w:t>
            </w:r>
          </w:p>
        </w:tc>
        <w:tc>
          <w:tcPr>
            <w:tcW w:w="40" w:type="dxa"/>
            <w:vAlign w:val="bottom"/>
            <w:gridSpan w:val="2"/>
          </w:tcPr>
          <w:p>
            <w:pPr>
              <w:jc w:val="right"/>
              <w:spacing w:after="0" w:line="188" w:lineRule="exact"/>
              <w:rPr>
                <w:sz w:val="20"/>
                <w:szCs w:val="20"/>
                <w:color w:val="auto"/>
              </w:rPr>
            </w:pPr>
            <w:r>
              <w:rPr>
                <w:rFonts w:ascii="Arial" w:cs="Arial" w:eastAsia="Arial" w:hAnsi="Arial"/>
                <w:sz w:val="18"/>
                <w:szCs w:val="18"/>
                <w:color w:val="auto"/>
              </w:rPr>
              <w:t>​</w:t>
            </w:r>
          </w:p>
        </w:tc>
      </w:tr>
      <w:tr>
        <w:trPr>
          <w:trHeight w:val="237"/>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74"/>
              </w:rPr>
              <w:t>ii</w:t>
            </w:r>
          </w:p>
        </w:tc>
        <w:tc>
          <w:tcPr>
            <w:tcW w:w="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8"/>
              </w:rPr>
              <w:t>v</w:t>
            </w:r>
          </w:p>
        </w:tc>
        <w:tc>
          <w:tcPr>
            <w:tcW w:w="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1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rPr>
              <w:t>1</w:t>
            </w: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r>
      <w:tr>
        <w:trPr>
          <w:trHeight w:val="236"/>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1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rPr>
              <w:t>1</w:t>
            </w: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r>
      <w:tr>
        <w:trPr>
          <w:trHeight w:val="237"/>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1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rPr>
              <w:t>1</w:t>
            </w: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r>
      <w:tr>
        <w:trPr>
          <w:trHeight w:val="250"/>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1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rPr>
              <w:t>1</w:t>
            </w: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r>
      <w:tr>
        <w:trPr>
          <w:trHeight w:val="250"/>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1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rPr>
              <w:t>1</w:t>
            </w: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r>
      <w:tr>
        <w:trPr>
          <w:trHeight w:val="250"/>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1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rPr>
              <w:t>2</w:t>
            </w: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r>
      <w:tr>
        <w:trPr>
          <w:trHeight w:val="250"/>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1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rPr>
              <w:t>2</w:t>
            </w: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r>
      <w:tr>
        <w:trPr>
          <w:trHeight w:val="250"/>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1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rPr>
              <w:t>3</w:t>
            </w: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r>
      <w:tr>
        <w:trPr>
          <w:trHeight w:val="331"/>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1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rPr>
              <w:t>4</w:t>
            </w: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r>
      <w:tr>
        <w:trPr>
          <w:trHeight w:val="250"/>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1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rPr>
              <w:t>4</w:t>
            </w: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r>
      <w:tr>
        <w:trPr>
          <w:trHeight w:val="250"/>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1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rPr>
              <w:t>4</w:t>
            </w: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r>
      <w:tr>
        <w:trPr>
          <w:trHeight w:val="250"/>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1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79"/>
              </w:rPr>
              <w:t>4</w:t>
            </w:r>
          </w:p>
        </w:tc>
        <w:tc>
          <w:tcPr>
            <w:tcW w:w="6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322"/>
        </w:trPr>
        <w:tc>
          <w:tcPr>
            <w:tcW w:w="260" w:type="dxa"/>
            <w:vAlign w:val="bottom"/>
          </w:tcPr>
          <w:p>
            <w:pPr>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401"/>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160" w:type="dxa"/>
            <w:vAlign w:val="bottom"/>
            <w:gridSpan w:val="6"/>
          </w:tcPr>
          <w:p>
            <w:pPr>
              <w:jc w:val="right"/>
              <w:spacing w:after="0"/>
              <w:rPr>
                <w:sz w:val="20"/>
                <w:szCs w:val="20"/>
                <w:color w:val="auto"/>
              </w:rPr>
            </w:pPr>
            <w:r>
              <w:rPr>
                <w:rFonts w:ascii="Arial" w:cs="Arial" w:eastAsia="Arial" w:hAnsi="Arial"/>
                <w:sz w:val="18"/>
                <w:szCs w:val="18"/>
                <w:color w:val="0000EE"/>
              </w:rPr>
              <w:t>6</w:t>
            </w:r>
            <w:r>
              <w:rPr>
                <w:rFonts w:ascii="Arial" w:cs="Arial" w:eastAsia="Arial" w:hAnsi="Arial"/>
                <w:sz w:val="18"/>
                <w:szCs w:val="18"/>
                <w:color w:val="000000"/>
              </w:rPr>
              <w:t>​</w:t>
            </w:r>
          </w:p>
        </w:tc>
      </w:tr>
      <w:tr>
        <w:trPr>
          <w:trHeight w:val="264"/>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14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rPr>
              <w:t>7</w:t>
            </w: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10</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10</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10</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10</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10</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11</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11</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12</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12</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14</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15</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15</w:t>
      </w: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16</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17</w:t>
      </w: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18</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18</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18</w:t>
      </w: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19</w:t>
      </w: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20</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8700" w:space="720"/>
            <w:col w:w="480"/>
          </w:cols>
          <w:pgMar w:left="580" w:top="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6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​TABLE OF CONTENTS</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sectPr>
      </w:pPr>
    </w:p>
    <w:p>
      <w:pPr>
        <w:spacing w:after="0" w:line="332"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EXECUTIVE</w:t>
      </w:r>
      <w:r>
        <w:rPr>
          <w:rFonts w:ascii="Arial" w:cs="Arial" w:eastAsia="Arial" w:hAnsi="Arial"/>
          <w:sz w:val="18"/>
          <w:szCs w:val="18"/>
          <w:color w:val="000000"/>
        </w:rPr>
        <w:t>​</w:t>
      </w:r>
      <w:r>
        <w:rPr>
          <w:rFonts w:ascii="Arial" w:cs="Arial" w:eastAsia="Arial" w:hAnsi="Arial"/>
          <w:sz w:val="18"/>
          <w:szCs w:val="18"/>
          <w:color w:val="0000EE"/>
        </w:rPr>
        <w:t xml:space="preser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-110490</wp:posOffset>
            </wp:positionV>
            <wp:extent cx="5700395" cy="1200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00395" cy="120015"/>
                    </a:xfrm>
                    <a:prstGeom prst="rect">
                      <a:avLst/>
                    </a:prstGeom>
                    <a:noFill/>
                  </pic:spPr>
                </pic:pic>
              </a:graphicData>
            </a:graphic>
          </wp:anchor>
        </w:drawing>
      </w:r>
    </w:p>
    <w:p>
      <w:pPr>
        <w:spacing w:after="0" w:line="25" w:lineRule="exact"/>
        <w:rPr>
          <w:sz w:val="20"/>
          <w:szCs w:val="20"/>
          <w:color w:val="auto"/>
        </w:rPr>
      </w:pPr>
    </w:p>
    <w:p>
      <w:pPr>
        <w:ind w:left="1600" w:hanging="730"/>
        <w:spacing w:after="0"/>
        <w:tabs>
          <w:tab w:leader="none" w:pos="16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0000EE"/>
        </w:rPr>
        <w:t>SUMMARY COMPENSATION TABLE</w:t>
      </w:r>
    </w:p>
    <w:p>
      <w:pPr>
        <w:spacing w:after="0" w:line="49" w:lineRule="exact"/>
        <w:rPr>
          <w:rFonts w:ascii="Arial" w:cs="Arial" w:eastAsia="Arial" w:hAnsi="Arial"/>
          <w:sz w:val="18"/>
          <w:szCs w:val="18"/>
          <w:color w:val="auto"/>
        </w:rPr>
      </w:pPr>
    </w:p>
    <w:p>
      <w:pPr>
        <w:ind w:left="1600" w:hanging="730"/>
        <w:spacing w:after="0"/>
        <w:tabs>
          <w:tab w:leader="none" w:pos="16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0000EE"/>
        </w:rPr>
        <w:t>INSIDER TRADING POLICY</w:t>
      </w:r>
    </w:p>
    <w:p>
      <w:pPr>
        <w:spacing w:after="0" w:line="49" w:lineRule="exact"/>
        <w:rPr>
          <w:rFonts w:ascii="Arial" w:cs="Arial" w:eastAsia="Arial" w:hAnsi="Arial"/>
          <w:sz w:val="18"/>
          <w:szCs w:val="18"/>
          <w:color w:val="auto"/>
        </w:rPr>
      </w:pPr>
    </w:p>
    <w:p>
      <w:pPr>
        <w:ind w:left="1600" w:hanging="730"/>
        <w:spacing w:after="0"/>
        <w:tabs>
          <w:tab w:leader="none" w:pos="16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0000EE"/>
        </w:rPr>
        <w:t>PLEDGING AND HEDGING POLICIES</w:t>
      </w:r>
    </w:p>
    <w:p>
      <w:pPr>
        <w:spacing w:after="0" w:line="49" w:lineRule="exact"/>
        <w:rPr>
          <w:rFonts w:ascii="Arial" w:cs="Arial" w:eastAsia="Arial" w:hAnsi="Arial"/>
          <w:sz w:val="18"/>
          <w:szCs w:val="18"/>
          <w:color w:val="auto"/>
        </w:rPr>
      </w:pPr>
    </w:p>
    <w:p>
      <w:pPr>
        <w:ind w:left="1600" w:hanging="730"/>
        <w:spacing w:after="0"/>
        <w:tabs>
          <w:tab w:leader="none" w:pos="16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0000EE"/>
        </w:rPr>
        <w:t>COMPENSATION RECOVERY POLICY</w:t>
      </w:r>
    </w:p>
    <w:p>
      <w:pPr>
        <w:spacing w:after="0" w:line="53" w:lineRule="exact"/>
        <w:rPr>
          <w:rFonts w:ascii="Arial" w:cs="Arial" w:eastAsia="Arial" w:hAnsi="Arial"/>
          <w:sz w:val="18"/>
          <w:szCs w:val="18"/>
          <w:color w:val="auto"/>
        </w:rPr>
      </w:pPr>
    </w:p>
    <w:p>
      <w:pPr>
        <w:ind w:left="1600" w:hanging="730"/>
        <w:spacing w:after="0"/>
        <w:tabs>
          <w:tab w:leader="none" w:pos="16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0000EE"/>
        </w:rPr>
        <w:t>POLICIES AND PRACTICES REGARDING GRANTS OF EQUITY AWARDS</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0000EE"/>
        </w:rPr>
        <w:t>OUTSTANDING EQUITY AWARDS AT FISCAL YEAR-END</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0000EE"/>
        </w:rPr>
        <w:t>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-984885</wp:posOffset>
            </wp:positionV>
            <wp:extent cx="5700395"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-659130</wp:posOffset>
            </wp:positionV>
            <wp:extent cx="5700395"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-324485</wp:posOffset>
            </wp:positionV>
            <wp:extent cx="570039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17780</wp:posOffset>
            </wp:positionV>
            <wp:extent cx="5700395" cy="2228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00395" cy="222885"/>
                    </a:xfrm>
                    <a:prstGeom prst="rect">
                      <a:avLst/>
                    </a:prstGeom>
                    <a:noFill/>
                  </pic:spPr>
                </pic:pic>
              </a:graphicData>
            </a:graphic>
          </wp:anchor>
        </w:drawing>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CERTAIN</w:t>
      </w:r>
      <w:r>
        <w:rPr>
          <w:rFonts w:ascii="Arial" w:cs="Arial" w:eastAsia="Arial" w:hAnsi="Arial"/>
          <w:sz w:val="18"/>
          <w:szCs w:val="18"/>
          <w:color w:val="000000"/>
        </w:rPr>
        <w:t>​</w:t>
      </w:r>
      <w:r>
        <w:rPr>
          <w:rFonts w:ascii="Arial" w:cs="Arial" w:eastAsia="Arial" w:hAnsi="Arial"/>
          <w:sz w:val="18"/>
          <w:szCs w:val="18"/>
          <w:color w:val="0000EE"/>
        </w:rPr>
        <w:t xml:space="preserve"> RELATIONSHIPS AND RELATED PARTY TRANSACTIONS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EQUITY</w:t>
      </w:r>
      <w:r>
        <w:rPr>
          <w:rFonts w:ascii="Arial" w:cs="Arial" w:eastAsia="Arial" w:hAnsi="Arial"/>
          <w:sz w:val="18"/>
          <w:szCs w:val="18"/>
          <w:color w:val="000000"/>
        </w:rPr>
        <w:t>​</w:t>
      </w:r>
      <w:r>
        <w:rPr>
          <w:rFonts w:ascii="Arial" w:cs="Arial" w:eastAsia="Arial" w:hAnsi="Arial"/>
          <w:sz w:val="18"/>
          <w:szCs w:val="18"/>
          <w:color w:val="0000EE"/>
        </w:rPr>
        <w:t xml:space="preserve">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-7620</wp:posOffset>
            </wp:positionV>
            <wp:extent cx="5700395" cy="2489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00395" cy="248920"/>
                    </a:xfrm>
                    <a:prstGeom prst="rect">
                      <a:avLst/>
                    </a:prstGeom>
                    <a:noFill/>
                  </pic:spPr>
                </pic:pic>
              </a:graphicData>
            </a:graphic>
          </wp:anchor>
        </w:drawing>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SECURITY</w:t>
      </w:r>
      <w:r>
        <w:rPr>
          <w:rFonts w:ascii="Arial" w:cs="Arial" w:eastAsia="Arial" w:hAnsi="Arial"/>
          <w:sz w:val="18"/>
          <w:szCs w:val="18"/>
          <w:color w:val="000000"/>
        </w:rPr>
        <w:t>​</w:t>
      </w:r>
      <w:r>
        <w:rPr>
          <w:rFonts w:ascii="Arial" w:cs="Arial" w:eastAsia="Arial" w:hAnsi="Arial"/>
          <w:sz w:val="18"/>
          <w:szCs w:val="18"/>
          <w:color w:val="0000EE"/>
        </w:rPr>
        <w:t xml:space="preserve"> OWNERSHIP OF CERTAIN BENEFICIAL OWNERS AND MANAGEMENT</w:t>
      </w:r>
    </w:p>
    <w:p>
      <w:pPr>
        <w:spacing w:after="0" w:line="63" w:lineRule="exact"/>
        <w:rPr>
          <w:sz w:val="20"/>
          <w:szCs w:val="20"/>
          <w:color w:val="auto"/>
        </w:rPr>
      </w:pPr>
    </w:p>
    <w:p>
      <w:pPr>
        <w:ind w:left="1600" w:hanging="730"/>
        <w:spacing w:after="0"/>
        <w:tabs>
          <w:tab w:leader="none" w:pos="16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0000EE"/>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17780</wp:posOffset>
            </wp:positionV>
            <wp:extent cx="5700395" cy="2228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00395" cy="222885"/>
                    </a:xfrm>
                    <a:prstGeom prst="rect">
                      <a:avLst/>
                    </a:prstGeom>
                    <a:noFill/>
                  </pic:spPr>
                </pic:pic>
              </a:graphicData>
            </a:graphic>
          </wp:anchor>
        </w:drawing>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ITEMS</w:t>
      </w:r>
      <w:r>
        <w:rPr>
          <w:rFonts w:ascii="Arial" w:cs="Arial" w:eastAsia="Arial" w:hAnsi="Arial"/>
          <w:sz w:val="18"/>
          <w:szCs w:val="18"/>
          <w:color w:val="000000"/>
        </w:rPr>
        <w:t>​</w:t>
      </w:r>
      <w:r>
        <w:rPr>
          <w:rFonts w:ascii="Arial" w:cs="Arial" w:eastAsia="Arial" w:hAnsi="Arial"/>
          <w:sz w:val="18"/>
          <w:szCs w:val="18"/>
          <w:color w:val="0000EE"/>
        </w:rPr>
        <w:t xml:space="preserve"> TO BE VOTED ON</w:t>
      </w:r>
    </w:p>
    <w:p>
      <w:pPr>
        <w:spacing w:after="0" w:line="59" w:lineRule="exact"/>
        <w:rPr>
          <w:sz w:val="20"/>
          <w:szCs w:val="20"/>
          <w:color w:val="auto"/>
        </w:rPr>
      </w:pPr>
    </w:p>
    <w:p>
      <w:pPr>
        <w:ind w:left="1600"/>
        <w:spacing w:after="0"/>
        <w:rPr>
          <w:sz w:val="20"/>
          <w:szCs w:val="20"/>
          <w:color w:val="auto"/>
        </w:rPr>
      </w:pPr>
      <w:r>
        <w:rPr>
          <w:rFonts w:ascii="Arial" w:cs="Arial" w:eastAsia="Arial" w:hAnsi="Arial"/>
          <w:sz w:val="18"/>
          <w:szCs w:val="18"/>
          <w:u w:val="single" w:color="auto"/>
          <w:color w:val="0000EE"/>
        </w:rPr>
        <w:t>PROPOSAL 1: ELECTION OF CLASS II DIRECTORS FOR A THREE-YEAR TERM</w:t>
      </w:r>
    </w:p>
    <w:p>
      <w:pPr>
        <w:spacing w:after="0" w:line="18" w:lineRule="exact"/>
        <w:rPr>
          <w:sz w:val="20"/>
          <w:szCs w:val="20"/>
          <w:color w:val="auto"/>
        </w:rPr>
      </w:pPr>
    </w:p>
    <w:p>
      <w:pPr>
        <w:ind w:left="1600" w:hanging="730"/>
        <w:spacing w:after="0"/>
        <w:tabs>
          <w:tab w:leader="none" w:pos="16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0000EE"/>
        </w:rPr>
        <w:t>EXPIRING IN 2028</w:t>
      </w:r>
    </w:p>
    <w:p>
      <w:pPr>
        <w:spacing w:after="0" w:line="45"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u w:val="single" w:color="auto"/>
          <w:color w:val="0000EE"/>
        </w:rPr>
        <w:t>PROPOSAL 2: RATIFICATION OF APPOINTMENT OF ERNST &amp; YOUNG LLP AS OUR</w:t>
      </w:r>
    </w:p>
    <w:p>
      <w:pPr>
        <w:spacing w:after="0" w:line="27" w:lineRule="exact"/>
        <w:rPr>
          <w:rFonts w:ascii="Arial" w:cs="Arial" w:eastAsia="Arial" w:hAnsi="Arial"/>
          <w:sz w:val="18"/>
          <w:szCs w:val="18"/>
          <w:color w:val="auto"/>
        </w:rPr>
      </w:pPr>
    </w:p>
    <w:p>
      <w:pPr>
        <w:ind w:left="1600" w:hanging="730"/>
        <w:spacing w:after="0"/>
        <w:tabs>
          <w:tab w:leader="none" w:pos="16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0000EE"/>
        </w:rPr>
        <w:t>INDEPENDENT REGISTERED PUBLIC ACCOUNTING FIRM FOR 2026</w:t>
      </w:r>
    </w:p>
    <w:p>
      <w:pPr>
        <w:spacing w:after="0" w:line="45" w:lineRule="exact"/>
        <w:rPr>
          <w:rFonts w:ascii="Arial" w:cs="Arial" w:eastAsia="Arial" w:hAnsi="Arial"/>
          <w:sz w:val="18"/>
          <w:szCs w:val="18"/>
          <w:color w:val="auto"/>
        </w:rPr>
      </w:pPr>
    </w:p>
    <w:p>
      <w:pPr>
        <w:ind w:left="1600"/>
        <w:spacing w:after="0" w:line="272" w:lineRule="auto"/>
        <w:rPr>
          <w:rFonts w:ascii="Arial" w:cs="Arial" w:eastAsia="Arial" w:hAnsi="Arial"/>
          <w:sz w:val="18"/>
          <w:szCs w:val="18"/>
          <w:color w:val="auto"/>
        </w:rPr>
      </w:pPr>
      <w:r>
        <w:rPr>
          <w:rFonts w:ascii="Arial" w:cs="Arial" w:eastAsia="Arial" w:hAnsi="Arial"/>
          <w:sz w:val="17"/>
          <w:szCs w:val="17"/>
          <w:u w:val="single" w:color="auto"/>
          <w:color w:val="0000EE"/>
        </w:rPr>
        <w:t>PROPOSAL 3: APPROVAL OF AN AMENDMENT TO OUR SECOND AMENDED AND RESTATED CERTIFICATE OF INCORPORATION, AS AMENDED, TO INCREASE THE NUMBER OF AUTHORIZED SHARES OF COMMON STOCK FROM 300,000,000 TO 450,000,000</w:t>
      </w:r>
    </w:p>
    <w:p>
      <w:pPr>
        <w:spacing w:after="0" w:line="1" w:lineRule="exact"/>
        <w:rPr>
          <w:rFonts w:ascii="Arial" w:cs="Arial" w:eastAsia="Arial" w:hAnsi="Arial"/>
          <w:sz w:val="18"/>
          <w:szCs w:val="18"/>
          <w:color w:val="auto"/>
        </w:rPr>
      </w:pPr>
    </w:p>
    <w:p>
      <w:pPr>
        <w:ind w:left="1600" w:hanging="730"/>
        <w:spacing w:after="0"/>
        <w:tabs>
          <w:tab w:leader="none" w:pos="16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0000EE"/>
        </w:rPr>
        <w:t>SHARES; AND</w:t>
      </w:r>
    </w:p>
    <w:p>
      <w:pPr>
        <w:spacing w:after="0" w:line="45" w:lineRule="exact"/>
        <w:rPr>
          <w:rFonts w:ascii="Arial" w:cs="Arial" w:eastAsia="Arial" w:hAnsi="Arial"/>
          <w:sz w:val="18"/>
          <w:szCs w:val="18"/>
          <w:color w:val="auto"/>
        </w:rPr>
      </w:pPr>
    </w:p>
    <w:p>
      <w:pPr>
        <w:ind w:left="1600" w:right="320"/>
        <w:spacing w:after="0" w:line="276" w:lineRule="auto"/>
        <w:rPr>
          <w:rFonts w:ascii="Arial" w:cs="Arial" w:eastAsia="Arial" w:hAnsi="Arial"/>
          <w:sz w:val="18"/>
          <w:szCs w:val="18"/>
          <w:color w:val="auto"/>
        </w:rPr>
      </w:pPr>
      <w:r>
        <w:rPr>
          <w:rFonts w:ascii="Arial" w:cs="Arial" w:eastAsia="Arial" w:hAnsi="Arial"/>
          <w:sz w:val="17"/>
          <w:szCs w:val="17"/>
          <w:u w:val="single" w:color="auto"/>
          <w:color w:val="0000EE"/>
        </w:rPr>
        <w:t>PROPOSAL 4: ADJOURNMENT OF THE ANNUAL MEETING TO THE EXTENT THERE ARE INSUFFICIENT VOTES AT THE ANNUAL MEETING TO APPROVE THE IMMEDIATELY</w:t>
      </w:r>
    </w:p>
    <w:p>
      <w:pPr>
        <w:ind w:left="1600" w:hanging="730"/>
        <w:spacing w:after="0"/>
        <w:tabs>
          <w:tab w:leader="none" w:pos="16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0000EE"/>
        </w:rPr>
        <w:t>PRECEDING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-1322070</wp:posOffset>
            </wp:positionV>
            <wp:extent cx="5700395" cy="3086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00395" cy="30861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-430530</wp:posOffset>
            </wp:positionV>
            <wp:extent cx="5700395" cy="4457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00395" cy="445770"/>
                    </a:xfrm>
                    <a:prstGeom prst="rect">
                      <a:avLst/>
                    </a:prstGeom>
                    <a:noFill/>
                  </pic:spPr>
                </pic:pic>
              </a:graphicData>
            </a:graphic>
          </wp:anchor>
        </w:drawing>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OTHER</w:t>
      </w:r>
      <w:r>
        <w:rPr>
          <w:rFonts w:ascii="Arial" w:cs="Arial" w:eastAsia="Arial" w:hAnsi="Arial"/>
          <w:sz w:val="18"/>
          <w:szCs w:val="18"/>
          <w:color w:val="000000"/>
        </w:rPr>
        <w:t>​</w:t>
      </w:r>
      <w:r>
        <w:rPr>
          <w:rFonts w:ascii="Arial" w:cs="Arial" w:eastAsia="Arial" w:hAnsi="Arial"/>
          <w:sz w:val="18"/>
          <w:szCs w:val="18"/>
          <w:color w:val="0000EE"/>
        </w:rPr>
        <w:t xml:space="preserv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-7620</wp:posOffset>
            </wp:positionV>
            <wp:extent cx="5700395" cy="1968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00395" cy="196850"/>
                    </a:xfrm>
                    <a:prstGeom prst="rect">
                      <a:avLst/>
                    </a:prstGeom>
                    <a:noFill/>
                  </pic:spPr>
                </pic:pic>
              </a:graphicData>
            </a:graphic>
          </wp:anchor>
        </w:drawing>
      </w:r>
    </w:p>
    <w:p>
      <w:pPr>
        <w:spacing w:after="0" w:line="43" w:lineRule="exact"/>
        <w:rPr>
          <w:sz w:val="20"/>
          <w:szCs w:val="20"/>
          <w:color w:val="auto"/>
        </w:rPr>
      </w:pPr>
    </w:p>
    <w:p>
      <w:pPr>
        <w:ind w:left="1600" w:hanging="730"/>
        <w:spacing w:after="0"/>
        <w:tabs>
          <w:tab w:leader="none" w:pos="16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0000EE"/>
        </w:rPr>
        <w:t>OTHER MATTERS</w:t>
      </w:r>
    </w:p>
    <w:p>
      <w:pPr>
        <w:spacing w:after="0" w:line="58"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u w:val="single" w:color="auto"/>
          <w:color w:val="0000EE"/>
        </w:rPr>
        <w:t>REQUIREMENTS FOR SUBMISSION OF STOCKHOLDER PROPOSALS FOR NEXT YEAR’S</w:t>
      </w:r>
    </w:p>
    <w:p>
      <w:pPr>
        <w:spacing w:after="0" w:line="17" w:lineRule="exact"/>
        <w:rPr>
          <w:rFonts w:ascii="Arial" w:cs="Arial" w:eastAsia="Arial" w:hAnsi="Arial"/>
          <w:sz w:val="18"/>
          <w:szCs w:val="18"/>
          <w:color w:val="auto"/>
        </w:rPr>
      </w:pPr>
    </w:p>
    <w:p>
      <w:pPr>
        <w:ind w:left="1600" w:hanging="730"/>
        <w:spacing w:after="0"/>
        <w:tabs>
          <w:tab w:leader="none" w:pos="16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0000EE"/>
        </w:rPr>
        <w:t>ANNUAL MEETING</w:t>
      </w:r>
    </w:p>
    <w:p>
      <w:pPr>
        <w:spacing w:after="0" w:line="58" w:lineRule="exact"/>
        <w:rPr>
          <w:rFonts w:ascii="Arial" w:cs="Arial" w:eastAsia="Arial" w:hAnsi="Arial"/>
          <w:sz w:val="18"/>
          <w:szCs w:val="18"/>
          <w:color w:val="auto"/>
        </w:rPr>
      </w:pPr>
    </w:p>
    <w:p>
      <w:pPr>
        <w:ind w:left="1600" w:hanging="730"/>
        <w:spacing w:after="0"/>
        <w:tabs>
          <w:tab w:leader="none" w:pos="16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0000EE"/>
        </w:rPr>
        <w:t>STOCKHOLDER COMMUNICATIONS TO THE BOARD</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0000EE"/>
        </w:rPr>
        <w:t>AVAILABILITY OF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-324485</wp:posOffset>
            </wp:positionV>
            <wp:extent cx="570039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0039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21</w:t>
      </w:r>
      <w:r>
        <w:rPr>
          <w:rFonts w:ascii="Arial" w:cs="Arial" w:eastAsia="Arial" w:hAnsi="Arial"/>
          <w:sz w:val="18"/>
          <w:szCs w:val="18"/>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21</w:t>
      </w:r>
      <w:r>
        <w:rPr>
          <w:rFonts w:ascii="Arial" w:cs="Arial" w:eastAsia="Arial" w:hAnsi="Arial"/>
          <w:sz w:val="18"/>
          <w:szCs w:val="18"/>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23</w:t>
      </w:r>
      <w:r>
        <w:rPr>
          <w:rFonts w:ascii="Arial" w:cs="Arial" w:eastAsia="Arial" w:hAnsi="Arial"/>
          <w:sz w:val="18"/>
          <w:szCs w:val="18"/>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23</w:t>
      </w:r>
      <w:r>
        <w:rPr>
          <w:rFonts w:ascii="Arial" w:cs="Arial" w:eastAsia="Arial" w:hAnsi="Arial"/>
          <w:sz w:val="18"/>
          <w:szCs w:val="18"/>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23</w:t>
      </w:r>
      <w:r>
        <w:rPr>
          <w:rFonts w:ascii="Arial" w:cs="Arial" w:eastAsia="Arial" w:hAnsi="Arial"/>
          <w:sz w:val="18"/>
          <w:szCs w:val="18"/>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23</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24</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25</w:t>
      </w: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28</w:t>
      </w: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30</w:t>
      </w: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31</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33</w:t>
      </w: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34</w:t>
      </w: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34</w:t>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35</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36</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39</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40</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40</w:t>
      </w: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40</w:t>
      </w: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40</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41</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340" w:space="120"/>
            <w:col w:w="440"/>
          </w:cols>
          <w:pgMar w:left="580" w:top="97" w:right="1419" w:bottom="1440" w:gutter="0" w:footer="0" w:header="0"/>
          <w:type w:val="continuous"/>
        </w:sectPr>
      </w:pPr>
    </w:p>
    <w:p>
      <w:pPr>
        <w:spacing w:after="0" w:line="16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PROXY STATEMENT</w:t>
      </w:r>
    </w:p>
    <w:p>
      <w:pPr>
        <w:spacing w:after="0" w:line="158" w:lineRule="exact"/>
        <w:rPr>
          <w:sz w:val="20"/>
          <w:szCs w:val="20"/>
          <w:color w:val="auto"/>
        </w:rPr>
      </w:pPr>
    </w:p>
    <w:p>
      <w:pPr>
        <w:jc w:val="both"/>
        <w:ind w:left="880" w:right="60"/>
        <w:spacing w:after="0" w:line="259" w:lineRule="auto"/>
        <w:rPr>
          <w:sz w:val="20"/>
          <w:szCs w:val="20"/>
          <w:color w:val="auto"/>
        </w:rPr>
      </w:pPr>
      <w:r>
        <w:rPr>
          <w:rFonts w:ascii="Arial" w:cs="Arial" w:eastAsia="Arial" w:hAnsi="Arial"/>
          <w:sz w:val="18"/>
          <w:szCs w:val="18"/>
          <w:color w:val="auto"/>
        </w:rPr>
        <w:t>This Proxy Statement, with the enclosed proxy card, is being furnished to stockholders of Century Therapeutics, Inc. in connection with the solicitation by our Board of proxies to be voted at our Annual Meeting and at any postponements or adjournments thereof. The Annual Meeting will be held on Thursday, June 11, 2026, at 9:00 a.m., Eastern Time, via the Internet at https://web.lumiconnect.com/265375813, using the password century2026.</w:t>
      </w:r>
    </w:p>
    <w:p>
      <w:pPr>
        <w:spacing w:after="0" w:line="112" w:lineRule="exact"/>
        <w:rPr>
          <w:sz w:val="20"/>
          <w:szCs w:val="20"/>
          <w:color w:val="auto"/>
        </w:rPr>
      </w:pPr>
    </w:p>
    <w:p>
      <w:pPr>
        <w:jc w:val="both"/>
        <w:ind w:left="880" w:right="60"/>
        <w:spacing w:after="0" w:line="268" w:lineRule="auto"/>
        <w:rPr>
          <w:sz w:val="20"/>
          <w:szCs w:val="20"/>
          <w:color w:val="auto"/>
        </w:rPr>
      </w:pPr>
      <w:r>
        <w:rPr>
          <w:rFonts w:ascii="Arial" w:cs="Arial" w:eastAsia="Arial" w:hAnsi="Arial"/>
          <w:sz w:val="18"/>
          <w:szCs w:val="18"/>
          <w:color w:val="auto"/>
        </w:rPr>
        <w:t>This Proxy Statement and the enclosed proxy card are first being furnished to our stockholders on or about April [    ], 2026. The Notice of Internet Availability of Proxy Materials being mailed to the stockholders is not part of the Proxy Statement.</w:t>
      </w:r>
    </w:p>
    <w:p>
      <w:pPr>
        <w:sectPr>
          <w:pgSz w:w="11900" w:h="16838" w:orient="portrait"/>
          <w:cols w:equalWidth="0" w:num="1">
            <w:col w:w="9900"/>
          </w:cols>
          <w:pgMar w:left="580" w:top="9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​GENERAL INFORMATION ABOUT THE MEETING</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PROXY SOLICITATION</w:t>
      </w:r>
    </w:p>
    <w:p>
      <w:pPr>
        <w:spacing w:after="0" w:line="225" w:lineRule="exact"/>
        <w:rPr>
          <w:sz w:val="20"/>
          <w:szCs w:val="20"/>
          <w:color w:val="auto"/>
        </w:rPr>
      </w:pPr>
    </w:p>
    <w:p>
      <w:pPr>
        <w:jc w:val="both"/>
        <w:ind w:left="880" w:right="19"/>
        <w:spacing w:after="0" w:line="257" w:lineRule="auto"/>
        <w:rPr>
          <w:sz w:val="20"/>
          <w:szCs w:val="20"/>
          <w:color w:val="auto"/>
        </w:rPr>
      </w:pPr>
      <w:r>
        <w:rPr>
          <w:rFonts w:ascii="Arial" w:cs="Arial" w:eastAsia="Arial" w:hAnsi="Arial"/>
          <w:sz w:val="18"/>
          <w:szCs w:val="18"/>
          <w:b w:val="1"/>
          <w:bCs w:val="1"/>
          <w:color w:val="auto"/>
        </w:rPr>
        <w:t>Our Board is soliciting your vote on matters that will be presented at the Annual Meeting and at any adjournment or postponement thereof. This Proxy Statement contains information on these matters to assist you in voting your shares.</w:t>
      </w:r>
    </w:p>
    <w:p>
      <w:pPr>
        <w:spacing w:after="0" w:line="91" w:lineRule="exact"/>
        <w:rPr>
          <w:sz w:val="20"/>
          <w:szCs w:val="20"/>
          <w:color w:val="auto"/>
        </w:rPr>
      </w:pPr>
    </w:p>
    <w:p>
      <w:pPr>
        <w:jc w:val="both"/>
        <w:ind w:left="880" w:right="19"/>
        <w:spacing w:after="0" w:line="251" w:lineRule="auto"/>
        <w:rPr>
          <w:sz w:val="20"/>
          <w:szCs w:val="20"/>
          <w:color w:val="auto"/>
        </w:rPr>
      </w:pPr>
      <w:r>
        <w:rPr>
          <w:rFonts w:ascii="Arial" w:cs="Arial" w:eastAsia="Arial" w:hAnsi="Arial"/>
          <w:sz w:val="18"/>
          <w:szCs w:val="18"/>
          <w:color w:val="auto"/>
        </w:rPr>
        <w:t>This Proxy Statement and the proxy card are being furnished to our stockholders on or about April [    ], 2026. This Proxy Statement and our 2025 Annual Report are available to holders of our common stock at www.astproxyportal.com/ast/24419. If you would like to receive, without charge, a paper copy of our 2025 Annual Report, including the financial statements, please send your request to Corporate Secretary, Century Therapeutics, Inc., 25 North 38th Street, 11th Floor, Philadelphia, PA 19104.</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STOCKHOLDERS ENTITLED TO VOTE</w:t>
      </w:r>
    </w:p>
    <w:p>
      <w:pPr>
        <w:spacing w:after="0" w:line="158" w:lineRule="exact"/>
        <w:rPr>
          <w:sz w:val="20"/>
          <w:szCs w:val="20"/>
          <w:color w:val="auto"/>
        </w:rPr>
      </w:pPr>
    </w:p>
    <w:p>
      <w:pPr>
        <w:jc w:val="both"/>
        <w:ind w:left="880" w:right="39"/>
        <w:spacing w:after="0" w:line="252" w:lineRule="auto"/>
        <w:rPr>
          <w:sz w:val="20"/>
          <w:szCs w:val="20"/>
          <w:color w:val="auto"/>
        </w:rPr>
      </w:pPr>
      <w:r>
        <w:rPr>
          <w:rFonts w:ascii="Arial" w:cs="Arial" w:eastAsia="Arial" w:hAnsi="Arial"/>
          <w:sz w:val="18"/>
          <w:szCs w:val="18"/>
          <w:color w:val="auto"/>
        </w:rPr>
        <w:t>All stockholders of record of our common stock at the close of business on April 16, 2026, or the Record Date, are entitled to receive the Notice and to vote their shares at the Annual Meeting. As of that date,           shares of our common stock were outstanding. Each share is entitled to one vote on each matter properly brought to the meeting.</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VOTING METHODS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You may cast your vote in any of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1400175</wp:posOffset>
            </wp:positionH>
            <wp:positionV relativeFrom="paragraph">
              <wp:posOffset>128905</wp:posOffset>
            </wp:positionV>
            <wp:extent cx="4003040" cy="1543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00304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HOW YOUR SHARES WILL BE VOTED</w:t>
      </w:r>
    </w:p>
    <w:p>
      <w:pPr>
        <w:spacing w:after="0" w:line="158" w:lineRule="exact"/>
        <w:rPr>
          <w:sz w:val="20"/>
          <w:szCs w:val="20"/>
          <w:color w:val="auto"/>
        </w:rPr>
      </w:pPr>
    </w:p>
    <w:p>
      <w:pPr>
        <w:jc w:val="both"/>
        <w:ind w:left="880" w:right="39"/>
        <w:spacing w:after="0" w:line="252" w:lineRule="auto"/>
        <w:rPr>
          <w:sz w:val="20"/>
          <w:szCs w:val="20"/>
          <w:color w:val="auto"/>
        </w:rPr>
      </w:pPr>
      <w:r>
        <w:rPr>
          <w:rFonts w:ascii="Arial" w:cs="Arial" w:eastAsia="Arial" w:hAnsi="Arial"/>
          <w:sz w:val="18"/>
          <w:szCs w:val="18"/>
          <w:color w:val="auto"/>
        </w:rPr>
        <w:t>In each case, your shares will be voted as you instruct. If you return a signed card, but do not provide voting instructions, your shares will be voted FOR each of the proposals. If you are the record holder of your shares, you may revoke or change your vote any time before the proxy is exercised. To do so, you must do one of the following:</w:t>
      </w:r>
    </w:p>
    <w:p>
      <w:pPr>
        <w:spacing w:after="0" w:line="62" w:lineRule="exact"/>
        <w:rPr>
          <w:sz w:val="20"/>
          <w:szCs w:val="20"/>
          <w:color w:val="auto"/>
        </w:rPr>
      </w:pPr>
    </w:p>
    <w:p>
      <w:pPr>
        <w:jc w:val="both"/>
        <w:ind w:left="1420" w:right="39" w:hanging="190"/>
        <w:spacing w:after="0" w:line="268"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Vote over the Internet or by telephone as instructed above. Only your latest Internet or telephone vote is counted. You may not revoke or change your vote over the Internet or by telephone after 11:59 p.m., Eastern Time, on June 10, 2026.</w:t>
      </w:r>
    </w:p>
    <w:p>
      <w:pPr>
        <w:spacing w:after="0" w:line="62" w:lineRule="exact"/>
        <w:rPr>
          <w:rFonts w:ascii="Arial" w:cs="Arial" w:eastAsia="Arial" w:hAnsi="Arial"/>
          <w:sz w:val="18"/>
          <w:szCs w:val="18"/>
          <w:color w:val="auto"/>
        </w:rPr>
      </w:pPr>
    </w:p>
    <w:p>
      <w:pPr>
        <w:ind w:left="1420" w:right="39" w:hanging="190"/>
        <w:spacing w:after="0" w:line="287"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 a new proxy card and submit it by mail, which must be received no later than June 10, 2026. Only your latest dated proxy card will be counted.</w:t>
      </w:r>
    </w:p>
    <w:p>
      <w:pPr>
        <w:spacing w:after="0" w:line="44" w:lineRule="exact"/>
        <w:rPr>
          <w:rFonts w:ascii="Arial" w:cs="Arial" w:eastAsia="Arial" w:hAnsi="Arial"/>
          <w:sz w:val="18"/>
          <w:szCs w:val="18"/>
          <w:color w:val="auto"/>
        </w:rPr>
      </w:pPr>
    </w:p>
    <w:p>
      <w:pPr>
        <w:ind w:left="1420" w:hanging="190"/>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Give our Secretary written notice before or during the meeting that you want to revoke your proxy.</w:t>
      </w:r>
    </w:p>
    <w:p>
      <w:pPr>
        <w:spacing w:after="0" w:line="117" w:lineRule="exact"/>
        <w:rPr>
          <w:rFonts w:ascii="Arial" w:cs="Arial" w:eastAsia="Arial" w:hAnsi="Arial"/>
          <w:sz w:val="18"/>
          <w:szCs w:val="18"/>
          <w:color w:val="auto"/>
        </w:rPr>
      </w:pPr>
    </w:p>
    <w:p>
      <w:pPr>
        <w:ind w:left="1420" w:right="19" w:hanging="190"/>
        <w:spacing w:after="0" w:line="287"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Virtually attend the Annual Meeting at https://web.lumiconnect.com/265375813, using the password century2026.</w:t>
      </w:r>
    </w:p>
    <w:p>
      <w:pPr>
        <w:spacing w:after="0" w:line="72" w:lineRule="exact"/>
        <w:rPr>
          <w:sz w:val="20"/>
          <w:szCs w:val="20"/>
          <w:color w:val="auto"/>
        </w:rPr>
      </w:pPr>
    </w:p>
    <w:p>
      <w:pPr>
        <w:ind w:left="880" w:right="19"/>
        <w:spacing w:after="0" w:line="287" w:lineRule="auto"/>
        <w:rPr>
          <w:sz w:val="20"/>
          <w:szCs w:val="20"/>
          <w:color w:val="auto"/>
        </w:rPr>
      </w:pPr>
      <w:r>
        <w:rPr>
          <w:rFonts w:ascii="Arial" w:cs="Arial" w:eastAsia="Arial" w:hAnsi="Arial"/>
          <w:sz w:val="18"/>
          <w:szCs w:val="18"/>
          <w:color w:val="auto"/>
        </w:rPr>
        <w:t>If your shares are held by your broker, bank or other holder of record as a nominee or agent (i.e., the shares are held in “street name”), you should follow the instructions provided by your broker, bank or other holder of record.</w:t>
      </w:r>
    </w:p>
    <w:p>
      <w:pPr>
        <w:spacing w:after="0" w:line="72" w:lineRule="exact"/>
        <w:rPr>
          <w:sz w:val="20"/>
          <w:szCs w:val="20"/>
          <w:color w:val="auto"/>
        </w:rPr>
      </w:pPr>
    </w:p>
    <w:p>
      <w:pPr>
        <w:ind w:left="880" w:right="39"/>
        <w:spacing w:after="0" w:line="301" w:lineRule="auto"/>
        <w:rPr>
          <w:sz w:val="20"/>
          <w:szCs w:val="20"/>
          <w:color w:val="auto"/>
        </w:rPr>
      </w:pPr>
      <w:r>
        <w:rPr>
          <w:rFonts w:ascii="Arial" w:cs="Arial" w:eastAsia="Arial" w:hAnsi="Arial"/>
          <w:sz w:val="17"/>
          <w:szCs w:val="17"/>
          <w:i w:val="1"/>
          <w:iCs w:val="1"/>
          <w:color w:val="auto"/>
        </w:rPr>
        <w:t>Deadline for Voting</w:t>
      </w:r>
      <w:r>
        <w:rPr>
          <w:rFonts w:ascii="Arial" w:cs="Arial" w:eastAsia="Arial" w:hAnsi="Arial"/>
          <w:sz w:val="17"/>
          <w:szCs w:val="17"/>
          <w:color w:val="auto"/>
        </w:rPr>
        <w:t>. The deadline for voting by telephone or Internet, other than by virtually attending the Annual</w:t>
      </w:r>
      <w:r>
        <w:rPr>
          <w:rFonts w:ascii="Arial" w:cs="Arial" w:eastAsia="Arial" w:hAnsi="Arial"/>
          <w:sz w:val="17"/>
          <w:szCs w:val="17"/>
          <w:i w:val="1"/>
          <w:iCs w:val="1"/>
          <w:color w:val="auto"/>
        </w:rPr>
        <w:t xml:space="preserve"> </w:t>
      </w:r>
      <w:r>
        <w:rPr>
          <w:rFonts w:ascii="Arial" w:cs="Arial" w:eastAsia="Arial" w:hAnsi="Arial"/>
          <w:sz w:val="17"/>
          <w:szCs w:val="17"/>
          <w:color w:val="auto"/>
        </w:rPr>
        <w:t>Meeting, is 11:59 p.m. Eastern Time on June 10, 2026. If you are a registered stockholder and virtually attend the</w:t>
      </w:r>
    </w:p>
    <w:p>
      <w:pPr>
        <w:spacing w:after="0" w:line="239"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​GENERAL INFORMATION ABOUT THE MEETING</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19"/>
        <w:spacing w:after="0" w:line="287" w:lineRule="auto"/>
        <w:rPr>
          <w:sz w:val="20"/>
          <w:szCs w:val="20"/>
          <w:color w:val="auto"/>
        </w:rPr>
      </w:pPr>
      <w:r>
        <w:rPr>
          <w:rFonts w:ascii="Arial" w:cs="Arial" w:eastAsia="Arial" w:hAnsi="Arial"/>
          <w:sz w:val="18"/>
          <w:szCs w:val="18"/>
          <w:color w:val="auto"/>
        </w:rPr>
        <w:t>Annual Meeting, you may deliver your vote online during the Annual Meeting. “Street name” stockholders who wish to vote at the Annual Meeting will need to obtain a proxy form from the institution that holds their shares.</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BROKER VOTING AND VOTES REQUIRED FOR EACH PROPOSAL</w:t>
      </w:r>
    </w:p>
    <w:p>
      <w:pPr>
        <w:spacing w:after="0" w:line="158" w:lineRule="exact"/>
        <w:rPr>
          <w:sz w:val="20"/>
          <w:szCs w:val="20"/>
          <w:color w:val="auto"/>
        </w:rPr>
      </w:pPr>
    </w:p>
    <w:p>
      <w:pPr>
        <w:jc w:val="both"/>
        <w:ind w:left="880" w:right="19"/>
        <w:spacing w:after="0" w:line="267" w:lineRule="auto"/>
        <w:rPr>
          <w:sz w:val="20"/>
          <w:szCs w:val="20"/>
          <w:color w:val="auto"/>
        </w:rPr>
      </w:pPr>
      <w:r>
        <w:rPr>
          <w:rFonts w:ascii="Arial" w:cs="Arial" w:eastAsia="Arial" w:hAnsi="Arial"/>
          <w:sz w:val="18"/>
          <w:szCs w:val="18"/>
          <w:color w:val="auto"/>
        </w:rPr>
        <w:t>If your shares are held in a stock brokerage account or by a bank or other holder of record, you are considered the “beneficial owner” of shares held in street name. The Notice has been forwarded to you by your broker, bank or other holder of record who is considered the stockholder of record of those shares. As the beneficial owner, you may direct your broker, bank or other holder of record on how to vote your shares by using the proxy card included in the materials made available or by following their instructions for voting on the Internet.</w:t>
      </w:r>
    </w:p>
    <w:p>
      <w:pPr>
        <w:spacing w:after="0" w:line="118" w:lineRule="exact"/>
        <w:rPr>
          <w:sz w:val="20"/>
          <w:szCs w:val="20"/>
          <w:color w:val="auto"/>
        </w:rPr>
      </w:pPr>
    </w:p>
    <w:p>
      <w:pPr>
        <w:jc w:val="both"/>
        <w:ind w:left="880" w:right="39"/>
        <w:spacing w:after="0" w:line="273" w:lineRule="auto"/>
        <w:rPr>
          <w:sz w:val="20"/>
          <w:szCs w:val="20"/>
          <w:color w:val="auto"/>
        </w:rPr>
      </w:pPr>
      <w:r>
        <w:rPr>
          <w:rFonts w:ascii="Arial" w:cs="Arial" w:eastAsia="Arial" w:hAnsi="Arial"/>
          <w:sz w:val="18"/>
          <w:szCs w:val="18"/>
          <w:color w:val="auto"/>
        </w:rPr>
        <w:t>A broker non-vote occurs when a broker or other nominee that holds shares for another does not vote on a particular item because the nominee does not have discretionary voting authority for that item and has not received instructions from the beneficial owner of the shares. The following table summarizes how votes withheld, broker non-votes and abstentions are treated with respect to our proposals:</w:t>
      </w:r>
    </w:p>
    <w:p>
      <w:pPr>
        <w:spacing w:after="0" w:line="137" w:lineRule="exact"/>
        <w:rPr>
          <w:sz w:val="20"/>
          <w:szCs w:val="20"/>
          <w:color w:val="auto"/>
        </w:rPr>
      </w:pPr>
    </w:p>
    <w:tbl>
      <w:tblPr>
        <w:tblLayout w:type="fixed"/>
        <w:tblInd w:w="870" w:type="dxa"/>
        <w:tblCellMar>
          <w:top w:w="0" w:type="dxa"/>
          <w:left w:w="0" w:type="dxa"/>
          <w:bottom w:w="0" w:type="dxa"/>
          <w:right w:w="0" w:type="dxa"/>
        </w:tblCellMar>
      </w:tblPr>
      <w:tr>
        <w:trPr>
          <w:trHeight w:val="257"/>
        </w:trPr>
        <w:tc>
          <w:tcPr>
            <w:tcW w:w="120" w:type="dxa"/>
            <w:vAlign w:val="bottom"/>
            <w:tcBorders>
              <w:top w:val="single" w:sz="8" w:color="auto"/>
              <w:left w:val="single" w:sz="8" w:color="auto"/>
            </w:tcBorders>
            <w:vMerge w:val="restart"/>
            <w:shd w:val="clear" w:color="auto" w:fill="148CD9"/>
          </w:tcPr>
          <w:p>
            <w:pPr>
              <w:ind w:left="80"/>
              <w:spacing w:after="0"/>
              <w:rPr>
                <w:sz w:val="20"/>
                <w:szCs w:val="20"/>
                <w:color w:val="auto"/>
              </w:rPr>
            </w:pPr>
            <w:r>
              <w:rPr>
                <w:rFonts w:ascii="Arial" w:cs="Arial" w:eastAsia="Arial" w:hAnsi="Arial"/>
                <w:sz w:val="16"/>
                <w:szCs w:val="16"/>
                <w:b w:val="1"/>
                <w:bCs w:val="1"/>
                <w:color w:val="FFFFFF"/>
              </w:rPr>
              <w:t>​</w:t>
            </w:r>
          </w:p>
        </w:tc>
        <w:tc>
          <w:tcPr>
            <w:tcW w:w="2560" w:type="dxa"/>
            <w:vAlign w:val="bottom"/>
            <w:tcBorders>
              <w:top w:val="single" w:sz="8" w:color="auto"/>
            </w:tcBorders>
            <w:vMerge w:val="restart"/>
            <w:shd w:val="clear" w:color="auto" w:fill="148CD9"/>
          </w:tcPr>
          <w:p>
            <w:pPr>
              <w:ind w:left="560"/>
              <w:spacing w:after="0"/>
              <w:rPr>
                <w:sz w:val="20"/>
                <w:szCs w:val="20"/>
                <w:color w:val="auto"/>
              </w:rPr>
            </w:pPr>
            <w:r>
              <w:rPr>
                <w:rFonts w:ascii="Arial" w:cs="Arial" w:eastAsia="Arial" w:hAnsi="Arial"/>
                <w:sz w:val="16"/>
                <w:szCs w:val="16"/>
                <w:b w:val="1"/>
                <w:bCs w:val="1"/>
                <w:color w:val="FFFFFF"/>
              </w:rPr>
              <w:t>VOTING MATTERS</w:t>
            </w:r>
          </w:p>
        </w:tc>
        <w:tc>
          <w:tcPr>
            <w:tcW w:w="260" w:type="dxa"/>
            <w:vAlign w:val="bottom"/>
            <w:tcBorders>
              <w:top w:val="single" w:sz="8" w:color="auto"/>
            </w:tcBorders>
            <w:vMerge w:val="restart"/>
            <w:shd w:val="clear" w:color="auto" w:fill="148CD9"/>
          </w:tcPr>
          <w:p>
            <w:pPr>
              <w:ind w:left="40"/>
              <w:spacing w:after="0"/>
              <w:rPr>
                <w:sz w:val="20"/>
                <w:szCs w:val="20"/>
                <w:color w:val="auto"/>
              </w:rPr>
            </w:pPr>
            <w:r>
              <w:rPr>
                <w:rFonts w:ascii="Arial" w:cs="Arial" w:eastAsia="Arial" w:hAnsi="Arial"/>
                <w:sz w:val="16"/>
                <w:szCs w:val="16"/>
                <w:b w:val="1"/>
                <w:bCs w:val="1"/>
                <w:color w:val="FFFFFF"/>
              </w:rPr>
              <w:t>​ ​</w:t>
            </w:r>
          </w:p>
        </w:tc>
        <w:tc>
          <w:tcPr>
            <w:tcW w:w="1740" w:type="dxa"/>
            <w:vAlign w:val="bottom"/>
            <w:tcBorders>
              <w:top w:val="single" w:sz="8" w:color="auto"/>
            </w:tcBorders>
            <w:vMerge w:val="restart"/>
            <w:shd w:val="clear" w:color="auto" w:fill="148CD9"/>
          </w:tcPr>
          <w:p>
            <w:pPr>
              <w:jc w:val="center"/>
              <w:spacing w:after="0"/>
              <w:rPr>
                <w:sz w:val="20"/>
                <w:szCs w:val="20"/>
                <w:color w:val="auto"/>
              </w:rPr>
            </w:pPr>
            <w:r>
              <w:rPr>
                <w:rFonts w:ascii="Arial" w:cs="Arial" w:eastAsia="Arial" w:hAnsi="Arial"/>
                <w:sz w:val="16"/>
                <w:szCs w:val="16"/>
                <w:b w:val="1"/>
                <w:bCs w:val="1"/>
                <w:color w:val="FFFFFF"/>
                <w:w w:val="99"/>
              </w:rPr>
              <w:t>VOTES REQUIRED</w:t>
            </w:r>
          </w:p>
        </w:tc>
        <w:tc>
          <w:tcPr>
            <w:tcW w:w="260" w:type="dxa"/>
            <w:vAlign w:val="bottom"/>
            <w:tcBorders>
              <w:top w:val="single" w:sz="8" w:color="auto"/>
            </w:tcBorders>
            <w:vMerge w:val="restart"/>
            <w:shd w:val="clear" w:color="auto" w:fill="148CD9"/>
          </w:tcPr>
          <w:p>
            <w:pPr>
              <w:ind w:left="100"/>
              <w:spacing w:after="0"/>
              <w:rPr>
                <w:sz w:val="20"/>
                <w:szCs w:val="20"/>
                <w:color w:val="auto"/>
              </w:rPr>
            </w:pPr>
            <w:r>
              <w:rPr>
                <w:rFonts w:ascii="Arial" w:cs="Arial" w:eastAsia="Arial" w:hAnsi="Arial"/>
                <w:sz w:val="16"/>
                <w:szCs w:val="16"/>
                <w:b w:val="1"/>
                <w:bCs w:val="1"/>
                <w:color w:val="FFFFFF"/>
              </w:rPr>
              <w:t>​ ​</w:t>
            </w:r>
          </w:p>
        </w:tc>
        <w:tc>
          <w:tcPr>
            <w:tcW w:w="1880" w:type="dxa"/>
            <w:vAlign w:val="bottom"/>
            <w:tcBorders>
              <w:top w:val="single" w:sz="8" w:color="auto"/>
            </w:tcBorders>
            <w:shd w:val="clear" w:color="auto" w:fill="148CD9"/>
          </w:tcPr>
          <w:p>
            <w:pPr>
              <w:jc w:val="center"/>
              <w:spacing w:after="0"/>
              <w:rPr>
                <w:sz w:val="20"/>
                <w:szCs w:val="20"/>
                <w:color w:val="auto"/>
              </w:rPr>
            </w:pPr>
            <w:r>
              <w:rPr>
                <w:rFonts w:ascii="Arial" w:cs="Arial" w:eastAsia="Arial" w:hAnsi="Arial"/>
                <w:sz w:val="16"/>
                <w:szCs w:val="16"/>
                <w:b w:val="1"/>
                <w:bCs w:val="1"/>
                <w:color w:val="FFFFFF"/>
                <w:w w:val="97"/>
              </w:rPr>
              <w:t>TREATMENT OF</w:t>
            </w:r>
          </w:p>
        </w:tc>
        <w:tc>
          <w:tcPr>
            <w:tcW w:w="320" w:type="dxa"/>
            <w:vAlign w:val="bottom"/>
            <w:tcBorders>
              <w:top w:val="single" w:sz="8" w:color="auto"/>
            </w:tcBorders>
            <w:vMerge w:val="restart"/>
            <w:shd w:val="clear" w:color="auto" w:fill="148CD9"/>
          </w:tcPr>
          <w:p>
            <w:pPr>
              <w:ind w:left="40"/>
              <w:spacing w:after="0"/>
              <w:rPr>
                <w:sz w:val="20"/>
                <w:szCs w:val="20"/>
                <w:color w:val="auto"/>
              </w:rPr>
            </w:pPr>
            <w:r>
              <w:rPr>
                <w:rFonts w:ascii="Arial" w:cs="Arial" w:eastAsia="Arial" w:hAnsi="Arial"/>
                <w:sz w:val="16"/>
                <w:szCs w:val="16"/>
                <w:b w:val="1"/>
                <w:bCs w:val="1"/>
                <w:color w:val="FFFFFF"/>
              </w:rPr>
              <w:t>​ ​</w:t>
            </w:r>
          </w:p>
        </w:tc>
        <w:tc>
          <w:tcPr>
            <w:tcW w:w="1600" w:type="dxa"/>
            <w:vAlign w:val="bottom"/>
            <w:tcBorders>
              <w:top w:val="single" w:sz="8" w:color="auto"/>
            </w:tcBorders>
            <w:shd w:val="clear" w:color="auto" w:fill="148CD9"/>
          </w:tcPr>
          <w:p>
            <w:pPr>
              <w:jc w:val="center"/>
              <w:spacing w:after="0"/>
              <w:rPr>
                <w:sz w:val="20"/>
                <w:szCs w:val="20"/>
                <w:color w:val="auto"/>
              </w:rPr>
            </w:pPr>
            <w:r>
              <w:rPr>
                <w:rFonts w:ascii="Arial" w:cs="Arial" w:eastAsia="Arial" w:hAnsi="Arial"/>
                <w:sz w:val="16"/>
                <w:szCs w:val="16"/>
                <w:b w:val="1"/>
                <w:bCs w:val="1"/>
                <w:color w:val="FFFFFF"/>
                <w:w w:val="98"/>
              </w:rPr>
              <w:t>BROKER</w:t>
            </w:r>
          </w:p>
        </w:tc>
        <w:tc>
          <w:tcPr>
            <w:tcW w:w="260" w:type="dxa"/>
            <w:vAlign w:val="bottom"/>
            <w:tcBorders>
              <w:top w:val="single" w:sz="8" w:color="auto"/>
              <w:right w:val="single" w:sz="8" w:color="auto"/>
            </w:tcBorders>
            <w:vMerge w:val="restart"/>
            <w:shd w:val="clear" w:color="auto" w:fill="148CD9"/>
          </w:tcPr>
          <w:p>
            <w:pPr>
              <w:ind w:left="18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162"/>
        </w:trPr>
        <w:tc>
          <w:tcPr>
            <w:tcW w:w="120" w:type="dxa"/>
            <w:vAlign w:val="bottom"/>
            <w:tcBorders>
              <w:left w:val="single" w:sz="8" w:color="auto"/>
            </w:tcBorders>
            <w:vMerge w:val="continue"/>
            <w:shd w:val="clear" w:color="auto" w:fill="148CD9"/>
          </w:tcPr>
          <w:p>
            <w:pPr>
              <w:spacing w:after="0"/>
              <w:rPr>
                <w:sz w:val="14"/>
                <w:szCs w:val="14"/>
                <w:color w:val="auto"/>
              </w:rPr>
            </w:pPr>
          </w:p>
        </w:tc>
        <w:tc>
          <w:tcPr>
            <w:tcW w:w="2560" w:type="dxa"/>
            <w:vAlign w:val="bottom"/>
            <w:vMerge w:val="continue"/>
            <w:shd w:val="clear" w:color="auto" w:fill="148CD9"/>
          </w:tcPr>
          <w:p>
            <w:pPr>
              <w:spacing w:after="0"/>
              <w:rPr>
                <w:sz w:val="14"/>
                <w:szCs w:val="14"/>
                <w:color w:val="auto"/>
              </w:rPr>
            </w:pPr>
          </w:p>
        </w:tc>
        <w:tc>
          <w:tcPr>
            <w:tcW w:w="260" w:type="dxa"/>
            <w:vAlign w:val="bottom"/>
            <w:vMerge w:val="continue"/>
            <w:shd w:val="clear" w:color="auto" w:fill="148CD9"/>
          </w:tcPr>
          <w:p>
            <w:pPr>
              <w:spacing w:after="0"/>
              <w:rPr>
                <w:sz w:val="14"/>
                <w:szCs w:val="14"/>
                <w:color w:val="auto"/>
              </w:rPr>
            </w:pPr>
          </w:p>
        </w:tc>
        <w:tc>
          <w:tcPr>
            <w:tcW w:w="1740" w:type="dxa"/>
            <w:vAlign w:val="bottom"/>
            <w:vMerge w:val="continue"/>
            <w:shd w:val="clear" w:color="auto" w:fill="148CD9"/>
          </w:tcPr>
          <w:p>
            <w:pPr>
              <w:spacing w:after="0"/>
              <w:rPr>
                <w:sz w:val="14"/>
                <w:szCs w:val="14"/>
                <w:color w:val="auto"/>
              </w:rPr>
            </w:pPr>
          </w:p>
        </w:tc>
        <w:tc>
          <w:tcPr>
            <w:tcW w:w="260" w:type="dxa"/>
            <w:vAlign w:val="bottom"/>
            <w:vMerge w:val="continue"/>
            <w:shd w:val="clear" w:color="auto" w:fill="148CD9"/>
          </w:tcPr>
          <w:p>
            <w:pPr>
              <w:spacing w:after="0"/>
              <w:rPr>
                <w:sz w:val="14"/>
                <w:szCs w:val="14"/>
                <w:color w:val="auto"/>
              </w:rPr>
            </w:pPr>
          </w:p>
        </w:tc>
        <w:tc>
          <w:tcPr>
            <w:tcW w:w="1880" w:type="dxa"/>
            <w:vAlign w:val="bottom"/>
            <w:shd w:val="clear" w:color="auto" w:fill="148CD9"/>
          </w:tcPr>
          <w:p>
            <w:pPr>
              <w:jc w:val="center"/>
              <w:spacing w:after="0" w:line="162" w:lineRule="exact"/>
              <w:rPr>
                <w:sz w:val="20"/>
                <w:szCs w:val="20"/>
                <w:color w:val="auto"/>
              </w:rPr>
            </w:pPr>
            <w:r>
              <w:rPr>
                <w:rFonts w:ascii="Arial" w:cs="Arial" w:eastAsia="Arial" w:hAnsi="Arial"/>
                <w:sz w:val="16"/>
                <w:szCs w:val="16"/>
                <w:b w:val="1"/>
                <w:bCs w:val="1"/>
                <w:color w:val="FFFFFF"/>
              </w:rPr>
              <w:t>WITHHOLD VOTES,</w:t>
            </w:r>
          </w:p>
        </w:tc>
        <w:tc>
          <w:tcPr>
            <w:tcW w:w="320" w:type="dxa"/>
            <w:vAlign w:val="bottom"/>
            <w:vMerge w:val="continue"/>
            <w:shd w:val="clear" w:color="auto" w:fill="148CD9"/>
          </w:tcPr>
          <w:p>
            <w:pPr>
              <w:spacing w:after="0"/>
              <w:rPr>
                <w:sz w:val="14"/>
                <w:szCs w:val="14"/>
                <w:color w:val="auto"/>
              </w:rPr>
            </w:pPr>
          </w:p>
        </w:tc>
        <w:tc>
          <w:tcPr>
            <w:tcW w:w="1600" w:type="dxa"/>
            <w:vAlign w:val="bottom"/>
            <w:shd w:val="clear" w:color="auto" w:fill="148CD9"/>
          </w:tcPr>
          <w:p>
            <w:pPr>
              <w:jc w:val="center"/>
              <w:spacing w:after="0" w:line="162" w:lineRule="exact"/>
              <w:rPr>
                <w:sz w:val="20"/>
                <w:szCs w:val="20"/>
                <w:color w:val="auto"/>
              </w:rPr>
            </w:pPr>
            <w:r>
              <w:rPr>
                <w:rFonts w:ascii="Arial" w:cs="Arial" w:eastAsia="Arial" w:hAnsi="Arial"/>
                <w:sz w:val="16"/>
                <w:szCs w:val="16"/>
                <w:b w:val="1"/>
                <w:bCs w:val="1"/>
                <w:color w:val="FFFFFF"/>
                <w:w w:val="99"/>
              </w:rPr>
              <w:t>DISCRETIONARY</w:t>
            </w:r>
          </w:p>
        </w:tc>
        <w:tc>
          <w:tcPr>
            <w:tcW w:w="260" w:type="dxa"/>
            <w:vAlign w:val="bottom"/>
            <w:tcBorders>
              <w:right w:val="single" w:sz="8" w:color="auto"/>
            </w:tcBorders>
            <w:vMerge w:val="continue"/>
            <w:shd w:val="clear" w:color="auto" w:fill="148CD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Borders>
              <w:left w:val="single" w:sz="8" w:color="auto"/>
            </w:tcBorders>
            <w:shd w:val="clear" w:color="auto" w:fill="148CD9"/>
          </w:tcPr>
          <w:p>
            <w:pPr>
              <w:spacing w:after="0"/>
              <w:rPr>
                <w:sz w:val="14"/>
                <w:szCs w:val="14"/>
                <w:color w:val="auto"/>
              </w:rPr>
            </w:pPr>
          </w:p>
        </w:tc>
        <w:tc>
          <w:tcPr>
            <w:tcW w:w="2560" w:type="dxa"/>
            <w:vAlign w:val="bottom"/>
            <w:shd w:val="clear" w:color="auto" w:fill="148CD9"/>
          </w:tcPr>
          <w:p>
            <w:pPr>
              <w:spacing w:after="0"/>
              <w:rPr>
                <w:sz w:val="14"/>
                <w:szCs w:val="14"/>
                <w:color w:val="auto"/>
              </w:rPr>
            </w:pPr>
          </w:p>
        </w:tc>
        <w:tc>
          <w:tcPr>
            <w:tcW w:w="260" w:type="dxa"/>
            <w:vAlign w:val="bottom"/>
            <w:shd w:val="clear" w:color="auto" w:fill="148CD9"/>
          </w:tcPr>
          <w:p>
            <w:pPr>
              <w:spacing w:after="0"/>
              <w:rPr>
                <w:sz w:val="14"/>
                <w:szCs w:val="14"/>
                <w:color w:val="auto"/>
              </w:rPr>
            </w:pPr>
          </w:p>
        </w:tc>
        <w:tc>
          <w:tcPr>
            <w:tcW w:w="1740" w:type="dxa"/>
            <w:vAlign w:val="bottom"/>
            <w:shd w:val="clear" w:color="auto" w:fill="148CD9"/>
          </w:tcPr>
          <w:p>
            <w:pPr>
              <w:spacing w:after="0"/>
              <w:rPr>
                <w:sz w:val="14"/>
                <w:szCs w:val="14"/>
                <w:color w:val="auto"/>
              </w:rPr>
            </w:pPr>
          </w:p>
        </w:tc>
        <w:tc>
          <w:tcPr>
            <w:tcW w:w="260" w:type="dxa"/>
            <w:vAlign w:val="bottom"/>
            <w:shd w:val="clear" w:color="auto" w:fill="148CD9"/>
          </w:tcPr>
          <w:p>
            <w:pPr>
              <w:spacing w:after="0"/>
              <w:rPr>
                <w:sz w:val="14"/>
                <w:szCs w:val="14"/>
                <w:color w:val="auto"/>
              </w:rPr>
            </w:pPr>
          </w:p>
        </w:tc>
        <w:tc>
          <w:tcPr>
            <w:tcW w:w="1880" w:type="dxa"/>
            <w:vAlign w:val="bottom"/>
            <w:shd w:val="clear" w:color="auto" w:fill="148CD9"/>
          </w:tcPr>
          <w:p>
            <w:pPr>
              <w:jc w:val="center"/>
              <w:spacing w:after="0" w:line="162" w:lineRule="exact"/>
              <w:rPr>
                <w:sz w:val="20"/>
                <w:szCs w:val="20"/>
                <w:color w:val="auto"/>
              </w:rPr>
            </w:pPr>
            <w:r>
              <w:rPr>
                <w:rFonts w:ascii="Arial" w:cs="Arial" w:eastAsia="Arial" w:hAnsi="Arial"/>
                <w:sz w:val="16"/>
                <w:szCs w:val="16"/>
                <w:b w:val="1"/>
                <w:bCs w:val="1"/>
                <w:color w:val="FFFFFF"/>
              </w:rPr>
              <w:t>ABSTENTIONS AND</w:t>
            </w:r>
          </w:p>
        </w:tc>
        <w:tc>
          <w:tcPr>
            <w:tcW w:w="320" w:type="dxa"/>
            <w:vAlign w:val="bottom"/>
            <w:shd w:val="clear" w:color="auto" w:fill="148CD9"/>
          </w:tcPr>
          <w:p>
            <w:pPr>
              <w:spacing w:after="0"/>
              <w:rPr>
                <w:sz w:val="14"/>
                <w:szCs w:val="14"/>
                <w:color w:val="auto"/>
              </w:rPr>
            </w:pPr>
          </w:p>
        </w:tc>
        <w:tc>
          <w:tcPr>
            <w:tcW w:w="1600" w:type="dxa"/>
            <w:vAlign w:val="bottom"/>
            <w:shd w:val="clear" w:color="auto" w:fill="148CD9"/>
          </w:tcPr>
          <w:p>
            <w:pPr>
              <w:jc w:val="center"/>
              <w:spacing w:after="0" w:line="162" w:lineRule="exact"/>
              <w:rPr>
                <w:sz w:val="20"/>
                <w:szCs w:val="20"/>
                <w:color w:val="auto"/>
              </w:rPr>
            </w:pPr>
            <w:r>
              <w:rPr>
                <w:rFonts w:ascii="Arial" w:cs="Arial" w:eastAsia="Arial" w:hAnsi="Arial"/>
                <w:sz w:val="16"/>
                <w:szCs w:val="16"/>
                <w:b w:val="1"/>
                <w:bCs w:val="1"/>
                <w:color w:val="FFFFFF"/>
                <w:w w:val="97"/>
              </w:rPr>
              <w:t>VOTING</w:t>
            </w:r>
          </w:p>
        </w:tc>
        <w:tc>
          <w:tcPr>
            <w:tcW w:w="260" w:type="dxa"/>
            <w:vAlign w:val="bottom"/>
            <w:tcBorders>
              <w:right w:val="single" w:sz="8" w:color="auto"/>
            </w:tcBorders>
            <w:shd w:val="clear" w:color="auto" w:fill="148CD9"/>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 w:type="dxa"/>
            <w:vAlign w:val="bottom"/>
            <w:tcBorders>
              <w:left w:val="single" w:sz="8" w:color="auto"/>
              <w:bottom w:val="single" w:sz="8" w:color="auto"/>
            </w:tcBorders>
            <w:shd w:val="clear" w:color="auto" w:fill="148CD9"/>
          </w:tcPr>
          <w:p>
            <w:pPr>
              <w:spacing w:after="0"/>
              <w:rPr>
                <w:sz w:val="12"/>
                <w:szCs w:val="12"/>
                <w:color w:val="auto"/>
              </w:rPr>
            </w:pPr>
          </w:p>
        </w:tc>
        <w:tc>
          <w:tcPr>
            <w:tcW w:w="2560" w:type="dxa"/>
            <w:vAlign w:val="bottom"/>
            <w:tcBorders>
              <w:bottom w:val="single" w:sz="8" w:color="auto"/>
            </w:tcBorders>
            <w:shd w:val="clear" w:color="auto" w:fill="148CD9"/>
          </w:tcPr>
          <w:p>
            <w:pPr>
              <w:spacing w:after="0"/>
              <w:rPr>
                <w:sz w:val="12"/>
                <w:szCs w:val="12"/>
                <w:color w:val="auto"/>
              </w:rPr>
            </w:pPr>
          </w:p>
        </w:tc>
        <w:tc>
          <w:tcPr>
            <w:tcW w:w="260" w:type="dxa"/>
            <w:vAlign w:val="bottom"/>
            <w:tcBorders>
              <w:bottom w:val="single" w:sz="8" w:color="auto"/>
            </w:tcBorders>
            <w:shd w:val="clear" w:color="auto" w:fill="148CD9"/>
          </w:tcPr>
          <w:p>
            <w:pPr>
              <w:spacing w:after="0"/>
              <w:rPr>
                <w:sz w:val="12"/>
                <w:szCs w:val="12"/>
                <w:color w:val="auto"/>
              </w:rPr>
            </w:pPr>
          </w:p>
        </w:tc>
        <w:tc>
          <w:tcPr>
            <w:tcW w:w="1740" w:type="dxa"/>
            <w:vAlign w:val="bottom"/>
            <w:tcBorders>
              <w:bottom w:val="single" w:sz="8" w:color="auto"/>
            </w:tcBorders>
            <w:shd w:val="clear" w:color="auto" w:fill="148CD9"/>
          </w:tcPr>
          <w:p>
            <w:pPr>
              <w:spacing w:after="0"/>
              <w:rPr>
                <w:sz w:val="12"/>
                <w:szCs w:val="12"/>
                <w:color w:val="auto"/>
              </w:rPr>
            </w:pPr>
          </w:p>
        </w:tc>
        <w:tc>
          <w:tcPr>
            <w:tcW w:w="260" w:type="dxa"/>
            <w:vAlign w:val="bottom"/>
            <w:tcBorders>
              <w:bottom w:val="single" w:sz="8" w:color="auto"/>
            </w:tcBorders>
            <w:shd w:val="clear" w:color="auto" w:fill="148CD9"/>
          </w:tcPr>
          <w:p>
            <w:pPr>
              <w:spacing w:after="0"/>
              <w:rPr>
                <w:sz w:val="12"/>
                <w:szCs w:val="12"/>
                <w:color w:val="auto"/>
              </w:rPr>
            </w:pPr>
          </w:p>
        </w:tc>
        <w:tc>
          <w:tcPr>
            <w:tcW w:w="1880" w:type="dxa"/>
            <w:vAlign w:val="bottom"/>
            <w:tcBorders>
              <w:bottom w:val="single" w:sz="8" w:color="auto"/>
            </w:tcBorders>
            <w:shd w:val="clear" w:color="auto" w:fill="148CD9"/>
          </w:tcPr>
          <w:p>
            <w:pPr>
              <w:jc w:val="center"/>
              <w:spacing w:after="0" w:line="148" w:lineRule="exact"/>
              <w:rPr>
                <w:sz w:val="20"/>
                <w:szCs w:val="20"/>
                <w:color w:val="auto"/>
              </w:rPr>
            </w:pPr>
            <w:r>
              <w:rPr>
                <w:rFonts w:ascii="Arial" w:cs="Arial" w:eastAsia="Arial" w:hAnsi="Arial"/>
                <w:sz w:val="16"/>
                <w:szCs w:val="16"/>
                <w:b w:val="1"/>
                <w:bCs w:val="1"/>
                <w:color w:val="FFFFFF"/>
                <w:w w:val="99"/>
              </w:rPr>
              <w:t>BROKER NON-VOTES</w:t>
            </w:r>
          </w:p>
        </w:tc>
        <w:tc>
          <w:tcPr>
            <w:tcW w:w="320" w:type="dxa"/>
            <w:vAlign w:val="bottom"/>
            <w:tcBorders>
              <w:bottom w:val="single" w:sz="8" w:color="auto"/>
            </w:tcBorders>
            <w:shd w:val="clear" w:color="auto" w:fill="148CD9"/>
          </w:tcPr>
          <w:p>
            <w:pPr>
              <w:spacing w:after="0"/>
              <w:rPr>
                <w:sz w:val="12"/>
                <w:szCs w:val="12"/>
                <w:color w:val="auto"/>
              </w:rPr>
            </w:pPr>
          </w:p>
        </w:tc>
        <w:tc>
          <w:tcPr>
            <w:tcW w:w="1600" w:type="dxa"/>
            <w:vAlign w:val="bottom"/>
            <w:tcBorders>
              <w:bottom w:val="single" w:sz="8" w:color="auto"/>
            </w:tcBorders>
            <w:shd w:val="clear" w:color="auto" w:fill="148CD9"/>
          </w:tcPr>
          <w:p>
            <w:pPr>
              <w:spacing w:after="0"/>
              <w:rPr>
                <w:sz w:val="12"/>
                <w:szCs w:val="12"/>
                <w:color w:val="auto"/>
              </w:rPr>
            </w:pPr>
          </w:p>
        </w:tc>
        <w:tc>
          <w:tcPr>
            <w:tcW w:w="260" w:type="dxa"/>
            <w:vAlign w:val="bottom"/>
            <w:tcBorders>
              <w:bottom w:val="single" w:sz="8" w:color="auto"/>
              <w:right w:val="single" w:sz="8" w:color="auto"/>
            </w:tcBorders>
            <w:shd w:val="clear" w:color="auto" w:fill="148CD9"/>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120" w:type="dxa"/>
            <w:vAlign w:val="bottom"/>
            <w:tcBorders>
              <w:left w:val="single" w:sz="8" w:color="auto"/>
            </w:tcBorders>
          </w:tcPr>
          <w:p>
            <w:pPr>
              <w:spacing w:after="0"/>
              <w:rPr>
                <w:sz w:val="21"/>
                <w:szCs w:val="21"/>
                <w:color w:val="auto"/>
              </w:rPr>
            </w:pPr>
          </w:p>
        </w:tc>
        <w:tc>
          <w:tcPr>
            <w:tcW w:w="2560" w:type="dxa"/>
            <w:vAlign w:val="bottom"/>
            <w:vMerge w:val="restart"/>
          </w:tcPr>
          <w:p>
            <w:pPr>
              <w:ind w:left="20"/>
              <w:spacing w:after="0"/>
              <w:rPr>
                <w:sz w:val="20"/>
                <w:szCs w:val="20"/>
                <w:color w:val="auto"/>
              </w:rPr>
            </w:pPr>
            <w:r>
              <w:rPr>
                <w:rFonts w:ascii="Arial" w:cs="Arial" w:eastAsia="Arial" w:hAnsi="Arial"/>
                <w:sz w:val="18"/>
                <w:szCs w:val="18"/>
                <w:b w:val="1"/>
                <w:bCs w:val="1"/>
                <w:color w:val="1DA46F"/>
              </w:rPr>
              <w:t>PROPOSAL 1</w:t>
            </w:r>
            <w:r>
              <w:rPr>
                <w:rFonts w:ascii="Arial" w:cs="Arial" w:eastAsia="Arial" w:hAnsi="Arial"/>
                <w:sz w:val="18"/>
                <w:szCs w:val="18"/>
                <w:color w:val="1DA46F"/>
              </w:rPr>
              <w:t>: Election of</w:t>
            </w:r>
          </w:p>
        </w:tc>
        <w:tc>
          <w:tcPr>
            <w:tcW w:w="2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7"/>
              </w:rPr>
              <w:t>Withhold votes and</w:t>
            </w: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20" w:type="dxa"/>
            <w:vAlign w:val="bottom"/>
            <w:tcBorders>
              <w:left w:val="single" w:sz="8" w:color="auto"/>
            </w:tcBorders>
          </w:tcPr>
          <w:p>
            <w:pPr>
              <w:spacing w:after="0"/>
              <w:rPr>
                <w:sz w:val="16"/>
                <w:szCs w:val="16"/>
                <w:color w:val="auto"/>
              </w:rPr>
            </w:pPr>
          </w:p>
        </w:tc>
        <w:tc>
          <w:tcPr>
            <w:tcW w:w="25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vMerge w:val="restart"/>
          </w:tcPr>
          <w:p>
            <w:pPr>
              <w:jc w:val="center"/>
              <w:spacing w:after="0"/>
              <w:rPr>
                <w:sz w:val="20"/>
                <w:szCs w:val="20"/>
                <w:color w:val="auto"/>
              </w:rPr>
            </w:pPr>
            <w:r>
              <w:rPr>
                <w:rFonts w:ascii="Arial" w:cs="Arial" w:eastAsia="Arial" w:hAnsi="Arial"/>
                <w:sz w:val="18"/>
                <w:szCs w:val="18"/>
                <w:color w:val="auto"/>
                <w:w w:val="98"/>
              </w:rPr>
              <w:t>Plurality of the votes</w:t>
            </w:r>
          </w:p>
        </w:tc>
        <w:tc>
          <w:tcPr>
            <w:tcW w:w="260" w:type="dxa"/>
            <w:vAlign w:val="bottom"/>
          </w:tcPr>
          <w:p>
            <w:pPr>
              <w:spacing w:after="0"/>
              <w:rPr>
                <w:sz w:val="16"/>
                <w:szCs w:val="16"/>
                <w:color w:val="auto"/>
              </w:rPr>
            </w:pPr>
          </w:p>
        </w:tc>
        <w:tc>
          <w:tcPr>
            <w:tcW w:w="1880" w:type="dxa"/>
            <w:vAlign w:val="bottom"/>
          </w:tcPr>
          <w:p>
            <w:pPr>
              <w:jc w:val="center"/>
              <w:spacing w:after="0" w:line="189" w:lineRule="exact"/>
              <w:rPr>
                <w:sz w:val="20"/>
                <w:szCs w:val="20"/>
                <w:color w:val="auto"/>
              </w:rPr>
            </w:pPr>
            <w:r>
              <w:rPr>
                <w:rFonts w:ascii="Arial" w:cs="Arial" w:eastAsia="Arial" w:hAnsi="Arial"/>
                <w:sz w:val="18"/>
                <w:szCs w:val="18"/>
                <w:color w:val="auto"/>
                <w:w w:val="98"/>
              </w:rPr>
              <w:t>broker non-votes will</w:t>
            </w:r>
          </w:p>
        </w:tc>
        <w:tc>
          <w:tcPr>
            <w:tcW w:w="3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68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1DA46F"/>
              </w:rPr>
              <w:t>Class II Directors for a Three-</w:t>
            </w:r>
          </w:p>
        </w:tc>
        <w:tc>
          <w:tcPr>
            <w:tcW w:w="260" w:type="dxa"/>
            <w:vAlign w:val="bottom"/>
          </w:tcPr>
          <w:p>
            <w:pPr>
              <w:ind w:left="40"/>
              <w:spacing w:after="0"/>
              <w:rPr>
                <w:sz w:val="20"/>
                <w:szCs w:val="20"/>
                <w:color w:val="auto"/>
              </w:rPr>
            </w:pPr>
            <w:r>
              <w:rPr>
                <w:rFonts w:ascii="Arial" w:cs="Arial" w:eastAsia="Arial" w:hAnsi="Arial"/>
                <w:sz w:val="18"/>
                <w:szCs w:val="18"/>
                <w:color w:val="auto"/>
              </w:rPr>
              <w:t>​ ​</w:t>
            </w:r>
          </w:p>
        </w:tc>
        <w:tc>
          <w:tcPr>
            <w:tcW w:w="1740" w:type="dxa"/>
            <w:vAlign w:val="bottom"/>
            <w:vMerge w:val="continue"/>
          </w:tcPr>
          <w:p>
            <w:pPr>
              <w:spacing w:after="0"/>
              <w:rPr>
                <w:sz w:val="18"/>
                <w:szCs w:val="18"/>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rPr>
              <w:t>​ ​</w:t>
            </w:r>
          </w:p>
        </w:tc>
        <w:tc>
          <w:tcPr>
            <w:tcW w:w="1880" w:type="dxa"/>
            <w:vAlign w:val="bottom"/>
          </w:tcPr>
          <w:p>
            <w:pPr>
              <w:jc w:val="center"/>
              <w:spacing w:after="0"/>
              <w:rPr>
                <w:sz w:val="20"/>
                <w:szCs w:val="20"/>
                <w:color w:val="auto"/>
              </w:rPr>
            </w:pPr>
            <w:r>
              <w:rPr>
                <w:rFonts w:ascii="Arial" w:cs="Arial" w:eastAsia="Arial" w:hAnsi="Arial"/>
                <w:sz w:val="18"/>
                <w:szCs w:val="18"/>
                <w:color w:val="auto"/>
                <w:w w:val="98"/>
              </w:rPr>
              <w:t>have no effect on the</w:t>
            </w:r>
          </w:p>
        </w:tc>
        <w:tc>
          <w:tcPr>
            <w:tcW w:w="320" w:type="dxa"/>
            <w:vAlign w:val="bottom"/>
          </w:tcPr>
          <w:p>
            <w:pPr>
              <w:ind w:left="40"/>
              <w:spacing w:after="0"/>
              <w:rPr>
                <w:sz w:val="20"/>
                <w:szCs w:val="20"/>
                <w:color w:val="auto"/>
              </w:rPr>
            </w:pPr>
            <w:r>
              <w:rPr>
                <w:rFonts w:ascii="Arial" w:cs="Arial" w:eastAsia="Arial" w:hAnsi="Arial"/>
                <w:sz w:val="18"/>
                <w:szCs w:val="18"/>
                <w:color w:val="auto"/>
              </w:rPr>
              <w:t>​ ​</w:t>
            </w:r>
          </w:p>
        </w:tc>
        <w:tc>
          <w:tcPr>
            <w:tcW w:w="1600" w:type="dxa"/>
            <w:vAlign w:val="bottom"/>
          </w:tcPr>
          <w:p>
            <w:pPr>
              <w:jc w:val="center"/>
              <w:spacing w:after="0"/>
              <w:rPr>
                <w:sz w:val="20"/>
                <w:szCs w:val="20"/>
                <w:color w:val="auto"/>
              </w:rPr>
            </w:pPr>
            <w:r>
              <w:rPr>
                <w:rFonts w:ascii="Arial" w:cs="Arial" w:eastAsia="Arial" w:hAnsi="Arial"/>
                <w:sz w:val="18"/>
                <w:szCs w:val="18"/>
                <w:color w:val="auto"/>
              </w:rPr>
              <w:t>No</w:t>
            </w:r>
          </w:p>
        </w:tc>
        <w:tc>
          <w:tcPr>
            <w:tcW w:w="2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2560" w:type="dxa"/>
            <w:vAlign w:val="bottom"/>
            <w:vMerge w:val="restart"/>
          </w:tcPr>
          <w:p>
            <w:pPr>
              <w:ind w:left="20"/>
              <w:spacing w:after="0"/>
              <w:rPr>
                <w:sz w:val="20"/>
                <w:szCs w:val="20"/>
                <w:color w:val="auto"/>
              </w:rPr>
            </w:pPr>
            <w:r>
              <w:rPr>
                <w:rFonts w:ascii="Arial" w:cs="Arial" w:eastAsia="Arial" w:hAnsi="Arial"/>
                <w:sz w:val="18"/>
                <w:szCs w:val="18"/>
                <w:color w:val="1DA46F"/>
              </w:rPr>
              <w:t>Year Term Expiring in 2029</w:t>
            </w:r>
          </w:p>
        </w:tc>
        <w:tc>
          <w:tcPr>
            <w:tcW w:w="2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7"/>
              </w:rPr>
              <w:t>properly cast</w:t>
            </w:r>
          </w:p>
        </w:tc>
        <w:tc>
          <w:tcPr>
            <w:tcW w:w="260" w:type="dxa"/>
            <w:vAlign w:val="bottom"/>
          </w:tcPr>
          <w:p>
            <w:pPr>
              <w:spacing w:after="0"/>
              <w:rPr>
                <w:sz w:val="18"/>
                <w:szCs w:val="18"/>
                <w:color w:val="auto"/>
              </w:rPr>
            </w:pPr>
          </w:p>
        </w:tc>
        <w:tc>
          <w:tcPr>
            <w:tcW w:w="1880" w:type="dxa"/>
            <w:vAlign w:val="bottom"/>
            <w:vMerge w:val="restart"/>
          </w:tcPr>
          <w:p>
            <w:pPr>
              <w:jc w:val="center"/>
              <w:spacing w:after="0"/>
              <w:rPr>
                <w:sz w:val="20"/>
                <w:szCs w:val="20"/>
                <w:color w:val="auto"/>
              </w:rPr>
            </w:pPr>
            <w:r>
              <w:rPr>
                <w:rFonts w:ascii="Arial" w:cs="Arial" w:eastAsia="Arial" w:hAnsi="Arial"/>
                <w:sz w:val="18"/>
                <w:szCs w:val="18"/>
                <w:color w:val="auto"/>
                <w:w w:val="99"/>
              </w:rPr>
              <w:t>outcome of the</w:t>
            </w: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120" w:type="dxa"/>
            <w:vAlign w:val="bottom"/>
            <w:tcBorders>
              <w:left w:val="single" w:sz="8" w:color="auto"/>
            </w:tcBorders>
          </w:tcPr>
          <w:p>
            <w:pPr>
              <w:spacing w:after="0"/>
              <w:rPr>
                <w:sz w:val="3"/>
                <w:szCs w:val="3"/>
                <w:color w:val="auto"/>
              </w:rPr>
            </w:pPr>
          </w:p>
        </w:tc>
        <w:tc>
          <w:tcPr>
            <w:tcW w:w="25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8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120" w:type="dxa"/>
            <w:vAlign w:val="bottom"/>
            <w:tcBorders>
              <w:left w:val="single" w:sz="8" w:color="auto"/>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proposal</w:t>
            </w:r>
          </w:p>
        </w:tc>
        <w:tc>
          <w:tcPr>
            <w:tcW w:w="3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20" w:type="dxa"/>
            <w:vAlign w:val="bottom"/>
            <w:tcBorders>
              <w:left w:val="single" w:sz="8" w:color="auto"/>
            </w:tcBorders>
          </w:tcPr>
          <w:p>
            <w:pPr>
              <w:spacing w:after="0"/>
              <w:rPr>
                <w:sz w:val="21"/>
                <w:szCs w:val="21"/>
                <w:color w:val="auto"/>
              </w:rPr>
            </w:pPr>
          </w:p>
        </w:tc>
        <w:tc>
          <w:tcPr>
            <w:tcW w:w="2560" w:type="dxa"/>
            <w:vAlign w:val="bottom"/>
          </w:tcPr>
          <w:p>
            <w:pPr>
              <w:ind w:left="20"/>
              <w:spacing w:after="0"/>
              <w:rPr>
                <w:sz w:val="20"/>
                <w:szCs w:val="20"/>
                <w:color w:val="auto"/>
              </w:rPr>
            </w:pPr>
            <w:r>
              <w:rPr>
                <w:rFonts w:ascii="Arial" w:cs="Arial" w:eastAsia="Arial" w:hAnsi="Arial"/>
                <w:sz w:val="18"/>
                <w:szCs w:val="18"/>
                <w:b w:val="1"/>
                <w:bCs w:val="1"/>
                <w:color w:val="1DA46F"/>
              </w:rPr>
              <w:t>PROPOSAL 2</w:t>
            </w:r>
            <w:r>
              <w:rPr>
                <w:rFonts w:ascii="Arial" w:cs="Arial" w:eastAsia="Arial" w:hAnsi="Arial"/>
                <w:sz w:val="18"/>
                <w:szCs w:val="18"/>
                <w:color w:val="1DA46F"/>
              </w:rPr>
              <w:t>: Ratification of</w:t>
            </w:r>
          </w:p>
        </w:tc>
        <w:tc>
          <w:tcPr>
            <w:tcW w:w="2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vMerge w:val="restart"/>
          </w:tcPr>
          <w:p>
            <w:pPr>
              <w:jc w:val="center"/>
              <w:spacing w:after="0"/>
              <w:rPr>
                <w:sz w:val="20"/>
                <w:szCs w:val="20"/>
                <w:color w:val="auto"/>
              </w:rPr>
            </w:pPr>
            <w:r>
              <w:rPr>
                <w:rFonts w:ascii="Arial" w:cs="Arial" w:eastAsia="Arial" w:hAnsi="Arial"/>
                <w:sz w:val="18"/>
                <w:szCs w:val="18"/>
                <w:color w:val="auto"/>
                <w:w w:val="98"/>
              </w:rPr>
              <w:t>Abstentions and broker</w:t>
            </w: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120" w:type="dxa"/>
            <w:vAlign w:val="bottom"/>
            <w:tcBorders>
              <w:left w:val="single" w:sz="8" w:color="auto"/>
            </w:tcBorders>
          </w:tcPr>
          <w:p>
            <w:pPr>
              <w:spacing w:after="0"/>
              <w:rPr>
                <w:sz w:val="9"/>
                <w:szCs w:val="9"/>
                <w:color w:val="auto"/>
              </w:rPr>
            </w:pPr>
          </w:p>
        </w:tc>
        <w:tc>
          <w:tcPr>
            <w:tcW w:w="2560" w:type="dxa"/>
            <w:vAlign w:val="bottom"/>
            <w:vMerge w:val="restart"/>
          </w:tcPr>
          <w:p>
            <w:pPr>
              <w:ind w:left="20"/>
              <w:spacing w:after="0" w:line="189" w:lineRule="exact"/>
              <w:rPr>
                <w:sz w:val="20"/>
                <w:szCs w:val="20"/>
                <w:color w:val="auto"/>
              </w:rPr>
            </w:pPr>
            <w:r>
              <w:rPr>
                <w:rFonts w:ascii="Arial" w:cs="Arial" w:eastAsia="Arial" w:hAnsi="Arial"/>
                <w:sz w:val="18"/>
                <w:szCs w:val="18"/>
                <w:color w:val="1DA46F"/>
              </w:rPr>
              <w:t>Appointment of Ernst &amp; Young</w:t>
            </w:r>
          </w:p>
        </w:tc>
        <w:tc>
          <w:tcPr>
            <w:tcW w:w="260" w:type="dxa"/>
            <w:vAlign w:val="bottom"/>
          </w:tcPr>
          <w:p>
            <w:pPr>
              <w:spacing w:after="0"/>
              <w:rPr>
                <w:sz w:val="9"/>
                <w:szCs w:val="9"/>
                <w:color w:val="auto"/>
              </w:rPr>
            </w:pPr>
          </w:p>
        </w:tc>
        <w:tc>
          <w:tcPr>
            <w:tcW w:w="1740" w:type="dxa"/>
            <w:vAlign w:val="bottom"/>
            <w:vMerge w:val="restart"/>
          </w:tcPr>
          <w:p>
            <w:pPr>
              <w:jc w:val="center"/>
              <w:spacing w:after="0"/>
              <w:rPr>
                <w:sz w:val="20"/>
                <w:szCs w:val="20"/>
                <w:color w:val="auto"/>
              </w:rPr>
            </w:pPr>
            <w:r>
              <w:rPr>
                <w:rFonts w:ascii="Arial" w:cs="Arial" w:eastAsia="Arial" w:hAnsi="Arial"/>
                <w:sz w:val="18"/>
                <w:szCs w:val="18"/>
                <w:color w:val="auto"/>
                <w:w w:val="98"/>
              </w:rPr>
              <w:t>Majority of the votes</w:t>
            </w:r>
          </w:p>
        </w:tc>
        <w:tc>
          <w:tcPr>
            <w:tcW w:w="260" w:type="dxa"/>
            <w:vAlign w:val="bottom"/>
          </w:tcPr>
          <w:p>
            <w:pPr>
              <w:spacing w:after="0"/>
              <w:rPr>
                <w:sz w:val="9"/>
                <w:szCs w:val="9"/>
                <w:color w:val="auto"/>
              </w:rPr>
            </w:pPr>
          </w:p>
        </w:tc>
        <w:tc>
          <w:tcPr>
            <w:tcW w:w="18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20" w:type="dxa"/>
            <w:vAlign w:val="bottom"/>
            <w:tcBorders>
              <w:left w:val="single" w:sz="8" w:color="auto"/>
            </w:tcBorders>
          </w:tcPr>
          <w:p>
            <w:pPr>
              <w:spacing w:after="0"/>
              <w:rPr>
                <w:sz w:val="7"/>
                <w:szCs w:val="7"/>
                <w:color w:val="auto"/>
              </w:rPr>
            </w:pPr>
          </w:p>
        </w:tc>
        <w:tc>
          <w:tcPr>
            <w:tcW w:w="2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740" w:type="dxa"/>
            <w:vAlign w:val="bottom"/>
            <w:vMerge w:val="continue"/>
          </w:tcPr>
          <w:p>
            <w:pPr>
              <w:spacing w:after="0"/>
              <w:rPr>
                <w:sz w:val="7"/>
                <w:szCs w:val="7"/>
                <w:color w:val="auto"/>
              </w:rPr>
            </w:pPr>
          </w:p>
        </w:tc>
        <w:tc>
          <w:tcPr>
            <w:tcW w:w="2140" w:type="dxa"/>
            <w:vAlign w:val="bottom"/>
            <w:gridSpan w:val="2"/>
            <w:vMerge w:val="restart"/>
          </w:tcPr>
          <w:p>
            <w:pPr>
              <w:ind w:left="100"/>
              <w:spacing w:after="0" w:line="288" w:lineRule="exact"/>
              <w:rPr>
                <w:sz w:val="20"/>
                <w:szCs w:val="20"/>
                <w:color w:val="auto"/>
              </w:rPr>
            </w:pPr>
            <w:r>
              <w:rPr>
                <w:rFonts w:ascii="Arial" w:cs="Arial" w:eastAsia="Arial" w:hAnsi="Arial"/>
                <w:sz w:val="33"/>
                <w:szCs w:val="33"/>
                <w:color w:val="auto"/>
                <w:vertAlign w:val="subscript"/>
              </w:rPr>
              <w:t>​ ​</w:t>
            </w:r>
            <w:r>
              <w:rPr>
                <w:rFonts w:ascii="Arial" w:cs="Arial" w:eastAsia="Arial" w:hAnsi="Arial"/>
                <w:sz w:val="17"/>
                <w:szCs w:val="17"/>
                <w:color w:val="auto"/>
              </w:rPr>
              <w:t xml:space="preserve"> non-votes will have no</w:t>
            </w:r>
          </w:p>
        </w:tc>
        <w:tc>
          <w:tcPr>
            <w:tcW w:w="3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68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1DA46F"/>
              </w:rPr>
              <w:t>LLP as our Independent</w:t>
            </w:r>
          </w:p>
        </w:tc>
        <w:tc>
          <w:tcPr>
            <w:tcW w:w="260" w:type="dxa"/>
            <w:vAlign w:val="bottom"/>
          </w:tcPr>
          <w:p>
            <w:pPr>
              <w:ind w:left="40"/>
              <w:spacing w:after="0"/>
              <w:rPr>
                <w:sz w:val="20"/>
                <w:szCs w:val="20"/>
                <w:color w:val="auto"/>
              </w:rPr>
            </w:pPr>
            <w:r>
              <w:rPr>
                <w:rFonts w:ascii="Arial" w:cs="Arial" w:eastAsia="Arial" w:hAnsi="Arial"/>
                <w:sz w:val="18"/>
                <w:szCs w:val="18"/>
                <w:color w:val="auto"/>
              </w:rPr>
              <w:t>​ ​</w:t>
            </w:r>
          </w:p>
        </w:tc>
        <w:tc>
          <w:tcPr>
            <w:tcW w:w="1740" w:type="dxa"/>
            <w:vAlign w:val="bottom"/>
            <w:vMerge w:val="continue"/>
          </w:tcPr>
          <w:p>
            <w:pPr>
              <w:spacing w:after="0"/>
              <w:rPr>
                <w:sz w:val="18"/>
                <w:szCs w:val="18"/>
                <w:color w:val="auto"/>
              </w:rPr>
            </w:pPr>
          </w:p>
        </w:tc>
        <w:tc>
          <w:tcPr>
            <w:tcW w:w="2140" w:type="dxa"/>
            <w:vAlign w:val="bottom"/>
            <w:gridSpan w:val="2"/>
            <w:vMerge w:val="continue"/>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 ​</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Yes</w:t>
            </w:r>
          </w:p>
        </w:tc>
        <w:tc>
          <w:tcPr>
            <w:tcW w:w="2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3"/>
        </w:trPr>
        <w:tc>
          <w:tcPr>
            <w:tcW w:w="120" w:type="dxa"/>
            <w:vAlign w:val="bottom"/>
            <w:tcBorders>
              <w:left w:val="single" w:sz="8" w:color="auto"/>
            </w:tcBorders>
          </w:tcPr>
          <w:p>
            <w:pPr>
              <w:spacing w:after="0"/>
              <w:rPr>
                <w:sz w:val="12"/>
                <w:szCs w:val="12"/>
                <w:color w:val="auto"/>
              </w:rPr>
            </w:pPr>
          </w:p>
        </w:tc>
        <w:tc>
          <w:tcPr>
            <w:tcW w:w="2560" w:type="dxa"/>
            <w:vAlign w:val="bottom"/>
            <w:vMerge w:val="restart"/>
          </w:tcPr>
          <w:p>
            <w:pPr>
              <w:ind w:left="20"/>
              <w:spacing w:after="0"/>
              <w:rPr>
                <w:sz w:val="20"/>
                <w:szCs w:val="20"/>
                <w:color w:val="auto"/>
              </w:rPr>
            </w:pPr>
            <w:r>
              <w:rPr>
                <w:rFonts w:ascii="Arial" w:cs="Arial" w:eastAsia="Arial" w:hAnsi="Arial"/>
                <w:sz w:val="18"/>
                <w:szCs w:val="18"/>
                <w:color w:val="1DA46F"/>
              </w:rPr>
              <w:t>Registered Public Accounting</w:t>
            </w:r>
          </w:p>
        </w:tc>
        <w:tc>
          <w:tcPr>
            <w:tcW w:w="260" w:type="dxa"/>
            <w:vAlign w:val="bottom"/>
          </w:tcPr>
          <w:p>
            <w:pPr>
              <w:spacing w:after="0"/>
              <w:rPr>
                <w:sz w:val="12"/>
                <w:szCs w:val="12"/>
                <w:color w:val="auto"/>
              </w:rPr>
            </w:pPr>
          </w:p>
        </w:tc>
        <w:tc>
          <w:tcPr>
            <w:tcW w:w="1740" w:type="dxa"/>
            <w:vAlign w:val="bottom"/>
          </w:tcPr>
          <w:p>
            <w:pPr>
              <w:jc w:val="center"/>
              <w:spacing w:after="0" w:line="143" w:lineRule="exact"/>
              <w:rPr>
                <w:sz w:val="20"/>
                <w:szCs w:val="20"/>
                <w:color w:val="auto"/>
              </w:rPr>
            </w:pPr>
            <w:r>
              <w:rPr>
                <w:rFonts w:ascii="Arial" w:cs="Arial" w:eastAsia="Arial" w:hAnsi="Arial"/>
                <w:sz w:val="16"/>
                <w:szCs w:val="16"/>
                <w:color w:val="auto"/>
              </w:rPr>
              <w:t>properly cast</w:t>
            </w:r>
          </w:p>
        </w:tc>
        <w:tc>
          <w:tcPr>
            <w:tcW w:w="260" w:type="dxa"/>
            <w:vAlign w:val="bottom"/>
          </w:tcPr>
          <w:p>
            <w:pPr>
              <w:spacing w:after="0"/>
              <w:rPr>
                <w:sz w:val="12"/>
                <w:szCs w:val="12"/>
                <w:color w:val="auto"/>
              </w:rPr>
            </w:pPr>
          </w:p>
        </w:tc>
        <w:tc>
          <w:tcPr>
            <w:tcW w:w="1880" w:type="dxa"/>
            <w:vAlign w:val="bottom"/>
          </w:tcPr>
          <w:p>
            <w:pPr>
              <w:jc w:val="center"/>
              <w:spacing w:after="0" w:line="143" w:lineRule="exact"/>
              <w:rPr>
                <w:sz w:val="20"/>
                <w:szCs w:val="20"/>
                <w:color w:val="auto"/>
              </w:rPr>
            </w:pPr>
            <w:r>
              <w:rPr>
                <w:rFonts w:ascii="Arial" w:cs="Arial" w:eastAsia="Arial" w:hAnsi="Arial"/>
                <w:sz w:val="16"/>
                <w:szCs w:val="16"/>
                <w:color w:val="auto"/>
              </w:rPr>
              <w:t>effect on the outcome</w:t>
            </w:r>
          </w:p>
        </w:tc>
        <w:tc>
          <w:tcPr>
            <w:tcW w:w="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20" w:type="dxa"/>
            <w:vAlign w:val="bottom"/>
            <w:tcBorders>
              <w:left w:val="single" w:sz="8" w:color="auto"/>
            </w:tcBorders>
          </w:tcPr>
          <w:p>
            <w:pPr>
              <w:spacing w:after="0"/>
              <w:rPr>
                <w:sz w:val="9"/>
                <w:szCs w:val="9"/>
                <w:color w:val="auto"/>
              </w:rPr>
            </w:pPr>
          </w:p>
        </w:tc>
        <w:tc>
          <w:tcPr>
            <w:tcW w:w="25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80" w:type="dxa"/>
            <w:vAlign w:val="bottom"/>
            <w:vMerge w:val="restart"/>
          </w:tcPr>
          <w:p>
            <w:pPr>
              <w:jc w:val="center"/>
              <w:spacing w:after="0"/>
              <w:rPr>
                <w:sz w:val="20"/>
                <w:szCs w:val="20"/>
                <w:color w:val="auto"/>
              </w:rPr>
            </w:pPr>
            <w:r>
              <w:rPr>
                <w:rFonts w:ascii="Arial" w:cs="Arial" w:eastAsia="Arial" w:hAnsi="Arial"/>
                <w:sz w:val="18"/>
                <w:szCs w:val="18"/>
                <w:color w:val="auto"/>
                <w:w w:val="99"/>
              </w:rPr>
              <w:t>of the proposal</w:t>
            </w:r>
          </w:p>
        </w:tc>
        <w:tc>
          <w:tcPr>
            <w:tcW w:w="3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20" w:type="dxa"/>
            <w:vAlign w:val="bottom"/>
            <w:tcBorders>
              <w:left w:val="single" w:sz="8" w:color="auto"/>
            </w:tcBorders>
          </w:tcPr>
          <w:p>
            <w:pPr>
              <w:spacing w:after="0"/>
              <w:rPr>
                <w:sz w:val="11"/>
                <w:szCs w:val="11"/>
                <w:color w:val="auto"/>
              </w:rPr>
            </w:pPr>
          </w:p>
        </w:tc>
        <w:tc>
          <w:tcPr>
            <w:tcW w:w="2560" w:type="dxa"/>
            <w:vAlign w:val="bottom"/>
            <w:vMerge w:val="restart"/>
          </w:tcPr>
          <w:p>
            <w:pPr>
              <w:ind w:left="20"/>
              <w:spacing w:after="0"/>
              <w:rPr>
                <w:sz w:val="20"/>
                <w:szCs w:val="20"/>
                <w:color w:val="auto"/>
              </w:rPr>
            </w:pPr>
            <w:r>
              <w:rPr>
                <w:rFonts w:ascii="Arial" w:cs="Arial" w:eastAsia="Arial" w:hAnsi="Arial"/>
                <w:sz w:val="18"/>
                <w:szCs w:val="18"/>
                <w:color w:val="1DA46F"/>
              </w:rPr>
              <w:t>Firm for 2026</w:t>
            </w:r>
          </w:p>
        </w:tc>
        <w:tc>
          <w:tcPr>
            <w:tcW w:w="2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20" w:type="dxa"/>
            <w:vAlign w:val="bottom"/>
            <w:tcBorders>
              <w:left w:val="single" w:sz="8" w:color="auto"/>
              <w:bottom w:val="single" w:sz="8" w:color="auto"/>
            </w:tcBorders>
          </w:tcPr>
          <w:p>
            <w:pPr>
              <w:spacing w:after="0"/>
              <w:rPr>
                <w:sz w:val="9"/>
                <w:szCs w:val="9"/>
                <w:color w:val="auto"/>
              </w:rPr>
            </w:pPr>
          </w:p>
        </w:tc>
        <w:tc>
          <w:tcPr>
            <w:tcW w:w="2560" w:type="dxa"/>
            <w:vAlign w:val="bottom"/>
            <w:tcBorders>
              <w:bottom w:val="single" w:sz="8" w:color="auto"/>
            </w:tcBorders>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2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120" w:type="dxa"/>
            <w:vAlign w:val="bottom"/>
            <w:tcBorders>
              <w:left w:val="single" w:sz="8" w:color="auto"/>
            </w:tcBorders>
          </w:tcPr>
          <w:p>
            <w:pPr>
              <w:spacing w:after="0"/>
              <w:rPr>
                <w:sz w:val="21"/>
                <w:szCs w:val="21"/>
                <w:color w:val="auto"/>
              </w:rPr>
            </w:pPr>
          </w:p>
        </w:tc>
        <w:tc>
          <w:tcPr>
            <w:tcW w:w="2560" w:type="dxa"/>
            <w:vAlign w:val="bottom"/>
          </w:tcPr>
          <w:p>
            <w:pPr>
              <w:ind w:left="20"/>
              <w:spacing w:after="0"/>
              <w:rPr>
                <w:sz w:val="20"/>
                <w:szCs w:val="20"/>
                <w:color w:val="auto"/>
              </w:rPr>
            </w:pPr>
            <w:r>
              <w:rPr>
                <w:rFonts w:ascii="Arial" w:cs="Arial" w:eastAsia="Arial" w:hAnsi="Arial"/>
                <w:sz w:val="18"/>
                <w:szCs w:val="18"/>
                <w:b w:val="1"/>
                <w:bCs w:val="1"/>
                <w:color w:val="1DA46F"/>
              </w:rPr>
              <w:t>PROPOSAL 3</w:t>
            </w:r>
            <w:r>
              <w:rPr>
                <w:rFonts w:ascii="Arial" w:cs="Arial" w:eastAsia="Arial" w:hAnsi="Arial"/>
                <w:sz w:val="18"/>
                <w:szCs w:val="18"/>
                <w:color w:val="1DA46F"/>
              </w:rPr>
              <w:t>: Approval of an</w:t>
            </w:r>
          </w:p>
        </w:tc>
        <w:tc>
          <w:tcPr>
            <w:tcW w:w="260" w:type="dxa"/>
            <w:vAlign w:val="bottom"/>
          </w:tcPr>
          <w:p>
            <w:pPr>
              <w:spacing w:after="0"/>
              <w:rPr>
                <w:sz w:val="21"/>
                <w:szCs w:val="21"/>
                <w:color w:val="auto"/>
              </w:rPr>
            </w:pPr>
          </w:p>
        </w:tc>
        <w:tc>
          <w:tcPr>
            <w:tcW w:w="1740" w:type="dxa"/>
            <w:vAlign w:val="bottom"/>
            <w:vMerge w:val="restart"/>
          </w:tcPr>
          <w:p>
            <w:pPr>
              <w:jc w:val="center"/>
              <w:spacing w:after="0"/>
              <w:rPr>
                <w:sz w:val="20"/>
                <w:szCs w:val="20"/>
                <w:color w:val="auto"/>
              </w:rPr>
            </w:pPr>
            <w:r>
              <w:rPr>
                <w:rFonts w:ascii="Arial" w:cs="Arial" w:eastAsia="Arial" w:hAnsi="Arial"/>
                <w:sz w:val="18"/>
                <w:szCs w:val="18"/>
                <w:color w:val="auto"/>
                <w:w w:val="98"/>
              </w:rPr>
              <w:t>Majority of shares of</w:t>
            </w:r>
          </w:p>
        </w:tc>
        <w:tc>
          <w:tcPr>
            <w:tcW w:w="260" w:type="dxa"/>
            <w:vAlign w:val="bottom"/>
          </w:tcPr>
          <w:p>
            <w:pPr>
              <w:spacing w:after="0"/>
              <w:rPr>
                <w:sz w:val="21"/>
                <w:szCs w:val="21"/>
                <w:color w:val="auto"/>
              </w:rPr>
            </w:pPr>
          </w:p>
        </w:tc>
        <w:tc>
          <w:tcPr>
            <w:tcW w:w="1880" w:type="dxa"/>
            <w:vAlign w:val="bottom"/>
            <w:vMerge w:val="restart"/>
          </w:tcPr>
          <w:p>
            <w:pPr>
              <w:jc w:val="center"/>
              <w:spacing w:after="0"/>
              <w:rPr>
                <w:sz w:val="20"/>
                <w:szCs w:val="20"/>
                <w:color w:val="auto"/>
              </w:rPr>
            </w:pPr>
            <w:r>
              <w:rPr>
                <w:rFonts w:ascii="Arial" w:cs="Arial" w:eastAsia="Arial" w:hAnsi="Arial"/>
                <w:sz w:val="18"/>
                <w:szCs w:val="18"/>
                <w:color w:val="auto"/>
                <w:w w:val="98"/>
              </w:rPr>
              <w:t>Abstentions and broker</w:t>
            </w: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20" w:type="dxa"/>
            <w:vAlign w:val="bottom"/>
            <w:tcBorders>
              <w:left w:val="single" w:sz="8" w:color="auto"/>
            </w:tcBorders>
          </w:tcPr>
          <w:p>
            <w:pPr>
              <w:spacing w:after="0"/>
              <w:rPr>
                <w:sz w:val="16"/>
                <w:szCs w:val="16"/>
                <w:color w:val="auto"/>
              </w:rPr>
            </w:pPr>
          </w:p>
        </w:tc>
        <w:tc>
          <w:tcPr>
            <w:tcW w:w="2560" w:type="dxa"/>
            <w:vAlign w:val="bottom"/>
          </w:tcPr>
          <w:p>
            <w:pPr>
              <w:ind w:left="20"/>
              <w:spacing w:after="0" w:line="189" w:lineRule="exact"/>
              <w:rPr>
                <w:sz w:val="20"/>
                <w:szCs w:val="20"/>
                <w:color w:val="auto"/>
              </w:rPr>
            </w:pPr>
            <w:r>
              <w:rPr>
                <w:rFonts w:ascii="Arial" w:cs="Arial" w:eastAsia="Arial" w:hAnsi="Arial"/>
                <w:sz w:val="18"/>
                <w:szCs w:val="18"/>
                <w:color w:val="1DA46F"/>
              </w:rPr>
              <w:t>Amendment to our Charter to</w:t>
            </w:r>
          </w:p>
        </w:tc>
        <w:tc>
          <w:tcPr>
            <w:tcW w:w="260" w:type="dxa"/>
            <w:vAlign w:val="bottom"/>
          </w:tcPr>
          <w:p>
            <w:pPr>
              <w:spacing w:after="0"/>
              <w:rPr>
                <w:sz w:val="16"/>
                <w:szCs w:val="16"/>
                <w:color w:val="auto"/>
              </w:rPr>
            </w:pPr>
          </w:p>
        </w:tc>
        <w:tc>
          <w:tcPr>
            <w:tcW w:w="17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80" w:type="dxa"/>
            <w:vAlign w:val="bottom"/>
            <w:tcBorders>
              <w:left w:val="single" w:sz="8" w:color="auto"/>
            </w:tcBorders>
            <w:gridSpan w:val="2"/>
          </w:tcPr>
          <w:p>
            <w:pPr>
              <w:ind w:left="80"/>
              <w:spacing w:after="0" w:line="233" w:lineRule="exact"/>
              <w:rPr>
                <w:sz w:val="20"/>
                <w:szCs w:val="20"/>
                <w:color w:val="auto"/>
              </w:rPr>
            </w:pPr>
            <w:r>
              <w:rPr>
                <w:rFonts w:ascii="Arial" w:cs="Arial" w:eastAsia="Arial" w:hAnsi="Arial"/>
                <w:sz w:val="27"/>
                <w:szCs w:val="27"/>
                <w:color w:val="000000"/>
                <w:vertAlign w:val="subscript"/>
              </w:rPr>
              <w:t>​</w:t>
            </w:r>
            <w:r>
              <w:rPr>
                <w:rFonts w:ascii="Arial" w:cs="Arial" w:eastAsia="Arial" w:hAnsi="Arial"/>
                <w:sz w:val="15"/>
                <w:szCs w:val="15"/>
                <w:color w:val="1DA46F"/>
              </w:rPr>
              <w:t>Increase the Number of</w:t>
            </w:r>
          </w:p>
        </w:tc>
        <w:tc>
          <w:tcPr>
            <w:tcW w:w="260" w:type="dxa"/>
            <w:vAlign w:val="bottom"/>
          </w:tcPr>
          <w:p>
            <w:pPr>
              <w:ind w:left="40"/>
              <w:spacing w:after="0"/>
              <w:rPr>
                <w:sz w:val="20"/>
                <w:szCs w:val="20"/>
                <w:color w:val="auto"/>
              </w:rPr>
            </w:pPr>
            <w:r>
              <w:rPr>
                <w:rFonts w:ascii="Arial" w:cs="Arial" w:eastAsia="Arial" w:hAnsi="Arial"/>
                <w:sz w:val="18"/>
                <w:szCs w:val="18"/>
                <w:color w:val="auto"/>
              </w:rPr>
              <w:t>​ ​</w:t>
            </w:r>
          </w:p>
        </w:tc>
        <w:tc>
          <w:tcPr>
            <w:tcW w:w="1740" w:type="dxa"/>
            <w:vAlign w:val="bottom"/>
          </w:tcPr>
          <w:p>
            <w:pPr>
              <w:jc w:val="center"/>
              <w:spacing w:after="0"/>
              <w:rPr>
                <w:sz w:val="20"/>
                <w:szCs w:val="20"/>
                <w:color w:val="auto"/>
              </w:rPr>
            </w:pPr>
            <w:r>
              <w:rPr>
                <w:rFonts w:ascii="Arial" w:cs="Arial" w:eastAsia="Arial" w:hAnsi="Arial"/>
                <w:sz w:val="18"/>
                <w:szCs w:val="18"/>
                <w:color w:val="auto"/>
                <w:w w:val="97"/>
              </w:rPr>
              <w:t>capital stock issued</w:t>
            </w:r>
          </w:p>
        </w:tc>
        <w:tc>
          <w:tcPr>
            <w:tcW w:w="2140" w:type="dxa"/>
            <w:vAlign w:val="bottom"/>
            <w:gridSpan w:val="2"/>
          </w:tcPr>
          <w:p>
            <w:pPr>
              <w:ind w:left="100"/>
              <w:spacing w:after="0" w:line="233"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5"/>
                <w:szCs w:val="15"/>
                <w:color w:val="auto"/>
              </w:rPr>
              <w:t xml:space="preserve"> non-votes will have the</w:t>
            </w:r>
          </w:p>
        </w:tc>
        <w:tc>
          <w:tcPr>
            <w:tcW w:w="320" w:type="dxa"/>
            <w:vAlign w:val="bottom"/>
          </w:tcPr>
          <w:p>
            <w:pPr>
              <w:ind w:left="40"/>
              <w:spacing w:after="0"/>
              <w:rPr>
                <w:sz w:val="20"/>
                <w:szCs w:val="20"/>
                <w:color w:val="auto"/>
              </w:rPr>
            </w:pPr>
            <w:r>
              <w:rPr>
                <w:rFonts w:ascii="Arial" w:cs="Arial" w:eastAsia="Arial" w:hAnsi="Arial"/>
                <w:sz w:val="18"/>
                <w:szCs w:val="18"/>
                <w:color w:val="auto"/>
              </w:rPr>
              <w:t>​ ​</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Yes</w:t>
            </w:r>
          </w:p>
        </w:tc>
        <w:tc>
          <w:tcPr>
            <w:tcW w:w="2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120" w:type="dxa"/>
            <w:vAlign w:val="bottom"/>
            <w:tcBorders>
              <w:left w:val="single" w:sz="8" w:color="auto"/>
            </w:tcBorders>
          </w:tcPr>
          <w:p>
            <w:pPr>
              <w:spacing w:after="0"/>
              <w:rPr>
                <w:sz w:val="17"/>
                <w:szCs w:val="17"/>
                <w:color w:val="auto"/>
              </w:rPr>
            </w:pPr>
          </w:p>
        </w:tc>
        <w:tc>
          <w:tcPr>
            <w:tcW w:w="2560" w:type="dxa"/>
            <w:vAlign w:val="bottom"/>
          </w:tcPr>
          <w:p>
            <w:pPr>
              <w:ind w:left="20"/>
              <w:spacing w:after="0" w:line="198" w:lineRule="exact"/>
              <w:rPr>
                <w:sz w:val="20"/>
                <w:szCs w:val="20"/>
                <w:color w:val="auto"/>
              </w:rPr>
            </w:pPr>
            <w:r>
              <w:rPr>
                <w:rFonts w:ascii="Arial" w:cs="Arial" w:eastAsia="Arial" w:hAnsi="Arial"/>
                <w:sz w:val="18"/>
                <w:szCs w:val="18"/>
                <w:color w:val="1DA46F"/>
              </w:rPr>
              <w:t>Authorized Shares of common</w:t>
            </w:r>
          </w:p>
        </w:tc>
        <w:tc>
          <w:tcPr>
            <w:tcW w:w="260" w:type="dxa"/>
            <w:vAlign w:val="bottom"/>
          </w:tcPr>
          <w:p>
            <w:pPr>
              <w:spacing w:after="0"/>
              <w:rPr>
                <w:sz w:val="17"/>
                <w:szCs w:val="17"/>
                <w:color w:val="auto"/>
              </w:rPr>
            </w:pPr>
          </w:p>
        </w:tc>
        <w:tc>
          <w:tcPr>
            <w:tcW w:w="1740" w:type="dxa"/>
            <w:vAlign w:val="bottom"/>
          </w:tcPr>
          <w:p>
            <w:pPr>
              <w:jc w:val="center"/>
              <w:spacing w:after="0" w:line="198" w:lineRule="exact"/>
              <w:rPr>
                <w:sz w:val="20"/>
                <w:szCs w:val="20"/>
                <w:color w:val="auto"/>
              </w:rPr>
            </w:pPr>
            <w:r>
              <w:rPr>
                <w:rFonts w:ascii="Arial" w:cs="Arial" w:eastAsia="Arial" w:hAnsi="Arial"/>
                <w:sz w:val="18"/>
                <w:szCs w:val="18"/>
                <w:color w:val="auto"/>
                <w:w w:val="98"/>
              </w:rPr>
              <w:t>and outstanding and</w:t>
            </w:r>
          </w:p>
        </w:tc>
        <w:tc>
          <w:tcPr>
            <w:tcW w:w="260" w:type="dxa"/>
            <w:vAlign w:val="bottom"/>
          </w:tcPr>
          <w:p>
            <w:pPr>
              <w:spacing w:after="0"/>
              <w:rPr>
                <w:sz w:val="17"/>
                <w:szCs w:val="17"/>
                <w:color w:val="auto"/>
              </w:rPr>
            </w:pPr>
          </w:p>
        </w:tc>
        <w:tc>
          <w:tcPr>
            <w:tcW w:w="1880" w:type="dxa"/>
            <w:vAlign w:val="bottom"/>
          </w:tcPr>
          <w:p>
            <w:pPr>
              <w:jc w:val="center"/>
              <w:spacing w:after="0" w:line="198" w:lineRule="exact"/>
              <w:rPr>
                <w:sz w:val="20"/>
                <w:szCs w:val="20"/>
                <w:color w:val="auto"/>
              </w:rPr>
            </w:pPr>
            <w:r>
              <w:rPr>
                <w:rFonts w:ascii="Arial" w:cs="Arial" w:eastAsia="Arial" w:hAnsi="Arial"/>
                <w:sz w:val="18"/>
                <w:szCs w:val="18"/>
                <w:color w:val="auto"/>
                <w:w w:val="98"/>
              </w:rPr>
              <w:t>effect of voting against</w:t>
            </w: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20" w:type="dxa"/>
            <w:vAlign w:val="bottom"/>
            <w:tcBorders>
              <w:left w:val="single" w:sz="8" w:color="auto"/>
            </w:tcBorders>
          </w:tcPr>
          <w:p>
            <w:pPr>
              <w:spacing w:after="0"/>
              <w:rPr>
                <w:sz w:val="21"/>
                <w:szCs w:val="21"/>
                <w:color w:val="auto"/>
              </w:rPr>
            </w:pPr>
          </w:p>
        </w:tc>
        <w:tc>
          <w:tcPr>
            <w:tcW w:w="2560" w:type="dxa"/>
            <w:vAlign w:val="bottom"/>
          </w:tcPr>
          <w:p>
            <w:pPr>
              <w:ind w:left="20"/>
              <w:spacing w:after="0"/>
              <w:rPr>
                <w:sz w:val="20"/>
                <w:szCs w:val="20"/>
                <w:color w:val="auto"/>
              </w:rPr>
            </w:pPr>
            <w:r>
              <w:rPr>
                <w:rFonts w:ascii="Arial" w:cs="Arial" w:eastAsia="Arial" w:hAnsi="Arial"/>
                <w:sz w:val="18"/>
                <w:szCs w:val="18"/>
                <w:color w:val="1DA46F"/>
              </w:rPr>
              <w:t>stock from 300,000,000 to</w:t>
            </w:r>
          </w:p>
        </w:tc>
        <w:tc>
          <w:tcPr>
            <w:tcW w:w="26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entitled to vote</w:t>
            </w:r>
          </w:p>
        </w:tc>
        <w:tc>
          <w:tcPr>
            <w:tcW w:w="26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8"/>
              </w:rPr>
              <w:t>the proposal</w:t>
            </w: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20" w:type="dxa"/>
            <w:vAlign w:val="bottom"/>
            <w:tcBorders>
              <w:left w:val="single" w:sz="8" w:color="auto"/>
              <w:bottom w:val="single" w:sz="8" w:color="auto"/>
            </w:tcBorders>
          </w:tcPr>
          <w:p>
            <w:pPr>
              <w:spacing w:after="0"/>
              <w:rPr>
                <w:sz w:val="21"/>
                <w:szCs w:val="21"/>
                <w:color w:val="auto"/>
              </w:rPr>
            </w:pPr>
          </w:p>
        </w:tc>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1DA46F"/>
              </w:rPr>
              <w:t>450,000,000</w:t>
            </w:r>
          </w:p>
        </w:tc>
        <w:tc>
          <w:tcPr>
            <w:tcW w:w="2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20" w:type="dxa"/>
            <w:vAlign w:val="bottom"/>
            <w:tcBorders>
              <w:left w:val="single" w:sz="8" w:color="auto"/>
            </w:tcBorders>
          </w:tcPr>
          <w:p>
            <w:pPr>
              <w:spacing w:after="0"/>
              <w:rPr>
                <w:sz w:val="21"/>
                <w:szCs w:val="21"/>
                <w:color w:val="auto"/>
              </w:rPr>
            </w:pPr>
          </w:p>
        </w:tc>
        <w:tc>
          <w:tcPr>
            <w:tcW w:w="2560" w:type="dxa"/>
            <w:vAlign w:val="bottom"/>
          </w:tcPr>
          <w:p>
            <w:pPr>
              <w:ind w:left="20"/>
              <w:spacing w:after="0"/>
              <w:rPr>
                <w:sz w:val="20"/>
                <w:szCs w:val="20"/>
                <w:color w:val="auto"/>
              </w:rPr>
            </w:pPr>
            <w:r>
              <w:rPr>
                <w:rFonts w:ascii="Arial" w:cs="Arial" w:eastAsia="Arial" w:hAnsi="Arial"/>
                <w:sz w:val="18"/>
                <w:szCs w:val="18"/>
                <w:b w:val="1"/>
                <w:bCs w:val="1"/>
                <w:color w:val="1DA46F"/>
              </w:rPr>
              <w:t>PROPOSAL 4</w:t>
            </w:r>
            <w:r>
              <w:rPr>
                <w:rFonts w:ascii="Arial" w:cs="Arial" w:eastAsia="Arial" w:hAnsi="Arial"/>
                <w:sz w:val="18"/>
                <w:szCs w:val="18"/>
                <w:color w:val="1DA46F"/>
              </w:rPr>
              <w:t>: Approval of</w:t>
            </w:r>
          </w:p>
        </w:tc>
        <w:tc>
          <w:tcPr>
            <w:tcW w:w="2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vMerge w:val="restart"/>
          </w:tcPr>
          <w:p>
            <w:pPr>
              <w:jc w:val="center"/>
              <w:spacing w:after="0"/>
              <w:rPr>
                <w:sz w:val="20"/>
                <w:szCs w:val="20"/>
                <w:color w:val="auto"/>
              </w:rPr>
            </w:pPr>
            <w:r>
              <w:rPr>
                <w:rFonts w:ascii="Arial" w:cs="Arial" w:eastAsia="Arial" w:hAnsi="Arial"/>
                <w:sz w:val="18"/>
                <w:szCs w:val="18"/>
                <w:color w:val="auto"/>
                <w:w w:val="98"/>
              </w:rPr>
              <w:t>Abstentions and broker</w:t>
            </w: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20" w:type="dxa"/>
            <w:vAlign w:val="bottom"/>
            <w:tcBorders>
              <w:left w:val="single" w:sz="8" w:color="auto"/>
            </w:tcBorders>
          </w:tcPr>
          <w:p>
            <w:pPr>
              <w:spacing w:after="0"/>
              <w:rPr>
                <w:sz w:val="17"/>
                <w:szCs w:val="17"/>
                <w:color w:val="auto"/>
              </w:rPr>
            </w:pPr>
          </w:p>
        </w:tc>
        <w:tc>
          <w:tcPr>
            <w:tcW w:w="2560" w:type="dxa"/>
            <w:vAlign w:val="bottom"/>
          </w:tcPr>
          <w:p>
            <w:pPr>
              <w:ind w:left="20"/>
              <w:spacing w:after="0" w:line="202" w:lineRule="exact"/>
              <w:rPr>
                <w:sz w:val="20"/>
                <w:szCs w:val="20"/>
                <w:color w:val="auto"/>
              </w:rPr>
            </w:pPr>
            <w:r>
              <w:rPr>
                <w:rFonts w:ascii="Arial" w:cs="Arial" w:eastAsia="Arial" w:hAnsi="Arial"/>
                <w:sz w:val="18"/>
                <w:szCs w:val="18"/>
                <w:color w:val="1DA46F"/>
              </w:rPr>
              <w:t>adjournment of the Annual</w:t>
            </w: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80" w:type="dxa"/>
            <w:vAlign w:val="bottom"/>
            <w:tcBorders>
              <w:left w:val="single" w:sz="8" w:color="auto"/>
            </w:tcBorders>
            <w:gridSpan w:val="2"/>
          </w:tcPr>
          <w:p>
            <w:pPr>
              <w:ind w:left="80"/>
              <w:spacing w:after="0" w:line="233" w:lineRule="exact"/>
              <w:rPr>
                <w:sz w:val="20"/>
                <w:szCs w:val="20"/>
                <w:color w:val="auto"/>
              </w:rPr>
            </w:pPr>
            <w:r>
              <w:rPr>
                <w:rFonts w:ascii="Arial" w:cs="Arial" w:eastAsia="Arial" w:hAnsi="Arial"/>
                <w:sz w:val="27"/>
                <w:szCs w:val="27"/>
                <w:color w:val="000000"/>
                <w:vertAlign w:val="subscript"/>
              </w:rPr>
              <w:t>​</w:t>
            </w:r>
            <w:r>
              <w:rPr>
                <w:rFonts w:ascii="Arial" w:cs="Arial" w:eastAsia="Arial" w:hAnsi="Arial"/>
                <w:sz w:val="15"/>
                <w:szCs w:val="15"/>
                <w:color w:val="1DA46F"/>
              </w:rPr>
              <w:t>Meeting to the extent there are</w:t>
            </w:r>
          </w:p>
        </w:tc>
        <w:tc>
          <w:tcPr>
            <w:tcW w:w="260" w:type="dxa"/>
            <w:vAlign w:val="bottom"/>
          </w:tcPr>
          <w:p>
            <w:pPr>
              <w:ind w:left="40"/>
              <w:spacing w:after="0"/>
              <w:rPr>
                <w:sz w:val="20"/>
                <w:szCs w:val="20"/>
                <w:color w:val="auto"/>
              </w:rPr>
            </w:pPr>
            <w:r>
              <w:rPr>
                <w:rFonts w:ascii="Arial" w:cs="Arial" w:eastAsia="Arial" w:hAnsi="Arial"/>
                <w:sz w:val="18"/>
                <w:szCs w:val="18"/>
                <w:color w:val="auto"/>
              </w:rPr>
              <w:t>​ ​</w:t>
            </w:r>
          </w:p>
        </w:tc>
        <w:tc>
          <w:tcPr>
            <w:tcW w:w="1740" w:type="dxa"/>
            <w:vAlign w:val="bottom"/>
          </w:tcPr>
          <w:p>
            <w:pPr>
              <w:jc w:val="center"/>
              <w:spacing w:after="0"/>
              <w:rPr>
                <w:sz w:val="20"/>
                <w:szCs w:val="20"/>
                <w:color w:val="auto"/>
              </w:rPr>
            </w:pPr>
            <w:r>
              <w:rPr>
                <w:rFonts w:ascii="Arial" w:cs="Arial" w:eastAsia="Arial" w:hAnsi="Arial"/>
                <w:sz w:val="18"/>
                <w:szCs w:val="18"/>
                <w:color w:val="auto"/>
                <w:w w:val="98"/>
              </w:rPr>
              <w:t>Majority of the votes</w:t>
            </w:r>
          </w:p>
        </w:tc>
        <w:tc>
          <w:tcPr>
            <w:tcW w:w="260" w:type="dxa"/>
            <w:vAlign w:val="bottom"/>
          </w:tcPr>
          <w:p>
            <w:pPr>
              <w:ind w:left="100"/>
              <w:spacing w:after="0"/>
              <w:rPr>
                <w:sz w:val="20"/>
                <w:szCs w:val="20"/>
                <w:color w:val="auto"/>
              </w:rPr>
            </w:pPr>
            <w:r>
              <w:rPr>
                <w:rFonts w:ascii="Arial" w:cs="Arial" w:eastAsia="Arial" w:hAnsi="Arial"/>
                <w:sz w:val="18"/>
                <w:szCs w:val="18"/>
                <w:color w:val="auto"/>
              </w:rPr>
              <w:t>​ ​</w:t>
            </w:r>
          </w:p>
        </w:tc>
        <w:tc>
          <w:tcPr>
            <w:tcW w:w="1880" w:type="dxa"/>
            <w:vAlign w:val="bottom"/>
          </w:tcPr>
          <w:p>
            <w:pPr>
              <w:jc w:val="center"/>
              <w:spacing w:after="0"/>
              <w:rPr>
                <w:sz w:val="20"/>
                <w:szCs w:val="20"/>
                <w:color w:val="auto"/>
              </w:rPr>
            </w:pPr>
            <w:r>
              <w:rPr>
                <w:rFonts w:ascii="Arial" w:cs="Arial" w:eastAsia="Arial" w:hAnsi="Arial"/>
                <w:sz w:val="18"/>
                <w:szCs w:val="18"/>
                <w:color w:val="auto"/>
                <w:w w:val="97"/>
              </w:rPr>
              <w:t>non-votes will have no</w:t>
            </w:r>
          </w:p>
        </w:tc>
        <w:tc>
          <w:tcPr>
            <w:tcW w:w="320" w:type="dxa"/>
            <w:vAlign w:val="bottom"/>
          </w:tcPr>
          <w:p>
            <w:pPr>
              <w:ind w:left="40"/>
              <w:spacing w:after="0"/>
              <w:rPr>
                <w:sz w:val="20"/>
                <w:szCs w:val="20"/>
                <w:color w:val="auto"/>
              </w:rPr>
            </w:pPr>
            <w:r>
              <w:rPr>
                <w:rFonts w:ascii="Arial" w:cs="Arial" w:eastAsia="Arial" w:hAnsi="Arial"/>
                <w:sz w:val="18"/>
                <w:szCs w:val="18"/>
                <w:color w:val="auto"/>
              </w:rPr>
              <w:t>​ ​</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Yes</w:t>
            </w:r>
          </w:p>
        </w:tc>
        <w:tc>
          <w:tcPr>
            <w:tcW w:w="2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120" w:type="dxa"/>
            <w:vAlign w:val="bottom"/>
            <w:tcBorders>
              <w:left w:val="single" w:sz="8" w:color="auto"/>
            </w:tcBorders>
          </w:tcPr>
          <w:p>
            <w:pPr>
              <w:spacing w:after="0"/>
              <w:rPr>
                <w:sz w:val="17"/>
                <w:szCs w:val="17"/>
                <w:color w:val="auto"/>
              </w:rPr>
            </w:pPr>
          </w:p>
        </w:tc>
        <w:tc>
          <w:tcPr>
            <w:tcW w:w="2560" w:type="dxa"/>
            <w:vAlign w:val="bottom"/>
          </w:tcPr>
          <w:p>
            <w:pPr>
              <w:ind w:left="20"/>
              <w:spacing w:after="0" w:line="198" w:lineRule="exact"/>
              <w:rPr>
                <w:sz w:val="20"/>
                <w:szCs w:val="20"/>
                <w:color w:val="auto"/>
              </w:rPr>
            </w:pPr>
            <w:r>
              <w:rPr>
                <w:rFonts w:ascii="Arial" w:cs="Arial" w:eastAsia="Arial" w:hAnsi="Arial"/>
                <w:sz w:val="18"/>
                <w:szCs w:val="18"/>
                <w:color w:val="1DA46F"/>
              </w:rPr>
              <w:t>insufficient votes at the Annual</w:t>
            </w:r>
          </w:p>
        </w:tc>
        <w:tc>
          <w:tcPr>
            <w:tcW w:w="260" w:type="dxa"/>
            <w:vAlign w:val="bottom"/>
          </w:tcPr>
          <w:p>
            <w:pPr>
              <w:spacing w:after="0"/>
              <w:rPr>
                <w:sz w:val="17"/>
                <w:szCs w:val="17"/>
                <w:color w:val="auto"/>
              </w:rPr>
            </w:pPr>
          </w:p>
        </w:tc>
        <w:tc>
          <w:tcPr>
            <w:tcW w:w="1740" w:type="dxa"/>
            <w:vAlign w:val="bottom"/>
          </w:tcPr>
          <w:p>
            <w:pPr>
              <w:jc w:val="center"/>
              <w:spacing w:after="0" w:line="198" w:lineRule="exact"/>
              <w:rPr>
                <w:sz w:val="20"/>
                <w:szCs w:val="20"/>
                <w:color w:val="auto"/>
              </w:rPr>
            </w:pPr>
            <w:r>
              <w:rPr>
                <w:rFonts w:ascii="Arial" w:cs="Arial" w:eastAsia="Arial" w:hAnsi="Arial"/>
                <w:sz w:val="18"/>
                <w:szCs w:val="18"/>
                <w:color w:val="auto"/>
                <w:w w:val="97"/>
              </w:rPr>
              <w:t>properly cast</w:t>
            </w:r>
          </w:p>
        </w:tc>
        <w:tc>
          <w:tcPr>
            <w:tcW w:w="260" w:type="dxa"/>
            <w:vAlign w:val="bottom"/>
          </w:tcPr>
          <w:p>
            <w:pPr>
              <w:spacing w:after="0"/>
              <w:rPr>
                <w:sz w:val="17"/>
                <w:szCs w:val="17"/>
                <w:color w:val="auto"/>
              </w:rPr>
            </w:pPr>
          </w:p>
        </w:tc>
        <w:tc>
          <w:tcPr>
            <w:tcW w:w="1880" w:type="dxa"/>
            <w:vAlign w:val="bottom"/>
          </w:tcPr>
          <w:p>
            <w:pPr>
              <w:jc w:val="center"/>
              <w:spacing w:after="0" w:line="198" w:lineRule="exact"/>
              <w:rPr>
                <w:sz w:val="20"/>
                <w:szCs w:val="20"/>
                <w:color w:val="auto"/>
              </w:rPr>
            </w:pPr>
            <w:r>
              <w:rPr>
                <w:rFonts w:ascii="Arial" w:cs="Arial" w:eastAsia="Arial" w:hAnsi="Arial"/>
                <w:sz w:val="18"/>
                <w:szCs w:val="18"/>
                <w:color w:val="auto"/>
                <w:w w:val="98"/>
              </w:rPr>
              <w:t>effect on the outcome</w:t>
            </w: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Borders>
              <w:left w:val="single" w:sz="8" w:color="auto"/>
            </w:tcBorders>
          </w:tcPr>
          <w:p>
            <w:pPr>
              <w:spacing w:after="0"/>
              <w:rPr>
                <w:sz w:val="19"/>
                <w:szCs w:val="19"/>
                <w:color w:val="auto"/>
              </w:rPr>
            </w:pPr>
          </w:p>
        </w:tc>
        <w:tc>
          <w:tcPr>
            <w:tcW w:w="2560" w:type="dxa"/>
            <w:vAlign w:val="bottom"/>
          </w:tcPr>
          <w:p>
            <w:pPr>
              <w:ind w:left="20"/>
              <w:spacing w:after="0"/>
              <w:rPr>
                <w:sz w:val="20"/>
                <w:szCs w:val="20"/>
                <w:color w:val="auto"/>
              </w:rPr>
            </w:pPr>
            <w:r>
              <w:rPr>
                <w:rFonts w:ascii="Arial" w:cs="Arial" w:eastAsia="Arial" w:hAnsi="Arial"/>
                <w:sz w:val="18"/>
                <w:szCs w:val="18"/>
                <w:color w:val="1DA46F"/>
              </w:rPr>
              <w:t>Meeting to approve the</w:t>
            </w: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of the proposal</w:t>
            </w: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20" w:type="dxa"/>
            <w:vAlign w:val="bottom"/>
            <w:tcBorders>
              <w:left w:val="single" w:sz="8" w:color="auto"/>
            </w:tcBorders>
          </w:tcPr>
          <w:p>
            <w:pPr>
              <w:spacing w:after="0"/>
              <w:rPr>
                <w:sz w:val="20"/>
                <w:szCs w:val="20"/>
                <w:color w:val="auto"/>
              </w:rPr>
            </w:pPr>
          </w:p>
        </w:tc>
        <w:tc>
          <w:tcPr>
            <w:tcW w:w="2560" w:type="dxa"/>
            <w:vAlign w:val="bottom"/>
          </w:tcPr>
          <w:p>
            <w:pPr>
              <w:ind w:left="20"/>
              <w:spacing w:after="0"/>
              <w:rPr>
                <w:sz w:val="20"/>
                <w:szCs w:val="20"/>
                <w:color w:val="auto"/>
              </w:rPr>
            </w:pPr>
            <w:r>
              <w:rPr>
                <w:rFonts w:ascii="Arial" w:cs="Arial" w:eastAsia="Arial" w:hAnsi="Arial"/>
                <w:sz w:val="18"/>
                <w:szCs w:val="18"/>
                <w:color w:val="1DA46F"/>
                <w:w w:val="99"/>
              </w:rPr>
              <w:t>immediately preceding proposal</w:t>
            </w: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680" w:type="dxa"/>
            <w:vAlign w:val="bottom"/>
            <w:tcBorders>
              <w:left w:val="single" w:sz="8" w:color="auto"/>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1"/>
        </w:trPr>
        <w:tc>
          <w:tcPr>
            <w:tcW w:w="2680" w:type="dxa"/>
            <w:vAlign w:val="bottom"/>
            <w:gridSpan w:val="2"/>
          </w:tcPr>
          <w:p>
            <w:pPr>
              <w:ind w:left="20"/>
              <w:spacing w:after="0"/>
              <w:rPr>
                <w:sz w:val="20"/>
                <w:szCs w:val="20"/>
                <w:color w:val="auto"/>
              </w:rPr>
            </w:pPr>
            <w:r>
              <w:rPr>
                <w:rFonts w:ascii="Arial" w:cs="Arial" w:eastAsia="Arial" w:hAnsi="Arial"/>
                <w:sz w:val="18"/>
                <w:szCs w:val="18"/>
                <w:b w:val="1"/>
                <w:bCs w:val="1"/>
                <w:color w:val="auto"/>
              </w:rPr>
              <w:t>QUORUM</w:t>
            </w: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jc w:val="both"/>
        <w:ind w:left="880" w:right="19"/>
        <w:spacing w:after="0" w:line="266" w:lineRule="auto"/>
        <w:rPr>
          <w:sz w:val="20"/>
          <w:szCs w:val="20"/>
          <w:color w:val="auto"/>
        </w:rPr>
      </w:pPr>
      <w:r>
        <w:rPr>
          <w:rFonts w:ascii="Arial" w:cs="Arial" w:eastAsia="Arial" w:hAnsi="Arial"/>
          <w:sz w:val="18"/>
          <w:szCs w:val="18"/>
          <w:color w:val="auto"/>
        </w:rPr>
        <w:t>We must have a quorum to conduct business at the Annual Meeting. A quorum consists of the presence at the Annual Meeting, either attending the meeting virtually or represented by proxy, of the holders of shares of capital stock representing a majority of the voting power of all outstanding shares of capital stock entitled to vote. For the purpose of establishing a quorum, votes withheld, abstentions, including brokers holding customers’ shares of record who cause abstentions to be recorded at the meeting, and broker non-votes count toward the quorum. If there is no quorum, the holders of shares of capital stock representing a majority of the voting power virtually attending the Annual Meeting or represented by proxy or the presiding officer of the meeting may adjourn the Annual Meeting to another date.</w:t>
      </w:r>
    </w:p>
    <w:p>
      <w:pPr>
        <w:spacing w:after="0" w:line="298"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140970</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​GENERAL INFORMATION ABOUT THE MEETING</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PROXY SOLICITATION COSTS</w:t>
      </w:r>
    </w:p>
    <w:p>
      <w:pPr>
        <w:spacing w:after="0" w:line="144" w:lineRule="exact"/>
        <w:rPr>
          <w:sz w:val="20"/>
          <w:szCs w:val="20"/>
          <w:color w:val="auto"/>
        </w:rPr>
      </w:pPr>
    </w:p>
    <w:p>
      <w:pPr>
        <w:jc w:val="both"/>
        <w:ind w:left="880" w:right="19"/>
        <w:spacing w:after="0" w:line="262" w:lineRule="auto"/>
        <w:rPr>
          <w:sz w:val="20"/>
          <w:szCs w:val="20"/>
          <w:color w:val="auto"/>
        </w:rPr>
      </w:pPr>
      <w:r>
        <w:rPr>
          <w:rFonts w:ascii="Arial" w:cs="Arial" w:eastAsia="Arial" w:hAnsi="Arial"/>
          <w:sz w:val="18"/>
          <w:szCs w:val="18"/>
          <w:color w:val="auto"/>
        </w:rPr>
        <w:t>We pay the cost of soliciting proxies. Proxies will be solicited on behalf of the Board by mail, telephone, and other electronic means or in person. Directors and employees will not be paid any additional compensation for soliciting proxies. We may reimburse brokerage firms, banks and other agents for the cost of forwarding proxy materials to beneficial owners.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​BOARD OF DIRECTORS</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19"/>
        <w:spacing w:after="0" w:line="271" w:lineRule="auto"/>
        <w:rPr>
          <w:sz w:val="20"/>
          <w:szCs w:val="20"/>
          <w:color w:val="auto"/>
        </w:rPr>
      </w:pPr>
      <w:r>
        <w:rPr>
          <w:rFonts w:ascii="Arial" w:cs="Arial" w:eastAsia="Arial" w:hAnsi="Arial"/>
          <w:sz w:val="18"/>
          <w:szCs w:val="18"/>
          <w:color w:val="148CD9"/>
        </w:rPr>
        <w:t>Our Board has nominated Alessandro Riva, M.D., and Han Lee, Ph.D., M.B.A. for election as Class II directors at our Annual Meeting to hold office until our 2029 Annual Meeting of Stockholders.</w:t>
      </w:r>
    </w:p>
    <w:p>
      <w:pPr>
        <w:spacing w:after="0" w:line="86" w:lineRule="exact"/>
        <w:rPr>
          <w:sz w:val="20"/>
          <w:szCs w:val="20"/>
          <w:color w:val="auto"/>
        </w:rPr>
      </w:pPr>
    </w:p>
    <w:p>
      <w:pPr>
        <w:jc w:val="both"/>
        <w:ind w:left="880" w:right="39"/>
        <w:spacing w:after="0" w:line="283" w:lineRule="auto"/>
        <w:rPr>
          <w:sz w:val="20"/>
          <w:szCs w:val="20"/>
          <w:color w:val="auto"/>
        </w:rPr>
      </w:pPr>
      <w:r>
        <w:rPr>
          <w:rFonts w:ascii="Arial" w:cs="Arial" w:eastAsia="Arial" w:hAnsi="Arial"/>
          <w:sz w:val="17"/>
          <w:szCs w:val="17"/>
          <w:color w:val="auto"/>
        </w:rPr>
        <w:t>Our Board is our ultimate decision-making body, except with respect to those matters reserved to the stockholders. Our Board selects the members of our senior management team, who in turn are responsible for our day-to-day operations. Our Board acts as an advisor and counselor to senior management and oversees their performance.</w:t>
      </w:r>
    </w:p>
    <w:p>
      <w:pPr>
        <w:spacing w:after="0" w:line="78" w:lineRule="exact"/>
        <w:rPr>
          <w:sz w:val="20"/>
          <w:szCs w:val="20"/>
          <w:color w:val="auto"/>
        </w:rPr>
      </w:pPr>
    </w:p>
    <w:p>
      <w:pPr>
        <w:jc w:val="both"/>
        <w:ind w:left="880" w:right="19"/>
        <w:spacing w:after="0" w:line="243" w:lineRule="auto"/>
        <w:rPr>
          <w:sz w:val="20"/>
          <w:szCs w:val="20"/>
          <w:color w:val="auto"/>
        </w:rPr>
      </w:pPr>
      <w:r>
        <w:rPr>
          <w:rFonts w:ascii="Arial" w:cs="Arial" w:eastAsia="Arial" w:hAnsi="Arial"/>
          <w:sz w:val="18"/>
          <w:szCs w:val="18"/>
          <w:color w:val="auto"/>
        </w:rPr>
        <w:t>Our Board consists of directors divided into three classes, with each class holding office for a three-year term. Alessandro Riva, M.D., Han Lee, Ph.D., M.B.A. and Timothy Walbert, are our current Class II directors whose terms expire at the Annual Meeting. The Board has nominated Alessandro Riva, M.D. and Han Lee, Ph.D., M.B.A. for election at the Annual Meeting for three-year terms that will expire at the 2029 Annual Meeting of Stockholders and until their successors, if any, are elected or appointed, or their earlier death, resignation, retirement, disqualification or removal. Mr. Walbert will not stand for re-election and his term will end effective as of the date of the Annual Meeting. Each of the nominees has agreed to be named and to serve, and we expect each nominee to be able to serve if elected. If any nominee is unable to serve, the Nominating and Corporate Governance Committee will recommend to our Board a replacement nominee. The Board may then designate the other nominee to stand for election. If you voted for the unavailable nominee, your vote will be cast for his or her replacement.</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BOARD STRUCTURE AND COMPOSITION</w:t>
      </w:r>
    </w:p>
    <w:p>
      <w:pPr>
        <w:spacing w:after="0" w:line="158" w:lineRule="exact"/>
        <w:rPr>
          <w:sz w:val="20"/>
          <w:szCs w:val="20"/>
          <w:color w:val="auto"/>
        </w:rPr>
      </w:pPr>
    </w:p>
    <w:p>
      <w:pPr>
        <w:jc w:val="both"/>
        <w:ind w:left="880" w:right="39"/>
        <w:spacing w:after="0" w:line="248" w:lineRule="auto"/>
        <w:rPr>
          <w:sz w:val="20"/>
          <w:szCs w:val="20"/>
          <w:color w:val="auto"/>
        </w:rPr>
      </w:pPr>
      <w:r>
        <w:rPr>
          <w:rFonts w:ascii="Arial" w:cs="Arial" w:eastAsia="Arial" w:hAnsi="Arial"/>
          <w:sz w:val="18"/>
          <w:szCs w:val="18"/>
          <w:color w:val="auto"/>
        </w:rPr>
        <w:t>The Nominating and Corporate Governance Committee is responsible for recommending the composition and structure of our Board and for developing criteria for Board membership. The Nominating and Corporate Governance Committee regularly reviews director competencies, qualities and experiences, with the goal of ensuring that our Board is comprised of an effective team of directors who function collegially and who are able to apply their experience toward meaningful contributions to our business strategy and oversight of our performance, risk management, organizational development and succession planning.</w:t>
      </w:r>
    </w:p>
    <w:p>
      <w:pPr>
        <w:spacing w:after="0" w:line="107" w:lineRule="exact"/>
        <w:rPr>
          <w:sz w:val="20"/>
          <w:szCs w:val="20"/>
          <w:color w:val="auto"/>
        </w:rPr>
      </w:pPr>
    </w:p>
    <w:p>
      <w:pPr>
        <w:jc w:val="both"/>
        <w:ind w:left="880" w:right="19"/>
        <w:spacing w:after="0" w:line="252" w:lineRule="auto"/>
        <w:rPr>
          <w:sz w:val="20"/>
          <w:szCs w:val="20"/>
          <w:color w:val="auto"/>
        </w:rPr>
      </w:pPr>
      <w:r>
        <w:rPr>
          <w:rFonts w:ascii="Arial" w:cs="Arial" w:eastAsia="Arial" w:hAnsi="Arial"/>
          <w:sz w:val="18"/>
          <w:szCs w:val="18"/>
          <w:color w:val="auto"/>
        </w:rPr>
        <w:t>Our Second Amended and Restated Bylaws, or Bylaws, provide that the number of members of our Board shall be fixed by the Board from time to time. Our Board is currently fixed at seven members. Our Board is divided into three classes with staggered three-year terms. The Nominating and Corporate Governance Committee is responsible for identifying individuals that it believes are qualified to become Board members.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CRITERIA FOR BOARD MEMBERSHIP</w:t>
      </w:r>
    </w:p>
    <w:p>
      <w:pPr>
        <w:spacing w:after="0" w:line="158" w:lineRule="exact"/>
        <w:rPr>
          <w:sz w:val="20"/>
          <w:szCs w:val="20"/>
          <w:color w:val="auto"/>
        </w:rPr>
      </w:pPr>
    </w:p>
    <w:p>
      <w:pPr>
        <w:jc w:val="both"/>
        <w:ind w:left="880" w:right="19"/>
        <w:spacing w:after="0" w:line="271" w:lineRule="auto"/>
        <w:rPr>
          <w:sz w:val="20"/>
          <w:szCs w:val="20"/>
          <w:color w:val="auto"/>
        </w:rPr>
      </w:pPr>
      <w:r>
        <w:rPr>
          <w:rFonts w:ascii="Arial" w:cs="Arial" w:eastAsia="Arial" w:hAnsi="Arial"/>
          <w:sz w:val="18"/>
          <w:szCs w:val="18"/>
          <w:color w:val="auto"/>
        </w:rPr>
        <w:t>The Nominating and Corporate Governance Committee has identified certain criteria that it will consider in identifying director nominees. Important general criteria and considerations for Board membership include:</w:t>
      </w:r>
    </w:p>
    <w:p>
      <w:pPr>
        <w:sectPr>
          <w:pgSz w:w="11900" w:h="16838" w:orient="portrait"/>
          <w:cols w:equalWidth="0" w:num="1">
            <w:col w:w="9879"/>
          </w:cols>
          <w:pgMar w:left="580" w:top="97" w:right="1440" w:bottom="1440" w:gutter="0" w:footer="0" w:header="0"/>
        </w:sectPr>
      </w:pPr>
    </w:p>
    <w:p>
      <w:pPr>
        <w:spacing w:after="0" w:line="198" w:lineRule="exact"/>
        <w:rPr>
          <w:sz w:val="20"/>
          <w:szCs w:val="20"/>
          <w:color w:val="auto"/>
        </w:rPr>
      </w:pPr>
    </w:p>
    <w:p>
      <w:pPr>
        <w:ind w:left="920"/>
        <w:spacing w:after="0"/>
        <w:tabs>
          <w:tab w:leader="none" w:pos="4300" w:val="left"/>
        </w:tabs>
        <w:rPr>
          <w:sz w:val="20"/>
          <w:szCs w:val="20"/>
          <w:color w:val="auto"/>
        </w:rPr>
      </w:pPr>
      <w:r>
        <w:rPr>
          <w:rFonts w:ascii="Arial" w:cs="Arial" w:eastAsia="Arial" w:hAnsi="Arial"/>
          <w:sz w:val="22"/>
          <w:szCs w:val="22"/>
          <w:b w:val="1"/>
          <w:bCs w:val="1"/>
          <w:color w:val="148CD9"/>
        </w:rPr>
        <w:t>​</w:t>
      </w:r>
      <w:r>
        <w:rPr>
          <w:sz w:val="20"/>
          <w:szCs w:val="20"/>
          <w:color w:val="auto"/>
        </w:rPr>
        <w:tab/>
      </w:r>
      <w:r>
        <w:rPr>
          <w:rFonts w:ascii="Arial" w:cs="Arial" w:eastAsia="Arial" w:hAnsi="Arial"/>
          <w:sz w:val="22"/>
          <w:szCs w:val="22"/>
          <w:b w:val="1"/>
          <w:bCs w:val="1"/>
          <w:color w:val="148CD9"/>
        </w:rPr>
        <w:t>GENERAL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20320</wp:posOffset>
            </wp:positionV>
            <wp:extent cx="570039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ind w:left="880"/>
        <w:spacing w:after="0"/>
        <w:tabs>
          <w:tab w:leader="none" w:pos="1320" w:val="left"/>
        </w:tabs>
        <w:rPr>
          <w:sz w:val="20"/>
          <w:szCs w:val="20"/>
          <w:color w:val="auto"/>
        </w:rPr>
      </w:pPr>
      <w:r>
        <w:rPr>
          <w:rFonts w:ascii="Arial" w:cs="Arial" w:eastAsia="Arial" w:hAnsi="Arial"/>
          <w:sz w:val="18"/>
          <w:szCs w:val="18"/>
          <w:color w:val="auto"/>
        </w:rPr>
        <w:t>​</w:t>
      </w:r>
      <w:r>
        <w:rPr>
          <w:sz w:val="20"/>
          <w:szCs w:val="20"/>
          <w:color w:val="auto"/>
        </w:rPr>
        <w:tab/>
      </w:r>
      <w:r>
        <w:rPr>
          <w:sz w:val="1"/>
          <w:szCs w:val="1"/>
          <w:color w:val="auto"/>
        </w:rPr>
        <w:drawing>
          <wp:inline distT="0" distB="0" distL="0" distR="0">
            <wp:extent cx="77470" cy="6794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67945"/>
                    </a:xfrm>
                    <a:prstGeom prst="rect">
                      <a:avLst/>
                    </a:prstGeom>
                    <a:noFill/>
                    <a:ln>
                      <a:noFill/>
                    </a:ln>
                  </pic:spPr>
                </pic:pic>
              </a:graphicData>
            </a:graphic>
          </wp:inline>
        </w:drawing>
      </w:r>
      <w:r>
        <w:rPr>
          <w:rFonts w:ascii="Arial" w:cs="Arial" w:eastAsia="Arial" w:hAnsi="Arial"/>
          <w:sz w:val="18"/>
          <w:szCs w:val="18"/>
          <w:color w:val="auto"/>
        </w:rPr>
        <w:t xml:space="preserve">  Proven integrity</w:t>
      </w:r>
    </w:p>
    <w:p>
      <w:pPr>
        <w:ind w:left="1640"/>
        <w:spacing w:after="0" w:line="203" w:lineRule="auto"/>
        <w:rPr>
          <w:sz w:val="20"/>
          <w:szCs w:val="20"/>
          <w:color w:val="auto"/>
        </w:rPr>
      </w:pPr>
      <w:r>
        <w:rPr>
          <w:rFonts w:ascii="Arial" w:cs="Arial" w:eastAsia="Arial" w:hAnsi="Arial"/>
          <w:sz w:val="18"/>
          <w:szCs w:val="18"/>
          <w:color w:val="auto"/>
        </w:rPr>
        <w:t>Capability to fairly and equally act in the best interest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-75565</wp:posOffset>
            </wp:positionV>
            <wp:extent cx="77470" cy="768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76835"/>
                    </a:xfrm>
                    <a:prstGeom prst="rect">
                      <a:avLst/>
                    </a:prstGeom>
                    <a:noFill/>
                  </pic:spPr>
                </pic:pic>
              </a:graphicData>
            </a:graphic>
          </wp:anchor>
        </w:drawing>
      </w:r>
    </w:p>
    <w:p>
      <w:pPr>
        <w:ind w:left="1640" w:right="700"/>
        <w:spacing w:after="0" w:line="242" w:lineRule="auto"/>
        <w:rPr>
          <w:sz w:val="20"/>
          <w:szCs w:val="20"/>
          <w:color w:val="auto"/>
        </w:rPr>
      </w:pPr>
      <w:r>
        <w:rPr>
          <w:rFonts w:ascii="Arial" w:cs="Arial" w:eastAsia="Arial" w:hAnsi="Arial"/>
          <w:sz w:val="18"/>
          <w:szCs w:val="18"/>
          <w:color w:val="auto"/>
        </w:rPr>
        <w:t>Prior or current leadership experience, including within the biotechnology, life sciences and biopharmaceutical spheres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-229870</wp:posOffset>
            </wp:positionV>
            <wp:extent cx="77470" cy="768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76835"/>
                    </a:xfrm>
                    <a:prstGeom prst="rect">
                      <a:avLst/>
                    </a:prstGeom>
                    <a:noFill/>
                  </pic:spPr>
                </pic:pic>
              </a:graphicData>
            </a:graphic>
          </wp:anchor>
        </w:drawing>
      </w:r>
    </w:p>
    <w:p>
      <w:pPr>
        <w:ind w:left="1640"/>
        <w:spacing w:after="0" w:line="248" w:lineRule="auto"/>
        <w:rPr>
          <w:sz w:val="20"/>
          <w:szCs w:val="20"/>
          <w:color w:val="auto"/>
        </w:rPr>
      </w:pPr>
      <w:r>
        <w:rPr>
          <w:rFonts w:ascii="Arial" w:cs="Arial" w:eastAsia="Arial" w:hAnsi="Arial"/>
          <w:sz w:val="17"/>
          <w:szCs w:val="17"/>
          <w:color w:val="auto"/>
        </w:rPr>
        <w:t>Broad experience, diverse perspectives, and the ability to exercise sound judgment, and a judicious and critical temperament that will enable objective appraisal of management’s plans and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-220980</wp:posOffset>
            </wp:positionV>
            <wp:extent cx="77470" cy="774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77470"/>
                    </a:xfrm>
                    <a:prstGeom prst="rect">
                      <a:avLst/>
                    </a:prstGeom>
                    <a:noFill/>
                  </pic:spPr>
                </pic:pic>
              </a:graphicData>
            </a:graphic>
          </wp:anchor>
        </w:drawing>
      </w:r>
    </w:p>
    <w:p>
      <w:pPr>
        <w:ind w:left="1640" w:right="1580"/>
        <w:spacing w:after="0" w:line="246" w:lineRule="auto"/>
        <w:rPr>
          <w:sz w:val="20"/>
          <w:szCs w:val="20"/>
          <w:color w:val="auto"/>
        </w:rPr>
      </w:pPr>
      <w:r>
        <w:rPr>
          <w:rFonts w:ascii="Arial" w:cs="Arial" w:eastAsia="Arial" w:hAnsi="Arial"/>
          <w:sz w:val="17"/>
          <w:szCs w:val="17"/>
          <w:color w:val="auto"/>
        </w:rPr>
        <w:t>Willingness and ability to devote sufficient time to Board responsibilities Diversity with respect to background, professional experience and perspectives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-219075</wp:posOffset>
            </wp:positionV>
            <wp:extent cx="77470" cy="774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851535</wp:posOffset>
            </wp:positionH>
            <wp:positionV relativeFrom="paragraph">
              <wp:posOffset>-107315</wp:posOffset>
            </wp:positionV>
            <wp:extent cx="77470" cy="774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774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right"/>
        <w:ind w:right="19"/>
        <w:spacing w:after="0"/>
        <w:rPr>
          <w:sz w:val="20"/>
          <w:szCs w:val="20"/>
          <w:color w:val="auto"/>
        </w:rPr>
      </w:pPr>
      <w:r>
        <w:rPr>
          <w:rFonts w:ascii="Arial" w:cs="Arial" w:eastAsia="Arial" w:hAnsi="Arial"/>
          <w:sz w:val="22"/>
          <w:szCs w:val="22"/>
          <w:b w:val="1"/>
          <w:bCs w:val="1"/>
          <w:color w:val="148CD9"/>
        </w:rPr>
        <w: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54" w:lineRule="exact"/>
        <w:rPr>
          <w:sz w:val="20"/>
          <w:szCs w:val="20"/>
          <w:color w:val="auto"/>
        </w:rPr>
      </w:pPr>
    </w:p>
    <w:p>
      <w:pPr>
        <w:sectPr>
          <w:pgSz w:w="11900" w:h="16838" w:orient="portrait"/>
          <w:cols w:equalWidth="0" w:num="2">
            <w:col w:w="9420" w:space="320"/>
            <w:col w:w="139"/>
          </w:cols>
          <w:pgMar w:left="580" w:top="97" w:right="1440" w:bottom="1440" w:gutter="0" w:footer="0" w:header="0"/>
          <w:type w:val="continuous"/>
        </w:sectPr>
      </w:pPr>
    </w:p>
    <w:p>
      <w:pPr>
        <w:spacing w:after="0" w:line="178" w:lineRule="exact"/>
        <w:rPr>
          <w:sz w:val="20"/>
          <w:szCs w:val="20"/>
          <w:color w:val="auto"/>
        </w:rPr>
      </w:pPr>
    </w:p>
    <w:p>
      <w:pPr>
        <w:jc w:val="both"/>
        <w:ind w:left="880" w:right="19"/>
        <w:spacing w:after="0" w:line="253" w:lineRule="auto"/>
        <w:rPr>
          <w:sz w:val="20"/>
          <w:szCs w:val="20"/>
          <w:color w:val="auto"/>
        </w:rPr>
      </w:pPr>
      <w:r>
        <w:rPr>
          <w:rFonts w:ascii="Arial" w:cs="Arial" w:eastAsia="Arial" w:hAnsi="Arial"/>
          <w:sz w:val="18"/>
          <w:szCs w:val="18"/>
          <w:color w:val="auto"/>
        </w:rPr>
        <w:t>The Nominating and Corporate Governance Committee also considers, on an ongoing basis, the background, experience and skills of the incumbent directors that are important to our current and future business needs, and evaluates the experience and skills that would be valuable in new Board members.</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SELECTION OF CANDIDATES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Director Skill Set Considerations; Use of Skills Matrix</w:t>
      </w:r>
    </w:p>
    <w:p>
      <w:pPr>
        <w:spacing w:after="0" w:line="144" w:lineRule="exact"/>
        <w:rPr>
          <w:sz w:val="20"/>
          <w:szCs w:val="20"/>
          <w:color w:val="auto"/>
        </w:rPr>
      </w:pPr>
    </w:p>
    <w:p>
      <w:pPr>
        <w:jc w:val="both"/>
        <w:ind w:left="880" w:right="19"/>
        <w:spacing w:after="0" w:line="318" w:lineRule="auto"/>
        <w:rPr>
          <w:sz w:val="20"/>
          <w:szCs w:val="20"/>
          <w:color w:val="auto"/>
        </w:rPr>
      </w:pPr>
      <w:r>
        <w:rPr>
          <w:rFonts w:ascii="Arial" w:cs="Arial" w:eastAsia="Arial" w:hAnsi="Arial"/>
          <w:sz w:val="17"/>
          <w:szCs w:val="17"/>
          <w:color w:val="auto"/>
        </w:rPr>
        <w:t>To assist with determining the needs of the Board, the Nominating and Corporate Governance Committee utilizes a skills matrix for the purpose of recruiting and selecting Board candidates. The expertise and experience included</w:t>
      </w:r>
    </w:p>
    <w:p>
      <w:pPr>
        <w:spacing w:after="0" w:line="224"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​BOARD OF DIRECTORS</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19"/>
        <w:spacing w:after="0" w:line="255" w:lineRule="auto"/>
        <w:rPr>
          <w:sz w:val="20"/>
          <w:szCs w:val="20"/>
          <w:color w:val="auto"/>
        </w:rPr>
      </w:pPr>
      <w:r>
        <w:rPr>
          <w:rFonts w:ascii="Arial" w:cs="Arial" w:eastAsia="Arial" w:hAnsi="Arial"/>
          <w:sz w:val="18"/>
          <w:szCs w:val="18"/>
          <w:color w:val="auto"/>
        </w:rPr>
        <w:t>in the skills matrix are tied to our strategic goals, and the intent of the skills matrix is to ensure that the directors collectively possess qualities that facilitate effective oversight of our strategic plans. While the matrix is useful for determining the collective skills of the Board as a whole, it is not a comparative measure of the value of each individual director; a director with more focused experience could nonetheless contribute broadly and effectively. The Nominating and Corporate Governance Committee also considers a wide range of additional factors including other positions the director or candidate holds, including other boards of directors on which he or she serves, and the independence of each director and candidate, to ensure that a substantial majority of the Board is independent. The matrix below displays the current Board’s balance.</w:t>
      </w:r>
    </w:p>
    <w:p>
      <w:pPr>
        <w:spacing w:after="0" w:line="185"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Director Skills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128905</wp:posOffset>
            </wp:positionV>
            <wp:extent cx="5212080" cy="27514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12080"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Potential Director Candidates</w:t>
      </w:r>
    </w:p>
    <w:p>
      <w:pPr>
        <w:spacing w:after="0" w:line="144" w:lineRule="exact"/>
        <w:rPr>
          <w:sz w:val="20"/>
          <w:szCs w:val="20"/>
          <w:color w:val="auto"/>
        </w:rPr>
      </w:pPr>
    </w:p>
    <w:p>
      <w:pPr>
        <w:jc w:val="both"/>
        <w:ind w:left="880" w:right="39"/>
        <w:spacing w:after="0" w:line="254" w:lineRule="auto"/>
        <w:rPr>
          <w:sz w:val="20"/>
          <w:szCs w:val="20"/>
          <w:color w:val="auto"/>
        </w:rPr>
      </w:pPr>
      <w:r>
        <w:rPr>
          <w:rFonts w:ascii="Arial" w:cs="Arial" w:eastAsia="Arial" w:hAnsi="Arial"/>
          <w:sz w:val="18"/>
          <w:szCs w:val="18"/>
          <w:color w:val="auto"/>
        </w:rPr>
        <w:t>On an ongoing basis, the Nominating and Corporate Governance Committee considers potential director candidates identified on its own initiative, as well as candidates referred or recommended to it by other directors, members of management, search firms, stockholders and others (including individuals seeking to join the Board). Stockholders who wish to recommend candidates may contact the Nominating and Corporate Governance Committee in the manner described in “Stockholder Communications to the Board.” Stockholder nominations must be made according to the procedures required under our Bylaws and described in this Proxy Statement under the heading “Requirements for Submission of Stockholder Proposals for Next Year’s Annual Meeting.” Stockholder-recommended candidates and stockholder nominees whose nominations comply with these procedures and who meet the criteria referred to above will be evaluated by the Nominating and Corporate Governance Committee in the same manner as the Board’s nominees.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​BOARD OF DIRECTORS</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GOVERNANCE HIGHLIGHTS</w:t>
      </w:r>
    </w:p>
    <w:p>
      <w:pPr>
        <w:spacing w:after="0" w:line="144" w:lineRule="exact"/>
        <w:rPr>
          <w:sz w:val="20"/>
          <w:szCs w:val="20"/>
          <w:color w:val="auto"/>
        </w:rPr>
      </w:pPr>
    </w:p>
    <w:p>
      <w:pPr>
        <w:jc w:val="both"/>
        <w:ind w:left="880" w:right="19"/>
        <w:spacing w:after="0" w:line="255" w:lineRule="auto"/>
        <w:rPr>
          <w:sz w:val="20"/>
          <w:szCs w:val="20"/>
          <w:color w:val="auto"/>
        </w:rPr>
      </w:pPr>
      <w:r>
        <w:rPr>
          <w:rFonts w:ascii="Arial" w:cs="Arial" w:eastAsia="Arial" w:hAnsi="Arial"/>
          <w:sz w:val="18"/>
          <w:szCs w:val="18"/>
          <w:color w:val="auto"/>
        </w:rPr>
        <w:t>The Board is committed to maintaining an optimal mix of skills, expertise and backgrounds to effectively oversee the execution of our strategy and meet our evolving needs, while bringing differing professional experiences and perspectives. As presently constituted, the Board represents a deliberate mix of members who have a deep understanding of our business as well as members who have different skill sets and points of view. The Nominating and Corporate Governance Committee considers the value of having differing professional experiences and perspectives on the Board in evaluating director nominees. Accordingly, the Nominating and Corporate Governance Committee’s evaluation of director nominees includes consideration of their ability to contribute to the differing of personal and professional experiences, opinions and perspectives on the Board.</w:t>
      </w:r>
    </w:p>
    <w:p>
      <w:pPr>
        <w:spacing w:after="0" w:line="117" w:lineRule="exact"/>
        <w:rPr>
          <w:sz w:val="20"/>
          <w:szCs w:val="20"/>
          <w:color w:val="auto"/>
        </w:rPr>
      </w:pPr>
    </w:p>
    <w:p>
      <w:pPr>
        <w:jc w:val="both"/>
        <w:ind w:left="880" w:right="19"/>
        <w:spacing w:after="0" w:line="255" w:lineRule="auto"/>
        <w:rPr>
          <w:sz w:val="20"/>
          <w:szCs w:val="20"/>
          <w:color w:val="auto"/>
        </w:rPr>
      </w:pPr>
      <w:r>
        <w:rPr>
          <w:rFonts w:ascii="Arial" w:cs="Arial" w:eastAsia="Arial" w:hAnsi="Arial"/>
          <w:sz w:val="18"/>
          <w:szCs w:val="18"/>
          <w:color w:val="auto"/>
        </w:rPr>
        <w:t>Our Board is committed to fostering a strong culture of compliance and ethical conduct and has structured its committees and their activities to support its commitment. Our Board supports management’s promotion of a corporate culture of integrity, ethical behavior and compliance with laws and regulations and for ensuring that our culture and strategy are aligned. Our Board expects all directors, as well as officers and employees, to conduct themselves in a manner consistent with our Code of Business Conduct and Ethics, or the Code of Conduct, and our values. Our Board believes that a strong culture of integrity, ethics and compliance is fundamental to the conduct of our business, and is necessary for effective risk management, maintaining investor trust, and successful corporate governance.</w:t>
      </w:r>
    </w:p>
    <w:p>
      <w:pPr>
        <w:spacing w:after="0" w:line="117" w:lineRule="exact"/>
        <w:rPr>
          <w:sz w:val="20"/>
          <w:szCs w:val="20"/>
          <w:color w:val="auto"/>
        </w:rPr>
      </w:pPr>
    </w:p>
    <w:p>
      <w:pPr>
        <w:jc w:val="both"/>
        <w:ind w:left="880" w:right="19"/>
        <w:spacing w:after="0" w:line="255" w:lineRule="auto"/>
        <w:rPr>
          <w:sz w:val="20"/>
          <w:szCs w:val="20"/>
          <w:color w:val="auto"/>
        </w:rPr>
      </w:pPr>
      <w:r>
        <w:rPr>
          <w:rFonts w:ascii="Arial" w:cs="Arial" w:eastAsia="Arial" w:hAnsi="Arial"/>
          <w:sz w:val="18"/>
          <w:szCs w:val="18"/>
          <w:color w:val="auto"/>
        </w:rPr>
        <w:t>We understand corporate responsibility is essential for good governance because it strengthens the accountability of our Board and management team. We view Environmental, Social and Governance, or ESG, initiatives as long-term value drivers for the Company and our stockholders. Our focus on and commitment to ESG is tied to our belief that achieving and sustaining business excellence goes hand-in-hand with strong corporate leadership and stewardship. Our Board is primarily responsible for overseeing our corporate strategy, which includes the oversight of ESG matters that impact our business and related risks. Though our current ESG initiatives are broad, we continue to focus on our people, culture and strong corporate governance. We are committed to advancing a series of new ESG initiatives and performance targets, which will evolve over time.</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is a summary of our current corporate governance policies and practices:</w:t>
      </w:r>
    </w:p>
    <w:p>
      <w:pPr>
        <w:spacing w:after="0" w:line="117" w:lineRule="exact"/>
        <w:rPr>
          <w:sz w:val="20"/>
          <w:szCs w:val="20"/>
          <w:color w:val="auto"/>
        </w:rPr>
      </w:pPr>
    </w:p>
    <w:p>
      <w:pPr>
        <w:jc w:val="both"/>
        <w:ind w:left="1420" w:right="39" w:hanging="190"/>
        <w:spacing w:after="0" w:line="262" w:lineRule="auto"/>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Lead Independent Director: </w:t>
      </w:r>
      <w:r>
        <w:rPr>
          <w:rFonts w:ascii="Arial" w:cs="Arial" w:eastAsia="Arial" w:hAnsi="Arial"/>
          <w:sz w:val="18"/>
          <w:szCs w:val="18"/>
          <w:color w:val="auto"/>
        </w:rPr>
        <w:t>The offices of Chairperson of the Board (held by our Chief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and Lead Independent Director are separated, which reinforces the Board’s independence from management and creates an environment that encourages objective oversight of management’s performance.</w:t>
      </w:r>
    </w:p>
    <w:p>
      <w:pPr>
        <w:spacing w:after="0" w:line="68" w:lineRule="exact"/>
        <w:rPr>
          <w:rFonts w:ascii="Arial" w:cs="Arial" w:eastAsia="Arial" w:hAnsi="Arial"/>
          <w:sz w:val="18"/>
          <w:szCs w:val="18"/>
          <w:color w:val="auto"/>
        </w:rPr>
      </w:pPr>
    </w:p>
    <w:p>
      <w:pPr>
        <w:ind w:left="1420" w:hanging="190"/>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Independent Committees: </w:t>
      </w:r>
      <w:r>
        <w:rPr>
          <w:rFonts w:ascii="Arial" w:cs="Arial" w:eastAsia="Arial" w:hAnsi="Arial"/>
          <w:sz w:val="18"/>
          <w:szCs w:val="18"/>
          <w:color w:val="auto"/>
        </w:rPr>
        <w:t>Each of our Board committees consist entirely of independent directors.</w:t>
      </w:r>
    </w:p>
    <w:p>
      <w:pPr>
        <w:spacing w:after="0" w:line="117" w:lineRule="exact"/>
        <w:rPr>
          <w:rFonts w:ascii="Arial" w:cs="Arial" w:eastAsia="Arial" w:hAnsi="Arial"/>
          <w:sz w:val="18"/>
          <w:szCs w:val="18"/>
          <w:color w:val="auto"/>
        </w:rPr>
      </w:pPr>
    </w:p>
    <w:p>
      <w:pPr>
        <w:jc w:val="both"/>
        <w:ind w:left="1420" w:right="19" w:hanging="190"/>
        <w:spacing w:after="0" w:line="268" w:lineRule="auto"/>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Regularly Held Executive Sessions: </w:t>
      </w:r>
      <w:r>
        <w:rPr>
          <w:rFonts w:ascii="Arial" w:cs="Arial" w:eastAsia="Arial" w:hAnsi="Arial"/>
          <w:sz w:val="18"/>
          <w:szCs w:val="18"/>
          <w:color w:val="auto"/>
        </w:rPr>
        <w:t>The independent directors of our Board meet separately in</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session on a regular basis to discuss matters relating to the Company and the Board, without members of the management team present.</w:t>
      </w:r>
    </w:p>
    <w:p>
      <w:pPr>
        <w:spacing w:after="0" w:line="62" w:lineRule="exact"/>
        <w:rPr>
          <w:rFonts w:ascii="Arial" w:cs="Arial" w:eastAsia="Arial" w:hAnsi="Arial"/>
          <w:sz w:val="18"/>
          <w:szCs w:val="18"/>
          <w:color w:val="auto"/>
        </w:rPr>
      </w:pPr>
    </w:p>
    <w:p>
      <w:pPr>
        <w:ind w:left="1420" w:right="19" w:hanging="190"/>
        <w:spacing w:after="0" w:line="287" w:lineRule="auto"/>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Code of Conduct: </w:t>
      </w:r>
      <w:r>
        <w:rPr>
          <w:rFonts w:ascii="Arial" w:cs="Arial" w:eastAsia="Arial" w:hAnsi="Arial"/>
          <w:sz w:val="18"/>
          <w:szCs w:val="18"/>
          <w:color w:val="auto"/>
        </w:rPr>
        <w:t>All of our directors, officers and employees are subject to the Code of Conduct,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on our website at www.centurytx.com.</w:t>
      </w:r>
    </w:p>
    <w:p>
      <w:pPr>
        <w:spacing w:after="0" w:line="44" w:lineRule="exact"/>
        <w:rPr>
          <w:rFonts w:ascii="Arial" w:cs="Arial" w:eastAsia="Arial" w:hAnsi="Arial"/>
          <w:sz w:val="18"/>
          <w:szCs w:val="18"/>
          <w:color w:val="auto"/>
        </w:rPr>
      </w:pPr>
    </w:p>
    <w:p>
      <w:pPr>
        <w:jc w:val="both"/>
        <w:ind w:left="1420" w:right="39" w:hanging="190"/>
        <w:spacing w:after="0" w:line="268" w:lineRule="auto"/>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Talent Management: </w:t>
      </w:r>
      <w:r>
        <w:rPr>
          <w:rFonts w:ascii="Arial" w:cs="Arial" w:eastAsia="Arial" w:hAnsi="Arial"/>
          <w:sz w:val="18"/>
          <w:szCs w:val="18"/>
          <w:color w:val="auto"/>
        </w:rPr>
        <w:t>We are committed to the health and welfare of our employees. We support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of our employees with a competitive compensation and benefits package, internal advancement, and individualized development opportunities.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​BOARD OF DIRECTORS</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39"/>
        <w:spacing w:after="0" w:line="268" w:lineRule="auto"/>
        <w:rPr>
          <w:sz w:val="20"/>
          <w:szCs w:val="20"/>
          <w:color w:val="auto"/>
        </w:rPr>
      </w:pPr>
      <w:r>
        <w:rPr>
          <w:rFonts w:ascii="Arial" w:cs="Arial" w:eastAsia="Arial" w:hAnsi="Arial"/>
          <w:sz w:val="18"/>
          <w:szCs w:val="18"/>
          <w:color w:val="148CD9"/>
        </w:rPr>
        <w:t>In each of the director nominee and continuing director biographies that follow, we highlight the specific experience, qualifications, attributes and skills that led the Board to conclude that the director nominee or continuing director should serve on our Board at this time.</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DIRECTOR NOMINEES</w:t>
      </w:r>
    </w:p>
    <w:p>
      <w:pPr>
        <w:spacing w:after="0" w:line="227" w:lineRule="exact"/>
        <w:rPr>
          <w:sz w:val="20"/>
          <w:szCs w:val="20"/>
          <w:color w:val="auto"/>
        </w:rPr>
      </w:pPr>
    </w:p>
    <w:p>
      <w:pPr>
        <w:jc w:val="both"/>
        <w:ind w:left="880" w:right="39"/>
        <w:spacing w:after="0" w:line="294" w:lineRule="auto"/>
        <w:rPr>
          <w:sz w:val="20"/>
          <w:szCs w:val="20"/>
          <w:color w:val="auto"/>
        </w:rPr>
      </w:pPr>
      <w:r>
        <w:rPr>
          <w:rFonts w:ascii="Arial" w:cs="Arial" w:eastAsia="Arial" w:hAnsi="Arial"/>
          <w:sz w:val="18"/>
          <w:szCs w:val="18"/>
          <w:b w:val="1"/>
          <w:bCs w:val="1"/>
          <w:i w:val="1"/>
          <w:iCs w:val="1"/>
          <w:color w:val="auto"/>
        </w:rPr>
        <w:t>CLASS II DIRECTORS — PRESENT TERMS EXPIRING AT THE ANNUAL MEETING AND PROPOSED TERMS TO EXPIRE IN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74295</wp:posOffset>
            </wp:positionV>
            <wp:extent cx="5700395" cy="26403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00395" cy="2640330"/>
                    </a:xfrm>
                    <a:prstGeom prst="rect">
                      <a:avLst/>
                    </a:prstGeom>
                    <a:noFill/>
                  </pic:spPr>
                </pic:pic>
              </a:graphicData>
            </a:graphic>
          </wp:anchor>
        </w:drawing>
      </w:r>
    </w:p>
    <w:tbl>
      <w:tblPr>
        <w:tblLayout w:type="fixed"/>
        <w:tblInd w:w="880" w:type="dxa"/>
        <w:tblCellMar>
          <w:top w:w="0" w:type="dxa"/>
          <w:left w:w="0" w:type="dxa"/>
          <w:bottom w:w="0" w:type="dxa"/>
          <w:right w:w="0" w:type="dxa"/>
        </w:tblCellMar>
      </w:tblPr>
      <w:tr>
        <w:trPr>
          <w:trHeight w:val="368"/>
        </w:trPr>
        <w:tc>
          <w:tcPr>
            <w:tcW w:w="2220" w:type="dxa"/>
            <w:vAlign w:val="bottom"/>
            <w:gridSpan w:val="3"/>
            <w:shd w:val="clear" w:color="auto" w:fill="148CD9"/>
          </w:tcPr>
          <w:p>
            <w:pPr>
              <w:spacing w:after="0"/>
              <w:rPr>
                <w:sz w:val="20"/>
                <w:szCs w:val="20"/>
                <w:color w:val="auto"/>
              </w:rPr>
            </w:pPr>
            <w:r>
              <w:rPr>
                <w:rFonts w:ascii="Arial" w:cs="Arial" w:eastAsia="Arial" w:hAnsi="Arial"/>
                <w:sz w:val="16"/>
                <w:szCs w:val="16"/>
                <w:b w:val="1"/>
                <w:bCs w:val="1"/>
                <w:color w:val="FFFFFF"/>
              </w:rPr>
              <w:t>​ ALESSANDRO RIVA, M.D.</w:t>
            </w:r>
          </w:p>
        </w:tc>
        <w:tc>
          <w:tcPr>
            <w:tcW w:w="2980" w:type="dxa"/>
            <w:vAlign w:val="bottom"/>
            <w:shd w:val="clear" w:color="auto" w:fill="148CD9"/>
          </w:tcPr>
          <w:p>
            <w:pPr>
              <w:spacing w:after="0"/>
              <w:rPr>
                <w:sz w:val="24"/>
                <w:szCs w:val="24"/>
                <w:color w:val="auto"/>
              </w:rPr>
            </w:pPr>
          </w:p>
        </w:tc>
        <w:tc>
          <w:tcPr>
            <w:tcW w:w="440" w:type="dxa"/>
            <w:vAlign w:val="bottom"/>
            <w:shd w:val="clear" w:color="auto" w:fill="148CD9"/>
          </w:tcPr>
          <w:p>
            <w:pPr>
              <w:ind w:left="240"/>
              <w:spacing w:after="0"/>
              <w:rPr>
                <w:sz w:val="20"/>
                <w:szCs w:val="20"/>
                <w:color w:val="auto"/>
              </w:rPr>
            </w:pPr>
            <w:r>
              <w:rPr>
                <w:rFonts w:ascii="Arial" w:cs="Arial" w:eastAsia="Arial" w:hAnsi="Arial"/>
                <w:sz w:val="16"/>
                <w:szCs w:val="16"/>
                <w:b w:val="1"/>
                <w:bCs w:val="1"/>
                <w:color w:val="FFFFFF"/>
              </w:rPr>
              <w:t>​ ​</w:t>
            </w:r>
          </w:p>
        </w:tc>
        <w:tc>
          <w:tcPr>
            <w:tcW w:w="3320" w:type="dxa"/>
            <w:vAlign w:val="bottom"/>
            <w:gridSpan w:val="2"/>
            <w:shd w:val="clear" w:color="auto" w:fill="148CD9"/>
          </w:tcPr>
          <w:p>
            <w:pPr>
              <w:ind w:left="20"/>
              <w:spacing w:after="0"/>
              <w:rPr>
                <w:sz w:val="20"/>
                <w:szCs w:val="20"/>
                <w:color w:val="auto"/>
              </w:rPr>
            </w:pPr>
            <w:r>
              <w:rPr>
                <w:rFonts w:ascii="Arial" w:cs="Arial" w:eastAsia="Arial" w:hAnsi="Arial"/>
                <w:sz w:val="16"/>
                <w:szCs w:val="16"/>
                <w:b w:val="1"/>
                <w:bCs w:val="1"/>
                <w:color w:val="FFFFFF"/>
              </w:rPr>
              <w:t xml:space="preserve">Key Skills:  </w:t>
            </w:r>
            <w:r>
              <w:rPr>
                <w:rFonts w:ascii="Arial" w:cs="Arial" w:eastAsia="Arial" w:hAnsi="Arial"/>
                <w:sz w:val="16"/>
                <w:szCs w:val="16"/>
                <w:color w:val="FFFFFF"/>
              </w:rPr>
              <w:t>Global Leadership Positions,</w:t>
            </w:r>
            <w:r>
              <w:rPr>
                <w:rFonts w:ascii="Arial" w:cs="Arial" w:eastAsia="Arial" w:hAnsi="Arial"/>
                <w:sz w:val="32"/>
                <w:szCs w:val="32"/>
                <w:b w:val="1"/>
                <w:bCs w:val="1"/>
                <w:color w:val="FFFFFF"/>
                <w:vertAlign w:val="subscript"/>
              </w:rPr>
              <w:t>​</w:t>
            </w:r>
          </w:p>
        </w:tc>
      </w:tr>
      <w:tr>
        <w:trPr>
          <w:trHeight w:val="162"/>
        </w:trPr>
        <w:tc>
          <w:tcPr>
            <w:tcW w:w="80" w:type="dxa"/>
            <w:vAlign w:val="bottom"/>
            <w:shd w:val="clear" w:color="auto" w:fill="148CD9"/>
          </w:tcPr>
          <w:p>
            <w:pPr>
              <w:spacing w:after="0"/>
              <w:rPr>
                <w:sz w:val="14"/>
                <w:szCs w:val="14"/>
                <w:color w:val="auto"/>
              </w:rPr>
            </w:pPr>
          </w:p>
        </w:tc>
        <w:tc>
          <w:tcPr>
            <w:tcW w:w="1860" w:type="dxa"/>
            <w:vAlign w:val="bottom"/>
            <w:shd w:val="clear" w:color="auto" w:fill="148CD9"/>
          </w:tcPr>
          <w:p>
            <w:pPr>
              <w:spacing w:after="0"/>
              <w:rPr>
                <w:sz w:val="14"/>
                <w:szCs w:val="14"/>
                <w:color w:val="auto"/>
              </w:rPr>
            </w:pPr>
          </w:p>
        </w:tc>
        <w:tc>
          <w:tcPr>
            <w:tcW w:w="280" w:type="dxa"/>
            <w:vAlign w:val="bottom"/>
            <w:shd w:val="clear" w:color="auto" w:fill="148CD9"/>
          </w:tcPr>
          <w:p>
            <w:pPr>
              <w:spacing w:after="0"/>
              <w:rPr>
                <w:sz w:val="14"/>
                <w:szCs w:val="14"/>
                <w:color w:val="auto"/>
              </w:rPr>
            </w:pPr>
          </w:p>
        </w:tc>
        <w:tc>
          <w:tcPr>
            <w:tcW w:w="2980" w:type="dxa"/>
            <w:vAlign w:val="bottom"/>
            <w:shd w:val="clear" w:color="auto" w:fill="148CD9"/>
          </w:tcPr>
          <w:p>
            <w:pPr>
              <w:spacing w:after="0"/>
              <w:rPr>
                <w:sz w:val="14"/>
                <w:szCs w:val="14"/>
                <w:color w:val="auto"/>
              </w:rPr>
            </w:pPr>
          </w:p>
        </w:tc>
        <w:tc>
          <w:tcPr>
            <w:tcW w:w="440" w:type="dxa"/>
            <w:vAlign w:val="bottom"/>
            <w:shd w:val="clear" w:color="auto" w:fill="148CD9"/>
          </w:tcPr>
          <w:p>
            <w:pPr>
              <w:spacing w:after="0"/>
              <w:rPr>
                <w:sz w:val="14"/>
                <w:szCs w:val="14"/>
                <w:color w:val="auto"/>
              </w:rPr>
            </w:pPr>
          </w:p>
        </w:tc>
        <w:tc>
          <w:tcPr>
            <w:tcW w:w="3100" w:type="dxa"/>
            <w:vAlign w:val="bottom"/>
            <w:shd w:val="clear" w:color="auto" w:fill="148CD9"/>
          </w:tcPr>
          <w:p>
            <w:pPr>
              <w:ind w:left="20"/>
              <w:spacing w:after="0" w:line="162" w:lineRule="exact"/>
              <w:rPr>
                <w:sz w:val="20"/>
                <w:szCs w:val="20"/>
                <w:color w:val="auto"/>
              </w:rPr>
            </w:pPr>
            <w:r>
              <w:rPr>
                <w:rFonts w:ascii="Arial" w:cs="Arial" w:eastAsia="Arial" w:hAnsi="Arial"/>
                <w:sz w:val="16"/>
                <w:szCs w:val="16"/>
                <w:color w:val="FFFFFF"/>
              </w:rPr>
              <w:t>Industry Knowledge and Experience</w:t>
            </w:r>
          </w:p>
        </w:tc>
        <w:tc>
          <w:tcPr>
            <w:tcW w:w="220" w:type="dxa"/>
            <w:vAlign w:val="bottom"/>
            <w:shd w:val="clear" w:color="auto" w:fill="148CD9"/>
          </w:tcPr>
          <w:p>
            <w:pPr>
              <w:spacing w:after="0"/>
              <w:rPr>
                <w:sz w:val="14"/>
                <w:szCs w:val="14"/>
                <w:color w:val="auto"/>
              </w:rPr>
            </w:pPr>
          </w:p>
        </w:tc>
      </w:tr>
      <w:tr>
        <w:trPr>
          <w:trHeight w:val="202"/>
        </w:trPr>
        <w:tc>
          <w:tcPr>
            <w:tcW w:w="8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860" w:type="dxa"/>
            <w:vAlign w:val="bottom"/>
          </w:tcPr>
          <w:p>
            <w:pPr>
              <w:ind w:left="40"/>
              <w:spacing w:after="0" w:line="201" w:lineRule="exact"/>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65</w:t>
            </w:r>
          </w:p>
        </w:tc>
        <w:tc>
          <w:tcPr>
            <w:tcW w:w="280" w:type="dxa"/>
            <w:vAlign w:val="bottom"/>
          </w:tcPr>
          <w:p>
            <w:pPr>
              <w:ind w:left="100"/>
              <w:spacing w:after="0" w:line="201" w:lineRule="exact"/>
              <w:rPr>
                <w:sz w:val="20"/>
                <w:szCs w:val="20"/>
                <w:color w:val="auto"/>
              </w:rPr>
            </w:pPr>
            <w:r>
              <w:rPr>
                <w:rFonts w:ascii="Arial" w:cs="Arial" w:eastAsia="Arial" w:hAnsi="Arial"/>
                <w:sz w:val="18"/>
                <w:szCs w:val="18"/>
                <w:color w:val="auto"/>
              </w:rPr>
              <w:t>​ ​</w:t>
            </w:r>
          </w:p>
        </w:tc>
        <w:tc>
          <w:tcPr>
            <w:tcW w:w="2980" w:type="dxa"/>
            <w:vAlign w:val="bottom"/>
          </w:tcPr>
          <w:p>
            <w:pPr>
              <w:ind w:left="40"/>
              <w:spacing w:after="0" w:line="201" w:lineRule="exact"/>
              <w:rPr>
                <w:sz w:val="20"/>
                <w:szCs w:val="20"/>
                <w:color w:val="auto"/>
              </w:rPr>
            </w:pPr>
            <w:r>
              <w:rPr>
                <w:rFonts w:ascii="Arial" w:cs="Arial" w:eastAsia="Arial" w:hAnsi="Arial"/>
                <w:sz w:val="18"/>
                <w:szCs w:val="18"/>
                <w:b w:val="1"/>
                <w:bCs w:val="1"/>
                <w:color w:val="auto"/>
              </w:rPr>
              <w:t>Committee Memberships</w:t>
            </w:r>
            <w:r>
              <w:rPr>
                <w:rFonts w:ascii="Arial" w:cs="Arial" w:eastAsia="Arial" w:hAnsi="Arial"/>
                <w:sz w:val="18"/>
                <w:szCs w:val="18"/>
                <w:color w:val="auto"/>
              </w:rPr>
              <w:t>: Audit,</w:t>
            </w:r>
          </w:p>
        </w:tc>
        <w:tc>
          <w:tcPr>
            <w:tcW w:w="440" w:type="dxa"/>
            <w:vAlign w:val="bottom"/>
          </w:tcPr>
          <w:p>
            <w:pPr>
              <w:ind w:left="240"/>
              <w:spacing w:after="0" w:line="201" w:lineRule="exact"/>
              <w:rPr>
                <w:sz w:val="20"/>
                <w:szCs w:val="20"/>
                <w:color w:val="auto"/>
              </w:rPr>
            </w:pPr>
            <w:r>
              <w:rPr>
                <w:rFonts w:ascii="Arial" w:cs="Arial" w:eastAsia="Arial" w:hAnsi="Arial"/>
                <w:sz w:val="18"/>
                <w:szCs w:val="18"/>
                <w:color w:val="auto"/>
              </w:rPr>
              <w:t>​ ​</w:t>
            </w:r>
          </w:p>
        </w:tc>
        <w:tc>
          <w:tcPr>
            <w:tcW w:w="3100" w:type="dxa"/>
            <w:vAlign w:val="bottom"/>
          </w:tcPr>
          <w:p>
            <w:pPr>
              <w:ind w:left="20"/>
              <w:spacing w:after="0" w:line="201" w:lineRule="exact"/>
              <w:rPr>
                <w:sz w:val="20"/>
                <w:szCs w:val="20"/>
                <w:color w:val="auto"/>
              </w:rPr>
            </w:pPr>
            <w:r>
              <w:rPr>
                <w:rFonts w:ascii="Arial" w:cs="Arial" w:eastAsia="Arial" w:hAnsi="Arial"/>
                <w:sz w:val="18"/>
                <w:szCs w:val="18"/>
                <w:b w:val="1"/>
                <w:bCs w:val="1"/>
                <w:color w:val="auto"/>
              </w:rPr>
              <w:t>Other Public Directorships</w:t>
            </w:r>
            <w:r>
              <w:rPr>
                <w:rFonts w:ascii="Arial" w:cs="Arial" w:eastAsia="Arial" w:hAnsi="Arial"/>
                <w:sz w:val="18"/>
                <w:szCs w:val="18"/>
                <w:color w:val="auto"/>
              </w:rPr>
              <w:t>: BeOne</w:t>
            </w:r>
          </w:p>
        </w:tc>
        <w:tc>
          <w:tcPr>
            <w:tcW w:w="220" w:type="dxa"/>
            <w:vAlign w:val="bottom"/>
          </w:tcPr>
          <w:p>
            <w:pPr>
              <w:ind w:left="100"/>
              <w:spacing w:after="0" w:line="201" w:lineRule="exact"/>
              <w:rPr>
                <w:sz w:val="20"/>
                <w:szCs w:val="20"/>
                <w:color w:val="auto"/>
              </w:rPr>
            </w:pPr>
            <w:r>
              <w:rPr>
                <w:rFonts w:ascii="Arial" w:cs="Arial" w:eastAsia="Arial" w:hAnsi="Arial"/>
                <w:sz w:val="18"/>
                <w:szCs w:val="18"/>
                <w:color w:val="auto"/>
              </w:rPr>
              <w:t>​</w:t>
            </w:r>
          </w:p>
        </w:tc>
      </w:tr>
      <w:tr>
        <w:trPr>
          <w:trHeight w:val="216"/>
        </w:trPr>
        <w:tc>
          <w:tcPr>
            <w:tcW w:w="80" w:type="dxa"/>
            <w:vAlign w:val="bottom"/>
          </w:tcPr>
          <w:p>
            <w:pPr>
              <w:spacing w:after="0"/>
              <w:rPr>
                <w:sz w:val="18"/>
                <w:szCs w:val="18"/>
                <w:color w:val="auto"/>
              </w:rPr>
            </w:pPr>
          </w:p>
        </w:tc>
        <w:tc>
          <w:tcPr>
            <w:tcW w:w="1860" w:type="dxa"/>
            <w:vAlign w:val="bottom"/>
          </w:tcPr>
          <w:p>
            <w:pPr>
              <w:ind w:left="40"/>
              <w:spacing w:after="0"/>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 2021</w:t>
            </w:r>
          </w:p>
        </w:tc>
        <w:tc>
          <w:tcPr>
            <w:tcW w:w="280" w:type="dxa"/>
            <w:vAlign w:val="bottom"/>
          </w:tcPr>
          <w:p>
            <w:pPr>
              <w:spacing w:after="0"/>
              <w:rPr>
                <w:sz w:val="18"/>
                <w:szCs w:val="18"/>
                <w:color w:val="auto"/>
              </w:rPr>
            </w:pPr>
          </w:p>
        </w:tc>
        <w:tc>
          <w:tcPr>
            <w:tcW w:w="2980" w:type="dxa"/>
            <w:vAlign w:val="bottom"/>
          </w:tcPr>
          <w:p>
            <w:pPr>
              <w:ind w:left="40"/>
              <w:spacing w:after="0"/>
              <w:rPr>
                <w:sz w:val="20"/>
                <w:szCs w:val="20"/>
                <w:color w:val="auto"/>
              </w:rPr>
            </w:pPr>
            <w:r>
              <w:rPr>
                <w:rFonts w:ascii="Arial" w:cs="Arial" w:eastAsia="Arial" w:hAnsi="Arial"/>
                <w:sz w:val="18"/>
                <w:szCs w:val="18"/>
                <w:color w:val="auto"/>
              </w:rPr>
              <w:t>Compensation</w:t>
            </w:r>
          </w:p>
        </w:tc>
        <w:tc>
          <w:tcPr>
            <w:tcW w:w="440" w:type="dxa"/>
            <w:vAlign w:val="bottom"/>
          </w:tcPr>
          <w:p>
            <w:pPr>
              <w:spacing w:after="0"/>
              <w:rPr>
                <w:sz w:val="18"/>
                <w:szCs w:val="18"/>
                <w:color w:val="auto"/>
              </w:rPr>
            </w:pPr>
          </w:p>
        </w:tc>
        <w:tc>
          <w:tcPr>
            <w:tcW w:w="3100" w:type="dxa"/>
            <w:vAlign w:val="bottom"/>
          </w:tcPr>
          <w:p>
            <w:pPr>
              <w:ind w:left="20"/>
              <w:spacing w:after="0"/>
              <w:rPr>
                <w:sz w:val="20"/>
                <w:szCs w:val="20"/>
                <w:color w:val="auto"/>
              </w:rPr>
            </w:pPr>
            <w:r>
              <w:rPr>
                <w:rFonts w:ascii="Arial" w:cs="Arial" w:eastAsia="Arial" w:hAnsi="Arial"/>
                <w:sz w:val="18"/>
                <w:szCs w:val="18"/>
                <w:color w:val="auto"/>
              </w:rPr>
              <w:t>Medicines; Bicycle Therapeutics, PLC</w:t>
            </w:r>
          </w:p>
        </w:tc>
        <w:tc>
          <w:tcPr>
            <w:tcW w:w="220" w:type="dxa"/>
            <w:vAlign w:val="bottom"/>
          </w:tcPr>
          <w:p>
            <w:pPr>
              <w:spacing w:after="0"/>
              <w:rPr>
                <w:sz w:val="18"/>
                <w:szCs w:val="18"/>
                <w:color w:val="auto"/>
              </w:rPr>
            </w:pPr>
          </w:p>
        </w:tc>
      </w:tr>
    </w:tbl>
    <w:p>
      <w:pPr>
        <w:ind w:left="8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Dr. Riva</w:t>
      </w:r>
      <w:r>
        <w:rPr>
          <w:rFonts w:ascii="Arial" w:cs="Arial" w:eastAsia="Arial" w:hAnsi="Arial"/>
          <w:sz w:val="18"/>
          <w:szCs w:val="18"/>
          <w:color w:val="auto"/>
        </w:rPr>
        <w:t xml:space="preserve"> has been a member of our Board since May 2021. Dr. Riva has served as Chief Executive Officer of​</w:t>
      </w:r>
    </w:p>
    <w:p>
      <w:pPr>
        <w:spacing w:after="0" w:line="23" w:lineRule="exact"/>
        <w:rPr>
          <w:sz w:val="20"/>
          <w:szCs w:val="20"/>
          <w:color w:val="auto"/>
        </w:rPr>
      </w:pPr>
    </w:p>
    <w:p>
      <w:pPr>
        <w:jc w:val="both"/>
        <w:ind w:left="1000" w:right="159"/>
        <w:spacing w:after="0" w:line="226" w:lineRule="auto"/>
        <w:rPr>
          <w:sz w:val="20"/>
          <w:szCs w:val="20"/>
          <w:color w:val="auto"/>
        </w:rPr>
      </w:pPr>
      <w:r>
        <w:rPr>
          <w:rFonts w:ascii="Arial" w:cs="Arial" w:eastAsia="Arial" w:hAnsi="Arial"/>
          <w:sz w:val="18"/>
          <w:szCs w:val="18"/>
          <w:color w:val="auto"/>
        </w:rPr>
        <w:t>Transgene S.A., or Transgene, since May 2023, and Chairman of the Board of Directors of Transgene since May 2022. Dr. Riva has served as a non-executive director of Bicycle Therapeutics, Inc. since April 2025.</w:t>
      </w:r>
    </w:p>
    <w:p>
      <w:pPr>
        <w:ind w:left="1000"/>
        <w:spacing w:after="0" w:line="236" w:lineRule="auto"/>
        <w:rPr>
          <w:sz w:val="20"/>
          <w:szCs w:val="20"/>
          <w:color w:val="auto"/>
        </w:rPr>
      </w:pPr>
      <w:r>
        <w:rPr>
          <w:rFonts w:ascii="Arial" w:cs="Arial" w:eastAsia="Arial" w:hAnsi="Arial"/>
          <w:sz w:val="18"/>
          <w:szCs w:val="18"/>
          <w:color w:val="auto"/>
        </w:rPr>
        <w:t>Dr. Riva has served as a non-executive independent director of BeOne Medicines, a biotechnology company</w:t>
      </w:r>
    </w:p>
    <w:p>
      <w:pPr>
        <w:spacing w:after="0" w:line="1" w:lineRule="exact"/>
        <w:rPr>
          <w:sz w:val="20"/>
          <w:szCs w:val="20"/>
          <w:color w:val="auto"/>
        </w:rPr>
      </w:pPr>
    </w:p>
    <w:p>
      <w:pPr>
        <w:ind w:left="1000" w:right="159"/>
        <w:spacing w:after="0" w:line="226" w:lineRule="auto"/>
        <w:rPr>
          <w:sz w:val="20"/>
          <w:szCs w:val="20"/>
          <w:color w:val="auto"/>
        </w:rPr>
      </w:pPr>
      <w:r>
        <w:rPr>
          <w:rFonts w:ascii="Arial" w:cs="Arial" w:eastAsia="Arial" w:hAnsi="Arial"/>
          <w:sz w:val="18"/>
          <w:szCs w:val="18"/>
          <w:color w:val="auto"/>
        </w:rPr>
        <w:t>specialized in oncology therapeutics, since February 2022. Dr. Riva previously served as Chief Executive Officer of Intima Bioscience, Inc., or Intima, a privately held biotechnology company focused on oncology cell</w:t>
      </w:r>
    </w:p>
    <w:p>
      <w:pPr>
        <w:ind w:left="1000"/>
        <w:spacing w:after="0" w:line="236" w:lineRule="auto"/>
        <w:rPr>
          <w:sz w:val="20"/>
          <w:szCs w:val="20"/>
          <w:color w:val="auto"/>
        </w:rPr>
      </w:pPr>
      <w:r>
        <w:rPr>
          <w:rFonts w:ascii="Arial" w:cs="Arial" w:eastAsia="Arial" w:hAnsi="Arial"/>
          <w:sz w:val="18"/>
          <w:szCs w:val="18"/>
          <w:color w:val="auto"/>
        </w:rPr>
        <w:t>therapy and therapeutics, from September 2021 until April 2023. Prior to Intima, Dr. Riva served as the Chief</w:t>
      </w:r>
    </w:p>
    <w:p>
      <w:pPr>
        <w:spacing w:after="0" w:line="1" w:lineRule="exact"/>
        <w:rPr>
          <w:sz w:val="20"/>
          <w:szCs w:val="20"/>
          <w:color w:val="auto"/>
        </w:rPr>
      </w:pPr>
    </w:p>
    <w:p>
      <w:pPr>
        <w:ind w:left="1000" w:right="159"/>
        <w:spacing w:after="0"/>
        <w:rPr>
          <w:sz w:val="20"/>
          <w:szCs w:val="20"/>
          <w:color w:val="auto"/>
        </w:rPr>
      </w:pPr>
      <w:r>
        <w:rPr>
          <w:rFonts w:ascii="Arial" w:cs="Arial" w:eastAsia="Arial" w:hAnsi="Arial"/>
          <w:sz w:val="17"/>
          <w:szCs w:val="17"/>
          <w:color w:val="auto"/>
        </w:rPr>
        <w:t>Executive Officer of Ichnos Sciences, Inc., a biotechnology company focusing on oncology therapies from April 2019 until August 2021. Previously, Dr. Riva was the Executive Vice President and Global Head, Oncology</w:t>
      </w:r>
    </w:p>
    <w:p>
      <w:pPr>
        <w:ind w:left="1000"/>
        <w:spacing w:after="0" w:line="235" w:lineRule="auto"/>
        <w:rPr>
          <w:sz w:val="20"/>
          <w:szCs w:val="20"/>
          <w:color w:val="auto"/>
        </w:rPr>
      </w:pPr>
      <w:r>
        <w:rPr>
          <w:rFonts w:ascii="Arial" w:cs="Arial" w:eastAsia="Arial" w:hAnsi="Arial"/>
          <w:sz w:val="18"/>
          <w:szCs w:val="18"/>
          <w:color w:val="auto"/>
        </w:rPr>
        <w:t>Therapeutics and Cell Therapy at Gilead Sciences, Inc., or Gilead, a biotechnology company, from</w:t>
      </w:r>
    </w:p>
    <w:p>
      <w:pPr>
        <w:ind w:left="1000" w:right="159"/>
        <w:spacing w:after="0" w:line="226" w:lineRule="auto"/>
        <w:rPr>
          <w:sz w:val="20"/>
          <w:szCs w:val="20"/>
          <w:color w:val="auto"/>
        </w:rPr>
      </w:pPr>
      <w:r>
        <w:rPr>
          <w:rFonts w:ascii="Arial" w:cs="Arial" w:eastAsia="Arial" w:hAnsi="Arial"/>
          <w:sz w:val="18"/>
          <w:szCs w:val="18"/>
          <w:color w:val="auto"/>
        </w:rPr>
        <w:t>January 2017 to March 2019. Prior to Gilead, Dr. Riva served as the Executive Vice President and Global Head, Oncology Development and Medical Affairs at Novartis AG, a position he held from January 2005 until</w:t>
      </w:r>
    </w:p>
    <w:p>
      <w:pPr>
        <w:spacing w:after="0" w:line="2" w:lineRule="exact"/>
        <w:rPr>
          <w:sz w:val="20"/>
          <w:szCs w:val="20"/>
          <w:color w:val="auto"/>
        </w:rPr>
      </w:pPr>
    </w:p>
    <w:p>
      <w:pPr>
        <w:ind w:left="1000" w:right="159"/>
        <w:spacing w:after="0" w:line="245" w:lineRule="auto"/>
        <w:rPr>
          <w:sz w:val="20"/>
          <w:szCs w:val="20"/>
          <w:color w:val="auto"/>
        </w:rPr>
      </w:pPr>
      <w:r>
        <w:rPr>
          <w:rFonts w:ascii="Arial" w:cs="Arial" w:eastAsia="Arial" w:hAnsi="Arial"/>
          <w:sz w:val="18"/>
          <w:szCs w:val="18"/>
          <w:color w:val="auto"/>
        </w:rPr>
        <w:t>December 2016. Dr. Riva received his B.M.B.S. and M.D. in Oncology/Hematology from Università degli Studi di Milano.</w:t>
      </w:r>
    </w:p>
    <w:p>
      <w:pPr>
        <w:spacing w:after="0" w:line="1" w:lineRule="exact"/>
        <w:rPr>
          <w:sz w:val="20"/>
          <w:szCs w:val="20"/>
          <w:color w:val="auto"/>
        </w:rPr>
      </w:pPr>
    </w:p>
    <w:p>
      <w:pPr>
        <w:ind w:left="1000" w:right="99" w:hanging="107"/>
        <w:spacing w:after="0" w:line="29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Skills &amp; Qualifications</w:t>
      </w:r>
      <w:r>
        <w:rPr>
          <w:rFonts w:ascii="Arial" w:cs="Arial" w:eastAsia="Arial" w:hAnsi="Arial"/>
          <w:sz w:val="18"/>
          <w:szCs w:val="18"/>
          <w:color w:val="auto"/>
        </w:rPr>
        <w:t>: We believe that Dr. Riva is qualified to serve on our Board due to his extensive​ management experience at biotechnology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80645</wp:posOffset>
            </wp:positionV>
            <wp:extent cx="5700395" cy="2297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00395" cy="2297430"/>
                    </a:xfrm>
                    <a:prstGeom prst="rect">
                      <a:avLst/>
                    </a:prstGeom>
                    <a:noFill/>
                  </pic:spPr>
                </pic:pic>
              </a:graphicData>
            </a:graphic>
          </wp:anchor>
        </w:drawing>
      </w:r>
    </w:p>
    <w:p>
      <w:pPr>
        <w:spacing w:after="0" w:line="9" w:lineRule="exact"/>
        <w:rPr>
          <w:sz w:val="20"/>
          <w:szCs w:val="20"/>
          <w:color w:val="auto"/>
        </w:rPr>
      </w:pPr>
    </w:p>
    <w:tbl>
      <w:tblPr>
        <w:tblLayout w:type="fixed"/>
        <w:tblInd w:w="880" w:type="dxa"/>
        <w:tblCellMar>
          <w:top w:w="0" w:type="dxa"/>
          <w:left w:w="0" w:type="dxa"/>
          <w:bottom w:w="0" w:type="dxa"/>
          <w:right w:w="0" w:type="dxa"/>
        </w:tblCellMar>
      </w:tblPr>
      <w:tr>
        <w:trPr>
          <w:trHeight w:val="368"/>
        </w:trPr>
        <w:tc>
          <w:tcPr>
            <w:tcW w:w="1960" w:type="dxa"/>
            <w:vAlign w:val="bottom"/>
            <w:gridSpan w:val="2"/>
            <w:shd w:val="clear" w:color="auto" w:fill="148CD9"/>
          </w:tcPr>
          <w:p>
            <w:pPr>
              <w:spacing w:after="0"/>
              <w:rPr>
                <w:sz w:val="20"/>
                <w:szCs w:val="20"/>
                <w:color w:val="auto"/>
              </w:rPr>
            </w:pPr>
            <w:r>
              <w:rPr>
                <w:rFonts w:ascii="Arial" w:cs="Arial" w:eastAsia="Arial" w:hAnsi="Arial"/>
                <w:sz w:val="16"/>
                <w:szCs w:val="16"/>
                <w:b w:val="1"/>
                <w:bCs w:val="1"/>
                <w:color w:val="FFFFFF"/>
              </w:rPr>
              <w:t>​ HAN LEE, PH.D., M.B.A.</w:t>
            </w:r>
          </w:p>
        </w:tc>
        <w:tc>
          <w:tcPr>
            <w:tcW w:w="260" w:type="dxa"/>
            <w:vAlign w:val="bottom"/>
            <w:shd w:val="clear" w:color="auto" w:fill="148CD9"/>
          </w:tcPr>
          <w:p>
            <w:pPr>
              <w:spacing w:after="0"/>
              <w:rPr>
                <w:sz w:val="24"/>
                <w:szCs w:val="24"/>
                <w:color w:val="auto"/>
              </w:rPr>
            </w:pPr>
          </w:p>
        </w:tc>
        <w:tc>
          <w:tcPr>
            <w:tcW w:w="2720" w:type="dxa"/>
            <w:vAlign w:val="bottom"/>
            <w:shd w:val="clear" w:color="auto" w:fill="148CD9"/>
          </w:tcPr>
          <w:p>
            <w:pPr>
              <w:spacing w:after="0"/>
              <w:rPr>
                <w:sz w:val="24"/>
                <w:szCs w:val="24"/>
                <w:color w:val="auto"/>
              </w:rPr>
            </w:pPr>
          </w:p>
        </w:tc>
        <w:tc>
          <w:tcPr>
            <w:tcW w:w="3580" w:type="dxa"/>
            <w:vAlign w:val="bottom"/>
            <w:shd w:val="clear" w:color="auto" w:fill="148CD9"/>
          </w:tcPr>
          <w:p>
            <w:pPr>
              <w:ind w:left="500"/>
              <w:spacing w:after="0"/>
              <w:rPr>
                <w:sz w:val="20"/>
                <w:szCs w:val="20"/>
                <w:color w:val="auto"/>
              </w:rPr>
            </w:pPr>
            <w:r>
              <w:rPr>
                <w:rFonts w:ascii="Arial" w:cs="Arial" w:eastAsia="Arial" w:hAnsi="Arial"/>
                <w:sz w:val="32"/>
                <w:szCs w:val="32"/>
                <w:b w:val="1"/>
                <w:bCs w:val="1"/>
                <w:color w:val="FFFFFF"/>
                <w:vertAlign w:val="subscript"/>
              </w:rPr>
              <w:t>​ ​</w:t>
            </w:r>
            <w:r>
              <w:rPr>
                <w:rFonts w:ascii="Arial" w:cs="Arial" w:eastAsia="Arial" w:hAnsi="Arial"/>
                <w:sz w:val="16"/>
                <w:szCs w:val="16"/>
                <w:b w:val="1"/>
                <w:bCs w:val="1"/>
                <w:color w:val="FFFFFF"/>
              </w:rPr>
              <w:t xml:space="preserve"> Key  Skills:  </w:t>
            </w:r>
            <w:r>
              <w:rPr>
                <w:rFonts w:ascii="Arial" w:cs="Arial" w:eastAsia="Arial" w:hAnsi="Arial"/>
                <w:sz w:val="16"/>
                <w:szCs w:val="16"/>
                <w:color w:val="FFFFFF"/>
              </w:rPr>
              <w:t>Industry  Knowledge</w:t>
            </w:r>
          </w:p>
        </w:tc>
        <w:tc>
          <w:tcPr>
            <w:tcW w:w="440" w:type="dxa"/>
            <w:vAlign w:val="bottom"/>
            <w:shd w:val="clear" w:color="auto" w:fill="148CD9"/>
          </w:tcPr>
          <w:p>
            <w:pPr>
              <w:jc w:val="right"/>
              <w:spacing w:after="0"/>
              <w:rPr>
                <w:sz w:val="20"/>
                <w:szCs w:val="20"/>
                <w:color w:val="auto"/>
              </w:rPr>
            </w:pPr>
            <w:r>
              <w:rPr>
                <w:rFonts w:ascii="Arial" w:cs="Arial" w:eastAsia="Arial" w:hAnsi="Arial"/>
                <w:sz w:val="16"/>
                <w:szCs w:val="16"/>
                <w:color w:val="FFFFFF"/>
              </w:rPr>
              <w:t>and</w:t>
            </w:r>
            <w:r>
              <w:rPr>
                <w:rFonts w:ascii="Arial" w:cs="Arial" w:eastAsia="Arial" w:hAnsi="Arial"/>
                <w:sz w:val="32"/>
                <w:szCs w:val="32"/>
                <w:b w:val="1"/>
                <w:bCs w:val="1"/>
                <w:color w:val="FFFFFF"/>
                <w:vertAlign w:val="subscript"/>
              </w:rPr>
              <w:t>​</w:t>
            </w:r>
          </w:p>
        </w:tc>
        <w:tc>
          <w:tcPr>
            <w:tcW w:w="0" w:type="dxa"/>
            <w:vAlign w:val="bottom"/>
          </w:tcPr>
          <w:p>
            <w:pPr>
              <w:spacing w:after="0"/>
              <w:rPr>
                <w:sz w:val="1"/>
                <w:szCs w:val="1"/>
                <w:color w:val="auto"/>
              </w:rPr>
            </w:pPr>
          </w:p>
        </w:tc>
      </w:tr>
      <w:tr>
        <w:trPr>
          <w:trHeight w:val="162"/>
        </w:trPr>
        <w:tc>
          <w:tcPr>
            <w:tcW w:w="80" w:type="dxa"/>
            <w:vAlign w:val="bottom"/>
            <w:shd w:val="clear" w:color="auto" w:fill="148CD9"/>
          </w:tcPr>
          <w:p>
            <w:pPr>
              <w:spacing w:after="0"/>
              <w:rPr>
                <w:sz w:val="14"/>
                <w:szCs w:val="14"/>
                <w:color w:val="auto"/>
              </w:rPr>
            </w:pPr>
          </w:p>
        </w:tc>
        <w:tc>
          <w:tcPr>
            <w:tcW w:w="1880" w:type="dxa"/>
            <w:vAlign w:val="bottom"/>
            <w:shd w:val="clear" w:color="auto" w:fill="148CD9"/>
          </w:tcPr>
          <w:p>
            <w:pPr>
              <w:spacing w:after="0"/>
              <w:rPr>
                <w:sz w:val="14"/>
                <w:szCs w:val="14"/>
                <w:color w:val="auto"/>
              </w:rPr>
            </w:pPr>
          </w:p>
        </w:tc>
        <w:tc>
          <w:tcPr>
            <w:tcW w:w="260" w:type="dxa"/>
            <w:vAlign w:val="bottom"/>
            <w:shd w:val="clear" w:color="auto" w:fill="148CD9"/>
          </w:tcPr>
          <w:p>
            <w:pPr>
              <w:spacing w:after="0"/>
              <w:rPr>
                <w:sz w:val="14"/>
                <w:szCs w:val="14"/>
                <w:color w:val="auto"/>
              </w:rPr>
            </w:pPr>
          </w:p>
        </w:tc>
        <w:tc>
          <w:tcPr>
            <w:tcW w:w="2720" w:type="dxa"/>
            <w:vAlign w:val="bottom"/>
            <w:shd w:val="clear" w:color="auto" w:fill="148CD9"/>
          </w:tcPr>
          <w:p>
            <w:pPr>
              <w:spacing w:after="0"/>
              <w:rPr>
                <w:sz w:val="14"/>
                <w:szCs w:val="14"/>
                <w:color w:val="auto"/>
              </w:rPr>
            </w:pPr>
          </w:p>
        </w:tc>
        <w:tc>
          <w:tcPr>
            <w:tcW w:w="3580" w:type="dxa"/>
            <w:vAlign w:val="bottom"/>
            <w:shd w:val="clear" w:color="auto" w:fill="148CD9"/>
          </w:tcPr>
          <w:p>
            <w:pPr>
              <w:ind w:left="720"/>
              <w:spacing w:after="0" w:line="162" w:lineRule="exact"/>
              <w:rPr>
                <w:sz w:val="20"/>
                <w:szCs w:val="20"/>
                <w:color w:val="auto"/>
              </w:rPr>
            </w:pPr>
            <w:r>
              <w:rPr>
                <w:rFonts w:ascii="Arial" w:cs="Arial" w:eastAsia="Arial" w:hAnsi="Arial"/>
                <w:sz w:val="16"/>
                <w:szCs w:val="16"/>
                <w:color w:val="FFFFFF"/>
              </w:rPr>
              <w:t>Experience</w:t>
            </w:r>
          </w:p>
        </w:tc>
        <w:tc>
          <w:tcPr>
            <w:tcW w:w="440" w:type="dxa"/>
            <w:vAlign w:val="bottom"/>
            <w:shd w:val="clear" w:color="auto" w:fill="148CD9"/>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80" w:type="dxa"/>
            <w:vAlign w:val="bottom"/>
            <w:vMerge w:val="restart"/>
          </w:tcPr>
          <w:p>
            <w:pPr>
              <w:spacing w:after="0"/>
              <w:rPr>
                <w:sz w:val="20"/>
                <w:szCs w:val="20"/>
                <w:color w:val="auto"/>
              </w:rPr>
            </w:pPr>
            <w:r>
              <w:rPr>
                <w:rFonts w:ascii="Arial" w:cs="Arial" w:eastAsia="Arial" w:hAnsi="Arial"/>
                <w:sz w:val="18"/>
                <w:szCs w:val="18"/>
                <w:color w:val="auto"/>
              </w:rPr>
              <w:t>​</w:t>
            </w:r>
          </w:p>
        </w:tc>
        <w:tc>
          <w:tcPr>
            <w:tcW w:w="1880" w:type="dxa"/>
            <w:vAlign w:val="bottom"/>
          </w:tcPr>
          <w:p>
            <w:pPr>
              <w:ind w:left="40"/>
              <w:spacing w:after="0" w:line="197" w:lineRule="exact"/>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45</w:t>
            </w:r>
          </w:p>
        </w:tc>
        <w:tc>
          <w:tcPr>
            <w:tcW w:w="260" w:type="dxa"/>
            <w:vAlign w:val="bottom"/>
            <w:vMerge w:val="restart"/>
          </w:tcPr>
          <w:p>
            <w:pPr>
              <w:ind w:left="80"/>
              <w:spacing w:after="0"/>
              <w:rPr>
                <w:sz w:val="20"/>
                <w:szCs w:val="20"/>
                <w:color w:val="auto"/>
              </w:rPr>
            </w:pPr>
            <w:r>
              <w:rPr>
                <w:rFonts w:ascii="Arial" w:cs="Arial" w:eastAsia="Arial" w:hAnsi="Arial"/>
                <w:sz w:val="18"/>
                <w:szCs w:val="18"/>
                <w:color w:val="auto"/>
              </w:rPr>
              <w:t>​ ​</w:t>
            </w:r>
          </w:p>
        </w:tc>
        <w:tc>
          <w:tcPr>
            <w:tcW w:w="2720" w:type="dxa"/>
            <w:vAlign w:val="bottom"/>
          </w:tcPr>
          <w:p>
            <w:pPr>
              <w:ind w:left="40"/>
              <w:spacing w:after="0" w:line="197" w:lineRule="exact"/>
              <w:rPr>
                <w:sz w:val="20"/>
                <w:szCs w:val="20"/>
                <w:color w:val="auto"/>
              </w:rPr>
            </w:pPr>
            <w:r>
              <w:rPr>
                <w:rFonts w:ascii="Arial" w:cs="Arial" w:eastAsia="Arial" w:hAnsi="Arial"/>
                <w:sz w:val="18"/>
                <w:szCs w:val="18"/>
                <w:b w:val="1"/>
                <w:bCs w:val="1"/>
                <w:color w:val="auto"/>
              </w:rPr>
              <w:t>Committee Memberships:</w:t>
            </w:r>
          </w:p>
        </w:tc>
        <w:tc>
          <w:tcPr>
            <w:tcW w:w="3580" w:type="dxa"/>
            <w:vAlign w:val="bottom"/>
            <w:vMerge w:val="restart"/>
          </w:tcPr>
          <w:p>
            <w:pPr>
              <w:ind w:left="50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Other Public Directorships</w:t>
            </w:r>
            <w:r>
              <w:rPr>
                <w:rFonts w:ascii="Arial" w:cs="Arial" w:eastAsia="Arial" w:hAnsi="Arial"/>
                <w:sz w:val="18"/>
                <w:szCs w:val="18"/>
                <w:color w:val="auto"/>
              </w:rPr>
              <w:t>: None</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80" w:type="dxa"/>
            <w:vAlign w:val="bottom"/>
            <w:vMerge w:val="continue"/>
          </w:tcPr>
          <w:p>
            <w:pPr>
              <w:spacing w:after="0"/>
              <w:rPr>
                <w:sz w:val="21"/>
                <w:szCs w:val="21"/>
                <w:color w:val="auto"/>
              </w:rPr>
            </w:pPr>
          </w:p>
        </w:tc>
        <w:tc>
          <w:tcPr>
            <w:tcW w:w="1880" w:type="dxa"/>
            <w:vAlign w:val="bottom"/>
          </w:tcPr>
          <w:p>
            <w:pPr>
              <w:ind w:left="40"/>
              <w:spacing w:after="0"/>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 2025</w:t>
            </w:r>
          </w:p>
        </w:tc>
        <w:tc>
          <w:tcPr>
            <w:tcW w:w="260" w:type="dxa"/>
            <w:vAlign w:val="bottom"/>
            <w:vMerge w:val="continue"/>
          </w:tcPr>
          <w:p>
            <w:pPr>
              <w:spacing w:after="0"/>
              <w:rPr>
                <w:sz w:val="21"/>
                <w:szCs w:val="21"/>
                <w:color w:val="auto"/>
              </w:rPr>
            </w:pPr>
          </w:p>
        </w:tc>
        <w:tc>
          <w:tcPr>
            <w:tcW w:w="2720" w:type="dxa"/>
            <w:vAlign w:val="bottom"/>
          </w:tcPr>
          <w:p>
            <w:pPr>
              <w:ind w:left="40"/>
              <w:spacing w:after="0"/>
              <w:rPr>
                <w:sz w:val="20"/>
                <w:szCs w:val="20"/>
                <w:color w:val="auto"/>
              </w:rPr>
            </w:pPr>
            <w:r>
              <w:rPr>
                <w:rFonts w:ascii="Arial" w:cs="Arial" w:eastAsia="Arial" w:hAnsi="Arial"/>
                <w:sz w:val="18"/>
                <w:szCs w:val="18"/>
                <w:color w:val="auto"/>
              </w:rPr>
              <w:t>Compensation, Audit</w:t>
            </w:r>
          </w:p>
        </w:tc>
        <w:tc>
          <w:tcPr>
            <w:tcW w:w="3580" w:type="dxa"/>
            <w:vAlign w:val="bottom"/>
            <w:vMerge w:val="continue"/>
          </w:tcPr>
          <w:p>
            <w:pPr>
              <w:spacing w:after="0"/>
              <w:rPr>
                <w:sz w:val="21"/>
                <w:szCs w:val="21"/>
                <w:color w:val="auto"/>
              </w:rPr>
            </w:pPr>
          </w:p>
        </w:tc>
        <w:tc>
          <w:tcPr>
            <w:tcW w:w="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jc w:val="both"/>
        <w:ind w:left="1000" w:right="99" w:hanging="107"/>
        <w:spacing w:after="0" w:line="253"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Dr. Lee</w:t>
      </w:r>
      <w:r>
        <w:rPr>
          <w:rFonts w:ascii="Arial" w:cs="Arial" w:eastAsia="Arial" w:hAnsi="Arial"/>
          <w:sz w:val="18"/>
          <w:szCs w:val="18"/>
          <w:color w:val="auto"/>
        </w:rPr>
        <w:t xml:space="preserve"> has been a member of our Board since December 2025. He is currently the Co-Chief Executive Officer​ of Vibrant Therapeutics, or Vibrant, a position he has held since January 2026. Prior to Vibrant, he served as</w:t>
      </w:r>
    </w:p>
    <w:p>
      <w:pPr>
        <w:ind w:left="1000"/>
        <w:spacing w:after="0" w:line="234" w:lineRule="auto"/>
        <w:rPr>
          <w:sz w:val="20"/>
          <w:szCs w:val="20"/>
          <w:color w:val="auto"/>
        </w:rPr>
      </w:pPr>
      <w:r>
        <w:rPr>
          <w:rFonts w:ascii="Arial" w:cs="Arial" w:eastAsia="Arial" w:hAnsi="Arial"/>
          <w:sz w:val="18"/>
          <w:szCs w:val="18"/>
          <w:color w:val="auto"/>
        </w:rPr>
        <w:t>President and Chief Financial Officer of ImmPACT Bio, Inc., or ImmPACT, a privately-owned clinical-stage</w:t>
      </w:r>
    </w:p>
    <w:p>
      <w:pPr>
        <w:spacing w:after="0" w:line="1" w:lineRule="exact"/>
        <w:rPr>
          <w:sz w:val="20"/>
          <w:szCs w:val="20"/>
          <w:color w:val="auto"/>
        </w:rPr>
      </w:pPr>
    </w:p>
    <w:p>
      <w:pPr>
        <w:jc w:val="both"/>
        <w:ind w:left="1000" w:right="159"/>
        <w:spacing w:after="0" w:line="226" w:lineRule="auto"/>
        <w:rPr>
          <w:sz w:val="20"/>
          <w:szCs w:val="20"/>
          <w:color w:val="auto"/>
        </w:rPr>
      </w:pPr>
      <w:r>
        <w:rPr>
          <w:rFonts w:ascii="Arial" w:cs="Arial" w:eastAsia="Arial" w:hAnsi="Arial"/>
          <w:sz w:val="18"/>
          <w:szCs w:val="18"/>
          <w:color w:val="auto"/>
        </w:rPr>
        <w:t>biotechnology company, from October 2023 until January 2025. Prior to ImmPACT, Dr. Lee served as Chief Financial Officer of Neogene Therapeutics, Inc., or Neogene, a private clinical-stage biotechnology company,</w:t>
      </w:r>
    </w:p>
    <w:p>
      <w:pPr>
        <w:ind w:left="1000"/>
        <w:spacing w:after="0" w:line="236" w:lineRule="auto"/>
        <w:rPr>
          <w:sz w:val="20"/>
          <w:szCs w:val="20"/>
          <w:color w:val="auto"/>
        </w:rPr>
      </w:pPr>
      <w:r>
        <w:rPr>
          <w:rFonts w:ascii="Arial" w:cs="Arial" w:eastAsia="Arial" w:hAnsi="Arial"/>
          <w:sz w:val="18"/>
          <w:szCs w:val="18"/>
          <w:color w:val="auto"/>
        </w:rPr>
        <w:t>from August 2021 to August 2023. Prior to Neogene, Dr. Lee served as the Chief Financial Officer of Arcellx,</w:t>
      </w:r>
    </w:p>
    <w:p>
      <w:pPr>
        <w:spacing w:after="0" w:line="1" w:lineRule="exact"/>
        <w:rPr>
          <w:sz w:val="20"/>
          <w:szCs w:val="20"/>
          <w:color w:val="auto"/>
        </w:rPr>
      </w:pPr>
    </w:p>
    <w:p>
      <w:pPr>
        <w:ind w:left="1000" w:right="159"/>
        <w:spacing w:after="0"/>
        <w:rPr>
          <w:sz w:val="20"/>
          <w:szCs w:val="20"/>
          <w:color w:val="auto"/>
        </w:rPr>
      </w:pPr>
      <w:r>
        <w:rPr>
          <w:rFonts w:ascii="Arial" w:cs="Arial" w:eastAsia="Arial" w:hAnsi="Arial"/>
          <w:sz w:val="17"/>
          <w:szCs w:val="17"/>
          <w:color w:val="auto"/>
        </w:rPr>
        <w:t>Inc. (NASDAQ: ACLX) from June 2018 to July 2021. Earlier in his career, Dr. Lee served as the Senior Director of Corporate Development and Ventures at AstraZeneca plc from 2014 to 2018. Dr. Lee received a Ph.D. in</w:t>
      </w:r>
    </w:p>
    <w:p>
      <w:pPr>
        <w:ind w:left="1000"/>
        <w:spacing w:after="0" w:line="235" w:lineRule="auto"/>
        <w:rPr>
          <w:sz w:val="20"/>
          <w:szCs w:val="20"/>
          <w:color w:val="auto"/>
        </w:rPr>
      </w:pPr>
      <w:r>
        <w:rPr>
          <w:rFonts w:ascii="Arial" w:cs="Arial" w:eastAsia="Arial" w:hAnsi="Arial"/>
          <w:sz w:val="18"/>
          <w:szCs w:val="18"/>
          <w:color w:val="auto"/>
        </w:rPr>
        <w:t>Genetics and Development from Yale University, an M.B.A. from Yale University and a Bachelor of Arts in</w:t>
      </w:r>
    </w:p>
    <w:p>
      <w:pPr>
        <w:ind w:left="1000" w:right="159"/>
        <w:spacing w:after="0" w:line="237" w:lineRule="auto"/>
        <w:rPr>
          <w:sz w:val="20"/>
          <w:szCs w:val="20"/>
          <w:color w:val="auto"/>
        </w:rPr>
      </w:pPr>
      <w:r>
        <w:rPr>
          <w:rFonts w:ascii="Arial" w:cs="Arial" w:eastAsia="Arial" w:hAnsi="Arial"/>
          <w:sz w:val="18"/>
          <w:szCs w:val="18"/>
          <w:color w:val="auto"/>
        </w:rPr>
        <w:t>Molecular Cell Biology (Genetics Emphasis) and a minor in Chemistry from the University of California, Berkeley.</w:t>
      </w:r>
    </w:p>
    <w:p>
      <w:pPr>
        <w:spacing w:after="0" w:line="5" w:lineRule="exact"/>
        <w:rPr>
          <w:sz w:val="20"/>
          <w:szCs w:val="20"/>
          <w:color w:val="auto"/>
        </w:rPr>
      </w:pPr>
    </w:p>
    <w:p>
      <w:pPr>
        <w:ind w:left="1000" w:right="99" w:hanging="107"/>
        <w:spacing w:after="0" w:line="287"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Skills &amp; Qualifications</w:t>
      </w:r>
      <w:r>
        <w:rPr>
          <w:rFonts w:ascii="Arial" w:cs="Arial" w:eastAsia="Arial" w:hAnsi="Arial"/>
          <w:sz w:val="18"/>
          <w:szCs w:val="18"/>
          <w:color w:val="auto"/>
        </w:rPr>
        <w:t>: We believe that Dr. Lee is qualified to serve on our Board due to his extensive​ executive-level leadership experience in the biotechnology industry.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​BOARD OF DIRECTORS</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CONTINUING DIRECTORS</w:t>
      </w:r>
    </w:p>
    <w:p>
      <w:pPr>
        <w:spacing w:after="0" w:line="22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CLASS III DIRECTORS — TERMS EXPIRING AT THE 2027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127635</wp:posOffset>
            </wp:positionV>
            <wp:extent cx="5700395" cy="2683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00395" cy="2683510"/>
                    </a:xfrm>
                    <a:prstGeom prst="rect">
                      <a:avLst/>
                    </a:prstGeom>
                    <a:noFill/>
                  </pic:spPr>
                </pic:pic>
              </a:graphicData>
            </a:graphic>
          </wp:anchor>
        </w:drawing>
      </w:r>
    </w:p>
    <w:p>
      <w:pPr>
        <w:spacing w:after="0" w:line="83" w:lineRule="exact"/>
        <w:rPr>
          <w:sz w:val="20"/>
          <w:szCs w:val="20"/>
          <w:color w:val="auto"/>
        </w:rPr>
      </w:pPr>
    </w:p>
    <w:tbl>
      <w:tblPr>
        <w:tblLayout w:type="fixed"/>
        <w:tblInd w:w="880" w:type="dxa"/>
        <w:tblCellMar>
          <w:top w:w="0" w:type="dxa"/>
          <w:left w:w="0" w:type="dxa"/>
          <w:bottom w:w="0" w:type="dxa"/>
          <w:right w:w="0" w:type="dxa"/>
        </w:tblCellMar>
      </w:tblPr>
      <w:tr>
        <w:trPr>
          <w:trHeight w:val="368"/>
        </w:trPr>
        <w:tc>
          <w:tcPr>
            <w:tcW w:w="5400" w:type="dxa"/>
            <w:vAlign w:val="bottom"/>
            <w:gridSpan w:val="3"/>
            <w:shd w:val="clear" w:color="auto" w:fill="148CD9"/>
          </w:tcPr>
          <w:p>
            <w:pPr>
              <w:spacing w:after="0"/>
              <w:rPr>
                <w:sz w:val="20"/>
                <w:szCs w:val="20"/>
                <w:color w:val="auto"/>
              </w:rPr>
            </w:pPr>
            <w:r>
              <w:rPr>
                <w:rFonts w:ascii="Arial" w:cs="Arial" w:eastAsia="Arial" w:hAnsi="Arial"/>
                <w:sz w:val="16"/>
                <w:szCs w:val="16"/>
                <w:b w:val="1"/>
                <w:bCs w:val="1"/>
                <w:color w:val="FFFFFF"/>
              </w:rPr>
              <w:t>​ KIMBERLY BLACKWELL, M.D.</w:t>
            </w:r>
          </w:p>
        </w:tc>
        <w:tc>
          <w:tcPr>
            <w:tcW w:w="240" w:type="dxa"/>
            <w:vAlign w:val="bottom"/>
            <w:shd w:val="clear" w:color="auto" w:fill="148CD9"/>
          </w:tcPr>
          <w:p>
            <w:pPr>
              <w:ind w:left="40"/>
              <w:spacing w:after="0"/>
              <w:rPr>
                <w:sz w:val="20"/>
                <w:szCs w:val="20"/>
                <w:color w:val="auto"/>
              </w:rPr>
            </w:pPr>
            <w:r>
              <w:rPr>
                <w:rFonts w:ascii="Arial" w:cs="Arial" w:eastAsia="Arial" w:hAnsi="Arial"/>
                <w:sz w:val="16"/>
                <w:szCs w:val="16"/>
                <w:b w:val="1"/>
                <w:bCs w:val="1"/>
                <w:color w:val="FFFFFF"/>
              </w:rPr>
              <w:t>​ ​</w:t>
            </w:r>
          </w:p>
        </w:tc>
        <w:tc>
          <w:tcPr>
            <w:tcW w:w="2900" w:type="dxa"/>
            <w:vAlign w:val="bottom"/>
            <w:shd w:val="clear" w:color="auto" w:fill="148CD9"/>
          </w:tcPr>
          <w:p>
            <w:pPr>
              <w:ind w:left="20"/>
              <w:spacing w:after="0"/>
              <w:rPr>
                <w:sz w:val="20"/>
                <w:szCs w:val="20"/>
                <w:color w:val="auto"/>
              </w:rPr>
            </w:pPr>
            <w:r>
              <w:rPr>
                <w:rFonts w:ascii="Arial" w:cs="Arial" w:eastAsia="Arial" w:hAnsi="Arial"/>
                <w:sz w:val="16"/>
                <w:szCs w:val="16"/>
                <w:b w:val="1"/>
                <w:bCs w:val="1"/>
                <w:color w:val="FFFFFF"/>
              </w:rPr>
              <w:t xml:space="preserve">Key  Skills:  </w:t>
            </w:r>
            <w:r>
              <w:rPr>
                <w:rFonts w:ascii="Arial" w:cs="Arial" w:eastAsia="Arial" w:hAnsi="Arial"/>
                <w:sz w:val="16"/>
                <w:szCs w:val="16"/>
                <w:color w:val="FFFFFF"/>
              </w:rPr>
              <w:t>Industry  Knowledge</w:t>
            </w:r>
          </w:p>
        </w:tc>
        <w:tc>
          <w:tcPr>
            <w:tcW w:w="420" w:type="dxa"/>
            <w:vAlign w:val="bottom"/>
            <w:shd w:val="clear" w:color="auto" w:fill="148CD9"/>
          </w:tcPr>
          <w:p>
            <w:pPr>
              <w:jc w:val="right"/>
              <w:spacing w:after="0"/>
              <w:rPr>
                <w:sz w:val="20"/>
                <w:szCs w:val="20"/>
                <w:color w:val="auto"/>
              </w:rPr>
            </w:pPr>
            <w:r>
              <w:rPr>
                <w:rFonts w:ascii="Arial" w:cs="Arial" w:eastAsia="Arial" w:hAnsi="Arial"/>
                <w:sz w:val="16"/>
                <w:szCs w:val="16"/>
                <w:color w:val="FFFFFF"/>
              </w:rPr>
              <w:t>and</w:t>
            </w:r>
            <w:r>
              <w:rPr>
                <w:rFonts w:ascii="Arial" w:cs="Arial" w:eastAsia="Arial" w:hAnsi="Arial"/>
                <w:sz w:val="32"/>
                <w:szCs w:val="32"/>
                <w:b w:val="1"/>
                <w:bCs w:val="1"/>
                <w:color w:val="FFFFFF"/>
                <w:vertAlign w:val="subscript"/>
              </w:rPr>
              <w:t>​</w:t>
            </w:r>
          </w:p>
        </w:tc>
        <w:tc>
          <w:tcPr>
            <w:tcW w:w="0" w:type="dxa"/>
            <w:vAlign w:val="bottom"/>
          </w:tcPr>
          <w:p>
            <w:pPr>
              <w:spacing w:after="0"/>
              <w:rPr>
                <w:sz w:val="1"/>
                <w:szCs w:val="1"/>
                <w:color w:val="auto"/>
              </w:rPr>
            </w:pPr>
          </w:p>
        </w:tc>
      </w:tr>
      <w:tr>
        <w:trPr>
          <w:trHeight w:val="162"/>
        </w:trPr>
        <w:tc>
          <w:tcPr>
            <w:tcW w:w="80" w:type="dxa"/>
            <w:vAlign w:val="bottom"/>
            <w:shd w:val="clear" w:color="auto" w:fill="148CD9"/>
          </w:tcPr>
          <w:p>
            <w:pPr>
              <w:spacing w:after="0"/>
              <w:rPr>
                <w:sz w:val="14"/>
                <w:szCs w:val="14"/>
                <w:color w:val="auto"/>
              </w:rPr>
            </w:pPr>
          </w:p>
        </w:tc>
        <w:tc>
          <w:tcPr>
            <w:tcW w:w="1860" w:type="dxa"/>
            <w:vAlign w:val="bottom"/>
            <w:shd w:val="clear" w:color="auto" w:fill="148CD9"/>
          </w:tcPr>
          <w:p>
            <w:pPr>
              <w:spacing w:after="0"/>
              <w:rPr>
                <w:sz w:val="14"/>
                <w:szCs w:val="14"/>
                <w:color w:val="auto"/>
              </w:rPr>
            </w:pPr>
          </w:p>
        </w:tc>
        <w:tc>
          <w:tcPr>
            <w:tcW w:w="3460" w:type="dxa"/>
            <w:vAlign w:val="bottom"/>
            <w:shd w:val="clear" w:color="auto" w:fill="148CD9"/>
          </w:tcPr>
          <w:p>
            <w:pPr>
              <w:spacing w:after="0"/>
              <w:rPr>
                <w:sz w:val="14"/>
                <w:szCs w:val="14"/>
                <w:color w:val="auto"/>
              </w:rPr>
            </w:pPr>
          </w:p>
        </w:tc>
        <w:tc>
          <w:tcPr>
            <w:tcW w:w="240" w:type="dxa"/>
            <w:vAlign w:val="bottom"/>
            <w:shd w:val="clear" w:color="auto" w:fill="148CD9"/>
          </w:tcPr>
          <w:p>
            <w:pPr>
              <w:spacing w:after="0"/>
              <w:rPr>
                <w:sz w:val="14"/>
                <w:szCs w:val="14"/>
                <w:color w:val="auto"/>
              </w:rPr>
            </w:pPr>
          </w:p>
        </w:tc>
        <w:tc>
          <w:tcPr>
            <w:tcW w:w="2900" w:type="dxa"/>
            <w:vAlign w:val="bottom"/>
            <w:shd w:val="clear" w:color="auto" w:fill="148CD9"/>
          </w:tcPr>
          <w:p>
            <w:pPr>
              <w:ind w:left="20"/>
              <w:spacing w:after="0" w:line="162" w:lineRule="exact"/>
              <w:rPr>
                <w:sz w:val="20"/>
                <w:szCs w:val="20"/>
                <w:color w:val="auto"/>
              </w:rPr>
            </w:pPr>
            <w:r>
              <w:rPr>
                <w:rFonts w:ascii="Arial" w:cs="Arial" w:eastAsia="Arial" w:hAnsi="Arial"/>
                <w:sz w:val="16"/>
                <w:szCs w:val="16"/>
                <w:color w:val="FFFFFF"/>
              </w:rPr>
              <w:t>Experience</w:t>
            </w:r>
          </w:p>
        </w:tc>
        <w:tc>
          <w:tcPr>
            <w:tcW w:w="420" w:type="dxa"/>
            <w:vAlign w:val="bottom"/>
            <w:shd w:val="clear" w:color="auto" w:fill="148CD9"/>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18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57</w:t>
            </w:r>
          </w:p>
        </w:tc>
        <w:tc>
          <w:tcPr>
            <w:tcW w:w="3460" w:type="dxa"/>
            <w:vAlign w:val="bottom"/>
          </w:tcPr>
          <w:p>
            <w:pPr>
              <w:ind w:left="320"/>
              <w:spacing w:after="0" w:line="197" w:lineRule="exact"/>
              <w:rPr>
                <w:sz w:val="20"/>
                <w:szCs w:val="20"/>
                <w:color w:val="auto"/>
              </w:rPr>
            </w:pPr>
            <w:r>
              <w:rPr>
                <w:rFonts w:ascii="Arial" w:cs="Arial" w:eastAsia="Arial" w:hAnsi="Arial"/>
                <w:sz w:val="18"/>
                <w:szCs w:val="18"/>
                <w:b w:val="1"/>
                <w:bCs w:val="1"/>
                <w:color w:val="auto"/>
              </w:rPr>
              <w:t>Committee Memberships</w:t>
            </w:r>
            <w:r>
              <w:rPr>
                <w:rFonts w:ascii="Arial" w:cs="Arial" w:eastAsia="Arial" w:hAnsi="Arial"/>
                <w:sz w:val="18"/>
                <w:szCs w:val="18"/>
                <w:color w:val="auto"/>
              </w:rPr>
              <w:t>: Audit,</w:t>
            </w:r>
          </w:p>
        </w:tc>
        <w:tc>
          <w:tcPr>
            <w:tcW w:w="240" w:type="dxa"/>
            <w:vAlign w:val="bottom"/>
          </w:tcPr>
          <w:p>
            <w:pPr>
              <w:spacing w:after="0"/>
              <w:rPr>
                <w:sz w:val="17"/>
                <w:szCs w:val="17"/>
                <w:color w:val="auto"/>
              </w:rPr>
            </w:pPr>
          </w:p>
        </w:tc>
        <w:tc>
          <w:tcPr>
            <w:tcW w:w="290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9"/>
              </w:rPr>
              <w:t>Other Public Directorships</w:t>
            </w:r>
            <w:r>
              <w:rPr>
                <w:rFonts w:ascii="Arial" w:cs="Arial" w:eastAsia="Arial" w:hAnsi="Arial"/>
                <w:sz w:val="18"/>
                <w:szCs w:val="18"/>
                <w:color w:val="auto"/>
                <w:w w:val="99"/>
              </w:rPr>
              <w:t>: Monte</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1860" w:type="dxa"/>
            <w:vAlign w:val="bottom"/>
            <w:vMerge w:val="continue"/>
          </w:tcPr>
          <w:p>
            <w:pPr>
              <w:spacing w:after="0"/>
              <w:rPr>
                <w:sz w:val="16"/>
                <w:szCs w:val="16"/>
                <w:color w:val="auto"/>
              </w:rPr>
            </w:pPr>
          </w:p>
        </w:tc>
        <w:tc>
          <w:tcPr>
            <w:tcW w:w="3460" w:type="dxa"/>
            <w:vAlign w:val="bottom"/>
          </w:tcPr>
          <w:p>
            <w:pPr>
              <w:ind w:left="100"/>
              <w:spacing w:after="0" w:line="195" w:lineRule="exact"/>
              <w:rPr>
                <w:sz w:val="20"/>
                <w:szCs w:val="20"/>
                <w:color w:val="auto"/>
              </w:rPr>
            </w:pPr>
            <w:r>
              <w:rPr>
                <w:rFonts w:ascii="Arial" w:cs="Arial" w:eastAsia="Arial" w:hAnsi="Arial"/>
                <w:sz w:val="18"/>
                <w:szCs w:val="18"/>
                <w:color w:val="auto"/>
              </w:rPr>
              <w:t>​ ​ Nominating and Corporate Governance</w:t>
            </w:r>
          </w:p>
        </w:tc>
        <w:tc>
          <w:tcPr>
            <w:tcW w:w="240" w:type="dxa"/>
            <w:vAlign w:val="bottom"/>
          </w:tcPr>
          <w:p>
            <w:pPr>
              <w:ind w:left="40"/>
              <w:spacing w:after="0" w:line="195" w:lineRule="exact"/>
              <w:rPr>
                <w:sz w:val="20"/>
                <w:szCs w:val="20"/>
                <w:color w:val="auto"/>
              </w:rPr>
            </w:pPr>
            <w:r>
              <w:rPr>
                <w:rFonts w:ascii="Arial" w:cs="Arial" w:eastAsia="Arial" w:hAnsi="Arial"/>
                <w:sz w:val="18"/>
                <w:szCs w:val="18"/>
                <w:color w:val="auto"/>
              </w:rPr>
              <w:t>​ ​</w:t>
            </w:r>
          </w:p>
        </w:tc>
        <w:tc>
          <w:tcPr>
            <w:tcW w:w="2900" w:type="dxa"/>
            <w:vAlign w:val="bottom"/>
            <w:vMerge w:val="continue"/>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860" w:type="dxa"/>
            <w:vAlign w:val="bottom"/>
          </w:tcPr>
          <w:p>
            <w:pPr>
              <w:ind w:left="40"/>
              <w:spacing w:after="0" w:line="189" w:lineRule="exact"/>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 2021</w:t>
            </w:r>
          </w:p>
        </w:tc>
        <w:tc>
          <w:tcPr>
            <w:tcW w:w="3460" w:type="dxa"/>
            <w:vAlign w:val="bottom"/>
            <w:vMerge w:val="restart"/>
          </w:tcPr>
          <w:p>
            <w:pPr>
              <w:ind w:left="320"/>
              <w:spacing w:after="0"/>
              <w:rPr>
                <w:sz w:val="20"/>
                <w:szCs w:val="20"/>
                <w:color w:val="auto"/>
              </w:rPr>
            </w:pPr>
            <w:r>
              <w:rPr>
                <w:rFonts w:ascii="Arial" w:cs="Arial" w:eastAsia="Arial" w:hAnsi="Arial"/>
                <w:sz w:val="18"/>
                <w:szCs w:val="18"/>
                <w:color w:val="auto"/>
              </w:rPr>
              <w:t>(Chair)</w:t>
            </w:r>
          </w:p>
        </w:tc>
        <w:tc>
          <w:tcPr>
            <w:tcW w:w="240" w:type="dxa"/>
            <w:vAlign w:val="bottom"/>
          </w:tcPr>
          <w:p>
            <w:pPr>
              <w:spacing w:after="0"/>
              <w:rPr>
                <w:sz w:val="16"/>
                <w:szCs w:val="16"/>
                <w:color w:val="auto"/>
              </w:rPr>
            </w:pPr>
          </w:p>
        </w:tc>
        <w:tc>
          <w:tcPr>
            <w:tcW w:w="2900" w:type="dxa"/>
            <w:vAlign w:val="bottom"/>
          </w:tcPr>
          <w:p>
            <w:pPr>
              <w:ind w:left="20"/>
              <w:spacing w:after="0" w:line="189" w:lineRule="exact"/>
              <w:rPr>
                <w:sz w:val="20"/>
                <w:szCs w:val="20"/>
                <w:color w:val="auto"/>
              </w:rPr>
            </w:pPr>
            <w:r>
              <w:rPr>
                <w:rFonts w:ascii="Arial" w:cs="Arial" w:eastAsia="Arial" w:hAnsi="Arial"/>
                <w:sz w:val="18"/>
                <w:szCs w:val="18"/>
                <w:color w:val="auto"/>
              </w:rPr>
              <w:t>Rosa Therapeutics, Inc.</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3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Dr. Blackwell</w:t>
      </w:r>
      <w:r>
        <w:rPr>
          <w:rFonts w:ascii="Arial" w:cs="Arial" w:eastAsia="Arial" w:hAnsi="Arial"/>
          <w:sz w:val="18"/>
          <w:szCs w:val="18"/>
          <w:color w:val="auto"/>
        </w:rPr>
        <w:t xml:space="preserve"> has been a member of our Board since May 2021. Dr. Blackwell serves as Chief Development​</w:t>
      </w:r>
    </w:p>
    <w:p>
      <w:pPr>
        <w:spacing w:after="0" w:line="41" w:lineRule="exact"/>
        <w:rPr>
          <w:sz w:val="20"/>
          <w:szCs w:val="20"/>
          <w:color w:val="auto"/>
        </w:rPr>
      </w:pPr>
    </w:p>
    <w:p>
      <w:pPr>
        <w:jc w:val="both"/>
        <w:ind w:left="1000" w:right="159"/>
        <w:spacing w:after="0" w:line="226" w:lineRule="auto"/>
        <w:rPr>
          <w:sz w:val="20"/>
          <w:szCs w:val="20"/>
          <w:color w:val="auto"/>
        </w:rPr>
      </w:pPr>
      <w:r>
        <w:rPr>
          <w:rFonts w:ascii="Arial" w:cs="Arial" w:eastAsia="Arial" w:hAnsi="Arial"/>
          <w:sz w:val="18"/>
          <w:szCs w:val="18"/>
          <w:color w:val="auto"/>
        </w:rPr>
        <w:t>Officer of Nucleus Radiopharma and was Chief Executive Officer of Zentalis Pharmaceuticals, Inc. from May 2022 until November 2024. Dr. Blackwell served as the Chief Medical Officer and Senior Vice President,</w:t>
      </w:r>
    </w:p>
    <w:p>
      <w:pPr>
        <w:ind w:left="1000"/>
        <w:spacing w:after="0" w:line="236" w:lineRule="auto"/>
        <w:rPr>
          <w:sz w:val="20"/>
          <w:szCs w:val="20"/>
          <w:color w:val="auto"/>
        </w:rPr>
      </w:pPr>
      <w:r>
        <w:rPr>
          <w:rFonts w:ascii="Arial" w:cs="Arial" w:eastAsia="Arial" w:hAnsi="Arial"/>
          <w:sz w:val="18"/>
          <w:szCs w:val="18"/>
          <w:color w:val="auto"/>
        </w:rPr>
        <w:t>Clinical Oncology Development at Tempus Labs, Inc., a biotechnology company, from March 2020 until</w:t>
      </w:r>
    </w:p>
    <w:p>
      <w:pPr>
        <w:spacing w:after="0" w:line="1" w:lineRule="exact"/>
        <w:rPr>
          <w:sz w:val="20"/>
          <w:szCs w:val="20"/>
          <w:color w:val="auto"/>
        </w:rPr>
      </w:pPr>
    </w:p>
    <w:p>
      <w:pPr>
        <w:jc w:val="both"/>
        <w:ind w:left="1000" w:right="159"/>
        <w:spacing w:after="0" w:line="226" w:lineRule="auto"/>
        <w:rPr>
          <w:sz w:val="20"/>
          <w:szCs w:val="20"/>
          <w:color w:val="auto"/>
        </w:rPr>
      </w:pPr>
      <w:r>
        <w:rPr>
          <w:rFonts w:ascii="Arial" w:cs="Arial" w:eastAsia="Arial" w:hAnsi="Arial"/>
          <w:sz w:val="18"/>
          <w:szCs w:val="18"/>
          <w:color w:val="auto"/>
        </w:rPr>
        <w:t>May 2022. Previously, Dr. Blackwell was the Vice President of Early Phase and Immuno-oncology at Eli Lilly and Company, or Eli Lilly, a pharmaceutical company, from March 2018 until March 2020. Prior to Eli Lilly,</w:t>
      </w:r>
    </w:p>
    <w:p>
      <w:pPr>
        <w:ind w:left="1000"/>
        <w:spacing w:after="0" w:line="236" w:lineRule="auto"/>
        <w:rPr>
          <w:sz w:val="20"/>
          <w:szCs w:val="20"/>
          <w:color w:val="auto"/>
        </w:rPr>
      </w:pPr>
      <w:r>
        <w:rPr>
          <w:rFonts w:ascii="Arial" w:cs="Arial" w:eastAsia="Arial" w:hAnsi="Arial"/>
          <w:sz w:val="18"/>
          <w:szCs w:val="18"/>
          <w:color w:val="auto"/>
        </w:rPr>
        <w:t>Dr. Blackwell held positions at Duke Medical Center and Duke Cancer Institute as a Professor in the</w:t>
      </w:r>
    </w:p>
    <w:p>
      <w:pPr>
        <w:spacing w:after="0" w:line="1" w:lineRule="exact"/>
        <w:rPr>
          <w:sz w:val="20"/>
          <w:szCs w:val="20"/>
          <w:color w:val="auto"/>
        </w:rPr>
      </w:pPr>
    </w:p>
    <w:p>
      <w:pPr>
        <w:ind w:left="1000" w:right="159"/>
        <w:spacing w:after="0"/>
        <w:rPr>
          <w:sz w:val="20"/>
          <w:szCs w:val="20"/>
          <w:color w:val="auto"/>
        </w:rPr>
      </w:pPr>
      <w:r>
        <w:rPr>
          <w:rFonts w:ascii="Arial" w:cs="Arial" w:eastAsia="Arial" w:hAnsi="Arial"/>
          <w:sz w:val="17"/>
          <w:szCs w:val="17"/>
          <w:color w:val="auto"/>
        </w:rPr>
        <w:t>Department of Medicine from July 1997 until March 2018. Dr. Blackwell has served on the board of directors of Monte Rosa Therapeutics, Inc., a biotechnology company, since June 2020. Previously, Dr. Blackwell served on</w:t>
      </w:r>
    </w:p>
    <w:p>
      <w:pPr>
        <w:ind w:left="1000"/>
        <w:spacing w:after="0" w:line="235" w:lineRule="auto"/>
        <w:rPr>
          <w:sz w:val="20"/>
          <w:szCs w:val="20"/>
          <w:color w:val="auto"/>
        </w:rPr>
      </w:pPr>
      <w:r>
        <w:rPr>
          <w:rFonts w:ascii="Arial" w:cs="Arial" w:eastAsia="Arial" w:hAnsi="Arial"/>
          <w:sz w:val="18"/>
          <w:szCs w:val="18"/>
          <w:color w:val="auto"/>
        </w:rPr>
        <w:t>the board of directors of Zentalis Pharmaceuticals, Inc., a clinical-stage biopharmaceutical company, from</w:t>
      </w:r>
    </w:p>
    <w:p>
      <w:pPr>
        <w:ind w:left="1000"/>
        <w:spacing w:after="0" w:line="219" w:lineRule="auto"/>
        <w:rPr>
          <w:sz w:val="20"/>
          <w:szCs w:val="20"/>
          <w:color w:val="auto"/>
        </w:rPr>
      </w:pPr>
      <w:r>
        <w:rPr>
          <w:rFonts w:ascii="Arial" w:cs="Arial" w:eastAsia="Arial" w:hAnsi="Arial"/>
          <w:sz w:val="18"/>
          <w:szCs w:val="18"/>
          <w:color w:val="auto"/>
        </w:rPr>
        <w:t>July 2020 until November 2024. Dr. Blackwell received a B.A. in bioethics from Duke University and her M.D.</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from the Mayo Clinic Medical School.</w:t>
      </w:r>
    </w:p>
    <w:p>
      <w:pPr>
        <w:spacing w:after="0" w:line="1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Skills &amp; Qualifications</w:t>
      </w:r>
      <w:r>
        <w:rPr>
          <w:rFonts w:ascii="Arial" w:cs="Arial" w:eastAsia="Arial" w:hAnsi="Arial"/>
          <w:sz w:val="18"/>
          <w:szCs w:val="18"/>
          <w:color w:val="auto"/>
        </w:rPr>
        <w:t>: We believe that Dr. Blackwell is qualified to serve on our Board due to her experience​</w:t>
      </w:r>
    </w:p>
    <w:p>
      <w:pPr>
        <w:spacing w:after="0" w:line="41" w:lineRule="exact"/>
        <w:rPr>
          <w:sz w:val="20"/>
          <w:szCs w:val="20"/>
          <w:color w:val="auto"/>
        </w:rPr>
      </w:pPr>
    </w:p>
    <w:p>
      <w:pPr>
        <w:ind w:left="1000" w:right="159"/>
        <w:spacing w:after="0" w:line="237" w:lineRule="auto"/>
        <w:rPr>
          <w:sz w:val="20"/>
          <w:szCs w:val="20"/>
          <w:color w:val="auto"/>
        </w:rPr>
      </w:pPr>
      <w:r>
        <w:rPr>
          <w:rFonts w:ascii="Arial" w:cs="Arial" w:eastAsia="Arial" w:hAnsi="Arial"/>
          <w:sz w:val="18"/>
          <w:szCs w:val="18"/>
          <w:color w:val="auto"/>
        </w:rPr>
        <w:t>on the boards of pharmaceutical companies and her extensive knowledge of the biotechnology and pharmaceutical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118110</wp:posOffset>
            </wp:positionV>
            <wp:extent cx="5700395" cy="25546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00395" cy="2554605"/>
                    </a:xfrm>
                    <a:prstGeom prst="rect">
                      <a:avLst/>
                    </a:prstGeom>
                    <a:noFill/>
                  </pic:spPr>
                </pic:pic>
              </a:graphicData>
            </a:graphic>
          </wp:anchor>
        </w:drawing>
      </w:r>
    </w:p>
    <w:p>
      <w:pPr>
        <w:spacing w:after="0" w:line="68" w:lineRule="exact"/>
        <w:rPr>
          <w:sz w:val="20"/>
          <w:szCs w:val="20"/>
          <w:color w:val="auto"/>
        </w:rPr>
      </w:pPr>
    </w:p>
    <w:tbl>
      <w:tblPr>
        <w:tblLayout w:type="fixed"/>
        <w:tblInd w:w="880" w:type="dxa"/>
        <w:tblCellMar>
          <w:top w:w="0" w:type="dxa"/>
          <w:left w:w="0" w:type="dxa"/>
          <w:bottom w:w="0" w:type="dxa"/>
          <w:right w:w="0" w:type="dxa"/>
        </w:tblCellMar>
      </w:tblPr>
      <w:tr>
        <w:trPr>
          <w:trHeight w:val="368"/>
        </w:trPr>
        <w:tc>
          <w:tcPr>
            <w:tcW w:w="2000" w:type="dxa"/>
            <w:vAlign w:val="bottom"/>
            <w:gridSpan w:val="2"/>
            <w:shd w:val="clear" w:color="auto" w:fill="148CD9"/>
          </w:tcPr>
          <w:p>
            <w:pPr>
              <w:spacing w:after="0"/>
              <w:rPr>
                <w:sz w:val="20"/>
                <w:szCs w:val="20"/>
                <w:color w:val="auto"/>
              </w:rPr>
            </w:pPr>
            <w:r>
              <w:rPr>
                <w:rFonts w:ascii="Arial" w:cs="Arial" w:eastAsia="Arial" w:hAnsi="Arial"/>
                <w:sz w:val="16"/>
                <w:szCs w:val="16"/>
                <w:b w:val="1"/>
                <w:bCs w:val="1"/>
                <w:color w:val="FFFFFF"/>
              </w:rPr>
              <w:t>​ MARTIN MURPHY, PH.D.</w:t>
            </w:r>
          </w:p>
        </w:tc>
        <w:tc>
          <w:tcPr>
            <w:tcW w:w="3180" w:type="dxa"/>
            <w:vAlign w:val="bottom"/>
            <w:shd w:val="clear" w:color="auto" w:fill="148CD9"/>
          </w:tcPr>
          <w:p>
            <w:pPr>
              <w:spacing w:after="0"/>
              <w:rPr>
                <w:sz w:val="24"/>
                <w:szCs w:val="24"/>
                <w:color w:val="auto"/>
              </w:rPr>
            </w:pPr>
          </w:p>
        </w:tc>
        <w:tc>
          <w:tcPr>
            <w:tcW w:w="3340" w:type="dxa"/>
            <w:vAlign w:val="bottom"/>
            <w:shd w:val="clear" w:color="auto" w:fill="148CD9"/>
          </w:tcPr>
          <w:p>
            <w:pPr>
              <w:ind w:left="260"/>
              <w:spacing w:after="0"/>
              <w:rPr>
                <w:sz w:val="20"/>
                <w:szCs w:val="20"/>
                <w:color w:val="auto"/>
              </w:rPr>
            </w:pPr>
            <w:r>
              <w:rPr>
                <w:rFonts w:ascii="Arial" w:cs="Arial" w:eastAsia="Arial" w:hAnsi="Arial"/>
                <w:sz w:val="32"/>
                <w:szCs w:val="32"/>
                <w:b w:val="1"/>
                <w:bCs w:val="1"/>
                <w:color w:val="FFFFFF"/>
                <w:vertAlign w:val="subscript"/>
              </w:rPr>
              <w:t>​ ​</w:t>
            </w:r>
            <w:r>
              <w:rPr>
                <w:rFonts w:ascii="Arial" w:cs="Arial" w:eastAsia="Arial" w:hAnsi="Arial"/>
                <w:sz w:val="16"/>
                <w:szCs w:val="16"/>
                <w:b w:val="1"/>
                <w:bCs w:val="1"/>
                <w:color w:val="FFFFFF"/>
              </w:rPr>
              <w:t xml:space="preserve"> Key  Skills:  </w:t>
            </w:r>
            <w:r>
              <w:rPr>
                <w:rFonts w:ascii="Arial" w:cs="Arial" w:eastAsia="Arial" w:hAnsi="Arial"/>
                <w:sz w:val="16"/>
                <w:szCs w:val="16"/>
                <w:color w:val="FFFFFF"/>
              </w:rPr>
              <w:t>Industry  Knowledge</w:t>
            </w:r>
          </w:p>
        </w:tc>
        <w:tc>
          <w:tcPr>
            <w:tcW w:w="440" w:type="dxa"/>
            <w:vAlign w:val="bottom"/>
            <w:shd w:val="clear" w:color="auto" w:fill="148CD9"/>
          </w:tcPr>
          <w:p>
            <w:pPr>
              <w:jc w:val="right"/>
              <w:spacing w:after="0"/>
              <w:rPr>
                <w:sz w:val="20"/>
                <w:szCs w:val="20"/>
                <w:color w:val="auto"/>
              </w:rPr>
            </w:pPr>
            <w:r>
              <w:rPr>
                <w:rFonts w:ascii="Arial" w:cs="Arial" w:eastAsia="Arial" w:hAnsi="Arial"/>
                <w:sz w:val="16"/>
                <w:szCs w:val="16"/>
                <w:color w:val="FFFFFF"/>
              </w:rPr>
              <w:t>and</w:t>
            </w:r>
            <w:r>
              <w:rPr>
                <w:rFonts w:ascii="Arial" w:cs="Arial" w:eastAsia="Arial" w:hAnsi="Arial"/>
                <w:sz w:val="32"/>
                <w:szCs w:val="32"/>
                <w:b w:val="1"/>
                <w:bCs w:val="1"/>
                <w:color w:val="FFFFFF"/>
                <w:vertAlign w:val="subscript"/>
              </w:rPr>
              <w:t>​</w:t>
            </w:r>
          </w:p>
        </w:tc>
        <w:tc>
          <w:tcPr>
            <w:tcW w:w="0" w:type="dxa"/>
            <w:vAlign w:val="bottom"/>
          </w:tcPr>
          <w:p>
            <w:pPr>
              <w:spacing w:after="0"/>
              <w:rPr>
                <w:sz w:val="1"/>
                <w:szCs w:val="1"/>
                <w:color w:val="auto"/>
              </w:rPr>
            </w:pPr>
          </w:p>
        </w:tc>
      </w:tr>
      <w:tr>
        <w:trPr>
          <w:trHeight w:val="162"/>
        </w:trPr>
        <w:tc>
          <w:tcPr>
            <w:tcW w:w="80" w:type="dxa"/>
            <w:vAlign w:val="bottom"/>
            <w:shd w:val="clear" w:color="auto" w:fill="148CD9"/>
          </w:tcPr>
          <w:p>
            <w:pPr>
              <w:spacing w:after="0"/>
              <w:rPr>
                <w:sz w:val="14"/>
                <w:szCs w:val="14"/>
                <w:color w:val="auto"/>
              </w:rPr>
            </w:pPr>
          </w:p>
        </w:tc>
        <w:tc>
          <w:tcPr>
            <w:tcW w:w="1920" w:type="dxa"/>
            <w:vAlign w:val="bottom"/>
            <w:shd w:val="clear" w:color="auto" w:fill="148CD9"/>
          </w:tcPr>
          <w:p>
            <w:pPr>
              <w:spacing w:after="0"/>
              <w:rPr>
                <w:sz w:val="14"/>
                <w:szCs w:val="14"/>
                <w:color w:val="auto"/>
              </w:rPr>
            </w:pPr>
          </w:p>
        </w:tc>
        <w:tc>
          <w:tcPr>
            <w:tcW w:w="3180" w:type="dxa"/>
            <w:vAlign w:val="bottom"/>
            <w:shd w:val="clear" w:color="auto" w:fill="148CD9"/>
          </w:tcPr>
          <w:p>
            <w:pPr>
              <w:spacing w:after="0"/>
              <w:rPr>
                <w:sz w:val="14"/>
                <w:szCs w:val="14"/>
                <w:color w:val="auto"/>
              </w:rPr>
            </w:pPr>
          </w:p>
        </w:tc>
        <w:tc>
          <w:tcPr>
            <w:tcW w:w="3340" w:type="dxa"/>
            <w:vAlign w:val="bottom"/>
            <w:shd w:val="clear" w:color="auto" w:fill="148CD9"/>
          </w:tcPr>
          <w:p>
            <w:pPr>
              <w:ind w:left="480"/>
              <w:spacing w:after="0" w:line="162" w:lineRule="exact"/>
              <w:rPr>
                <w:sz w:val="20"/>
                <w:szCs w:val="20"/>
                <w:color w:val="auto"/>
              </w:rPr>
            </w:pPr>
            <w:r>
              <w:rPr>
                <w:rFonts w:ascii="Arial" w:cs="Arial" w:eastAsia="Arial" w:hAnsi="Arial"/>
                <w:sz w:val="16"/>
                <w:szCs w:val="16"/>
                <w:color w:val="FFFFFF"/>
              </w:rPr>
              <w:t>Experience</w:t>
            </w:r>
          </w:p>
        </w:tc>
        <w:tc>
          <w:tcPr>
            <w:tcW w:w="440" w:type="dxa"/>
            <w:vAlign w:val="bottom"/>
            <w:shd w:val="clear" w:color="auto" w:fill="148CD9"/>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8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1920" w:type="dxa"/>
            <w:vAlign w:val="bottom"/>
          </w:tcPr>
          <w:p>
            <w:pPr>
              <w:ind w:left="40"/>
              <w:spacing w:after="0" w:line="197" w:lineRule="exact"/>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57</w:t>
            </w:r>
          </w:p>
        </w:tc>
        <w:tc>
          <w:tcPr>
            <w:tcW w:w="31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 xml:space="preserve">​ ​ Committee Memberships: </w:t>
            </w:r>
            <w:r>
              <w:rPr>
                <w:rFonts w:ascii="Arial" w:cs="Arial" w:eastAsia="Arial" w:hAnsi="Arial"/>
                <w:sz w:val="18"/>
                <w:szCs w:val="18"/>
                <w:color w:val="auto"/>
              </w:rPr>
              <w:t>None</w:t>
            </w:r>
          </w:p>
        </w:tc>
        <w:tc>
          <w:tcPr>
            <w:tcW w:w="334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 ​ Other Public Directorships</w:t>
            </w:r>
            <w:r>
              <w:rPr>
                <w:rFonts w:ascii="Arial" w:cs="Arial" w:eastAsia="Arial" w:hAnsi="Arial"/>
                <w:sz w:val="18"/>
                <w:szCs w:val="18"/>
                <w:color w:val="auto"/>
              </w:rPr>
              <w:t>: None</w:t>
            </w:r>
          </w:p>
        </w:tc>
        <w:tc>
          <w:tcPr>
            <w:tcW w:w="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7"/>
        </w:trPr>
        <w:tc>
          <w:tcPr>
            <w:tcW w:w="80" w:type="dxa"/>
            <w:vAlign w:val="bottom"/>
            <w:vMerge w:val="continue"/>
          </w:tcPr>
          <w:p>
            <w:pPr>
              <w:spacing w:after="0"/>
              <w:rPr>
                <w:sz w:val="21"/>
                <w:szCs w:val="21"/>
                <w:color w:val="auto"/>
              </w:rPr>
            </w:pPr>
          </w:p>
        </w:tc>
        <w:tc>
          <w:tcPr>
            <w:tcW w:w="1920" w:type="dxa"/>
            <w:vAlign w:val="bottom"/>
          </w:tcPr>
          <w:p>
            <w:pPr>
              <w:ind w:left="40"/>
              <w:spacing w:after="0"/>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 2025</w:t>
            </w:r>
          </w:p>
        </w:tc>
        <w:tc>
          <w:tcPr>
            <w:tcW w:w="3180" w:type="dxa"/>
            <w:vAlign w:val="bottom"/>
            <w:vMerge w:val="continue"/>
          </w:tcPr>
          <w:p>
            <w:pPr>
              <w:spacing w:after="0"/>
              <w:rPr>
                <w:sz w:val="21"/>
                <w:szCs w:val="21"/>
                <w:color w:val="auto"/>
              </w:rPr>
            </w:pPr>
          </w:p>
        </w:tc>
        <w:tc>
          <w:tcPr>
            <w:tcW w:w="3340" w:type="dxa"/>
            <w:vAlign w:val="bottom"/>
            <w:vMerge w:val="continue"/>
          </w:tcPr>
          <w:p>
            <w:pPr>
              <w:spacing w:after="0"/>
              <w:rPr>
                <w:sz w:val="21"/>
                <w:szCs w:val="21"/>
                <w:color w:val="auto"/>
              </w:rPr>
            </w:pPr>
          </w:p>
        </w:tc>
        <w:tc>
          <w:tcPr>
            <w:tcW w:w="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jc w:val="both"/>
        <w:ind w:left="1000" w:right="99" w:hanging="107"/>
        <w:spacing w:after="0" w:line="253"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Dr. Murphy</w:t>
      </w:r>
      <w:r>
        <w:rPr>
          <w:rFonts w:ascii="Arial" w:cs="Arial" w:eastAsia="Arial" w:hAnsi="Arial"/>
          <w:sz w:val="18"/>
          <w:szCs w:val="18"/>
          <w:color w:val="auto"/>
        </w:rPr>
        <w:t xml:space="preserve"> has been a member of our Board since December 2025. He currently holds various board chair​ and director positions on several UK-based organizations including Cora Biosciences Limited and Legal &amp;</w:t>
      </w:r>
    </w:p>
    <w:p>
      <w:pPr>
        <w:ind w:left="1000"/>
        <w:spacing w:after="0" w:line="234" w:lineRule="auto"/>
        <w:rPr>
          <w:sz w:val="20"/>
          <w:szCs w:val="20"/>
          <w:color w:val="auto"/>
        </w:rPr>
      </w:pPr>
      <w:r>
        <w:rPr>
          <w:rFonts w:ascii="Arial" w:cs="Arial" w:eastAsia="Arial" w:hAnsi="Arial"/>
          <w:sz w:val="18"/>
          <w:szCs w:val="18"/>
          <w:color w:val="auto"/>
        </w:rPr>
        <w:t>General UK Universities Ventures LP, roles he has held since October 2025 and May 2024, respectively.</w:t>
      </w:r>
    </w:p>
    <w:p>
      <w:pPr>
        <w:spacing w:after="0" w:line="1" w:lineRule="exact"/>
        <w:rPr>
          <w:sz w:val="20"/>
          <w:szCs w:val="20"/>
          <w:color w:val="auto"/>
        </w:rPr>
      </w:pPr>
    </w:p>
    <w:p>
      <w:pPr>
        <w:ind w:left="1000" w:right="159"/>
        <w:spacing w:after="0" w:line="226" w:lineRule="auto"/>
        <w:rPr>
          <w:sz w:val="20"/>
          <w:szCs w:val="20"/>
          <w:color w:val="auto"/>
        </w:rPr>
      </w:pPr>
      <w:r>
        <w:rPr>
          <w:rFonts w:ascii="Arial" w:cs="Arial" w:eastAsia="Arial" w:hAnsi="Arial"/>
          <w:sz w:val="18"/>
          <w:szCs w:val="18"/>
          <w:color w:val="auto"/>
        </w:rPr>
        <w:t>Previously, Dr. Murphy served as non-executive director and Chair of the Remuneration Committee of Synairgen plc (LSE: SNG) from January 2025 to April 2026 and as co-founder of Syncona Limited and Chief</w:t>
      </w:r>
    </w:p>
    <w:p>
      <w:pPr>
        <w:ind w:left="1000"/>
        <w:spacing w:after="0" w:line="236" w:lineRule="auto"/>
        <w:rPr>
          <w:sz w:val="20"/>
          <w:szCs w:val="20"/>
          <w:color w:val="auto"/>
        </w:rPr>
      </w:pPr>
      <w:r>
        <w:rPr>
          <w:rFonts w:ascii="Arial" w:cs="Arial" w:eastAsia="Arial" w:hAnsi="Arial"/>
          <w:sz w:val="18"/>
          <w:szCs w:val="18"/>
          <w:color w:val="auto"/>
        </w:rPr>
        <w:t>Executive Officer and Investment Committee Chair of Syncona Investment Management Limited, or Syncona,</w:t>
      </w:r>
    </w:p>
    <w:p>
      <w:pPr>
        <w:spacing w:after="0" w:line="1" w:lineRule="exact"/>
        <w:rPr>
          <w:sz w:val="20"/>
          <w:szCs w:val="20"/>
          <w:color w:val="auto"/>
        </w:rPr>
      </w:pPr>
    </w:p>
    <w:p>
      <w:pPr>
        <w:ind w:left="1000" w:right="159"/>
        <w:spacing w:after="0" w:line="226" w:lineRule="auto"/>
        <w:rPr>
          <w:sz w:val="20"/>
          <w:szCs w:val="20"/>
          <w:color w:val="auto"/>
        </w:rPr>
      </w:pPr>
      <w:r>
        <w:rPr>
          <w:rFonts w:ascii="Arial" w:cs="Arial" w:eastAsia="Arial" w:hAnsi="Arial"/>
          <w:sz w:val="18"/>
          <w:szCs w:val="18"/>
          <w:color w:val="auto"/>
        </w:rPr>
        <w:t>from October 2012 to November 2022. Prior to Syncona, Dr. Murphy served as a Managing Director of MVM Life Science Partners LLP from 2002 to 2012. Dr. Murphy also previously served on the board of Autolus</w:t>
      </w:r>
    </w:p>
    <w:p>
      <w:pPr>
        <w:ind w:left="1000"/>
        <w:spacing w:after="0" w:line="236" w:lineRule="auto"/>
        <w:rPr>
          <w:sz w:val="20"/>
          <w:szCs w:val="20"/>
          <w:color w:val="auto"/>
        </w:rPr>
      </w:pPr>
      <w:r>
        <w:rPr>
          <w:rFonts w:ascii="Arial" w:cs="Arial" w:eastAsia="Arial" w:hAnsi="Arial"/>
          <w:sz w:val="18"/>
          <w:szCs w:val="18"/>
          <w:color w:val="auto"/>
        </w:rPr>
        <w:t>Therapeutics plc from October 2013 to June 2024 and was a member of the Science Committee and</w:t>
      </w:r>
    </w:p>
    <w:p>
      <w:pPr>
        <w:spacing w:after="0" w:line="1" w:lineRule="exact"/>
        <w:rPr>
          <w:sz w:val="20"/>
          <w:szCs w:val="20"/>
          <w:color w:val="auto"/>
        </w:rPr>
      </w:pPr>
    </w:p>
    <w:p>
      <w:pPr>
        <w:jc w:val="both"/>
        <w:ind w:left="1000" w:right="159"/>
        <w:spacing w:after="0" w:line="226" w:lineRule="auto"/>
        <w:rPr>
          <w:sz w:val="20"/>
          <w:szCs w:val="20"/>
          <w:color w:val="auto"/>
        </w:rPr>
      </w:pPr>
      <w:r>
        <w:rPr>
          <w:rFonts w:ascii="Arial" w:cs="Arial" w:eastAsia="Arial" w:hAnsi="Arial"/>
          <w:sz w:val="18"/>
          <w:szCs w:val="18"/>
          <w:color w:val="auto"/>
        </w:rPr>
        <w:t>Remuneration Committee during his tenure. Earlier in his career, Dr. Murphy was an Investment Manager at 3i Group plc from 2001 to 2002 and an Engagement Manager at McKinsey &amp; Company from 1996 to 1999.</w:t>
      </w:r>
    </w:p>
    <w:p>
      <w:pPr>
        <w:spacing w:after="0" w:line="2" w:lineRule="exact"/>
        <w:rPr>
          <w:sz w:val="20"/>
          <w:szCs w:val="20"/>
          <w:color w:val="auto"/>
        </w:rPr>
      </w:pPr>
    </w:p>
    <w:p>
      <w:pPr>
        <w:ind w:left="1000" w:right="159"/>
        <w:spacing w:after="0" w:line="247" w:lineRule="auto"/>
        <w:rPr>
          <w:sz w:val="20"/>
          <w:szCs w:val="20"/>
          <w:color w:val="auto"/>
        </w:rPr>
      </w:pPr>
      <w:r>
        <w:rPr>
          <w:rFonts w:ascii="Arial" w:cs="Arial" w:eastAsia="Arial" w:hAnsi="Arial"/>
          <w:sz w:val="18"/>
          <w:szCs w:val="18"/>
          <w:color w:val="auto"/>
        </w:rPr>
        <w:t>Dr. Murphy received a Ph.D. from the University of Cambridge’s Emmanual College, and an M.A. in Biochemistry from the University of Oxford.</w:t>
      </w:r>
    </w:p>
    <w:p>
      <w:pPr>
        <w:spacing w:after="0" w:line="1" w:lineRule="exact"/>
        <w:rPr>
          <w:sz w:val="20"/>
          <w:szCs w:val="20"/>
          <w:color w:val="auto"/>
        </w:rPr>
      </w:pPr>
    </w:p>
    <w:p>
      <w:pPr>
        <w:ind w:left="1000" w:right="99" w:hanging="107"/>
        <w:spacing w:after="0" w:line="287"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Skills &amp; Qualifications</w:t>
      </w:r>
      <w:r>
        <w:rPr>
          <w:rFonts w:ascii="Arial" w:cs="Arial" w:eastAsia="Arial" w:hAnsi="Arial"/>
          <w:sz w:val="18"/>
          <w:szCs w:val="18"/>
          <w:color w:val="auto"/>
        </w:rPr>
        <w:t>: We believe that Dr. Murphy is qualified to serve on our Board due to his investment​ experience and experience serving on boards of other biopharmaceutical companies.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73" w:lineRule="exact"/>
        <w:rPr>
          <w:sz w:val="20"/>
          <w:szCs w:val="20"/>
          <w:color w:val="auto"/>
        </w:rPr>
      </w:pPr>
    </w:p>
    <w:tbl>
      <w:tblPr>
        <w:tblLayout w:type="fixed"/>
        <w:tblInd w:w="860" w:type="dxa"/>
        <w:tblCellMar>
          <w:top w:w="0" w:type="dxa"/>
          <w:left w:w="0" w:type="dxa"/>
          <w:bottom w:w="0" w:type="dxa"/>
          <w:right w:w="0" w:type="dxa"/>
        </w:tblCellMar>
      </w:tblPr>
      <w:tr>
        <w:trPr>
          <w:trHeight w:val="378"/>
        </w:trPr>
        <w:tc>
          <w:tcPr>
            <w:tcW w:w="5200" w:type="dxa"/>
            <w:vAlign w:val="bottom"/>
            <w:gridSpan w:val="3"/>
            <w:shd w:val="clear" w:color="auto" w:fill="1DA46F"/>
          </w:tcPr>
          <w:p>
            <w:pPr>
              <w:ind w:left="20"/>
              <w:spacing w:after="0"/>
              <w:rPr>
                <w:sz w:val="20"/>
                <w:szCs w:val="20"/>
                <w:color w:val="auto"/>
              </w:rPr>
            </w:pPr>
            <w:r>
              <w:rPr>
                <w:rFonts w:ascii="Arial" w:cs="Arial" w:eastAsia="Arial" w:hAnsi="Arial"/>
                <w:sz w:val="32"/>
                <w:szCs w:val="32"/>
                <w:b w:val="1"/>
                <w:bCs w:val="1"/>
                <w:color w:val="FFFFFF"/>
              </w:rPr>
              <w:t>​BOARD OF DIRECTORS</w:t>
            </w:r>
          </w:p>
        </w:tc>
        <w:tc>
          <w:tcPr>
            <w:tcW w:w="3400" w:type="dxa"/>
            <w:vAlign w:val="bottom"/>
            <w:shd w:val="clear" w:color="auto" w:fill="1DA46F"/>
          </w:tcPr>
          <w:p>
            <w:pPr>
              <w:spacing w:after="0"/>
              <w:rPr>
                <w:sz w:val="24"/>
                <w:szCs w:val="24"/>
                <w:color w:val="auto"/>
              </w:rPr>
            </w:pPr>
          </w:p>
        </w:tc>
        <w:tc>
          <w:tcPr>
            <w:tcW w:w="380" w:type="dxa"/>
            <w:vAlign w:val="bottom"/>
            <w:shd w:val="clear" w:color="auto" w:fill="1DA46F"/>
          </w:tcPr>
          <w:p>
            <w:pPr>
              <w:ind w:left="280"/>
              <w:spacing w:after="0"/>
              <w:rPr>
                <w:sz w:val="20"/>
                <w:szCs w:val="20"/>
                <w:color w:val="auto"/>
              </w:rPr>
            </w:pPr>
            <w:r>
              <w:rPr>
                <w:rFonts w:ascii="Arial" w:cs="Arial" w:eastAsia="Arial" w:hAnsi="Arial"/>
                <w:sz w:val="32"/>
                <w:szCs w:val="32"/>
                <w:b w:val="1"/>
                <w:bCs w:val="1"/>
                <w:color w:val="FFFFFF"/>
              </w:rPr>
              <w:t>​</w:t>
            </w:r>
          </w:p>
        </w:tc>
        <w:tc>
          <w:tcPr>
            <w:tcW w:w="0" w:type="dxa"/>
            <w:vAlign w:val="bottom"/>
          </w:tcPr>
          <w:p>
            <w:pPr>
              <w:spacing w:after="0"/>
              <w:rPr>
                <w:sz w:val="1"/>
                <w:szCs w:val="1"/>
                <w:color w:val="auto"/>
              </w:rPr>
            </w:pPr>
          </w:p>
        </w:tc>
      </w:tr>
      <w:tr>
        <w:trPr>
          <w:trHeight w:val="324"/>
        </w:trPr>
        <w:tc>
          <w:tcPr>
            <w:tcW w:w="2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gridSpan w:val="2"/>
          </w:tcPr>
          <w:p>
            <w:pPr>
              <w:spacing w:after="0"/>
              <w:rPr>
                <w:sz w:val="24"/>
                <w:szCs w:val="24"/>
                <w:color w:val="auto"/>
              </w:rPr>
            </w:pPr>
          </w:p>
        </w:tc>
        <w:tc>
          <w:tcPr>
            <w:tcW w:w="378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80" w:type="dxa"/>
            <w:vAlign w:val="bottom"/>
            <w:gridSpan w:val="2"/>
            <w:shd w:val="clear" w:color="auto" w:fill="148CD9"/>
          </w:tcPr>
          <w:p>
            <w:pPr>
              <w:spacing w:after="0"/>
              <w:rPr>
                <w:sz w:val="20"/>
                <w:szCs w:val="20"/>
                <w:color w:val="auto"/>
              </w:rPr>
            </w:pPr>
            <w:r>
              <w:rPr>
                <w:rFonts w:ascii="Arial" w:cs="Arial" w:eastAsia="Arial" w:hAnsi="Arial"/>
                <w:sz w:val="16"/>
                <w:szCs w:val="16"/>
                <w:b w:val="1"/>
                <w:bCs w:val="1"/>
                <w:color w:val="FFFFFF"/>
              </w:rPr>
              <w:t>​ BRENT PFEIFFENBERGER, PHARM.D. (CHAIRMAN)</w:t>
            </w:r>
          </w:p>
        </w:tc>
        <w:tc>
          <w:tcPr>
            <w:tcW w:w="3780" w:type="dxa"/>
            <w:vAlign w:val="bottom"/>
            <w:gridSpan w:val="2"/>
            <w:shd w:val="clear" w:color="auto" w:fill="148CD9"/>
          </w:tcPr>
          <w:p>
            <w:pPr>
              <w:ind w:left="260"/>
              <w:spacing w:after="0" w:line="250" w:lineRule="exact"/>
              <w:rPr>
                <w:sz w:val="20"/>
                <w:szCs w:val="20"/>
                <w:color w:val="auto"/>
              </w:rPr>
            </w:pPr>
            <w:r>
              <w:rPr>
                <w:rFonts w:ascii="Arial" w:cs="Arial" w:eastAsia="Arial" w:hAnsi="Arial"/>
                <w:sz w:val="28"/>
                <w:szCs w:val="28"/>
                <w:b w:val="1"/>
                <w:bCs w:val="1"/>
                <w:color w:val="FFFFFF"/>
                <w:vertAlign w:val="subscript"/>
              </w:rPr>
              <w:t>​ ​</w:t>
            </w:r>
            <w:r>
              <w:rPr>
                <w:rFonts w:ascii="Arial" w:cs="Arial" w:eastAsia="Arial" w:hAnsi="Arial"/>
                <w:sz w:val="15"/>
                <w:szCs w:val="15"/>
                <w:b w:val="1"/>
                <w:bCs w:val="1"/>
                <w:color w:val="FFFFFF"/>
              </w:rPr>
              <w:t xml:space="preserve"> Key Skills:  </w:t>
            </w:r>
            <w:r>
              <w:rPr>
                <w:rFonts w:ascii="Arial" w:cs="Arial" w:eastAsia="Arial" w:hAnsi="Arial"/>
                <w:sz w:val="15"/>
                <w:szCs w:val="15"/>
                <w:color w:val="FFFFFF"/>
              </w:rPr>
              <w:t>Senior Executive Experience</w:t>
            </w:r>
            <w:r>
              <w:rPr>
                <w:rFonts w:ascii="Arial" w:cs="Arial" w:eastAsia="Arial" w:hAnsi="Arial"/>
                <w:sz w:val="28"/>
                <w:szCs w:val="28"/>
                <w:b w:val="1"/>
                <w:bCs w:val="1"/>
                <w:color w:val="FFFFFF"/>
                <w:vertAlign w:val="subscript"/>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shd w:val="clear" w:color="auto" w:fill="148CD9"/>
          </w:tcPr>
          <w:p>
            <w:pPr>
              <w:spacing w:after="0"/>
              <w:rPr>
                <w:sz w:val="14"/>
                <w:szCs w:val="14"/>
                <w:color w:val="auto"/>
              </w:rPr>
            </w:pPr>
          </w:p>
        </w:tc>
        <w:tc>
          <w:tcPr>
            <w:tcW w:w="3240" w:type="dxa"/>
            <w:vAlign w:val="bottom"/>
            <w:shd w:val="clear" w:color="auto" w:fill="148CD9"/>
          </w:tcPr>
          <w:p>
            <w:pPr>
              <w:spacing w:after="0"/>
              <w:rPr>
                <w:sz w:val="14"/>
                <w:szCs w:val="14"/>
                <w:color w:val="auto"/>
              </w:rPr>
            </w:pPr>
          </w:p>
        </w:tc>
        <w:tc>
          <w:tcPr>
            <w:tcW w:w="3400" w:type="dxa"/>
            <w:vAlign w:val="bottom"/>
            <w:shd w:val="clear" w:color="auto" w:fill="148CD9"/>
          </w:tcPr>
          <w:p>
            <w:pPr>
              <w:ind w:left="480"/>
              <w:spacing w:after="0" w:line="162" w:lineRule="exact"/>
              <w:rPr>
                <w:sz w:val="20"/>
                <w:szCs w:val="20"/>
                <w:color w:val="auto"/>
              </w:rPr>
            </w:pPr>
            <w:r>
              <w:rPr>
                <w:rFonts w:ascii="Arial" w:cs="Arial" w:eastAsia="Arial" w:hAnsi="Arial"/>
                <w:sz w:val="16"/>
                <w:szCs w:val="16"/>
                <w:color w:val="FFFFFF"/>
              </w:rPr>
              <w:t>and Global Industry Experience</w:t>
            </w:r>
          </w:p>
        </w:tc>
        <w:tc>
          <w:tcPr>
            <w:tcW w:w="380" w:type="dxa"/>
            <w:vAlign w:val="bottom"/>
            <w:shd w:val="clear" w:color="auto" w:fill="148CD9"/>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40" w:type="dxa"/>
            <w:vAlign w:val="bottom"/>
          </w:tcPr>
          <w:p>
            <w:pPr>
              <w:ind w:left="120"/>
              <w:spacing w:after="0" w:line="189" w:lineRule="exact"/>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48</w:t>
            </w:r>
          </w:p>
        </w:tc>
        <w:tc>
          <w:tcPr>
            <w:tcW w:w="32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 ​ Committee Memberships</w:t>
            </w:r>
            <w:r>
              <w:rPr>
                <w:rFonts w:ascii="Arial" w:cs="Arial" w:eastAsia="Arial" w:hAnsi="Arial"/>
                <w:sz w:val="18"/>
                <w:szCs w:val="18"/>
                <w:color w:val="auto"/>
              </w:rPr>
              <w:t>: None</w:t>
            </w:r>
          </w:p>
        </w:tc>
        <w:tc>
          <w:tcPr>
            <w:tcW w:w="340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 ​ Other Public Directorships</w:t>
            </w:r>
            <w:r>
              <w:rPr>
                <w:rFonts w:ascii="Arial" w:cs="Arial" w:eastAsia="Arial" w:hAnsi="Arial"/>
                <w:sz w:val="18"/>
                <w:szCs w:val="18"/>
                <w:color w:val="auto"/>
              </w:rPr>
              <w:t>: N/A</w:t>
            </w:r>
          </w:p>
        </w:tc>
        <w:tc>
          <w:tcPr>
            <w:tcW w:w="38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940" w:type="dxa"/>
            <w:vAlign w:val="bottom"/>
          </w:tcPr>
          <w:p>
            <w:pPr>
              <w:spacing w:after="0" w:line="283" w:lineRule="exact"/>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7"/>
                <w:szCs w:val="17"/>
                <w:b w:val="1"/>
                <w:bCs w:val="1"/>
                <w:color w:val="auto"/>
              </w:rPr>
              <w:t xml:space="preserve"> Director Since</w:t>
            </w:r>
            <w:r>
              <w:rPr>
                <w:rFonts w:ascii="Arial" w:cs="Arial" w:eastAsia="Arial" w:hAnsi="Arial"/>
                <w:sz w:val="17"/>
                <w:szCs w:val="17"/>
                <w:color w:val="auto"/>
              </w:rPr>
              <w:t>: 2023</w:t>
            </w:r>
          </w:p>
        </w:tc>
        <w:tc>
          <w:tcPr>
            <w:tcW w:w="3240" w:type="dxa"/>
            <w:vAlign w:val="bottom"/>
            <w:vMerge w:val="continue"/>
          </w:tcPr>
          <w:p>
            <w:pPr>
              <w:spacing w:after="0"/>
              <w:rPr>
                <w:sz w:val="24"/>
                <w:szCs w:val="24"/>
                <w:color w:val="auto"/>
              </w:rPr>
            </w:pPr>
          </w:p>
        </w:tc>
        <w:tc>
          <w:tcPr>
            <w:tcW w:w="3400" w:type="dxa"/>
            <w:vAlign w:val="bottom"/>
            <w:vMerge w:val="continue"/>
          </w:tcPr>
          <w:p>
            <w:pPr>
              <w:spacing w:after="0"/>
              <w:rPr>
                <w:sz w:val="24"/>
                <w:szCs w:val="24"/>
                <w:color w:val="auto"/>
              </w:rPr>
            </w:pPr>
          </w:p>
        </w:tc>
        <w:tc>
          <w:tcPr>
            <w:tcW w:w="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-573405</wp:posOffset>
            </wp:positionV>
            <wp:extent cx="5700395" cy="2049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00395" cy="2049145"/>
                    </a:xfrm>
                    <a:prstGeom prst="rect">
                      <a:avLst/>
                    </a:prstGeom>
                    <a:noFill/>
                  </pic:spPr>
                </pic:pic>
              </a:graphicData>
            </a:graphic>
          </wp:anchor>
        </w:drawing>
      </w:r>
    </w:p>
    <w:p>
      <w:pPr>
        <w:jc w:val="both"/>
        <w:ind w:left="1000" w:right="99" w:hanging="107"/>
        <w:spacing w:after="0" w:line="24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Dr. Pfeiffenberger</w:t>
      </w:r>
      <w:r>
        <w:rPr>
          <w:rFonts w:ascii="Arial" w:cs="Arial" w:eastAsia="Arial" w:hAnsi="Arial"/>
          <w:sz w:val="18"/>
          <w:szCs w:val="18"/>
          <w:color w:val="auto"/>
        </w:rPr>
        <w:t xml:space="preserve"> has been a member of our Board as well as our President and Chief Executive Officer,​ since December 2023. Dr. Pfeiffenberger previously served as Chief Operating Officer of Neogene</w:t>
      </w:r>
    </w:p>
    <w:p>
      <w:pPr>
        <w:ind w:left="1000"/>
        <w:spacing w:after="0" w:line="236" w:lineRule="auto"/>
        <w:rPr>
          <w:sz w:val="20"/>
          <w:szCs w:val="20"/>
          <w:color w:val="auto"/>
        </w:rPr>
      </w:pPr>
      <w:r>
        <w:rPr>
          <w:rFonts w:ascii="Arial" w:cs="Arial" w:eastAsia="Arial" w:hAnsi="Arial"/>
          <w:sz w:val="18"/>
          <w:szCs w:val="18"/>
          <w:color w:val="auto"/>
        </w:rPr>
        <w:t>Therapeutics Inc., a clinical-stage biotechnology company, from May 2021 until December 2023. Prior to this,</w:t>
      </w:r>
    </w:p>
    <w:p>
      <w:pPr>
        <w:ind w:left="1000" w:right="159"/>
        <w:spacing w:after="0" w:line="226" w:lineRule="auto"/>
        <w:rPr>
          <w:sz w:val="20"/>
          <w:szCs w:val="20"/>
          <w:color w:val="auto"/>
        </w:rPr>
      </w:pPr>
      <w:r>
        <w:rPr>
          <w:rFonts w:ascii="Arial" w:cs="Arial" w:eastAsia="Arial" w:hAnsi="Arial"/>
          <w:sz w:val="18"/>
          <w:szCs w:val="18"/>
          <w:color w:val="auto"/>
        </w:rPr>
        <w:t>Dr. Pfeiffenberger held various positions at Bristol-Myers Squibb Company, or Bristol-Myers, a global biopharmaceutical company, including Senior Vice President and Head of U.S. Oncology from October 2019</w:t>
      </w:r>
    </w:p>
    <w:p>
      <w:pPr>
        <w:ind w:left="1000"/>
        <w:spacing w:after="0" w:line="236" w:lineRule="auto"/>
        <w:rPr>
          <w:sz w:val="20"/>
          <w:szCs w:val="20"/>
          <w:color w:val="auto"/>
        </w:rPr>
      </w:pPr>
      <w:r>
        <w:rPr>
          <w:rFonts w:ascii="Arial" w:cs="Arial" w:eastAsia="Arial" w:hAnsi="Arial"/>
          <w:sz w:val="18"/>
          <w:szCs w:val="18"/>
          <w:color w:val="auto"/>
        </w:rPr>
        <w:t>until May 2021; Co-Lead of Worldwide Commercial Oncology from July 2018 until October 2019; General</w:t>
      </w:r>
    </w:p>
    <w:p>
      <w:pPr>
        <w:spacing w:after="0" w:line="1" w:lineRule="exact"/>
        <w:rPr>
          <w:sz w:val="20"/>
          <w:szCs w:val="20"/>
          <w:color w:val="auto"/>
        </w:rPr>
      </w:pPr>
    </w:p>
    <w:p>
      <w:pPr>
        <w:ind w:left="1000" w:right="159"/>
        <w:spacing w:after="0" w:line="226" w:lineRule="auto"/>
        <w:rPr>
          <w:sz w:val="20"/>
          <w:szCs w:val="20"/>
          <w:color w:val="auto"/>
        </w:rPr>
      </w:pPr>
      <w:r>
        <w:rPr>
          <w:rFonts w:ascii="Arial" w:cs="Arial" w:eastAsia="Arial" w:hAnsi="Arial"/>
          <w:sz w:val="18"/>
          <w:szCs w:val="18"/>
          <w:color w:val="auto"/>
        </w:rPr>
        <w:t>Manager for Australia and New Zealand from March 2016 until June 2018; and several additional leadership and managerial positions within Bristol-Myers prior to this. Dr. Pfeiffenberger received an M.B.A. from The</w:t>
      </w:r>
    </w:p>
    <w:p>
      <w:pPr>
        <w:spacing w:after="0" w:line="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Wharton School at the University of Pennsylvania and a Pharm.D. from Duquesne University.</w:t>
      </w:r>
    </w:p>
    <w:p>
      <w:pPr>
        <w:spacing w:after="0" w:line="18" w:lineRule="exact"/>
        <w:rPr>
          <w:sz w:val="20"/>
          <w:szCs w:val="20"/>
          <w:color w:val="auto"/>
        </w:rPr>
      </w:pPr>
    </w:p>
    <w:p>
      <w:pPr>
        <w:jc w:val="both"/>
        <w:ind w:left="1000" w:right="99" w:hanging="107"/>
        <w:spacing w:after="0" w:line="287"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Skills &amp; Qualifications</w:t>
      </w:r>
      <w:r>
        <w:rPr>
          <w:rFonts w:ascii="Arial" w:cs="Arial" w:eastAsia="Arial" w:hAnsi="Arial"/>
          <w:sz w:val="18"/>
          <w:szCs w:val="18"/>
          <w:color w:val="auto"/>
        </w:rPr>
        <w:t>: We believe that Dr. Pfeiffenberger’s over 20 years of global biopharmaceutical and​ biotechnology experience provide him with the qualifications and skills to serve as a director.</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CLASS I DIRECTORS — TERMS EXPIRING AT THE 2028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127635</wp:posOffset>
            </wp:positionV>
            <wp:extent cx="5700395" cy="25546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00395" cy="2554605"/>
                    </a:xfrm>
                    <a:prstGeom prst="rect">
                      <a:avLst/>
                    </a:prstGeom>
                    <a:noFill/>
                  </pic:spPr>
                </pic:pic>
              </a:graphicData>
            </a:graphic>
          </wp:anchor>
        </w:drawing>
      </w:r>
    </w:p>
    <w:p>
      <w:pPr>
        <w:spacing w:after="0" w:line="83" w:lineRule="exact"/>
        <w:rPr>
          <w:sz w:val="20"/>
          <w:szCs w:val="20"/>
          <w:color w:val="auto"/>
        </w:rPr>
      </w:pPr>
    </w:p>
    <w:tbl>
      <w:tblPr>
        <w:tblLayout w:type="fixed"/>
        <w:tblInd w:w="880" w:type="dxa"/>
        <w:tblCellMar>
          <w:top w:w="0" w:type="dxa"/>
          <w:left w:w="0" w:type="dxa"/>
          <w:bottom w:w="0" w:type="dxa"/>
          <w:right w:w="0" w:type="dxa"/>
        </w:tblCellMar>
      </w:tblPr>
      <w:tr>
        <w:trPr>
          <w:trHeight w:val="368"/>
        </w:trPr>
        <w:tc>
          <w:tcPr>
            <w:tcW w:w="1940" w:type="dxa"/>
            <w:vAlign w:val="bottom"/>
            <w:shd w:val="clear" w:color="auto" w:fill="148CD9"/>
          </w:tcPr>
          <w:p>
            <w:pPr>
              <w:spacing w:after="0"/>
              <w:rPr>
                <w:sz w:val="20"/>
                <w:szCs w:val="20"/>
                <w:color w:val="auto"/>
              </w:rPr>
            </w:pPr>
            <w:r>
              <w:rPr>
                <w:rFonts w:ascii="Arial" w:cs="Arial" w:eastAsia="Arial" w:hAnsi="Arial"/>
                <w:sz w:val="16"/>
                <w:szCs w:val="16"/>
                <w:b w:val="1"/>
                <w:bCs w:val="1"/>
                <w:color w:val="FFFFFF"/>
              </w:rPr>
              <w:t>​ DAPHNE QUIMI</w:t>
            </w:r>
          </w:p>
        </w:tc>
        <w:tc>
          <w:tcPr>
            <w:tcW w:w="3260" w:type="dxa"/>
            <w:vAlign w:val="bottom"/>
            <w:shd w:val="clear" w:color="auto" w:fill="148CD9"/>
          </w:tcPr>
          <w:p>
            <w:pPr>
              <w:spacing w:after="0"/>
              <w:rPr>
                <w:sz w:val="24"/>
                <w:szCs w:val="24"/>
                <w:color w:val="auto"/>
              </w:rPr>
            </w:pPr>
          </w:p>
        </w:tc>
        <w:tc>
          <w:tcPr>
            <w:tcW w:w="440" w:type="dxa"/>
            <w:vAlign w:val="bottom"/>
            <w:shd w:val="clear" w:color="auto" w:fill="148CD9"/>
          </w:tcPr>
          <w:p>
            <w:pPr>
              <w:ind w:left="240"/>
              <w:spacing w:after="0"/>
              <w:rPr>
                <w:sz w:val="20"/>
                <w:szCs w:val="20"/>
                <w:color w:val="auto"/>
              </w:rPr>
            </w:pPr>
            <w:r>
              <w:rPr>
                <w:rFonts w:ascii="Arial" w:cs="Arial" w:eastAsia="Arial" w:hAnsi="Arial"/>
                <w:sz w:val="16"/>
                <w:szCs w:val="16"/>
                <w:b w:val="1"/>
                <w:bCs w:val="1"/>
                <w:color w:val="FFFFFF"/>
              </w:rPr>
              <w:t>​ ​</w:t>
            </w:r>
          </w:p>
        </w:tc>
        <w:tc>
          <w:tcPr>
            <w:tcW w:w="3320" w:type="dxa"/>
            <w:vAlign w:val="bottom"/>
            <w:gridSpan w:val="2"/>
            <w:shd w:val="clear" w:color="auto" w:fill="148CD9"/>
          </w:tcPr>
          <w:p>
            <w:pPr>
              <w:ind w:left="20"/>
              <w:spacing w:after="0"/>
              <w:rPr>
                <w:sz w:val="20"/>
                <w:szCs w:val="20"/>
                <w:color w:val="auto"/>
              </w:rPr>
            </w:pPr>
            <w:r>
              <w:rPr>
                <w:rFonts w:ascii="Arial" w:cs="Arial" w:eastAsia="Arial" w:hAnsi="Arial"/>
                <w:sz w:val="16"/>
                <w:szCs w:val="16"/>
                <w:b w:val="1"/>
                <w:bCs w:val="1"/>
                <w:color w:val="FFFFFF"/>
              </w:rPr>
              <w:t xml:space="preserve">Key Skills: </w:t>
            </w:r>
            <w:r>
              <w:rPr>
                <w:rFonts w:ascii="Arial" w:cs="Arial" w:eastAsia="Arial" w:hAnsi="Arial"/>
                <w:sz w:val="16"/>
                <w:szCs w:val="16"/>
                <w:color w:val="FFFFFF"/>
              </w:rPr>
              <w:t>Investing and Capital Raising,</w:t>
            </w:r>
            <w:r>
              <w:rPr>
                <w:rFonts w:ascii="Arial" w:cs="Arial" w:eastAsia="Arial" w:hAnsi="Arial"/>
                <w:sz w:val="32"/>
                <w:szCs w:val="32"/>
                <w:b w:val="1"/>
                <w:bCs w:val="1"/>
                <w:color w:val="FFFFFF"/>
                <w:vertAlign w:val="subscript"/>
              </w:rPr>
              <w:t>​</w:t>
            </w:r>
          </w:p>
        </w:tc>
        <w:tc>
          <w:tcPr>
            <w:tcW w:w="0" w:type="dxa"/>
            <w:vAlign w:val="bottom"/>
          </w:tcPr>
          <w:p>
            <w:pPr>
              <w:spacing w:after="0"/>
              <w:rPr>
                <w:sz w:val="1"/>
                <w:szCs w:val="1"/>
                <w:color w:val="auto"/>
              </w:rPr>
            </w:pPr>
          </w:p>
        </w:tc>
      </w:tr>
      <w:tr>
        <w:trPr>
          <w:trHeight w:val="162"/>
        </w:trPr>
        <w:tc>
          <w:tcPr>
            <w:tcW w:w="1940" w:type="dxa"/>
            <w:vAlign w:val="bottom"/>
            <w:shd w:val="clear" w:color="auto" w:fill="148CD9"/>
          </w:tcPr>
          <w:p>
            <w:pPr>
              <w:spacing w:after="0"/>
              <w:rPr>
                <w:sz w:val="14"/>
                <w:szCs w:val="14"/>
                <w:color w:val="auto"/>
              </w:rPr>
            </w:pPr>
          </w:p>
        </w:tc>
        <w:tc>
          <w:tcPr>
            <w:tcW w:w="3260" w:type="dxa"/>
            <w:vAlign w:val="bottom"/>
            <w:shd w:val="clear" w:color="auto" w:fill="148CD9"/>
          </w:tcPr>
          <w:p>
            <w:pPr>
              <w:spacing w:after="0"/>
              <w:rPr>
                <w:sz w:val="14"/>
                <w:szCs w:val="14"/>
                <w:color w:val="auto"/>
              </w:rPr>
            </w:pPr>
          </w:p>
        </w:tc>
        <w:tc>
          <w:tcPr>
            <w:tcW w:w="440" w:type="dxa"/>
            <w:vAlign w:val="bottom"/>
            <w:shd w:val="clear" w:color="auto" w:fill="148CD9"/>
          </w:tcPr>
          <w:p>
            <w:pPr>
              <w:spacing w:after="0"/>
              <w:rPr>
                <w:sz w:val="14"/>
                <w:szCs w:val="14"/>
                <w:color w:val="auto"/>
              </w:rPr>
            </w:pPr>
          </w:p>
        </w:tc>
        <w:tc>
          <w:tcPr>
            <w:tcW w:w="3080" w:type="dxa"/>
            <w:vAlign w:val="bottom"/>
            <w:shd w:val="clear" w:color="auto" w:fill="148CD9"/>
          </w:tcPr>
          <w:p>
            <w:pPr>
              <w:ind w:left="20"/>
              <w:spacing w:after="0" w:line="162" w:lineRule="exact"/>
              <w:rPr>
                <w:sz w:val="20"/>
                <w:szCs w:val="20"/>
                <w:color w:val="auto"/>
              </w:rPr>
            </w:pPr>
            <w:r>
              <w:rPr>
                <w:rFonts w:ascii="Arial" w:cs="Arial" w:eastAsia="Arial" w:hAnsi="Arial"/>
                <w:sz w:val="16"/>
                <w:szCs w:val="16"/>
                <w:color w:val="FFFFFF"/>
              </w:rPr>
              <w:t>Financial Competency</w:t>
            </w:r>
          </w:p>
        </w:tc>
        <w:tc>
          <w:tcPr>
            <w:tcW w:w="240" w:type="dxa"/>
            <w:vAlign w:val="bottom"/>
            <w:shd w:val="clear" w:color="auto" w:fill="148CD9"/>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940" w:type="dxa"/>
            <w:vAlign w:val="bottom"/>
          </w:tcPr>
          <w:p>
            <w:pPr>
              <w:ind w:left="120"/>
              <w:spacing w:after="0" w:line="197" w:lineRule="exact"/>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60</w:t>
            </w:r>
          </w:p>
        </w:tc>
        <w:tc>
          <w:tcPr>
            <w:tcW w:w="3260" w:type="dxa"/>
            <w:vAlign w:val="bottom"/>
          </w:tcPr>
          <w:p>
            <w:pPr>
              <w:ind w:left="320"/>
              <w:spacing w:after="0" w:line="197" w:lineRule="exact"/>
              <w:rPr>
                <w:sz w:val="20"/>
                <w:szCs w:val="20"/>
                <w:color w:val="auto"/>
              </w:rPr>
            </w:pPr>
            <w:r>
              <w:rPr>
                <w:rFonts w:ascii="Arial" w:cs="Arial" w:eastAsia="Arial" w:hAnsi="Arial"/>
                <w:sz w:val="18"/>
                <w:szCs w:val="18"/>
                <w:b w:val="1"/>
                <w:bCs w:val="1"/>
                <w:color w:val="auto"/>
              </w:rPr>
              <w:t xml:space="preserve">Committee Memberships: </w:t>
            </w:r>
            <w:r>
              <w:rPr>
                <w:rFonts w:ascii="Arial" w:cs="Arial" w:eastAsia="Arial" w:hAnsi="Arial"/>
                <w:sz w:val="18"/>
                <w:szCs w:val="18"/>
                <w:color w:val="auto"/>
              </w:rPr>
              <w:t>Audit</w:t>
            </w:r>
          </w:p>
        </w:tc>
        <w:tc>
          <w:tcPr>
            <w:tcW w:w="440" w:type="dxa"/>
            <w:vAlign w:val="bottom"/>
          </w:tcPr>
          <w:p>
            <w:pPr>
              <w:spacing w:after="0"/>
              <w:rPr>
                <w:sz w:val="17"/>
                <w:szCs w:val="17"/>
                <w:color w:val="auto"/>
              </w:rPr>
            </w:pPr>
          </w:p>
        </w:tc>
        <w:tc>
          <w:tcPr>
            <w:tcW w:w="30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 xml:space="preserve">Other Public Directorships: </w:t>
            </w:r>
            <w:r>
              <w:rPr>
                <w:rFonts w:ascii="Arial" w:cs="Arial" w:eastAsia="Arial" w:hAnsi="Arial"/>
                <w:sz w:val="18"/>
                <w:szCs w:val="18"/>
                <w:color w:val="auto"/>
              </w:rPr>
              <w:t>Amylyx</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940" w:type="dxa"/>
            <w:vAlign w:val="bottom"/>
          </w:tcPr>
          <w:p>
            <w:pPr>
              <w:spacing w:after="0" w:line="195"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Director Since</w:t>
            </w:r>
            <w:r>
              <w:rPr>
                <w:rFonts w:ascii="Arial" w:cs="Arial" w:eastAsia="Arial" w:hAnsi="Arial"/>
                <w:sz w:val="18"/>
                <w:szCs w:val="18"/>
                <w:color w:val="auto"/>
              </w:rPr>
              <w:t>: 2022</w:t>
            </w:r>
          </w:p>
        </w:tc>
        <w:tc>
          <w:tcPr>
            <w:tcW w:w="3260" w:type="dxa"/>
            <w:vAlign w:val="bottom"/>
          </w:tcPr>
          <w:p>
            <w:pPr>
              <w:ind w:left="100"/>
              <w:spacing w:after="0" w:line="195" w:lineRule="exact"/>
              <w:rPr>
                <w:sz w:val="20"/>
                <w:szCs w:val="20"/>
                <w:color w:val="auto"/>
              </w:rPr>
            </w:pPr>
            <w:r>
              <w:rPr>
                <w:rFonts w:ascii="Arial" w:cs="Arial" w:eastAsia="Arial" w:hAnsi="Arial"/>
                <w:sz w:val="18"/>
                <w:szCs w:val="18"/>
                <w:color w:val="auto"/>
              </w:rPr>
              <w:t>​ ​ (Chair), Nominating and Corporate</w:t>
            </w:r>
          </w:p>
        </w:tc>
        <w:tc>
          <w:tcPr>
            <w:tcW w:w="440" w:type="dxa"/>
            <w:vAlign w:val="bottom"/>
          </w:tcPr>
          <w:p>
            <w:pPr>
              <w:ind w:left="240"/>
              <w:spacing w:after="0" w:line="195" w:lineRule="exact"/>
              <w:rPr>
                <w:sz w:val="20"/>
                <w:szCs w:val="20"/>
                <w:color w:val="auto"/>
              </w:rPr>
            </w:pPr>
            <w:r>
              <w:rPr>
                <w:rFonts w:ascii="Arial" w:cs="Arial" w:eastAsia="Arial" w:hAnsi="Arial"/>
                <w:sz w:val="18"/>
                <w:szCs w:val="18"/>
                <w:color w:val="auto"/>
              </w:rPr>
              <w:t>​ ​</w:t>
            </w:r>
          </w:p>
        </w:tc>
        <w:tc>
          <w:tcPr>
            <w:tcW w:w="3080" w:type="dxa"/>
            <w:vAlign w:val="bottom"/>
            <w:vMerge w:val="continue"/>
          </w:tcPr>
          <w:p>
            <w:pPr>
              <w:spacing w:after="0"/>
              <w:rPr>
                <w:sz w:val="16"/>
                <w:szCs w:val="16"/>
                <w:color w:val="auto"/>
              </w:rPr>
            </w:pPr>
          </w:p>
        </w:tc>
        <w:tc>
          <w:tcPr>
            <w:tcW w:w="240" w:type="dxa"/>
            <w:vAlign w:val="bottom"/>
          </w:tcPr>
          <w:p>
            <w:pPr>
              <w:ind w:left="120"/>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940" w:type="dxa"/>
            <w:vAlign w:val="bottom"/>
          </w:tcPr>
          <w:p>
            <w:pPr>
              <w:spacing w:after="0"/>
              <w:rPr>
                <w:sz w:val="17"/>
                <w:szCs w:val="17"/>
                <w:color w:val="auto"/>
              </w:rPr>
            </w:pPr>
          </w:p>
        </w:tc>
        <w:tc>
          <w:tcPr>
            <w:tcW w:w="3260" w:type="dxa"/>
            <w:vAlign w:val="bottom"/>
            <w:vMerge w:val="restart"/>
          </w:tcPr>
          <w:p>
            <w:pPr>
              <w:ind w:left="320"/>
              <w:spacing w:after="0"/>
              <w:rPr>
                <w:sz w:val="20"/>
                <w:szCs w:val="20"/>
                <w:color w:val="auto"/>
              </w:rPr>
            </w:pPr>
            <w:r>
              <w:rPr>
                <w:rFonts w:ascii="Arial" w:cs="Arial" w:eastAsia="Arial" w:hAnsi="Arial"/>
                <w:sz w:val="18"/>
                <w:szCs w:val="18"/>
                <w:color w:val="auto"/>
              </w:rPr>
              <w:t>Governance</w:t>
            </w:r>
          </w:p>
        </w:tc>
        <w:tc>
          <w:tcPr>
            <w:tcW w:w="440" w:type="dxa"/>
            <w:vAlign w:val="bottom"/>
          </w:tcPr>
          <w:p>
            <w:pPr>
              <w:spacing w:after="0"/>
              <w:rPr>
                <w:sz w:val="17"/>
                <w:szCs w:val="17"/>
                <w:color w:val="auto"/>
              </w:rPr>
            </w:pPr>
          </w:p>
        </w:tc>
        <w:tc>
          <w:tcPr>
            <w:tcW w:w="3080" w:type="dxa"/>
            <w:vAlign w:val="bottom"/>
          </w:tcPr>
          <w:p>
            <w:pPr>
              <w:ind w:left="20"/>
              <w:spacing w:after="0" w:line="202" w:lineRule="exact"/>
              <w:rPr>
                <w:sz w:val="20"/>
                <w:szCs w:val="20"/>
                <w:color w:val="auto"/>
              </w:rPr>
            </w:pPr>
            <w:r>
              <w:rPr>
                <w:rFonts w:ascii="Arial" w:cs="Arial" w:eastAsia="Arial" w:hAnsi="Arial"/>
                <w:sz w:val="18"/>
                <w:szCs w:val="18"/>
                <w:color w:val="auto"/>
              </w:rPr>
              <w:t>Pharmaceuticals, Inc.</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1940" w:type="dxa"/>
            <w:vAlign w:val="bottom"/>
          </w:tcPr>
          <w:p>
            <w:pPr>
              <w:spacing w:after="0"/>
              <w:rPr>
                <w:sz w:val="5"/>
                <w:szCs w:val="5"/>
                <w:color w:val="auto"/>
              </w:rPr>
            </w:pPr>
          </w:p>
        </w:tc>
        <w:tc>
          <w:tcPr>
            <w:tcW w:w="32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3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jc w:val="both"/>
        <w:ind w:left="1000" w:right="99" w:hanging="107"/>
        <w:spacing w:after="0" w:line="260"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Ms. Quimi</w:t>
      </w:r>
      <w:r>
        <w:rPr>
          <w:rFonts w:ascii="Arial" w:cs="Arial" w:eastAsia="Arial" w:hAnsi="Arial"/>
          <w:sz w:val="18"/>
          <w:szCs w:val="18"/>
          <w:color w:val="auto"/>
        </w:rPr>
        <w:t xml:space="preserve"> has been a member of our Board since September 2022. Ms. Quimi served as the Chief Financial​ Officer of Amicus Therapeutics, Inc., or Amicus, a public biotechnology company, from January 2019, until her</w:t>
      </w:r>
    </w:p>
    <w:p>
      <w:pPr>
        <w:spacing w:after="0" w:line="2" w:lineRule="exact"/>
        <w:rPr>
          <w:sz w:val="20"/>
          <w:szCs w:val="20"/>
          <w:color w:val="auto"/>
        </w:rPr>
      </w:pPr>
    </w:p>
    <w:p>
      <w:pPr>
        <w:ind w:left="1000" w:right="159"/>
        <w:spacing w:after="0" w:line="226" w:lineRule="auto"/>
        <w:rPr>
          <w:sz w:val="20"/>
          <w:szCs w:val="20"/>
          <w:color w:val="auto"/>
        </w:rPr>
      </w:pPr>
      <w:r>
        <w:rPr>
          <w:rFonts w:ascii="Arial" w:cs="Arial" w:eastAsia="Arial" w:hAnsi="Arial"/>
          <w:sz w:val="18"/>
          <w:szCs w:val="18"/>
          <w:color w:val="auto"/>
        </w:rPr>
        <w:t>retirement in August 2023. Previously she served as Amicus’ Senior Vice President, Finance and Corporate Controller from September 2007 until February 2019. Prior to Amicus, Ms. Quimi served as Director of</w:t>
      </w:r>
    </w:p>
    <w:p>
      <w:pPr>
        <w:spacing w:after="0" w:line="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Consolidations and External Reporting at Bristol-Myers Squibb. Prior to joining Bristol-Myers Squibb, Ms. Quimi</w:t>
      </w:r>
    </w:p>
    <w:p>
      <w:pPr>
        <w:spacing w:after="0" w:line="7" w:lineRule="exact"/>
        <w:rPr>
          <w:sz w:val="20"/>
          <w:szCs w:val="20"/>
          <w:color w:val="auto"/>
        </w:rPr>
      </w:pPr>
    </w:p>
    <w:p>
      <w:pPr>
        <w:ind w:left="1000" w:right="159"/>
        <w:spacing w:after="0" w:line="226" w:lineRule="auto"/>
        <w:rPr>
          <w:sz w:val="20"/>
          <w:szCs w:val="20"/>
          <w:color w:val="auto"/>
        </w:rPr>
      </w:pPr>
      <w:r>
        <w:rPr>
          <w:rFonts w:ascii="Arial" w:cs="Arial" w:eastAsia="Arial" w:hAnsi="Arial"/>
          <w:sz w:val="18"/>
          <w:szCs w:val="18"/>
          <w:color w:val="auto"/>
        </w:rPr>
        <w:t>also held roles of increasing responsibility in the finance department at Johnson &amp; Johnson Services, Inc., or J&amp;J, from May 1999 until July 2004. Ms. Quimi is currently a member of the board of directors of Amylyx</w:t>
      </w:r>
    </w:p>
    <w:p>
      <w:pPr>
        <w:ind w:left="1000"/>
        <w:spacing w:after="0" w:line="236" w:lineRule="auto"/>
        <w:rPr>
          <w:sz w:val="20"/>
          <w:szCs w:val="20"/>
          <w:color w:val="auto"/>
        </w:rPr>
      </w:pPr>
      <w:r>
        <w:rPr>
          <w:rFonts w:ascii="Arial" w:cs="Arial" w:eastAsia="Arial" w:hAnsi="Arial"/>
          <w:sz w:val="18"/>
          <w:szCs w:val="18"/>
          <w:color w:val="auto"/>
        </w:rPr>
        <w:t>Pharmaceuticals, Inc., a public biopharmaceutical company, where she has served since July 2021. Ms. Quimi</w:t>
      </w:r>
    </w:p>
    <w:p>
      <w:pPr>
        <w:spacing w:after="0" w:line="1" w:lineRule="exact"/>
        <w:rPr>
          <w:sz w:val="20"/>
          <w:szCs w:val="20"/>
          <w:color w:val="auto"/>
        </w:rPr>
      </w:pPr>
    </w:p>
    <w:p>
      <w:pPr>
        <w:ind w:left="1000" w:right="159"/>
        <w:spacing w:after="0" w:line="226" w:lineRule="auto"/>
        <w:rPr>
          <w:sz w:val="20"/>
          <w:szCs w:val="20"/>
          <w:color w:val="auto"/>
        </w:rPr>
      </w:pPr>
      <w:r>
        <w:rPr>
          <w:rFonts w:ascii="Arial" w:cs="Arial" w:eastAsia="Arial" w:hAnsi="Arial"/>
          <w:sz w:val="18"/>
          <w:szCs w:val="18"/>
          <w:color w:val="auto"/>
        </w:rPr>
        <w:t>has served as a member of the board of directors of Chiesi Group, a global pharmaceutical company, since January 2025. Ms. Quimi received a B.S. in accountancy from Monmouth University and an M.B.A. from the</w:t>
      </w:r>
    </w:p>
    <w:p>
      <w:pPr>
        <w:spacing w:after="0" w:line="2"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Stern School of Business of New York University. Ms. Quimi is also a certified public accountant in New Jersey.</w:t>
      </w:r>
    </w:p>
    <w:p>
      <w:pPr>
        <w:spacing w:after="0" w:line="14" w:lineRule="exact"/>
        <w:rPr>
          <w:sz w:val="20"/>
          <w:szCs w:val="20"/>
          <w:color w:val="auto"/>
        </w:rPr>
      </w:pPr>
    </w:p>
    <w:p>
      <w:pPr>
        <w:jc w:val="both"/>
        <w:ind w:left="1000" w:right="99" w:hanging="107"/>
        <w:spacing w:after="0" w:line="263"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Skills &amp; Qualifications</w:t>
      </w:r>
      <w:r>
        <w:rPr>
          <w:rFonts w:ascii="Arial" w:cs="Arial" w:eastAsia="Arial" w:hAnsi="Arial"/>
          <w:sz w:val="18"/>
          <w:szCs w:val="18"/>
          <w:color w:val="auto"/>
        </w:rPr>
        <w:t>: We believe that Ms. Quimi is qualified to serve on our Board due to her investment​ experience, experience in public accounting and financial reporting and knowledge of the biopharmaceutical industry.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shd w:val="clear" w:color="auto" w:fill="1DA46F"/>
        </w:rPr>
        <w:t>​CORPORATE GOVERNANCE AND RISK MANAGEMENT</w:t>
        <w:tab/>
        <w:t>​</w:t>
      </w:r>
    </w:p>
    <w:p>
      <w:pPr>
        <w:spacing w:after="0" w:line="345" w:lineRule="exact"/>
        <w:rPr>
          <w:sz w:val="20"/>
          <w:szCs w:val="20"/>
          <w:color w:val="auto"/>
        </w:rPr>
      </w:pPr>
    </w:p>
    <w:p>
      <w:pPr>
        <w:jc w:val="both"/>
        <w:ind w:left="880" w:right="19"/>
        <w:spacing w:after="0" w:line="271" w:lineRule="auto"/>
        <w:rPr>
          <w:sz w:val="20"/>
          <w:szCs w:val="20"/>
          <w:color w:val="auto"/>
        </w:rPr>
      </w:pPr>
      <w:r>
        <w:rPr>
          <w:rFonts w:ascii="Arial" w:cs="Arial" w:eastAsia="Arial" w:hAnsi="Arial"/>
          <w:sz w:val="17"/>
          <w:szCs w:val="17"/>
          <w:color w:val="148CD9"/>
        </w:rPr>
        <w:t>We are committed to good corporate governance and integrity in our business dealings. We believe that strong corporate governance practices that provide meaningful rights to our stockholders and ensure Board and management accountability are key to our relationship with our stockholders. We strive to have regular, constructive conversations with our stockholders to better understand our stockholders’ priorities and perspectives.</w:t>
      </w:r>
    </w:p>
    <w:p>
      <w:pPr>
        <w:spacing w:after="0" w:line="89" w:lineRule="exact"/>
        <w:rPr>
          <w:sz w:val="20"/>
          <w:szCs w:val="20"/>
          <w:color w:val="auto"/>
        </w:rPr>
      </w:pPr>
    </w:p>
    <w:p>
      <w:pPr>
        <w:jc w:val="both"/>
        <w:ind w:left="880" w:right="19"/>
        <w:spacing w:after="0" w:line="252" w:lineRule="auto"/>
        <w:rPr>
          <w:sz w:val="20"/>
          <w:szCs w:val="20"/>
          <w:color w:val="auto"/>
        </w:rPr>
      </w:pPr>
      <w:r>
        <w:rPr>
          <w:rFonts w:ascii="Arial" w:cs="Arial" w:eastAsia="Arial" w:hAnsi="Arial"/>
          <w:sz w:val="18"/>
          <w:szCs w:val="18"/>
          <w:color w:val="auto"/>
        </w:rPr>
        <w:t>Our governance practices are documented in our Charter, our Bylaws, our Code of Conduct, our Corporate Governance Guidelines and the charters of the committees of the Board. Aspects of our governance documents are summarized below. You can find our charters for each committee of our Board and our Code of Conduct on our website at investors.centurytx.com/corporate-governance/documents-and-charters.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BOARD INDEPENDENCE</w:t>
      </w:r>
    </w:p>
    <w:p>
      <w:pPr>
        <w:spacing w:after="0" w:line="158" w:lineRule="exact"/>
        <w:rPr>
          <w:sz w:val="20"/>
          <w:szCs w:val="20"/>
          <w:color w:val="auto"/>
        </w:rPr>
      </w:pPr>
    </w:p>
    <w:p>
      <w:pPr>
        <w:jc w:val="both"/>
        <w:ind w:left="880" w:right="19"/>
        <w:spacing w:after="0" w:line="245" w:lineRule="auto"/>
        <w:rPr>
          <w:sz w:val="20"/>
          <w:szCs w:val="20"/>
          <w:color w:val="auto"/>
        </w:rPr>
      </w:pPr>
      <w:r>
        <w:rPr>
          <w:rFonts w:ascii="Arial" w:cs="Arial" w:eastAsia="Arial" w:hAnsi="Arial"/>
          <w:sz w:val="18"/>
          <w:szCs w:val="18"/>
          <w:color w:val="auto"/>
        </w:rPr>
        <w:t>Our Board has determined that, with the exception of Dr. Pfeiffenberger, each of our directors is an “independent director,” as defined under the rules of Nasdaq. In making such determination, the Board considered the relationships that each such non-employee director has with the Company and all other facts and circumstances that the Board deemed relevant in determining their independence, including the beneficial ownership of our common stock by each non-employee director. Our independent directors generally meet in executive session at each regularly scheduled Board meeting.</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BOARD LEADERSHIP STRUCTURE</w:t>
      </w:r>
    </w:p>
    <w:p>
      <w:pPr>
        <w:spacing w:after="0" w:line="144" w:lineRule="exact"/>
        <w:rPr>
          <w:sz w:val="20"/>
          <w:szCs w:val="20"/>
          <w:color w:val="auto"/>
        </w:rPr>
      </w:pPr>
    </w:p>
    <w:p>
      <w:pPr>
        <w:jc w:val="both"/>
        <w:ind w:left="880" w:right="19"/>
        <w:spacing w:after="0" w:line="246" w:lineRule="auto"/>
        <w:rPr>
          <w:sz w:val="20"/>
          <w:szCs w:val="20"/>
          <w:color w:val="auto"/>
        </w:rPr>
      </w:pPr>
      <w:r>
        <w:rPr>
          <w:rFonts w:ascii="Arial" w:cs="Arial" w:eastAsia="Arial" w:hAnsi="Arial"/>
          <w:sz w:val="18"/>
          <w:szCs w:val="18"/>
          <w:color w:val="auto"/>
        </w:rPr>
        <w:t>Our Board does not have a formal policy with respect to the separation of the offices of Chief Executive Officer and Chairman of the Board. It is the Board’s view that rather than having a rigid policy, the Board, with the advice and assistance of the Nominating and Corporate Governance Committee, and upon consideration of all relevant factors and circumstances, will determine, as and when appropriate, whether the two offices should be separate. Currently, our leadership structure does not separate the offices of Chief Executive Officer and Chairman of the Board. Our Board has determined in its judgment that the Company benefits from having a combined Chairman and Chief Executive Officer position at this time. Dr. Pfeiffenberger’s unique perspective and experience are valuable in setting the overall direction and business strategy for us.</w:t>
      </w:r>
    </w:p>
    <w:p>
      <w:pPr>
        <w:spacing w:after="0" w:line="112" w:lineRule="exact"/>
        <w:rPr>
          <w:sz w:val="20"/>
          <w:szCs w:val="20"/>
          <w:color w:val="auto"/>
        </w:rPr>
      </w:pPr>
    </w:p>
    <w:p>
      <w:pPr>
        <w:jc w:val="both"/>
        <w:ind w:left="880" w:right="19"/>
        <w:spacing w:after="0" w:line="245" w:lineRule="auto"/>
        <w:rPr>
          <w:sz w:val="20"/>
          <w:szCs w:val="20"/>
          <w:color w:val="auto"/>
        </w:rPr>
      </w:pPr>
      <w:r>
        <w:rPr>
          <w:rFonts w:ascii="Arial" w:cs="Arial" w:eastAsia="Arial" w:hAnsi="Arial"/>
          <w:sz w:val="18"/>
          <w:szCs w:val="18"/>
          <w:color w:val="auto"/>
        </w:rPr>
        <w:t>Dr. Blackwell was appointed Lead Independent Director of our Board in March 2026. Our Board believes that the role of Lead Independent Director reinforces the Board’s independence from management and creates an environment that encourages objective oversight of management’s performance. The responsibilities of Lead Independent Director include presiding at executive sessions of independent directors and serving as a liaison between our Chief Executive Officer and Chairman of the Board, and our independent directors. Our Board periodically reviews its leadership structure and may make such changes in the future as it deems appropriate.</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BOARD COMMITTEES</w:t>
      </w:r>
    </w:p>
    <w:p>
      <w:pPr>
        <w:spacing w:after="0" w:line="144" w:lineRule="exact"/>
        <w:rPr>
          <w:sz w:val="20"/>
          <w:szCs w:val="20"/>
          <w:color w:val="auto"/>
        </w:rPr>
      </w:pPr>
    </w:p>
    <w:p>
      <w:pPr>
        <w:jc w:val="both"/>
        <w:ind w:left="880" w:right="19"/>
        <w:spacing w:after="0" w:line="251" w:lineRule="auto"/>
        <w:rPr>
          <w:sz w:val="20"/>
          <w:szCs w:val="20"/>
          <w:color w:val="auto"/>
        </w:rPr>
      </w:pPr>
      <w:r>
        <w:rPr>
          <w:rFonts w:ascii="Arial" w:cs="Arial" w:eastAsia="Arial" w:hAnsi="Arial"/>
          <w:sz w:val="18"/>
          <w:szCs w:val="18"/>
          <w:color w:val="auto"/>
        </w:rPr>
        <w:t>Our Board has established various Committees to assist in discharging its duties: the Audit Committee, the Compensation Committee and the Nominating and Corporate Governance Committee. Each member of our Committees is an independent director as that term is defined by the SEC and Nasdaq. The primary responsibilities of each of the Committees and the Committee memberships are provided below under the section entitled “Board Attendance, Committee Meetings and Committee Membership.”</w:t>
      </w:r>
    </w:p>
    <w:p>
      <w:pPr>
        <w:spacing w:after="0" w:line="106" w:lineRule="exact"/>
        <w:rPr>
          <w:sz w:val="20"/>
          <w:szCs w:val="20"/>
          <w:color w:val="auto"/>
        </w:rPr>
      </w:pPr>
    </w:p>
    <w:p>
      <w:pPr>
        <w:jc w:val="both"/>
        <w:ind w:left="880" w:right="39"/>
        <w:spacing w:after="0" w:line="271" w:lineRule="auto"/>
        <w:rPr>
          <w:sz w:val="20"/>
          <w:szCs w:val="20"/>
          <w:color w:val="auto"/>
        </w:rPr>
      </w:pPr>
      <w:r>
        <w:rPr>
          <w:rFonts w:ascii="Arial" w:cs="Arial" w:eastAsia="Arial" w:hAnsi="Arial"/>
          <w:sz w:val="18"/>
          <w:szCs w:val="18"/>
          <w:color w:val="auto"/>
        </w:rPr>
        <w:t>Each of the Committees has the authority, as its members deem appropriate, to engage legal counsel or other experts or consultants in order to assist the Committee in carrying out its responsibilities.</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RISK MANAGEMENT</w:t>
      </w:r>
    </w:p>
    <w:p>
      <w:pPr>
        <w:spacing w:after="0" w:line="158" w:lineRule="exact"/>
        <w:rPr>
          <w:sz w:val="20"/>
          <w:szCs w:val="20"/>
          <w:color w:val="auto"/>
        </w:rPr>
      </w:pPr>
    </w:p>
    <w:p>
      <w:pPr>
        <w:jc w:val="both"/>
        <w:ind w:left="880" w:right="19"/>
        <w:spacing w:after="0" w:line="244" w:lineRule="auto"/>
        <w:rPr>
          <w:sz w:val="20"/>
          <w:szCs w:val="20"/>
          <w:color w:val="auto"/>
        </w:rPr>
      </w:pPr>
      <w:r>
        <w:rPr>
          <w:rFonts w:ascii="Arial" w:cs="Arial" w:eastAsia="Arial" w:hAnsi="Arial"/>
          <w:sz w:val="18"/>
          <w:szCs w:val="18"/>
          <w:color w:val="auto"/>
        </w:rPr>
        <w:t>Risk assessment and oversight are an integral part of our governance and management processes. Our Board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at regular Board meetings as part of management presentations that focus on particular business functions, operations or strategies, and presents the steps taken by management to mitigate or eliminate such risks.</w:t>
      </w:r>
    </w:p>
    <w:p>
      <w:pPr>
        <w:spacing w:after="0" w:line="301"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140970</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shd w:val="clear" w:color="auto" w:fill="1DA46F"/>
        </w:rPr>
        <w:t>​CORPORATE GOVERNANCE AND RISK MANAGEMENT</w:t>
        <w:tab/>
        <w:t>​</w:t>
      </w:r>
    </w:p>
    <w:p>
      <w:pPr>
        <w:spacing w:after="0" w:line="345" w:lineRule="exact"/>
        <w:rPr>
          <w:sz w:val="20"/>
          <w:szCs w:val="20"/>
          <w:color w:val="auto"/>
        </w:rPr>
      </w:pPr>
    </w:p>
    <w:p>
      <w:pPr>
        <w:jc w:val="both"/>
        <w:ind w:left="880" w:right="19"/>
        <w:spacing w:after="0" w:line="264" w:lineRule="auto"/>
        <w:rPr>
          <w:sz w:val="20"/>
          <w:szCs w:val="20"/>
          <w:color w:val="auto"/>
        </w:rPr>
      </w:pPr>
      <w:r>
        <w:rPr>
          <w:rFonts w:ascii="Arial" w:cs="Arial" w:eastAsia="Arial" w:hAnsi="Arial"/>
          <w:sz w:val="18"/>
          <w:szCs w:val="18"/>
          <w:color w:val="auto"/>
        </w:rPr>
        <w:t>Our Board does not have a standing risk management committee, but rather administers this oversight function directly through our Board as a whole, as well as through various standing committees of our Board that address the risks inherent in their respective areas of oversight. While our Board is responsible for monitoring strategic risk exposure, our Audit Committee oversees management of financial reporting, compliance, cybersecurity and litigation risks, as well as the steps management has taken to monitor and control such exposures. Our Nominating and Corporate Governance Committee manages risks associated with the independence of our Board, potential conflicts of interest and the effectiveness of our Board and our Compensation Committee is responsible for overseeing the management of risks relating to our executive compensation policies, plans and arrangements and the extent to which those policies or practices increase or decrease risks for our company.</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EVALUATING BOARD EFFECTIVENESS</w:t>
      </w:r>
    </w:p>
    <w:p>
      <w:pPr>
        <w:spacing w:after="0" w:line="144" w:lineRule="exact"/>
        <w:rPr>
          <w:sz w:val="20"/>
          <w:szCs w:val="20"/>
          <w:color w:val="auto"/>
        </w:rPr>
      </w:pPr>
    </w:p>
    <w:p>
      <w:pPr>
        <w:jc w:val="both"/>
        <w:ind w:left="880" w:right="39"/>
        <w:spacing w:after="0" w:line="267" w:lineRule="auto"/>
        <w:rPr>
          <w:sz w:val="20"/>
          <w:szCs w:val="20"/>
          <w:color w:val="auto"/>
        </w:rPr>
      </w:pPr>
      <w:r>
        <w:rPr>
          <w:rFonts w:ascii="Arial" w:cs="Arial" w:eastAsia="Arial" w:hAnsi="Arial"/>
          <w:sz w:val="18"/>
          <w:szCs w:val="18"/>
          <w:color w:val="auto"/>
        </w:rPr>
        <w:t>The Board, led by the Nominating and Corporate Governance Committee, is committed to continuous improvement and believes annual self-evaluations are an important tool for evaluating effectiveness. It has established and conducted an annual self-evaluation of the Board, which is presented by the Chairperson of the Nominating and Corporate Governance Committee to the Board for discussion. In addition, each committee conducts an annual self-assessment in a review process similar to that used by the Board. Below is a graphic depicting the Board and Nominating and Corporate Governance Committee annual cycle in evaluating Board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1202690</wp:posOffset>
            </wp:positionH>
            <wp:positionV relativeFrom="paragraph">
              <wp:posOffset>111125</wp:posOffset>
            </wp:positionV>
            <wp:extent cx="4397375" cy="33686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397375"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58" w:lineRule="exact"/>
        <w:rPr>
          <w:sz w:val="20"/>
          <w:szCs w:val="20"/>
          <w:color w:val="auto"/>
        </w:rPr>
      </w:pPr>
    </w:p>
    <w:p>
      <w:pPr>
        <w:jc w:val="both"/>
        <w:ind w:left="880" w:right="19"/>
        <w:spacing w:after="0" w:line="267" w:lineRule="auto"/>
        <w:rPr>
          <w:sz w:val="20"/>
          <w:szCs w:val="20"/>
          <w:color w:val="auto"/>
        </w:rPr>
      </w:pPr>
      <w:r>
        <w:rPr>
          <w:rFonts w:ascii="Arial" w:cs="Arial" w:eastAsia="Arial" w:hAnsi="Arial"/>
          <w:sz w:val="18"/>
          <w:szCs w:val="18"/>
          <w:color w:val="auto"/>
        </w:rPr>
        <w:t>We maintain a written Code of Conduct that applies to all of our directors, officers, and employees. The Code of Conduct covers fundamental ethics and compliance-related principles and practices such as accurate accounting records and financial reporting, avoiding conflicts of interest, compliance with insider trading laws, the protection and use of our property and information, and compliance with legal and regulatory requirements. The Code of Conduct is posted on our website at investors.centurytx.com/corporate-governance/documents-and-charters. We intend to disclose any amendments to our code of business conduct and ethics, or waivers of its requirements, on our website to the extent required by the applicable rules and exchange requirements.</w:t>
      </w:r>
    </w:p>
    <w:p>
      <w:pPr>
        <w:spacing w:after="0" w:line="278"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shd w:val="clear" w:color="auto" w:fill="1DA46F"/>
        </w:rPr>
        <w:t>​CORPORATE GOVERNANCE AND RISK MANAGEMENT</w:t>
        <w:tab/>
        <w:t>​</w:t>
      </w:r>
    </w:p>
    <w:p>
      <w:pPr>
        <w:spacing w:after="0" w:line="34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DIRECTOR ORIENTATION AND CONTINUING EDUCATION</w:t>
      </w:r>
    </w:p>
    <w:p>
      <w:pPr>
        <w:spacing w:after="0" w:line="144" w:lineRule="exact"/>
        <w:rPr>
          <w:sz w:val="20"/>
          <w:szCs w:val="20"/>
          <w:color w:val="auto"/>
        </w:rPr>
      </w:pPr>
    </w:p>
    <w:p>
      <w:pPr>
        <w:jc w:val="both"/>
        <w:ind w:left="880" w:right="60"/>
        <w:spacing w:after="0" w:line="270" w:lineRule="auto"/>
        <w:rPr>
          <w:sz w:val="20"/>
          <w:szCs w:val="20"/>
          <w:color w:val="auto"/>
        </w:rPr>
      </w:pPr>
      <w:r>
        <w:rPr>
          <w:rFonts w:ascii="Arial" w:cs="Arial" w:eastAsia="Arial" w:hAnsi="Arial"/>
          <w:sz w:val="18"/>
          <w:szCs w:val="18"/>
          <w:color w:val="auto"/>
        </w:rPr>
        <w:t>Our director orientation programs familiarize new directors with the Company’s businesses, financial position, facilities, strategies, and policies, and assist new directors in developing the skills and knowledge required for their service on the Board. From time to time, management advises, or invites outside experts to attend Board meetings to advise the Board on its responsibilities, management’s responsibilities, developments relevant to corporate governance and best corporate practices. Additionally, Board members may attend, and are encouraged to attend, accredited director education programs at the Company’s expense.</w:t>
      </w:r>
    </w:p>
    <w:p>
      <w:pPr>
        <w:spacing w:after="0" w:line="23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CORPORATE GOVERNANCE GUIDELINES</w:t>
      </w:r>
    </w:p>
    <w:p>
      <w:pPr>
        <w:spacing w:after="0" w:line="144" w:lineRule="exact"/>
        <w:rPr>
          <w:sz w:val="20"/>
          <w:szCs w:val="20"/>
          <w:color w:val="auto"/>
        </w:rPr>
      </w:pPr>
    </w:p>
    <w:p>
      <w:pPr>
        <w:jc w:val="both"/>
        <w:ind w:left="880" w:right="40"/>
        <w:spacing w:after="0" w:line="266" w:lineRule="auto"/>
        <w:rPr>
          <w:sz w:val="20"/>
          <w:szCs w:val="20"/>
          <w:color w:val="auto"/>
        </w:rPr>
      </w:pPr>
      <w:r>
        <w:rPr>
          <w:rFonts w:ascii="Arial" w:cs="Arial" w:eastAsia="Arial" w:hAnsi="Arial"/>
          <w:sz w:val="18"/>
          <w:szCs w:val="18"/>
          <w:color w:val="auto"/>
        </w:rPr>
        <w:t>We have a written set of Corporate Governance Guidelines that are designed to help ensure effective corporate governance of our Company. Our Corporate Governance Guidelines cover topics including, but not limited to, the size and composition of the Board, Board membership criteria, director qualifications and duties, Board committees, director compensation and director communications with third parties. Succession planning for the Board is critical to our success. Our goal is to achieve a Board that provides effective oversight of the Company through the appropriate balance of diversity of perspectives, experience, expertise and skills. Our Corporate Governance Guidelines are reviewed periodically by the Nominating and Corporate Governance Committee, which recommends any proposed changes to our Board for approval. Our Corporate Governance Guidelines can be found on our website at https://investors.centurytx.com/corporate-governance/documents-and-charters.</w:t>
      </w:r>
    </w:p>
    <w:p>
      <w:pPr>
        <w:spacing w:after="0" w:line="23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BOARD ATTENDANCE, COMMITTEE MEETINGS AND COMMITTEE MEMBERSHIP</w:t>
      </w:r>
    </w:p>
    <w:p>
      <w:pPr>
        <w:spacing w:after="0" w:line="197" w:lineRule="exact"/>
        <w:rPr>
          <w:sz w:val="20"/>
          <w:szCs w:val="20"/>
          <w:color w:val="auto"/>
        </w:rPr>
      </w:pPr>
    </w:p>
    <w:tbl>
      <w:tblPr>
        <w:tblLayout w:type="fixed"/>
        <w:tblInd w:w="870" w:type="dxa"/>
        <w:tblCellMar>
          <w:top w:w="0" w:type="dxa"/>
          <w:left w:w="0" w:type="dxa"/>
          <w:bottom w:w="0" w:type="dxa"/>
          <w:right w:w="0" w:type="dxa"/>
        </w:tblCellMar>
      </w:tblPr>
      <w:tr>
        <w:trPr>
          <w:trHeight w:val="270"/>
        </w:trPr>
        <w:tc>
          <w:tcPr>
            <w:tcW w:w="1440" w:type="dxa"/>
            <w:vAlign w:val="bottom"/>
            <w:tcBorders>
              <w:top w:val="single" w:sz="8" w:color="auto"/>
              <w:left w:val="single" w:sz="8" w:color="auto"/>
              <w:bottom w:val="single" w:sz="8" w:color="auto"/>
            </w:tcBorders>
            <w:shd w:val="clear" w:color="auto" w:fill="148CD9"/>
          </w:tcPr>
          <w:p>
            <w:pPr>
              <w:ind w:left="80"/>
              <w:spacing w:after="0"/>
              <w:rPr>
                <w:sz w:val="20"/>
                <w:szCs w:val="20"/>
                <w:color w:val="auto"/>
              </w:rPr>
            </w:pPr>
            <w:r>
              <w:rPr>
                <w:rFonts w:ascii="Arial" w:cs="Arial" w:eastAsia="Arial" w:hAnsi="Arial"/>
                <w:sz w:val="16"/>
                <w:szCs w:val="16"/>
                <w:b w:val="1"/>
                <w:bCs w:val="1"/>
                <w:color w:val="FFFFFF"/>
              </w:rPr>
              <w:t>​</w:t>
            </w:r>
          </w:p>
        </w:tc>
        <w:tc>
          <w:tcPr>
            <w:tcW w:w="1820" w:type="dxa"/>
            <w:vAlign w:val="bottom"/>
            <w:tcBorders>
              <w:top w:val="single" w:sz="8" w:color="auto"/>
              <w:bottom w:val="single" w:sz="8" w:color="auto"/>
            </w:tcBorders>
            <w:shd w:val="clear" w:color="auto" w:fill="148CD9"/>
          </w:tcPr>
          <w:p>
            <w:pPr>
              <w:ind w:left="160"/>
              <w:spacing w:after="0"/>
              <w:rPr>
                <w:sz w:val="20"/>
                <w:szCs w:val="20"/>
                <w:color w:val="auto"/>
              </w:rPr>
            </w:pPr>
            <w:r>
              <w:rPr>
                <w:rFonts w:ascii="Arial" w:cs="Arial" w:eastAsia="Arial" w:hAnsi="Arial"/>
                <w:sz w:val="16"/>
                <w:szCs w:val="16"/>
                <w:b w:val="1"/>
                <w:bCs w:val="1"/>
                <w:color w:val="FFFFFF"/>
              </w:rPr>
              <w:t>DIRECTOR</w:t>
            </w:r>
          </w:p>
        </w:tc>
        <w:tc>
          <w:tcPr>
            <w:tcW w:w="2140" w:type="dxa"/>
            <w:vAlign w:val="bottom"/>
            <w:tcBorders>
              <w:top w:val="single" w:sz="8" w:color="auto"/>
              <w:bottom w:val="single" w:sz="8" w:color="auto"/>
            </w:tcBorders>
            <w:gridSpan w:val="2"/>
            <w:shd w:val="clear" w:color="auto" w:fill="148CD9"/>
          </w:tcPr>
          <w:p>
            <w:pPr>
              <w:ind w:left="700"/>
              <w:spacing w:after="0" w:line="269" w:lineRule="exact"/>
              <w:rPr>
                <w:sz w:val="20"/>
                <w:szCs w:val="20"/>
                <w:color w:val="auto"/>
              </w:rPr>
            </w:pPr>
            <w:r>
              <w:rPr>
                <w:rFonts w:ascii="Arial" w:cs="Arial" w:eastAsia="Arial" w:hAnsi="Arial"/>
                <w:sz w:val="31"/>
                <w:szCs w:val="31"/>
                <w:b w:val="1"/>
                <w:bCs w:val="1"/>
                <w:color w:val="FFFFFF"/>
                <w:vertAlign w:val="subscript"/>
              </w:rPr>
              <w:t>​ ​</w:t>
            </w:r>
            <w:r>
              <w:rPr>
                <w:rFonts w:ascii="Arial" w:cs="Arial" w:eastAsia="Arial" w:hAnsi="Arial"/>
                <w:sz w:val="16"/>
                <w:szCs w:val="16"/>
                <w:b w:val="1"/>
                <w:bCs w:val="1"/>
                <w:color w:val="FFFFFF"/>
              </w:rPr>
              <w:t xml:space="preserve"> INDEPENDENT</w:t>
            </w:r>
          </w:p>
        </w:tc>
        <w:tc>
          <w:tcPr>
            <w:tcW w:w="1200" w:type="dxa"/>
            <w:vAlign w:val="bottom"/>
            <w:tcBorders>
              <w:top w:val="single" w:sz="8" w:color="auto"/>
              <w:bottom w:val="single" w:sz="8" w:color="auto"/>
            </w:tcBorders>
            <w:gridSpan w:val="3"/>
            <w:shd w:val="clear" w:color="auto" w:fill="148CD9"/>
          </w:tcPr>
          <w:p>
            <w:pPr>
              <w:ind w:left="60"/>
              <w:spacing w:after="0" w:line="269" w:lineRule="exact"/>
              <w:rPr>
                <w:sz w:val="20"/>
                <w:szCs w:val="20"/>
                <w:color w:val="auto"/>
              </w:rPr>
            </w:pPr>
            <w:r>
              <w:rPr>
                <w:rFonts w:ascii="Arial" w:cs="Arial" w:eastAsia="Arial" w:hAnsi="Arial"/>
                <w:sz w:val="31"/>
                <w:szCs w:val="31"/>
                <w:b w:val="1"/>
                <w:bCs w:val="1"/>
                <w:color w:val="FFFFFF"/>
                <w:vertAlign w:val="subscript"/>
              </w:rPr>
              <w:t>​ ​</w:t>
            </w:r>
            <w:r>
              <w:rPr>
                <w:rFonts w:ascii="Arial" w:cs="Arial" w:eastAsia="Arial" w:hAnsi="Arial"/>
                <w:sz w:val="16"/>
                <w:szCs w:val="16"/>
                <w:b w:val="1"/>
                <w:bCs w:val="1"/>
                <w:color w:val="FFFFFF"/>
              </w:rPr>
              <w:t xml:space="preserve"> BOARD </w:t>
            </w:r>
            <w:r>
              <w:rPr>
                <w:rFonts w:ascii="Arial" w:cs="Arial" w:eastAsia="Arial" w:hAnsi="Arial"/>
                <w:sz w:val="31"/>
                <w:szCs w:val="31"/>
                <w:b w:val="1"/>
                <w:bCs w:val="1"/>
                <w:color w:val="FFFFFF"/>
                <w:vertAlign w:val="subscript"/>
              </w:rPr>
              <w:t>​ ​</w:t>
            </w:r>
          </w:p>
        </w:tc>
        <w:tc>
          <w:tcPr>
            <w:tcW w:w="460" w:type="dxa"/>
            <w:vAlign w:val="bottom"/>
            <w:tcBorders>
              <w:top w:val="single" w:sz="8" w:color="auto"/>
              <w:bottom w:val="single" w:sz="8" w:color="auto"/>
            </w:tcBorders>
            <w:shd w:val="clear" w:color="auto" w:fill="148CD9"/>
          </w:tcPr>
          <w:p>
            <w:pPr>
              <w:jc w:val="center"/>
              <w:spacing w:after="0"/>
              <w:rPr>
                <w:sz w:val="20"/>
                <w:szCs w:val="20"/>
                <w:color w:val="auto"/>
              </w:rPr>
            </w:pPr>
            <w:r>
              <w:rPr>
                <w:rFonts w:ascii="Arial" w:cs="Arial" w:eastAsia="Arial" w:hAnsi="Arial"/>
                <w:sz w:val="16"/>
                <w:szCs w:val="16"/>
                <w:b w:val="1"/>
                <w:bCs w:val="1"/>
                <w:color w:val="FFFFFF"/>
              </w:rPr>
              <w:t>AC</w:t>
            </w:r>
          </w:p>
        </w:tc>
        <w:tc>
          <w:tcPr>
            <w:tcW w:w="400" w:type="dxa"/>
            <w:vAlign w:val="bottom"/>
            <w:tcBorders>
              <w:top w:val="single" w:sz="8" w:color="auto"/>
              <w:bottom w:val="single" w:sz="8" w:color="auto"/>
            </w:tcBorders>
            <w:shd w:val="clear" w:color="auto" w:fill="148CD9"/>
          </w:tcPr>
          <w:p>
            <w:pPr>
              <w:ind w:left="140"/>
              <w:spacing w:after="0"/>
              <w:rPr>
                <w:sz w:val="20"/>
                <w:szCs w:val="20"/>
                <w:color w:val="auto"/>
              </w:rPr>
            </w:pPr>
            <w:r>
              <w:rPr>
                <w:rFonts w:ascii="Arial" w:cs="Arial" w:eastAsia="Arial" w:hAnsi="Arial"/>
                <w:sz w:val="16"/>
                <w:szCs w:val="16"/>
                <w:b w:val="1"/>
                <w:bCs w:val="1"/>
                <w:color w:val="FFFFFF"/>
              </w:rPr>
              <w:t>​ ​</w:t>
            </w:r>
          </w:p>
        </w:tc>
        <w:tc>
          <w:tcPr>
            <w:tcW w:w="460" w:type="dxa"/>
            <w:vAlign w:val="bottom"/>
            <w:tcBorders>
              <w:top w:val="single" w:sz="8" w:color="auto"/>
              <w:bottom w:val="single" w:sz="8" w:color="auto"/>
            </w:tcBorders>
            <w:shd w:val="clear" w:color="auto" w:fill="148CD9"/>
          </w:tcPr>
          <w:p>
            <w:pPr>
              <w:jc w:val="center"/>
              <w:spacing w:after="0"/>
              <w:rPr>
                <w:sz w:val="20"/>
                <w:szCs w:val="20"/>
                <w:color w:val="auto"/>
              </w:rPr>
            </w:pPr>
            <w:r>
              <w:rPr>
                <w:rFonts w:ascii="Arial" w:cs="Arial" w:eastAsia="Arial" w:hAnsi="Arial"/>
                <w:sz w:val="16"/>
                <w:szCs w:val="16"/>
                <w:b w:val="1"/>
                <w:bCs w:val="1"/>
                <w:color w:val="FFFFFF"/>
              </w:rPr>
              <w:t>CC</w:t>
            </w:r>
          </w:p>
        </w:tc>
        <w:tc>
          <w:tcPr>
            <w:tcW w:w="920" w:type="dxa"/>
            <w:vAlign w:val="bottom"/>
            <w:tcBorders>
              <w:top w:val="single" w:sz="8" w:color="auto"/>
              <w:bottom w:val="single" w:sz="8" w:color="auto"/>
            </w:tcBorders>
            <w:gridSpan w:val="2"/>
            <w:shd w:val="clear" w:color="auto" w:fill="148CD9"/>
          </w:tcPr>
          <w:p>
            <w:pPr>
              <w:ind w:left="140"/>
              <w:spacing w:after="0" w:line="269" w:lineRule="exact"/>
              <w:rPr>
                <w:sz w:val="20"/>
                <w:szCs w:val="20"/>
                <w:color w:val="auto"/>
              </w:rPr>
            </w:pPr>
            <w:r>
              <w:rPr>
                <w:rFonts w:ascii="Arial" w:cs="Arial" w:eastAsia="Arial" w:hAnsi="Arial"/>
                <w:sz w:val="31"/>
                <w:szCs w:val="31"/>
                <w:b w:val="1"/>
                <w:bCs w:val="1"/>
                <w:color w:val="FFFFFF"/>
                <w:vertAlign w:val="subscript"/>
              </w:rPr>
              <w:t>​ ​</w:t>
            </w:r>
            <w:r>
              <w:rPr>
                <w:rFonts w:ascii="Arial" w:cs="Arial" w:eastAsia="Arial" w:hAnsi="Arial"/>
                <w:sz w:val="16"/>
                <w:szCs w:val="16"/>
                <w:b w:val="1"/>
                <w:bCs w:val="1"/>
                <w:color w:val="FFFFFF"/>
              </w:rPr>
              <w:t xml:space="preserve"> NCGC</w:t>
            </w:r>
          </w:p>
        </w:tc>
        <w:tc>
          <w:tcPr>
            <w:tcW w:w="160" w:type="dxa"/>
            <w:vAlign w:val="bottom"/>
            <w:tcBorders>
              <w:top w:val="single" w:sz="8" w:color="auto"/>
              <w:bottom w:val="single" w:sz="8" w:color="auto"/>
              <w:right w:val="single" w:sz="8" w:color="auto"/>
            </w:tcBorders>
            <w:shd w:val="clear" w:color="auto" w:fill="148CD9"/>
          </w:tcPr>
          <w:p>
            <w:pPr>
              <w:ind w:left="80"/>
              <w:spacing w:after="0"/>
              <w:rPr>
                <w:sz w:val="20"/>
                <w:szCs w:val="20"/>
                <w:color w:val="auto"/>
              </w:rPr>
            </w:pPr>
            <w:r>
              <w:rPr>
                <w:rFonts w:ascii="Arial" w:cs="Arial" w:eastAsia="Arial" w:hAnsi="Arial"/>
                <w:sz w:val="16"/>
                <w:szCs w:val="16"/>
                <w:b w:val="1"/>
                <w:bCs w:val="1"/>
                <w:color w:val="FFFFFF"/>
              </w:rPr>
              <w:t>​</w:t>
            </w:r>
          </w:p>
        </w:tc>
      </w:tr>
      <w:tr>
        <w:trPr>
          <w:trHeight w:val="250"/>
        </w:trPr>
        <w:tc>
          <w:tcPr>
            <w:tcW w:w="326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Brent Pfeiffenberger, Pharm.D.</w:t>
            </w:r>
          </w:p>
        </w:tc>
        <w:tc>
          <w:tcPr>
            <w:tcW w:w="11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 ​</w:t>
            </w:r>
          </w:p>
        </w:tc>
        <w:tc>
          <w:tcPr>
            <w:tcW w:w="10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rPr>
              <w:t>No</w:t>
            </w: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50"/>
        </w:trPr>
        <w:tc>
          <w:tcPr>
            <w:tcW w:w="326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Kimberly Blackwell, M.D.</w:t>
            </w:r>
          </w:p>
        </w:tc>
        <w:tc>
          <w:tcPr>
            <w:tcW w:w="11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 ​</w:t>
            </w:r>
          </w:p>
        </w:tc>
        <w:tc>
          <w:tcPr>
            <w:tcW w:w="10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0"/>
              </w:rPr>
              <w:t>Yes</w:t>
            </w: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M</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M</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5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1"/>
              </w:rPr>
              <w:t>C</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50"/>
        </w:trPr>
        <w:tc>
          <w:tcPr>
            <w:tcW w:w="326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Han Lee, Ph.D., M.B.A.</w:t>
            </w:r>
          </w:p>
        </w:tc>
        <w:tc>
          <w:tcPr>
            <w:tcW w:w="11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 ​</w:t>
            </w:r>
          </w:p>
        </w:tc>
        <w:tc>
          <w:tcPr>
            <w:tcW w:w="10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0"/>
              </w:rPr>
              <w:t>Yes</w:t>
            </w: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M</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M</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M</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50"/>
        </w:trPr>
        <w:tc>
          <w:tcPr>
            <w:tcW w:w="326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Martin Murphy, Ph.D.</w:t>
            </w:r>
          </w:p>
        </w:tc>
        <w:tc>
          <w:tcPr>
            <w:tcW w:w="11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 ​</w:t>
            </w:r>
          </w:p>
        </w:tc>
        <w:tc>
          <w:tcPr>
            <w:tcW w:w="10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0"/>
              </w:rPr>
              <w:t>Yes</w:t>
            </w: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M</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C</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5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rPr>
              <w:t>M</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50"/>
        </w:trPr>
        <w:tc>
          <w:tcPr>
            <w:tcW w:w="1440" w:type="dxa"/>
            <w:vAlign w:val="bottom"/>
            <w:tcBorders>
              <w:left w:val="single" w:sz="8" w:color="auto"/>
              <w:bottom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Daphne Quimi</w:t>
            </w:r>
          </w:p>
        </w:tc>
        <w:tc>
          <w:tcPr>
            <w:tcW w:w="18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 ​</w:t>
            </w:r>
          </w:p>
        </w:tc>
        <w:tc>
          <w:tcPr>
            <w:tcW w:w="10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0"/>
              </w:rPr>
              <w:t>Yes</w:t>
            </w: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M</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C</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5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rPr>
              <w:t>M</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50"/>
        </w:trPr>
        <w:tc>
          <w:tcPr>
            <w:tcW w:w="326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Alessandro Riva, M.D.</w:t>
            </w:r>
          </w:p>
        </w:tc>
        <w:tc>
          <w:tcPr>
            <w:tcW w:w="11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 ​</w:t>
            </w:r>
          </w:p>
        </w:tc>
        <w:tc>
          <w:tcPr>
            <w:tcW w:w="10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0"/>
              </w:rPr>
              <w:t>Yes</w:t>
            </w: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M</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M</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M</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50"/>
        </w:trPr>
        <w:tc>
          <w:tcPr>
            <w:tcW w:w="326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Timothy P. Walbert(1)</w:t>
            </w:r>
          </w:p>
        </w:tc>
        <w:tc>
          <w:tcPr>
            <w:tcW w:w="11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 ​</w:t>
            </w:r>
          </w:p>
        </w:tc>
        <w:tc>
          <w:tcPr>
            <w:tcW w:w="10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0"/>
              </w:rPr>
              <w:t>Yes</w:t>
            </w: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M</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M</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r>
    </w:tbl>
    <w:p>
      <w:pPr>
        <w:spacing w:after="0" w:line="85" w:lineRule="exact"/>
        <w:rPr>
          <w:sz w:val="20"/>
          <w:szCs w:val="20"/>
          <w:color w:val="auto"/>
        </w:rPr>
      </w:pPr>
    </w:p>
    <w:tbl>
      <w:tblPr>
        <w:tblLayout w:type="fixed"/>
        <w:tblInd w:w="1240" w:type="dxa"/>
        <w:tblCellMar>
          <w:top w:w="0" w:type="dxa"/>
          <w:left w:w="0" w:type="dxa"/>
          <w:bottom w:w="0" w:type="dxa"/>
          <w:right w:w="0" w:type="dxa"/>
        </w:tblCellMar>
      </w:tblPr>
      <w:tr>
        <w:trPr>
          <w:trHeight w:val="207"/>
        </w:trPr>
        <w:tc>
          <w:tcPr>
            <w:tcW w:w="280" w:type="dxa"/>
            <w:vAlign w:val="bottom"/>
          </w:tcPr>
          <w:p>
            <w:pPr>
              <w:spacing w:after="0"/>
              <w:rPr>
                <w:sz w:val="20"/>
                <w:szCs w:val="20"/>
                <w:color w:val="auto"/>
              </w:rPr>
            </w:pPr>
            <w:r>
              <w:rPr>
                <w:rFonts w:ascii="Arial" w:cs="Arial" w:eastAsia="Arial" w:hAnsi="Arial"/>
                <w:sz w:val="18"/>
                <w:szCs w:val="18"/>
                <w:b w:val="1"/>
                <w:bCs w:val="1"/>
                <w:color w:val="auto"/>
                <w:w w:val="99"/>
              </w:rPr>
              <w:t>AC​</w:t>
            </w:r>
          </w:p>
        </w:tc>
        <w:tc>
          <w:tcPr>
            <w:tcW w:w="1960" w:type="dxa"/>
            <w:vAlign w:val="bottom"/>
          </w:tcPr>
          <w:p>
            <w:pPr>
              <w:ind w:left="20"/>
              <w:spacing w:after="0"/>
              <w:rPr>
                <w:sz w:val="20"/>
                <w:szCs w:val="20"/>
                <w:color w:val="auto"/>
              </w:rPr>
            </w:pPr>
            <w:r>
              <w:rPr>
                <w:rFonts w:ascii="Arial" w:cs="Arial" w:eastAsia="Arial" w:hAnsi="Arial"/>
                <w:sz w:val="18"/>
                <w:szCs w:val="18"/>
                <w:color w:val="auto"/>
              </w:rPr>
              <w:t>= Audit Committee</w:t>
            </w:r>
          </w:p>
        </w:tc>
        <w:tc>
          <w:tcPr>
            <w:tcW w:w="3320" w:type="dxa"/>
            <w:vAlign w:val="bottom"/>
          </w:tcPr>
          <w:p>
            <w:pPr>
              <w:ind w:left="480"/>
              <w:spacing w:after="0"/>
              <w:rPr>
                <w:sz w:val="20"/>
                <w:szCs w:val="20"/>
                <w:color w:val="auto"/>
              </w:rPr>
            </w:pPr>
            <w:r>
              <w:rPr>
                <w:rFonts w:ascii="Arial" w:cs="Arial" w:eastAsia="Arial" w:hAnsi="Arial"/>
                <w:sz w:val="18"/>
                <w:szCs w:val="18"/>
                <w:b w:val="1"/>
                <w:bCs w:val="1"/>
                <w:color w:val="auto"/>
              </w:rPr>
              <w:t xml:space="preserve">​ ​ CC </w:t>
            </w:r>
            <w:r>
              <w:rPr>
                <w:rFonts w:ascii="Arial" w:cs="Arial" w:eastAsia="Arial" w:hAnsi="Arial"/>
                <w:sz w:val="18"/>
                <w:szCs w:val="18"/>
                <w:color w:val="auto"/>
              </w:rPr>
              <w:t>= Compensation Committee</w:t>
            </w:r>
          </w:p>
        </w:tc>
        <w:tc>
          <w:tcPr>
            <w:tcW w:w="2180" w:type="dxa"/>
            <w:vAlign w:val="bottom"/>
            <w:gridSpan w:val="2"/>
          </w:tcPr>
          <w:p>
            <w:pPr>
              <w:ind w:left="100"/>
              <w:spacing w:after="0"/>
              <w:rPr>
                <w:sz w:val="20"/>
                <w:szCs w:val="20"/>
                <w:color w:val="auto"/>
              </w:rPr>
            </w:pPr>
            <w:r>
              <w:rPr>
                <w:rFonts w:ascii="Arial" w:cs="Arial" w:eastAsia="Arial" w:hAnsi="Arial"/>
                <w:sz w:val="18"/>
                <w:szCs w:val="18"/>
                <w:b w:val="1"/>
                <w:bCs w:val="1"/>
                <w:color w:val="auto"/>
              </w:rPr>
              <w:t xml:space="preserve">​ ​ C </w:t>
            </w:r>
            <w:r>
              <w:rPr>
                <w:rFonts w:ascii="Arial" w:cs="Arial" w:eastAsia="Arial" w:hAnsi="Arial"/>
                <w:sz w:val="18"/>
                <w:szCs w:val="18"/>
                <w:color w:val="auto"/>
              </w:rPr>
              <w:t>= Chair</w:t>
            </w:r>
          </w:p>
        </w:tc>
        <w:tc>
          <w:tcPr>
            <w:tcW w:w="92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81"/>
        </w:trPr>
        <w:tc>
          <w:tcPr>
            <w:tcW w:w="280" w:type="dxa"/>
            <w:vAlign w:val="bottom"/>
          </w:tcPr>
          <w:p>
            <w:pPr>
              <w:spacing w:after="0" w:line="181" w:lineRule="exact"/>
              <w:rPr>
                <w:sz w:val="20"/>
                <w:szCs w:val="20"/>
                <w:color w:val="auto"/>
              </w:rPr>
            </w:pPr>
            <w:r>
              <w:rPr>
                <w:rFonts w:ascii="Arial" w:cs="Arial" w:eastAsia="Arial" w:hAnsi="Arial"/>
                <w:sz w:val="18"/>
                <w:szCs w:val="18"/>
                <w:b w:val="1"/>
                <w:bCs w:val="1"/>
                <w:color w:val="auto"/>
              </w:rPr>
              <w:t>​</w:t>
            </w:r>
          </w:p>
        </w:tc>
        <w:tc>
          <w:tcPr>
            <w:tcW w:w="19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80" w:type="dxa"/>
            <w:vAlign w:val="bottom"/>
          </w:tcPr>
          <w:p>
            <w:pPr>
              <w:ind w:left="100"/>
              <w:spacing w:after="0" w:line="181" w:lineRule="exact"/>
              <w:rPr>
                <w:sz w:val="20"/>
                <w:szCs w:val="20"/>
                <w:color w:val="auto"/>
              </w:rPr>
            </w:pPr>
            <w:r>
              <w:rPr>
                <w:rFonts w:ascii="Arial" w:cs="Arial" w:eastAsia="Arial" w:hAnsi="Arial"/>
                <w:sz w:val="18"/>
                <w:szCs w:val="18"/>
                <w:b w:val="1"/>
                <w:bCs w:val="1"/>
                <w:color w:val="auto"/>
              </w:rPr>
              <w:t>​ ​</w:t>
            </w:r>
          </w:p>
        </w:tc>
        <w:tc>
          <w:tcPr>
            <w:tcW w:w="1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 xml:space="preserve">M </w:t>
            </w:r>
            <w:r>
              <w:rPr>
                <w:rFonts w:ascii="Arial" w:cs="Arial" w:eastAsia="Arial" w:hAnsi="Arial"/>
                <w:sz w:val="18"/>
                <w:szCs w:val="18"/>
                <w:color w:val="auto"/>
              </w:rPr>
              <w:t>= Member</w:t>
            </w:r>
          </w:p>
        </w:tc>
        <w:tc>
          <w:tcPr>
            <w:tcW w:w="920" w:type="dxa"/>
            <w:vAlign w:val="bottom"/>
          </w:tcPr>
          <w:p>
            <w:pPr>
              <w:ind w:left="860"/>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64"/>
        </w:trPr>
        <w:tc>
          <w:tcPr>
            <w:tcW w:w="5560" w:type="dxa"/>
            <w:vAlign w:val="bottom"/>
            <w:gridSpan w:val="3"/>
          </w:tcPr>
          <w:p>
            <w:pPr>
              <w:spacing w:after="0" w:line="164" w:lineRule="exact"/>
              <w:rPr>
                <w:sz w:val="20"/>
                <w:szCs w:val="20"/>
                <w:color w:val="auto"/>
              </w:rPr>
            </w:pPr>
            <w:r>
              <w:rPr>
                <w:rFonts w:ascii="Arial" w:cs="Arial" w:eastAsia="Arial" w:hAnsi="Arial"/>
                <w:sz w:val="18"/>
                <w:szCs w:val="18"/>
                <w:b w:val="1"/>
                <w:bCs w:val="1"/>
                <w:color w:val="auto"/>
              </w:rPr>
              <w:t xml:space="preserve">NCGC </w:t>
            </w:r>
            <w:r>
              <w:rPr>
                <w:rFonts w:ascii="Arial" w:cs="Arial" w:eastAsia="Arial" w:hAnsi="Arial"/>
                <w:sz w:val="18"/>
                <w:szCs w:val="18"/>
                <w:color w:val="auto"/>
              </w:rPr>
              <w:t>= Nominating &amp; Corporate Governance Committee</w:t>
            </w:r>
          </w:p>
        </w:tc>
        <w:tc>
          <w:tcPr>
            <w:tcW w:w="280" w:type="dxa"/>
            <w:vAlign w:val="bottom"/>
          </w:tcPr>
          <w:p>
            <w:pPr>
              <w:spacing w:after="0"/>
              <w:rPr>
                <w:sz w:val="14"/>
                <w:szCs w:val="14"/>
                <w:color w:val="auto"/>
              </w:rPr>
            </w:pPr>
          </w:p>
        </w:tc>
        <w:tc>
          <w:tcPr>
            <w:tcW w:w="190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1240" w:right="60" w:hanging="370"/>
        <w:spacing w:after="0" w:line="265" w:lineRule="auto"/>
        <w:tabs>
          <w:tab w:leader="none" w:pos="12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Mr. Walbert will not stand for re-election at the Annual Meeting. As such, his term as a member of the Compensation Committee will expire at the Annual Meeting.</w:t>
      </w:r>
    </w:p>
    <w:p>
      <w:pPr>
        <w:spacing w:after="0" w:line="99" w:lineRule="exact"/>
        <w:rPr>
          <w:sz w:val="20"/>
          <w:szCs w:val="20"/>
          <w:color w:val="auto"/>
        </w:rPr>
      </w:pPr>
    </w:p>
    <w:p>
      <w:pPr>
        <w:jc w:val="both"/>
        <w:ind w:left="880" w:right="40"/>
        <w:spacing w:after="0" w:line="273" w:lineRule="auto"/>
        <w:rPr>
          <w:sz w:val="20"/>
          <w:szCs w:val="20"/>
          <w:color w:val="auto"/>
        </w:rPr>
      </w:pPr>
      <w:r>
        <w:rPr>
          <w:rFonts w:ascii="Arial" w:cs="Arial" w:eastAsia="Arial" w:hAnsi="Arial"/>
          <w:sz w:val="18"/>
          <w:szCs w:val="18"/>
          <w:color w:val="auto"/>
        </w:rPr>
        <w:t>During 2025, our Board held sixteen meetings, our Compensation Committee held five meetings, our Audit Committee held five meetings and our Nominating and Corporate Governance Committee held four meetings. Each director attended at least 75% of meetings of the Board and each Committee on which he or she served in 2025.</w:t>
      </w:r>
    </w:p>
    <w:p>
      <w:pPr>
        <w:spacing w:after="0" w:line="152" w:lineRule="exact"/>
        <w:rPr>
          <w:sz w:val="20"/>
          <w:szCs w:val="20"/>
          <w:color w:val="auto"/>
        </w:rPr>
      </w:pPr>
    </w:p>
    <w:p>
      <w:pPr>
        <w:jc w:val="both"/>
        <w:ind w:left="880" w:right="60"/>
        <w:spacing w:after="0" w:line="303" w:lineRule="auto"/>
        <w:rPr>
          <w:sz w:val="20"/>
          <w:szCs w:val="20"/>
          <w:color w:val="auto"/>
        </w:rPr>
      </w:pPr>
      <w:r>
        <w:rPr>
          <w:rFonts w:ascii="Arial" w:cs="Arial" w:eastAsia="Arial" w:hAnsi="Arial"/>
          <w:sz w:val="18"/>
          <w:szCs w:val="18"/>
          <w:color w:val="auto"/>
        </w:rPr>
        <w:t>Directors are encouraged, but not required, to attend our annual stockholder meetings. We held our annual meeting of stockholders on June 12, 2025 and all of our directors at the time were in attendance.</w:t>
      </w:r>
    </w:p>
    <w:p>
      <w:pPr>
        <w:sectPr>
          <w:pgSz w:w="11900" w:h="16838" w:orient="portrait"/>
          <w:cols w:equalWidth="0" w:num="1">
            <w:col w:w="9900"/>
          </w:cols>
          <w:pgMar w:left="580" w:top="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73" w:lineRule="exact"/>
        <w:rPr>
          <w:sz w:val="20"/>
          <w:szCs w:val="20"/>
          <w:color w:val="auto"/>
        </w:rPr>
      </w:pPr>
    </w:p>
    <w:tbl>
      <w:tblPr>
        <w:tblLayout w:type="fixed"/>
        <w:tblInd w:w="860" w:type="dxa"/>
        <w:tblCellMar>
          <w:top w:w="0" w:type="dxa"/>
          <w:left w:w="0" w:type="dxa"/>
          <w:bottom w:w="0" w:type="dxa"/>
          <w:right w:w="0" w:type="dxa"/>
        </w:tblCellMar>
      </w:tblPr>
      <w:tr>
        <w:trPr>
          <w:trHeight w:val="378"/>
        </w:trPr>
        <w:tc>
          <w:tcPr>
            <w:tcW w:w="8860" w:type="dxa"/>
            <w:vAlign w:val="bottom"/>
            <w:gridSpan w:val="3"/>
            <w:shd w:val="clear" w:color="auto" w:fill="1DA46F"/>
          </w:tcPr>
          <w:p>
            <w:pPr>
              <w:ind w:left="20"/>
              <w:spacing w:after="0"/>
              <w:rPr>
                <w:sz w:val="20"/>
                <w:szCs w:val="20"/>
                <w:color w:val="auto"/>
              </w:rPr>
            </w:pPr>
            <w:r>
              <w:rPr>
                <w:rFonts w:ascii="Arial" w:cs="Arial" w:eastAsia="Arial" w:hAnsi="Arial"/>
                <w:sz w:val="32"/>
                <w:szCs w:val="32"/>
                <w:b w:val="1"/>
                <w:bCs w:val="1"/>
                <w:color w:val="FFFFFF"/>
                <w:shd w:val="clear" w:color="auto" w:fill="1DA46F"/>
              </w:rPr>
              <w:t>​CORPORATE GOVERNANCE AND RISK MANAGEMENT</w:t>
            </w:r>
          </w:p>
        </w:tc>
        <w:tc>
          <w:tcPr>
            <w:tcW w:w="120" w:type="dxa"/>
            <w:vAlign w:val="bottom"/>
            <w:shd w:val="clear" w:color="auto" w:fill="1DA46F"/>
          </w:tcPr>
          <w:p>
            <w:pPr>
              <w:ind w:left="20"/>
              <w:spacing w:after="0"/>
              <w:rPr>
                <w:sz w:val="20"/>
                <w:szCs w:val="20"/>
                <w:color w:val="auto"/>
              </w:rPr>
            </w:pPr>
            <w:r>
              <w:rPr>
                <w:rFonts w:ascii="Arial" w:cs="Arial" w:eastAsia="Arial" w:hAnsi="Arial"/>
                <w:sz w:val="32"/>
                <w:szCs w:val="32"/>
                <w:b w:val="1"/>
                <w:bCs w:val="1"/>
                <w:color w:val="FFFFFF"/>
                <w:shd w:val="clear" w:color="auto" w:fill="1DA46F"/>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480" w:type="dxa"/>
            <w:vAlign w:val="bottom"/>
          </w:tcPr>
          <w:p>
            <w:pPr>
              <w:ind w:left="60"/>
              <w:spacing w:after="0"/>
              <w:rPr>
                <w:sz w:val="20"/>
                <w:szCs w:val="20"/>
                <w:color w:val="auto"/>
              </w:rPr>
            </w:pPr>
            <w:r>
              <w:rPr>
                <w:rFonts w:ascii="Arial" w:cs="Arial" w:eastAsia="Arial" w:hAnsi="Arial"/>
                <w:sz w:val="22"/>
                <w:szCs w:val="22"/>
                <w:b w:val="1"/>
                <w:bCs w:val="1"/>
                <w:color w:val="148CD9"/>
              </w:rPr>
              <w:t>​</w:t>
            </w:r>
          </w:p>
        </w:tc>
        <w:tc>
          <w:tcPr>
            <w:tcW w:w="120" w:type="dxa"/>
            <w:vAlign w:val="bottom"/>
          </w:tcPr>
          <w:p>
            <w:pPr>
              <w:spacing w:after="0"/>
              <w:rPr>
                <w:sz w:val="24"/>
                <w:szCs w:val="24"/>
                <w:color w:val="auto"/>
              </w:rPr>
            </w:pPr>
          </w:p>
        </w:tc>
        <w:tc>
          <w:tcPr>
            <w:tcW w:w="6260" w:type="dxa"/>
            <w:vAlign w:val="bottom"/>
          </w:tcPr>
          <w:p>
            <w:pPr>
              <w:ind w:left="680"/>
              <w:spacing w:after="0"/>
              <w:rPr>
                <w:sz w:val="20"/>
                <w:szCs w:val="20"/>
                <w:color w:val="auto"/>
              </w:rPr>
            </w:pPr>
            <w:r>
              <w:rPr>
                <w:rFonts w:ascii="Arial" w:cs="Arial" w:eastAsia="Arial" w:hAnsi="Arial"/>
                <w:sz w:val="22"/>
                <w:szCs w:val="22"/>
                <w:b w:val="1"/>
                <w:bCs w:val="1"/>
                <w:color w:val="148CD9"/>
              </w:rPr>
              <w:t>THE AUDIT COMMITTEE</w:t>
            </w:r>
          </w:p>
        </w:tc>
        <w:tc>
          <w:tcPr>
            <w:tcW w:w="140" w:type="dxa"/>
            <w:vAlign w:val="bottom"/>
            <w:gridSpan w:val="2"/>
          </w:tcPr>
          <w:p>
            <w:pPr>
              <w:ind w:left="80"/>
              <w:spacing w:after="0"/>
              <w:rPr>
                <w:sz w:val="20"/>
                <w:szCs w:val="20"/>
                <w:color w:val="auto"/>
              </w:rPr>
            </w:pPr>
            <w:r>
              <w:rPr>
                <w:rFonts w:ascii="Arial" w:cs="Arial" w:eastAsia="Arial" w:hAnsi="Arial"/>
                <w:sz w:val="22"/>
                <w:szCs w:val="22"/>
                <w:b w:val="1"/>
                <w:bCs w:val="1"/>
                <w:color w:val="148CD9"/>
              </w:rPr>
              <w:t>​</w:t>
            </w:r>
          </w:p>
        </w:tc>
        <w:tc>
          <w:tcPr>
            <w:tcW w:w="0" w:type="dxa"/>
            <w:vAlign w:val="bottom"/>
          </w:tcPr>
          <w:p>
            <w:pPr>
              <w:spacing w:after="0"/>
              <w:rPr>
                <w:sz w:val="1"/>
                <w:szCs w:val="1"/>
                <w:color w:val="auto"/>
              </w:rPr>
            </w:pPr>
          </w:p>
        </w:tc>
      </w:tr>
      <w:tr>
        <w:trPr>
          <w:trHeight w:val="255"/>
        </w:trPr>
        <w:tc>
          <w:tcPr>
            <w:tcW w:w="2480" w:type="dxa"/>
            <w:vAlign w:val="bottom"/>
            <w:tcBorders>
              <w:top w:val="single" w:sz="8" w:color="1DA46F"/>
            </w:tcBorders>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148CD9"/>
              </w:rPr>
              <w:t>Chair</w:t>
            </w:r>
            <w:r>
              <w:rPr>
                <w:rFonts w:ascii="Arial" w:cs="Arial" w:eastAsia="Arial" w:hAnsi="Arial"/>
                <w:sz w:val="18"/>
                <w:szCs w:val="18"/>
                <w:color w:val="auto"/>
              </w:rPr>
              <w:t>: Daphne Quimi</w:t>
            </w:r>
          </w:p>
        </w:tc>
        <w:tc>
          <w:tcPr>
            <w:tcW w:w="6380" w:type="dxa"/>
            <w:vAlign w:val="bottom"/>
            <w:tcBorders>
              <w:top w:val="single" w:sz="8" w:color="1DA46F"/>
            </w:tcBorders>
            <w:gridSpan w:val="2"/>
          </w:tcPr>
          <w:p>
            <w:pPr>
              <w:ind w:left="20"/>
              <w:spacing w:after="0"/>
              <w:rPr>
                <w:sz w:val="20"/>
                <w:szCs w:val="20"/>
                <w:color w:val="auto"/>
              </w:rPr>
            </w:pPr>
            <w:r>
              <w:rPr>
                <w:rFonts w:ascii="Arial" w:cs="Arial" w:eastAsia="Arial" w:hAnsi="Arial"/>
                <w:sz w:val="18"/>
                <w:szCs w:val="18"/>
                <w:color w:val="auto"/>
              </w:rPr>
              <w:t>​ ​ Responsible for, among other things:</w:t>
            </w:r>
          </w:p>
        </w:tc>
        <w:tc>
          <w:tcPr>
            <w:tcW w:w="120" w:type="dxa"/>
            <w:vAlign w:val="bottom"/>
            <w:tcBorders>
              <w:top w:val="single" w:sz="8" w:color="1DA46F"/>
            </w:tcBorders>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7"/>
        </w:trPr>
        <w:tc>
          <w:tcPr>
            <w:tcW w:w="2480" w:type="dxa"/>
            <w:vAlign w:val="bottom"/>
          </w:tcPr>
          <w:p>
            <w:pPr>
              <w:ind w:left="120"/>
              <w:spacing w:after="0"/>
              <w:rPr>
                <w:sz w:val="20"/>
                <w:szCs w:val="20"/>
                <w:color w:val="auto"/>
              </w:rPr>
            </w:pPr>
            <w:r>
              <w:rPr>
                <w:rFonts w:ascii="Arial" w:cs="Arial" w:eastAsia="Arial" w:hAnsi="Arial"/>
                <w:sz w:val="18"/>
                <w:szCs w:val="18"/>
                <w:b w:val="1"/>
                <w:bCs w:val="1"/>
                <w:color w:val="148CD9"/>
              </w:rPr>
              <w:t>Additional Committee</w:t>
            </w:r>
          </w:p>
        </w:tc>
        <w:tc>
          <w:tcPr>
            <w:tcW w:w="120" w:type="dxa"/>
            <w:vAlign w:val="bottom"/>
          </w:tcPr>
          <w:p>
            <w:pPr>
              <w:spacing w:after="0"/>
              <w:rPr>
                <w:sz w:val="24"/>
                <w:szCs w:val="24"/>
                <w:color w:val="auto"/>
              </w:rPr>
            </w:pPr>
          </w:p>
        </w:tc>
        <w:tc>
          <w:tcPr>
            <w:tcW w:w="6260" w:type="dxa"/>
            <w:vAlign w:val="bottom"/>
          </w:tcPr>
          <w:p>
            <w:pPr>
              <w:ind w:left="300"/>
              <w:spacing w:after="0"/>
              <w:rPr>
                <w:sz w:val="20"/>
                <w:szCs w:val="20"/>
                <w:color w:val="auto"/>
              </w:rPr>
            </w:pPr>
            <w:r>
              <w:rPr>
                <w:rFonts w:ascii="Arial" w:cs="Arial" w:eastAsia="Arial" w:hAnsi="Arial"/>
                <w:sz w:val="18"/>
                <w:szCs w:val="18"/>
                <w:color w:val="auto"/>
              </w:rPr>
              <w:t>• Appointing, compensating, evaluating, and overseeing a firm to serve as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120"/>
              <w:spacing w:after="0"/>
              <w:rPr>
                <w:sz w:val="20"/>
                <w:szCs w:val="20"/>
                <w:color w:val="auto"/>
              </w:rPr>
            </w:pPr>
            <w:r>
              <w:rPr>
                <w:rFonts w:ascii="Arial" w:cs="Arial" w:eastAsia="Arial" w:hAnsi="Arial"/>
                <w:sz w:val="18"/>
                <w:szCs w:val="18"/>
                <w:b w:val="1"/>
                <w:bCs w:val="1"/>
                <w:color w:val="148CD9"/>
              </w:rPr>
              <w:t>Members</w:t>
            </w:r>
            <w:r>
              <w:rPr>
                <w:rFonts w:ascii="Arial" w:cs="Arial" w:eastAsia="Arial" w:hAnsi="Arial"/>
                <w:sz w:val="18"/>
                <w:szCs w:val="18"/>
                <w:color w:val="000000"/>
              </w:rPr>
              <w:t>:</w:t>
            </w:r>
          </w:p>
        </w:tc>
        <w:tc>
          <w:tcPr>
            <w:tcW w:w="120" w:type="dxa"/>
            <w:vAlign w:val="bottom"/>
          </w:tcPr>
          <w:p>
            <w:pPr>
              <w:spacing w:after="0"/>
              <w:rPr>
                <w:sz w:val="18"/>
                <w:szCs w:val="18"/>
                <w:color w:val="auto"/>
              </w:rPr>
            </w:pPr>
          </w:p>
        </w:tc>
        <w:tc>
          <w:tcPr>
            <w:tcW w:w="6260" w:type="dxa"/>
            <w:vAlign w:val="bottom"/>
          </w:tcPr>
          <w:p>
            <w:pPr>
              <w:ind w:left="480"/>
              <w:spacing w:after="0"/>
              <w:rPr>
                <w:sz w:val="20"/>
                <w:szCs w:val="20"/>
                <w:color w:val="auto"/>
              </w:rPr>
            </w:pPr>
            <w:r>
              <w:rPr>
                <w:rFonts w:ascii="Arial" w:cs="Arial" w:eastAsia="Arial" w:hAnsi="Arial"/>
                <w:sz w:val="18"/>
                <w:szCs w:val="18"/>
                <w:color w:val="auto"/>
              </w:rPr>
              <w:t>the independent registered public accounting firm to audit our</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480" w:type="dxa"/>
            <w:vAlign w:val="bottom"/>
            <w:vMerge w:val="restart"/>
          </w:tcPr>
          <w:p>
            <w:pPr>
              <w:ind w:left="300"/>
              <w:spacing w:after="0"/>
              <w:rPr>
                <w:sz w:val="20"/>
                <w:szCs w:val="20"/>
                <w:color w:val="auto"/>
              </w:rPr>
            </w:pPr>
            <w:r>
              <w:rPr>
                <w:rFonts w:ascii="Arial" w:cs="Arial" w:eastAsia="Arial" w:hAnsi="Arial"/>
                <w:sz w:val="18"/>
                <w:szCs w:val="18"/>
                <w:color w:val="auto"/>
              </w:rPr>
              <w:t>• Kimberly Blackwell, M.D.</w:t>
            </w:r>
          </w:p>
        </w:tc>
        <w:tc>
          <w:tcPr>
            <w:tcW w:w="120" w:type="dxa"/>
            <w:vAlign w:val="bottom"/>
          </w:tcPr>
          <w:p>
            <w:pPr>
              <w:spacing w:after="0"/>
              <w:rPr>
                <w:sz w:val="20"/>
                <w:szCs w:val="20"/>
                <w:color w:val="auto"/>
              </w:rPr>
            </w:pPr>
          </w:p>
        </w:tc>
        <w:tc>
          <w:tcPr>
            <w:tcW w:w="6260" w:type="dxa"/>
            <w:vAlign w:val="bottom"/>
          </w:tcPr>
          <w:p>
            <w:pPr>
              <w:ind w:left="480"/>
              <w:spacing w:after="0"/>
              <w:rPr>
                <w:sz w:val="20"/>
                <w:szCs w:val="20"/>
                <w:color w:val="auto"/>
              </w:rPr>
            </w:pPr>
            <w:r>
              <w:rPr>
                <w:rFonts w:ascii="Arial" w:cs="Arial" w:eastAsia="Arial" w:hAnsi="Arial"/>
                <w:sz w:val="18"/>
                <w:szCs w:val="18"/>
                <w:color w:val="auto"/>
              </w:rPr>
              <w:t>consolidated financial statements;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260" w:type="dxa"/>
            <w:vAlign w:val="bottom"/>
            <w:vMerge w:val="restart"/>
          </w:tcPr>
          <w:p>
            <w:pPr>
              <w:ind w:left="300"/>
              <w:spacing w:after="0"/>
              <w:rPr>
                <w:sz w:val="20"/>
                <w:szCs w:val="20"/>
                <w:color w:val="auto"/>
              </w:rPr>
            </w:pPr>
            <w:r>
              <w:rPr>
                <w:rFonts w:ascii="Arial" w:cs="Arial" w:eastAsia="Arial" w:hAnsi="Arial"/>
                <w:sz w:val="18"/>
                <w:szCs w:val="18"/>
                <w:color w:val="auto"/>
              </w:rPr>
              <w:t>• Ensuring the independence of the independent registered public</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480" w:type="dxa"/>
            <w:vAlign w:val="bottom"/>
            <w:vMerge w:val="restart"/>
          </w:tcPr>
          <w:p>
            <w:pPr>
              <w:ind w:left="300"/>
              <w:spacing w:after="0"/>
              <w:rPr>
                <w:sz w:val="20"/>
                <w:szCs w:val="20"/>
                <w:color w:val="auto"/>
              </w:rPr>
            </w:pPr>
            <w:r>
              <w:rPr>
                <w:rFonts w:ascii="Arial" w:cs="Arial" w:eastAsia="Arial" w:hAnsi="Arial"/>
                <w:sz w:val="18"/>
                <w:szCs w:val="18"/>
                <w:color w:val="auto"/>
              </w:rPr>
              <w:t>• Han Lee, Ph.D., M.B.A.</w:t>
            </w:r>
          </w:p>
        </w:tc>
        <w:tc>
          <w:tcPr>
            <w:tcW w:w="120" w:type="dxa"/>
            <w:vAlign w:val="bottom"/>
          </w:tcPr>
          <w:p>
            <w:pPr>
              <w:spacing w:after="0"/>
              <w:rPr>
                <w:sz w:val="15"/>
                <w:szCs w:val="15"/>
                <w:color w:val="auto"/>
              </w:rPr>
            </w:pPr>
          </w:p>
        </w:tc>
        <w:tc>
          <w:tcPr>
            <w:tcW w:w="62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260" w:type="dxa"/>
            <w:vAlign w:val="bottom"/>
            <w:vMerge w:val="restart"/>
          </w:tcPr>
          <w:p>
            <w:pPr>
              <w:ind w:left="480"/>
              <w:spacing w:after="0"/>
              <w:rPr>
                <w:sz w:val="20"/>
                <w:szCs w:val="20"/>
                <w:color w:val="auto"/>
              </w:rPr>
            </w:pPr>
            <w:r>
              <w:rPr>
                <w:rFonts w:ascii="Arial" w:cs="Arial" w:eastAsia="Arial" w:hAnsi="Arial"/>
                <w:sz w:val="18"/>
                <w:szCs w:val="18"/>
                <w:color w:val="auto"/>
              </w:rPr>
              <w:t>accounting firm;</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480" w:type="dxa"/>
            <w:vAlign w:val="bottom"/>
            <w:vMerge w:val="restart"/>
          </w:tcPr>
          <w:p>
            <w:pPr>
              <w:ind w:left="300"/>
              <w:spacing w:after="0"/>
              <w:rPr>
                <w:sz w:val="20"/>
                <w:szCs w:val="20"/>
                <w:color w:val="auto"/>
              </w:rPr>
            </w:pPr>
            <w:r>
              <w:rPr>
                <w:rFonts w:ascii="Arial" w:cs="Arial" w:eastAsia="Arial" w:hAnsi="Arial"/>
                <w:sz w:val="18"/>
                <w:szCs w:val="18"/>
                <w:color w:val="auto"/>
              </w:rPr>
              <w:t>• Alessandro Riva, M.D.</w:t>
            </w:r>
          </w:p>
        </w:tc>
        <w:tc>
          <w:tcPr>
            <w:tcW w:w="120" w:type="dxa"/>
            <w:vAlign w:val="bottom"/>
          </w:tcPr>
          <w:p>
            <w:pPr>
              <w:spacing w:after="0"/>
              <w:rPr>
                <w:sz w:val="8"/>
                <w:szCs w:val="8"/>
                <w:color w:val="auto"/>
              </w:rPr>
            </w:pPr>
          </w:p>
        </w:tc>
        <w:tc>
          <w:tcPr>
            <w:tcW w:w="62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4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260" w:type="dxa"/>
            <w:vAlign w:val="bottom"/>
            <w:vMerge w:val="restart"/>
          </w:tcPr>
          <w:p>
            <w:pPr>
              <w:ind w:left="300"/>
              <w:spacing w:after="0"/>
              <w:rPr>
                <w:sz w:val="20"/>
                <w:szCs w:val="20"/>
                <w:color w:val="auto"/>
              </w:rPr>
            </w:pPr>
            <w:r>
              <w:rPr>
                <w:rFonts w:ascii="Arial" w:cs="Arial" w:eastAsia="Arial" w:hAnsi="Arial"/>
                <w:sz w:val="18"/>
                <w:szCs w:val="18"/>
                <w:color w:val="auto"/>
              </w:rPr>
              <w:t>• Discussing the scope and results of the audit with the independent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480" w:type="dxa"/>
            <w:vAlign w:val="bottom"/>
            <w:vMerge w:val="restart"/>
          </w:tcPr>
          <w:p>
            <w:pPr>
              <w:ind w:left="12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9"/>
                <w:szCs w:val="9"/>
                <w:color w:val="auto"/>
              </w:rPr>
            </w:pPr>
          </w:p>
        </w:tc>
        <w:tc>
          <w:tcPr>
            <w:tcW w:w="62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ind w:left="480"/>
              <w:spacing w:after="0"/>
              <w:rPr>
                <w:sz w:val="20"/>
                <w:szCs w:val="20"/>
                <w:color w:val="auto"/>
              </w:rPr>
            </w:pPr>
            <w:r>
              <w:rPr>
                <w:rFonts w:ascii="Arial" w:cs="Arial" w:eastAsia="Arial" w:hAnsi="Arial"/>
                <w:sz w:val="18"/>
                <w:szCs w:val="18"/>
                <w:color w:val="auto"/>
              </w:rPr>
              <w:t>registered public accounting firm and reviewing, with management and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2480" w:type="dxa"/>
            <w:vAlign w:val="bottom"/>
            <w:tcBorders>
              <w:bottom w:val="single" w:sz="8" w:color="1DA46F"/>
            </w:tcBorders>
          </w:tcPr>
          <w:p>
            <w:pPr>
              <w:spacing w:after="0"/>
              <w:rPr>
                <w:sz w:val="4"/>
                <w:szCs w:val="4"/>
                <w:color w:val="auto"/>
              </w:rPr>
            </w:pPr>
          </w:p>
        </w:tc>
        <w:tc>
          <w:tcPr>
            <w:tcW w:w="120" w:type="dxa"/>
            <w:vAlign w:val="bottom"/>
            <w:tcBorders>
              <w:bottom w:val="single" w:sz="8" w:color="1DA46F"/>
            </w:tcBorders>
          </w:tcPr>
          <w:p>
            <w:pPr>
              <w:spacing w:after="0"/>
              <w:rPr>
                <w:sz w:val="4"/>
                <w:szCs w:val="4"/>
                <w:color w:val="auto"/>
              </w:rPr>
            </w:pPr>
          </w:p>
        </w:tc>
        <w:tc>
          <w:tcPr>
            <w:tcW w:w="6260" w:type="dxa"/>
            <w:vAlign w:val="bottom"/>
            <w:vMerge w:val="restart"/>
          </w:tcPr>
          <w:p>
            <w:pPr>
              <w:ind w:left="480"/>
              <w:spacing w:after="0"/>
              <w:rPr>
                <w:sz w:val="20"/>
                <w:szCs w:val="20"/>
                <w:color w:val="auto"/>
              </w:rPr>
            </w:pPr>
            <w:r>
              <w:rPr>
                <w:rFonts w:ascii="Arial" w:cs="Arial" w:eastAsia="Arial" w:hAnsi="Arial"/>
                <w:sz w:val="18"/>
                <w:szCs w:val="18"/>
                <w:color w:val="auto"/>
              </w:rPr>
              <w:t>that firm, our interim and year-end operating results;</w:t>
            </w: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248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rPr>
              <w:t>​</w:t>
            </w:r>
          </w:p>
        </w:tc>
        <w:tc>
          <w:tcPr>
            <w:tcW w:w="6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340"/>
              <w:spacing w:after="0"/>
              <w:rPr>
                <w:sz w:val="20"/>
                <w:szCs w:val="20"/>
                <w:color w:val="auto"/>
              </w:rPr>
            </w:pPr>
            <w:r>
              <w:rPr>
                <w:rFonts w:ascii="Arial" w:cs="Arial" w:eastAsia="Arial" w:hAnsi="Arial"/>
                <w:sz w:val="18"/>
                <w:szCs w:val="18"/>
                <w:color w:val="auto"/>
              </w:rPr>
              <w:t>All members are deemed</w:t>
            </w:r>
          </w:p>
        </w:tc>
        <w:tc>
          <w:tcPr>
            <w:tcW w:w="120" w:type="dxa"/>
            <w:vAlign w:val="bottom"/>
          </w:tcPr>
          <w:p>
            <w:pPr>
              <w:spacing w:after="0"/>
              <w:rPr>
                <w:sz w:val="18"/>
                <w:szCs w:val="18"/>
                <w:color w:val="auto"/>
              </w:rPr>
            </w:pPr>
          </w:p>
        </w:tc>
        <w:tc>
          <w:tcPr>
            <w:tcW w:w="6260" w:type="dxa"/>
            <w:vAlign w:val="bottom"/>
            <w:vMerge w:val="restart"/>
          </w:tcPr>
          <w:p>
            <w:pPr>
              <w:ind w:left="300"/>
              <w:spacing w:after="0"/>
              <w:rPr>
                <w:sz w:val="20"/>
                <w:szCs w:val="20"/>
                <w:color w:val="auto"/>
              </w:rPr>
            </w:pPr>
            <w:r>
              <w:rPr>
                <w:rFonts w:ascii="Arial" w:cs="Arial" w:eastAsia="Arial" w:hAnsi="Arial"/>
                <w:sz w:val="18"/>
                <w:szCs w:val="18"/>
                <w:color w:val="auto"/>
              </w:rPr>
              <w:t>• Establishing procedures for employees to anonymously submit concerns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480" w:type="dxa"/>
            <w:vAlign w:val="bottom"/>
            <w:vMerge w:val="restart"/>
          </w:tcPr>
          <w:p>
            <w:pPr>
              <w:ind w:left="340"/>
              <w:spacing w:after="0"/>
              <w:rPr>
                <w:sz w:val="20"/>
                <w:szCs w:val="20"/>
                <w:color w:val="auto"/>
              </w:rPr>
            </w:pPr>
            <w:r>
              <w:rPr>
                <w:rFonts w:ascii="Arial" w:cs="Arial" w:eastAsia="Arial" w:hAnsi="Arial"/>
                <w:sz w:val="18"/>
                <w:szCs w:val="18"/>
                <w:color w:val="auto"/>
              </w:rPr>
              <w:t>“independent” and</w:t>
            </w:r>
          </w:p>
        </w:tc>
        <w:tc>
          <w:tcPr>
            <w:tcW w:w="120" w:type="dxa"/>
            <w:vAlign w:val="bottom"/>
          </w:tcPr>
          <w:p>
            <w:pPr>
              <w:spacing w:after="0"/>
              <w:rPr>
                <w:sz w:val="5"/>
                <w:szCs w:val="5"/>
                <w:color w:val="auto"/>
              </w:rPr>
            </w:pPr>
          </w:p>
        </w:tc>
        <w:tc>
          <w:tcPr>
            <w:tcW w:w="62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260" w:type="dxa"/>
            <w:vAlign w:val="bottom"/>
            <w:vMerge w:val="restart"/>
          </w:tcPr>
          <w:p>
            <w:pPr>
              <w:ind w:left="480"/>
              <w:spacing w:after="0"/>
              <w:rPr>
                <w:sz w:val="20"/>
                <w:szCs w:val="20"/>
                <w:color w:val="auto"/>
              </w:rPr>
            </w:pPr>
            <w:r>
              <w:rPr>
                <w:rFonts w:ascii="Arial" w:cs="Arial" w:eastAsia="Arial" w:hAnsi="Arial"/>
                <w:sz w:val="18"/>
                <w:szCs w:val="18"/>
                <w:color w:val="auto"/>
              </w:rPr>
              <w:t>about questionable accounting or audit matters;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480" w:type="dxa"/>
            <w:vAlign w:val="bottom"/>
            <w:vMerge w:val="restart"/>
          </w:tcPr>
          <w:p>
            <w:pPr>
              <w:ind w:left="340"/>
              <w:spacing w:after="0"/>
              <w:rPr>
                <w:sz w:val="20"/>
                <w:szCs w:val="20"/>
                <w:color w:val="auto"/>
              </w:rPr>
            </w:pPr>
            <w:r>
              <w:rPr>
                <w:rFonts w:ascii="Arial" w:cs="Arial" w:eastAsia="Arial" w:hAnsi="Arial"/>
                <w:sz w:val="18"/>
                <w:szCs w:val="18"/>
                <w:color w:val="auto"/>
                <w:w w:val="96"/>
              </w:rPr>
              <w:t>financially literate under the</w:t>
            </w:r>
          </w:p>
        </w:tc>
        <w:tc>
          <w:tcPr>
            <w:tcW w:w="120" w:type="dxa"/>
            <w:vAlign w:val="bottom"/>
          </w:tcPr>
          <w:p>
            <w:pPr>
              <w:spacing w:after="0"/>
              <w:rPr>
                <w:sz w:val="7"/>
                <w:szCs w:val="7"/>
                <w:color w:val="auto"/>
              </w:rPr>
            </w:pPr>
          </w:p>
        </w:tc>
        <w:tc>
          <w:tcPr>
            <w:tcW w:w="6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4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340"/>
              <w:spacing w:after="0"/>
              <w:rPr>
                <w:sz w:val="20"/>
                <w:szCs w:val="20"/>
                <w:color w:val="auto"/>
              </w:rPr>
            </w:pPr>
            <w:r>
              <w:rPr>
                <w:rFonts w:ascii="Arial" w:cs="Arial" w:eastAsia="Arial" w:hAnsi="Arial"/>
                <w:sz w:val="18"/>
                <w:szCs w:val="18"/>
                <w:color w:val="auto"/>
              </w:rPr>
              <w:t>applicable rules and</w:t>
            </w:r>
          </w:p>
        </w:tc>
        <w:tc>
          <w:tcPr>
            <w:tcW w:w="120" w:type="dxa"/>
            <w:vAlign w:val="bottom"/>
          </w:tcPr>
          <w:p>
            <w:pPr>
              <w:spacing w:after="0"/>
              <w:rPr>
                <w:sz w:val="18"/>
                <w:szCs w:val="18"/>
                <w:color w:val="auto"/>
              </w:rPr>
            </w:pPr>
          </w:p>
        </w:tc>
        <w:tc>
          <w:tcPr>
            <w:tcW w:w="6260" w:type="dxa"/>
            <w:vAlign w:val="bottom"/>
          </w:tcPr>
          <w:p>
            <w:pPr>
              <w:ind w:left="300"/>
              <w:spacing w:after="0"/>
              <w:rPr>
                <w:sz w:val="20"/>
                <w:szCs w:val="20"/>
                <w:color w:val="auto"/>
              </w:rPr>
            </w:pPr>
            <w:r>
              <w:rPr>
                <w:rFonts w:ascii="Arial" w:cs="Arial" w:eastAsia="Arial" w:hAnsi="Arial"/>
                <w:sz w:val="18"/>
                <w:szCs w:val="18"/>
                <w:color w:val="auto"/>
              </w:rPr>
              <w:t>• Considering the adequacy of our internal controls and internal audit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340"/>
              <w:spacing w:after="0"/>
              <w:rPr>
                <w:sz w:val="20"/>
                <w:szCs w:val="20"/>
                <w:color w:val="auto"/>
              </w:rPr>
            </w:pPr>
            <w:r>
              <w:rPr>
                <w:rFonts w:ascii="Arial" w:cs="Arial" w:eastAsia="Arial" w:hAnsi="Arial"/>
                <w:sz w:val="18"/>
                <w:szCs w:val="18"/>
                <w:color w:val="auto"/>
                <w:w w:val="98"/>
              </w:rPr>
              <w:t>regulations of the SEC and</w:t>
            </w:r>
          </w:p>
        </w:tc>
        <w:tc>
          <w:tcPr>
            <w:tcW w:w="120" w:type="dxa"/>
            <w:vAlign w:val="bottom"/>
          </w:tcPr>
          <w:p>
            <w:pPr>
              <w:spacing w:after="0"/>
              <w:rPr>
                <w:sz w:val="18"/>
                <w:szCs w:val="18"/>
                <w:color w:val="auto"/>
              </w:rPr>
            </w:pPr>
          </w:p>
        </w:tc>
        <w:tc>
          <w:tcPr>
            <w:tcW w:w="6260" w:type="dxa"/>
            <w:vAlign w:val="bottom"/>
          </w:tcPr>
          <w:p>
            <w:pPr>
              <w:ind w:left="480"/>
              <w:spacing w:after="0"/>
              <w:rPr>
                <w:sz w:val="20"/>
                <w:szCs w:val="20"/>
                <w:color w:val="auto"/>
              </w:rPr>
            </w:pPr>
            <w:r>
              <w:rPr>
                <w:rFonts w:ascii="Arial" w:cs="Arial" w:eastAsia="Arial" w:hAnsi="Arial"/>
                <w:sz w:val="18"/>
                <w:szCs w:val="18"/>
                <w:color w:val="auto"/>
              </w:rPr>
              <w:t>function;</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480" w:type="dxa"/>
            <w:vAlign w:val="bottom"/>
          </w:tcPr>
          <w:p>
            <w:pPr>
              <w:ind w:left="340"/>
              <w:spacing w:after="0"/>
              <w:rPr>
                <w:sz w:val="20"/>
                <w:szCs w:val="20"/>
                <w:color w:val="auto"/>
              </w:rPr>
            </w:pPr>
            <w:r>
              <w:rPr>
                <w:rFonts w:ascii="Arial" w:cs="Arial" w:eastAsia="Arial" w:hAnsi="Arial"/>
                <w:sz w:val="18"/>
                <w:szCs w:val="18"/>
                <w:color w:val="auto"/>
              </w:rPr>
              <w:t>Nasdaq.</w:t>
            </w:r>
          </w:p>
        </w:tc>
        <w:tc>
          <w:tcPr>
            <w:tcW w:w="120" w:type="dxa"/>
            <w:vAlign w:val="bottom"/>
          </w:tcPr>
          <w:p>
            <w:pPr>
              <w:spacing w:after="0"/>
              <w:rPr>
                <w:sz w:val="20"/>
                <w:szCs w:val="20"/>
                <w:color w:val="auto"/>
              </w:rPr>
            </w:pPr>
          </w:p>
        </w:tc>
        <w:tc>
          <w:tcPr>
            <w:tcW w:w="6260" w:type="dxa"/>
            <w:vAlign w:val="bottom"/>
            <w:vMerge w:val="restart"/>
          </w:tcPr>
          <w:p>
            <w:pPr>
              <w:ind w:left="300"/>
              <w:spacing w:after="0"/>
              <w:rPr>
                <w:sz w:val="20"/>
                <w:szCs w:val="20"/>
                <w:color w:val="auto"/>
              </w:rPr>
            </w:pPr>
            <w:r>
              <w:rPr>
                <w:rFonts w:ascii="Arial" w:cs="Arial" w:eastAsia="Arial" w:hAnsi="Arial"/>
                <w:sz w:val="18"/>
                <w:szCs w:val="18"/>
                <w:color w:val="auto"/>
                <w:w w:val="99"/>
              </w:rPr>
              <w:t>• Reviewing significant existing and emerging cybersecurity risks, including</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2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480" w:type="dxa"/>
            <w:vAlign w:val="bottom"/>
            <w:vMerge w:val="restart"/>
          </w:tcPr>
          <w:p>
            <w:pPr>
              <w:ind w:left="340"/>
              <w:spacing w:after="0"/>
              <w:rPr>
                <w:sz w:val="20"/>
                <w:szCs w:val="20"/>
                <w:color w:val="auto"/>
              </w:rPr>
            </w:pPr>
            <w:r>
              <w:rPr>
                <w:rFonts w:ascii="Arial" w:cs="Arial" w:eastAsia="Arial" w:hAnsi="Arial"/>
                <w:sz w:val="18"/>
                <w:szCs w:val="18"/>
                <w:color w:val="auto"/>
              </w:rPr>
              <w:t>Each of Daphne Quimi,</w:t>
            </w:r>
          </w:p>
        </w:tc>
        <w:tc>
          <w:tcPr>
            <w:tcW w:w="120" w:type="dxa"/>
            <w:vAlign w:val="bottom"/>
          </w:tcPr>
          <w:p>
            <w:pPr>
              <w:spacing w:after="0"/>
              <w:rPr>
                <w:sz w:val="18"/>
                <w:szCs w:val="18"/>
                <w:color w:val="auto"/>
              </w:rPr>
            </w:pPr>
          </w:p>
        </w:tc>
        <w:tc>
          <w:tcPr>
            <w:tcW w:w="6260" w:type="dxa"/>
            <w:vAlign w:val="bottom"/>
          </w:tcPr>
          <w:p>
            <w:pPr>
              <w:ind w:left="480"/>
              <w:spacing w:after="0"/>
              <w:rPr>
                <w:sz w:val="20"/>
                <w:szCs w:val="20"/>
                <w:color w:val="auto"/>
              </w:rPr>
            </w:pPr>
            <w:r>
              <w:rPr>
                <w:rFonts w:ascii="Arial" w:cs="Arial" w:eastAsia="Arial" w:hAnsi="Arial"/>
                <w:sz w:val="18"/>
                <w:szCs w:val="18"/>
                <w:color w:val="auto"/>
                <w:w w:val="98"/>
              </w:rPr>
              <w:t>material cybersecurity incidents, the impact on us and our stockholders of</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4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260" w:type="dxa"/>
            <w:vAlign w:val="bottom"/>
            <w:vMerge w:val="restart"/>
          </w:tcPr>
          <w:p>
            <w:pPr>
              <w:ind w:left="480"/>
              <w:spacing w:after="0"/>
              <w:rPr>
                <w:sz w:val="20"/>
                <w:szCs w:val="20"/>
                <w:color w:val="auto"/>
              </w:rPr>
            </w:pPr>
            <w:r>
              <w:rPr>
                <w:rFonts w:ascii="Arial" w:cs="Arial" w:eastAsia="Arial" w:hAnsi="Arial"/>
                <w:sz w:val="18"/>
                <w:szCs w:val="18"/>
                <w:color w:val="auto"/>
              </w:rPr>
              <w:t>any significant cybersecurity incident and any disclosure obligations</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480" w:type="dxa"/>
            <w:vAlign w:val="bottom"/>
            <w:vMerge w:val="restart"/>
          </w:tcPr>
          <w:p>
            <w:pPr>
              <w:ind w:left="340"/>
              <w:spacing w:after="0"/>
              <w:rPr>
                <w:sz w:val="20"/>
                <w:szCs w:val="20"/>
                <w:color w:val="auto"/>
              </w:rPr>
            </w:pPr>
            <w:r>
              <w:rPr>
                <w:rFonts w:ascii="Arial" w:cs="Arial" w:eastAsia="Arial" w:hAnsi="Arial"/>
                <w:sz w:val="18"/>
                <w:szCs w:val="18"/>
                <w:color w:val="auto"/>
              </w:rPr>
              <w:t>Han Lee and Alessandro</w:t>
            </w:r>
          </w:p>
        </w:tc>
        <w:tc>
          <w:tcPr>
            <w:tcW w:w="120" w:type="dxa"/>
            <w:vAlign w:val="bottom"/>
          </w:tcPr>
          <w:p>
            <w:pPr>
              <w:spacing w:after="0"/>
              <w:rPr>
                <w:sz w:val="8"/>
                <w:szCs w:val="8"/>
                <w:color w:val="auto"/>
              </w:rPr>
            </w:pPr>
          </w:p>
        </w:tc>
        <w:tc>
          <w:tcPr>
            <w:tcW w:w="62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4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260" w:type="dxa"/>
            <w:vAlign w:val="bottom"/>
            <w:vMerge w:val="restart"/>
          </w:tcPr>
          <w:p>
            <w:pPr>
              <w:ind w:left="480"/>
              <w:spacing w:after="0"/>
              <w:rPr>
                <w:sz w:val="20"/>
                <w:szCs w:val="20"/>
                <w:color w:val="auto"/>
              </w:rPr>
            </w:pPr>
            <w:r>
              <w:rPr>
                <w:rFonts w:ascii="Arial" w:cs="Arial" w:eastAsia="Arial" w:hAnsi="Arial"/>
                <w:sz w:val="18"/>
                <w:szCs w:val="18"/>
                <w:color w:val="auto"/>
              </w:rPr>
              <w:t>arising from any such incidents;</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480" w:type="dxa"/>
            <w:vAlign w:val="bottom"/>
            <w:vMerge w:val="restart"/>
          </w:tcPr>
          <w:p>
            <w:pPr>
              <w:ind w:left="340"/>
              <w:spacing w:after="0"/>
              <w:rPr>
                <w:sz w:val="20"/>
                <w:szCs w:val="20"/>
                <w:color w:val="auto"/>
              </w:rPr>
            </w:pPr>
            <w:r>
              <w:rPr>
                <w:rFonts w:ascii="Arial" w:cs="Arial" w:eastAsia="Arial" w:hAnsi="Arial"/>
                <w:sz w:val="18"/>
                <w:szCs w:val="18"/>
                <w:color w:val="auto"/>
              </w:rPr>
              <w:t>Riva qualifies as an “audit</w:t>
            </w:r>
          </w:p>
        </w:tc>
        <w:tc>
          <w:tcPr>
            <w:tcW w:w="120" w:type="dxa"/>
            <w:vAlign w:val="bottom"/>
          </w:tcPr>
          <w:p>
            <w:pPr>
              <w:spacing w:after="0"/>
              <w:rPr>
                <w:sz w:val="10"/>
                <w:szCs w:val="10"/>
                <w:color w:val="auto"/>
              </w:rPr>
            </w:pPr>
          </w:p>
        </w:tc>
        <w:tc>
          <w:tcPr>
            <w:tcW w:w="62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4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340"/>
              <w:spacing w:after="0"/>
              <w:rPr>
                <w:sz w:val="20"/>
                <w:szCs w:val="20"/>
                <w:color w:val="auto"/>
              </w:rPr>
            </w:pPr>
            <w:r>
              <w:rPr>
                <w:rFonts w:ascii="Arial" w:cs="Arial" w:eastAsia="Arial" w:hAnsi="Arial"/>
                <w:sz w:val="18"/>
                <w:szCs w:val="18"/>
                <w:color w:val="auto"/>
                <w:w w:val="98"/>
              </w:rPr>
              <w:t>committee financial expert”</w:t>
            </w:r>
          </w:p>
        </w:tc>
        <w:tc>
          <w:tcPr>
            <w:tcW w:w="120" w:type="dxa"/>
            <w:vAlign w:val="bottom"/>
          </w:tcPr>
          <w:p>
            <w:pPr>
              <w:spacing w:after="0"/>
              <w:rPr>
                <w:sz w:val="18"/>
                <w:szCs w:val="18"/>
                <w:color w:val="auto"/>
              </w:rPr>
            </w:pPr>
          </w:p>
        </w:tc>
        <w:tc>
          <w:tcPr>
            <w:tcW w:w="6260" w:type="dxa"/>
            <w:vAlign w:val="bottom"/>
          </w:tcPr>
          <w:p>
            <w:pPr>
              <w:ind w:left="300"/>
              <w:spacing w:after="0"/>
              <w:rPr>
                <w:sz w:val="20"/>
                <w:szCs w:val="20"/>
                <w:color w:val="auto"/>
              </w:rPr>
            </w:pPr>
            <w:r>
              <w:rPr>
                <w:rFonts w:ascii="Arial" w:cs="Arial" w:eastAsia="Arial" w:hAnsi="Arial"/>
                <w:sz w:val="18"/>
                <w:szCs w:val="18"/>
                <w:color w:val="auto"/>
                <w:w w:val="99"/>
              </w:rPr>
              <w:t>• Monitoring and reviewing legal, regulatory, and administrative compliance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tcPr>
          <w:p>
            <w:pPr>
              <w:ind w:left="340"/>
              <w:spacing w:after="0"/>
              <w:rPr>
                <w:sz w:val="20"/>
                <w:szCs w:val="20"/>
                <w:color w:val="auto"/>
              </w:rPr>
            </w:pPr>
            <w:r>
              <w:rPr>
                <w:rFonts w:ascii="Arial" w:cs="Arial" w:eastAsia="Arial" w:hAnsi="Arial"/>
                <w:sz w:val="18"/>
                <w:szCs w:val="18"/>
                <w:color w:val="auto"/>
                <w:w w:val="99"/>
              </w:rPr>
              <w:t>within the meaning of SEC</w:t>
            </w:r>
          </w:p>
        </w:tc>
        <w:tc>
          <w:tcPr>
            <w:tcW w:w="120" w:type="dxa"/>
            <w:vAlign w:val="bottom"/>
          </w:tcPr>
          <w:p>
            <w:pPr>
              <w:spacing w:after="0"/>
              <w:rPr>
                <w:sz w:val="20"/>
                <w:szCs w:val="20"/>
                <w:color w:val="auto"/>
              </w:rPr>
            </w:pPr>
          </w:p>
        </w:tc>
        <w:tc>
          <w:tcPr>
            <w:tcW w:w="6260" w:type="dxa"/>
            <w:vAlign w:val="bottom"/>
          </w:tcPr>
          <w:p>
            <w:pPr>
              <w:ind w:left="480"/>
              <w:spacing w:after="0"/>
              <w:rPr>
                <w:sz w:val="20"/>
                <w:szCs w:val="20"/>
                <w:color w:val="auto"/>
              </w:rPr>
            </w:pPr>
            <w:r>
              <w:rPr>
                <w:rFonts w:ascii="Arial" w:cs="Arial" w:eastAsia="Arial" w:hAnsi="Arial"/>
                <w:sz w:val="18"/>
                <w:szCs w:val="18"/>
                <w:color w:val="auto"/>
              </w:rPr>
              <w:t>to the extent affecting our financial results;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-1653540</wp:posOffset>
            </wp:positionV>
            <wp:extent cx="76835" cy="774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-659130</wp:posOffset>
            </wp:positionV>
            <wp:extent cx="76835" cy="774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77470"/>
                    </a:xfrm>
                    <a:prstGeom prst="rect">
                      <a:avLst/>
                    </a:prstGeom>
                    <a:noFill/>
                  </pic:spPr>
                </pic:pic>
              </a:graphicData>
            </a:graphic>
          </wp:anchor>
        </w:drawing>
      </w:r>
    </w:p>
    <w:p>
      <w:pPr>
        <w:ind w:left="1200"/>
        <w:spacing w:after="0" w:line="187" w:lineRule="auto"/>
        <w:rPr>
          <w:sz w:val="20"/>
          <w:szCs w:val="20"/>
          <w:color w:val="auto"/>
        </w:rPr>
      </w:pPr>
      <w:r>
        <w:rPr>
          <w:rFonts w:ascii="Arial" w:cs="Arial" w:eastAsia="Arial" w:hAnsi="Arial"/>
          <w:sz w:val="18"/>
          <w:szCs w:val="18"/>
          <w:color w:val="auto"/>
        </w:rPr>
        <w:t>regulations.</w:t>
      </w:r>
    </w:p>
    <w:p>
      <w:pPr>
        <w:spacing w:after="0" w:line="1" w:lineRule="exact"/>
        <w:rPr>
          <w:sz w:val="20"/>
          <w:szCs w:val="20"/>
          <w:color w:val="auto"/>
        </w:rPr>
      </w:pPr>
    </w:p>
    <w:p>
      <w:pPr>
        <w:jc w:val="center"/>
        <w:ind w:left="2560"/>
        <w:spacing w:after="0"/>
        <w:rPr>
          <w:sz w:val="20"/>
          <w:szCs w:val="20"/>
          <w:color w:val="auto"/>
        </w:rPr>
      </w:pPr>
      <w:r>
        <w:rPr>
          <w:rFonts w:ascii="Arial" w:cs="Arial" w:eastAsia="Arial" w:hAnsi="Arial"/>
          <w:sz w:val="18"/>
          <w:szCs w:val="18"/>
          <w:color w:val="auto"/>
        </w:rPr>
        <w:t>• Reviewing our Code of Conduct and any proposed waivers thereof, and</w:t>
      </w:r>
    </w:p>
    <w:p>
      <w:pPr>
        <w:spacing w:after="0" w:line="9" w:lineRule="exact"/>
        <w:rPr>
          <w:sz w:val="20"/>
          <w:szCs w:val="20"/>
          <w:color w:val="auto"/>
        </w:rPr>
      </w:pPr>
    </w:p>
    <w:p>
      <w:pPr>
        <w:jc w:val="center"/>
        <w:ind w:left="2540"/>
        <w:spacing w:after="0"/>
        <w:rPr>
          <w:sz w:val="20"/>
          <w:szCs w:val="20"/>
          <w:color w:val="auto"/>
        </w:rPr>
      </w:pPr>
      <w:r>
        <w:rPr>
          <w:rFonts w:ascii="Arial" w:cs="Arial" w:eastAsia="Arial" w:hAnsi="Arial"/>
          <w:sz w:val="18"/>
          <w:szCs w:val="18"/>
          <w:color w:val="auto"/>
        </w:rPr>
        <w:t>recommending any changes or amendments to the Code of Conduct;</w:t>
      </w:r>
    </w:p>
    <w:p>
      <w:pPr>
        <w:spacing w:after="0" w:line="140" w:lineRule="exact"/>
        <w:rPr>
          <w:sz w:val="20"/>
          <w:szCs w:val="20"/>
          <w:color w:val="auto"/>
        </w:rPr>
      </w:pPr>
    </w:p>
    <w:p>
      <w:pPr>
        <w:ind w:left="3940" w:right="759" w:hanging="179"/>
        <w:spacing w:after="0" w:line="287" w:lineRule="auto"/>
        <w:rPr>
          <w:sz w:val="20"/>
          <w:szCs w:val="20"/>
          <w:color w:val="auto"/>
        </w:rPr>
      </w:pPr>
      <w:r>
        <w:rPr>
          <w:rFonts w:ascii="Arial" w:cs="Arial" w:eastAsia="Arial" w:hAnsi="Arial"/>
          <w:sz w:val="18"/>
          <w:szCs w:val="18"/>
          <w:color w:val="auto"/>
        </w:rPr>
        <w:t>• Reviewing, approving, ratifying or prohibiting material related party transactions;</w:t>
      </w:r>
    </w:p>
    <w:p>
      <w:pPr>
        <w:spacing w:after="0" w:line="72" w:lineRule="exact"/>
        <w:rPr>
          <w:sz w:val="20"/>
          <w:szCs w:val="20"/>
          <w:color w:val="auto"/>
        </w:rPr>
      </w:pPr>
    </w:p>
    <w:p>
      <w:pPr>
        <w:ind w:left="3940" w:right="219" w:hanging="179"/>
        <w:spacing w:after="0" w:line="268" w:lineRule="auto"/>
        <w:rPr>
          <w:sz w:val="20"/>
          <w:szCs w:val="20"/>
          <w:color w:val="auto"/>
        </w:rPr>
      </w:pPr>
      <w:r>
        <w:rPr>
          <w:rFonts w:ascii="Arial" w:cs="Arial" w:eastAsia="Arial" w:hAnsi="Arial"/>
          <w:sz w:val="18"/>
          <w:szCs w:val="18"/>
          <w:color w:val="auto"/>
        </w:rPr>
        <w:t>• Determining and reviewing risk assessment guidelines and policies, including cybersecurity risks, financial risk exposure, and internal controls regarding information security; and</w:t>
      </w:r>
    </w:p>
    <w:p>
      <w:pPr>
        <w:spacing w:after="0" w:line="103" w:lineRule="exact"/>
        <w:rPr>
          <w:sz w:val="20"/>
          <w:szCs w:val="20"/>
          <w:color w:val="auto"/>
        </w:rPr>
      </w:pPr>
    </w:p>
    <w:p>
      <w:pPr>
        <w:ind w:left="3940" w:right="199" w:hanging="179"/>
        <w:spacing w:after="0" w:line="318" w:lineRule="auto"/>
        <w:rPr>
          <w:sz w:val="20"/>
          <w:szCs w:val="20"/>
          <w:color w:val="auto"/>
        </w:rPr>
      </w:pPr>
      <w:r>
        <w:rPr>
          <w:rFonts w:ascii="Arial" w:cs="Arial" w:eastAsia="Arial" w:hAnsi="Arial"/>
          <w:sz w:val="17"/>
          <w:szCs w:val="17"/>
          <w:color w:val="auto"/>
        </w:rPr>
        <w:t>• Approving or, as permitted, pre-approving all audit and non-audit services to be performed by the independent registered public accounting firm.</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73" w:lineRule="exact"/>
        <w:rPr>
          <w:sz w:val="20"/>
          <w:szCs w:val="20"/>
          <w:color w:val="auto"/>
        </w:rPr>
      </w:pPr>
    </w:p>
    <w:tbl>
      <w:tblPr>
        <w:tblLayout w:type="fixed"/>
        <w:tblInd w:w="860" w:type="dxa"/>
        <w:tblCellMar>
          <w:top w:w="0" w:type="dxa"/>
          <w:left w:w="0" w:type="dxa"/>
          <w:bottom w:w="0" w:type="dxa"/>
          <w:right w:w="0" w:type="dxa"/>
        </w:tblCellMar>
      </w:tblPr>
      <w:tr>
        <w:trPr>
          <w:trHeight w:val="378"/>
        </w:trPr>
        <w:tc>
          <w:tcPr>
            <w:tcW w:w="8820" w:type="dxa"/>
            <w:vAlign w:val="bottom"/>
            <w:gridSpan w:val="4"/>
            <w:shd w:val="clear" w:color="auto" w:fill="1DA46F"/>
          </w:tcPr>
          <w:p>
            <w:pPr>
              <w:ind w:left="20"/>
              <w:spacing w:after="0"/>
              <w:rPr>
                <w:sz w:val="20"/>
                <w:szCs w:val="20"/>
                <w:color w:val="auto"/>
              </w:rPr>
            </w:pPr>
            <w:r>
              <w:rPr>
                <w:rFonts w:ascii="Arial" w:cs="Arial" w:eastAsia="Arial" w:hAnsi="Arial"/>
                <w:sz w:val="32"/>
                <w:szCs w:val="32"/>
                <w:b w:val="1"/>
                <w:bCs w:val="1"/>
                <w:color w:val="FFFFFF"/>
                <w:shd w:val="clear" w:color="auto" w:fill="1DA46F"/>
              </w:rPr>
              <w:t>​CORPORATE GOVERNANCE AND RISK MANAGEMENT</w:t>
            </w:r>
          </w:p>
        </w:tc>
        <w:tc>
          <w:tcPr>
            <w:tcW w:w="160" w:type="dxa"/>
            <w:vAlign w:val="bottom"/>
            <w:shd w:val="clear" w:color="auto" w:fill="1DA46F"/>
          </w:tcPr>
          <w:p>
            <w:pPr>
              <w:ind w:left="60"/>
              <w:spacing w:after="0"/>
              <w:rPr>
                <w:sz w:val="20"/>
                <w:szCs w:val="20"/>
                <w:color w:val="auto"/>
              </w:rPr>
            </w:pPr>
            <w:r>
              <w:rPr>
                <w:rFonts w:ascii="Arial" w:cs="Arial" w:eastAsia="Arial" w:hAnsi="Arial"/>
                <w:sz w:val="32"/>
                <w:szCs w:val="32"/>
                <w:b w:val="1"/>
                <w:bCs w:val="1"/>
                <w:color w:val="FFFFFF"/>
                <w:shd w:val="clear" w:color="auto" w:fill="1DA46F"/>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0" w:type="dxa"/>
            <w:vAlign w:val="bottom"/>
          </w:tcPr>
          <w:p>
            <w:pPr>
              <w:ind w:left="60"/>
              <w:spacing w:after="0"/>
              <w:rPr>
                <w:sz w:val="20"/>
                <w:szCs w:val="20"/>
                <w:color w:val="auto"/>
              </w:rPr>
            </w:pPr>
            <w:r>
              <w:rPr>
                <w:rFonts w:ascii="Arial" w:cs="Arial" w:eastAsia="Arial" w:hAnsi="Arial"/>
                <w:sz w:val="22"/>
                <w:szCs w:val="22"/>
                <w:b w:val="1"/>
                <w:bCs w:val="1"/>
                <w:color w:val="148CD9"/>
              </w:rPr>
              <w:t>​</w:t>
            </w:r>
          </w:p>
        </w:tc>
        <w:tc>
          <w:tcPr>
            <w:tcW w:w="8400" w:type="dxa"/>
            <w:vAlign w:val="bottom"/>
            <w:gridSpan w:val="3"/>
          </w:tcPr>
          <w:p>
            <w:pPr>
              <w:ind w:left="900"/>
              <w:spacing w:after="0"/>
              <w:rPr>
                <w:sz w:val="20"/>
                <w:szCs w:val="20"/>
                <w:color w:val="auto"/>
              </w:rPr>
            </w:pPr>
            <w:r>
              <w:rPr>
                <w:rFonts w:ascii="Arial" w:cs="Arial" w:eastAsia="Arial" w:hAnsi="Arial"/>
                <w:sz w:val="22"/>
                <w:szCs w:val="22"/>
                <w:b w:val="1"/>
                <w:bCs w:val="1"/>
                <w:color w:val="148CD9"/>
              </w:rPr>
              <w:t>THE NOMINATING &amp; CORPORATE GOVERNANCE COMMITTEE</w:t>
            </w:r>
          </w:p>
        </w:tc>
        <w:tc>
          <w:tcPr>
            <w:tcW w:w="180" w:type="dxa"/>
            <w:vAlign w:val="bottom"/>
            <w:gridSpan w:val="2"/>
          </w:tcPr>
          <w:p>
            <w:pPr>
              <w:ind w:left="120"/>
              <w:spacing w:after="0"/>
              <w:rPr>
                <w:sz w:val="20"/>
                <w:szCs w:val="20"/>
                <w:color w:val="auto"/>
              </w:rPr>
            </w:pPr>
            <w:r>
              <w:rPr>
                <w:rFonts w:ascii="Arial" w:cs="Arial" w:eastAsia="Arial" w:hAnsi="Arial"/>
                <w:sz w:val="22"/>
                <w:szCs w:val="22"/>
                <w:b w:val="1"/>
                <w:bCs w:val="1"/>
                <w:color w:val="148CD9"/>
              </w:rPr>
              <w:t>​</w:t>
            </w:r>
          </w:p>
        </w:tc>
        <w:tc>
          <w:tcPr>
            <w:tcW w:w="0" w:type="dxa"/>
            <w:vAlign w:val="bottom"/>
          </w:tcPr>
          <w:p>
            <w:pPr>
              <w:spacing w:after="0"/>
              <w:rPr>
                <w:sz w:val="1"/>
                <w:szCs w:val="1"/>
                <w:color w:val="auto"/>
              </w:rPr>
            </w:pPr>
          </w:p>
        </w:tc>
      </w:tr>
      <w:tr>
        <w:trPr>
          <w:trHeight w:val="255"/>
        </w:trPr>
        <w:tc>
          <w:tcPr>
            <w:tcW w:w="8820" w:type="dxa"/>
            <w:vAlign w:val="bottom"/>
            <w:tcBorders>
              <w:top w:val="single" w:sz="8" w:color="1DA46F"/>
            </w:tcBorders>
            <w:gridSpan w:val="4"/>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148CD9"/>
              </w:rPr>
              <w:t>Chair</w:t>
            </w:r>
            <w:r>
              <w:rPr>
                <w:rFonts w:ascii="Arial" w:cs="Arial" w:eastAsia="Arial" w:hAnsi="Arial"/>
                <w:sz w:val="18"/>
                <w:szCs w:val="18"/>
                <w:color w:val="auto"/>
              </w:rPr>
              <w:t>: Kimberly Blackwell, M.D. ​ ​ Responsible for, among other things:</w:t>
            </w:r>
          </w:p>
        </w:tc>
        <w:tc>
          <w:tcPr>
            <w:tcW w:w="160" w:type="dxa"/>
            <w:vAlign w:val="bottom"/>
            <w:tcBorders>
              <w:top w:val="single" w:sz="8" w:color="1DA46F"/>
            </w:tcBorders>
          </w:tcPr>
          <w:p>
            <w:pPr>
              <w:ind w:lef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7"/>
        </w:trPr>
        <w:tc>
          <w:tcPr>
            <w:tcW w:w="2660" w:type="dxa"/>
            <w:vAlign w:val="bottom"/>
            <w:gridSpan w:val="2"/>
          </w:tcPr>
          <w:p>
            <w:pPr>
              <w:ind w:left="120"/>
              <w:spacing w:after="0"/>
              <w:rPr>
                <w:sz w:val="20"/>
                <w:szCs w:val="20"/>
                <w:color w:val="auto"/>
              </w:rPr>
            </w:pPr>
            <w:r>
              <w:rPr>
                <w:rFonts w:ascii="Arial" w:cs="Arial" w:eastAsia="Arial" w:hAnsi="Arial"/>
                <w:sz w:val="18"/>
                <w:szCs w:val="18"/>
                <w:b w:val="1"/>
                <w:bCs w:val="1"/>
                <w:color w:val="148CD9"/>
              </w:rPr>
              <w:t>Additional Committee</w:t>
            </w:r>
          </w:p>
        </w:tc>
        <w:tc>
          <w:tcPr>
            <w:tcW w:w="160" w:type="dxa"/>
            <w:vAlign w:val="bottom"/>
          </w:tcPr>
          <w:p>
            <w:pPr>
              <w:spacing w:after="0"/>
              <w:rPr>
                <w:sz w:val="24"/>
                <w:szCs w:val="24"/>
                <w:color w:val="auto"/>
              </w:rPr>
            </w:pPr>
          </w:p>
        </w:tc>
        <w:tc>
          <w:tcPr>
            <w:tcW w:w="6000" w:type="dxa"/>
            <w:vAlign w:val="bottom"/>
          </w:tcPr>
          <w:p>
            <w:pPr>
              <w:ind w:left="280"/>
              <w:spacing w:after="0"/>
              <w:rPr>
                <w:sz w:val="20"/>
                <w:szCs w:val="20"/>
                <w:color w:val="auto"/>
              </w:rPr>
            </w:pPr>
            <w:r>
              <w:rPr>
                <w:rFonts w:ascii="Arial" w:cs="Arial" w:eastAsia="Arial" w:hAnsi="Arial"/>
                <w:sz w:val="18"/>
                <w:szCs w:val="18"/>
                <w:color w:val="auto"/>
              </w:rPr>
              <w:t>• Developing and recommending selection criteria for new directors for</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660" w:type="dxa"/>
            <w:vAlign w:val="bottom"/>
            <w:gridSpan w:val="2"/>
          </w:tcPr>
          <w:p>
            <w:pPr>
              <w:ind w:left="120"/>
              <w:spacing w:after="0"/>
              <w:rPr>
                <w:sz w:val="20"/>
                <w:szCs w:val="20"/>
                <w:color w:val="auto"/>
              </w:rPr>
            </w:pPr>
            <w:r>
              <w:rPr>
                <w:rFonts w:ascii="Arial" w:cs="Arial" w:eastAsia="Arial" w:hAnsi="Arial"/>
                <w:sz w:val="18"/>
                <w:szCs w:val="18"/>
                <w:b w:val="1"/>
                <w:bCs w:val="1"/>
                <w:color w:val="148CD9"/>
              </w:rPr>
              <w:t>Members</w:t>
            </w:r>
            <w:r>
              <w:rPr>
                <w:rFonts w:ascii="Arial" w:cs="Arial" w:eastAsia="Arial" w:hAnsi="Arial"/>
                <w:sz w:val="18"/>
                <w:szCs w:val="18"/>
                <w:color w:val="000000"/>
              </w:rPr>
              <w:t>:</w:t>
            </w:r>
          </w:p>
        </w:tc>
        <w:tc>
          <w:tcPr>
            <w:tcW w:w="160" w:type="dxa"/>
            <w:vAlign w:val="bottom"/>
          </w:tcPr>
          <w:p>
            <w:pPr>
              <w:spacing w:after="0"/>
              <w:rPr>
                <w:sz w:val="22"/>
                <w:szCs w:val="22"/>
                <w:color w:val="auto"/>
              </w:rPr>
            </w:pPr>
          </w:p>
        </w:tc>
        <w:tc>
          <w:tcPr>
            <w:tcW w:w="6000" w:type="dxa"/>
            <w:vAlign w:val="bottom"/>
          </w:tcPr>
          <w:p>
            <w:pPr>
              <w:ind w:left="460"/>
              <w:spacing w:after="0"/>
              <w:rPr>
                <w:sz w:val="20"/>
                <w:szCs w:val="20"/>
                <w:color w:val="auto"/>
              </w:rPr>
            </w:pPr>
            <w:r>
              <w:rPr>
                <w:rFonts w:ascii="Arial" w:cs="Arial" w:eastAsia="Arial" w:hAnsi="Arial"/>
                <w:sz w:val="18"/>
                <w:szCs w:val="18"/>
                <w:color w:val="auto"/>
              </w:rPr>
              <w:t>our Board;</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7"/>
        </w:trPr>
        <w:tc>
          <w:tcPr>
            <w:tcW w:w="420" w:type="dxa"/>
            <w:vAlign w:val="bottom"/>
          </w:tcPr>
          <w:p>
            <w:pPr>
              <w:ind w:left="300"/>
              <w:spacing w:after="0"/>
              <w:rPr>
                <w:sz w:val="20"/>
                <w:szCs w:val="20"/>
                <w:color w:val="auto"/>
              </w:rPr>
            </w:pPr>
            <w:r>
              <w:rPr>
                <w:rFonts w:ascii="Arial" w:cs="Arial" w:eastAsia="Arial" w:hAnsi="Arial"/>
                <w:sz w:val="18"/>
                <w:szCs w:val="18"/>
                <w:color w:val="auto"/>
              </w:rPr>
              <w:t>•</w:t>
            </w:r>
          </w:p>
        </w:tc>
        <w:tc>
          <w:tcPr>
            <w:tcW w:w="2240" w:type="dxa"/>
            <w:vAlign w:val="bottom"/>
          </w:tcPr>
          <w:p>
            <w:pPr>
              <w:ind w:left="60"/>
              <w:spacing w:after="0"/>
              <w:rPr>
                <w:sz w:val="20"/>
                <w:szCs w:val="20"/>
                <w:color w:val="auto"/>
              </w:rPr>
            </w:pPr>
            <w:r>
              <w:rPr>
                <w:rFonts w:ascii="Arial" w:cs="Arial" w:eastAsia="Arial" w:hAnsi="Arial"/>
                <w:sz w:val="18"/>
                <w:szCs w:val="18"/>
                <w:color w:val="auto"/>
              </w:rPr>
              <w:t>Daphne Quimi</w:t>
            </w:r>
          </w:p>
        </w:tc>
        <w:tc>
          <w:tcPr>
            <w:tcW w:w="160" w:type="dxa"/>
            <w:vAlign w:val="bottom"/>
          </w:tcPr>
          <w:p>
            <w:pPr>
              <w:spacing w:after="0"/>
              <w:rPr>
                <w:sz w:val="24"/>
                <w:szCs w:val="24"/>
                <w:color w:val="auto"/>
              </w:rPr>
            </w:pPr>
          </w:p>
        </w:tc>
        <w:tc>
          <w:tcPr>
            <w:tcW w:w="6000" w:type="dxa"/>
            <w:vAlign w:val="bottom"/>
          </w:tcPr>
          <w:p>
            <w:pPr>
              <w:ind w:left="280"/>
              <w:spacing w:after="0"/>
              <w:rPr>
                <w:sz w:val="20"/>
                <w:szCs w:val="20"/>
                <w:color w:val="auto"/>
              </w:rPr>
            </w:pPr>
            <w:r>
              <w:rPr>
                <w:rFonts w:ascii="Arial" w:cs="Arial" w:eastAsia="Arial" w:hAnsi="Arial"/>
                <w:sz w:val="18"/>
                <w:szCs w:val="18"/>
                <w:color w:val="auto"/>
              </w:rPr>
              <w:t>• Identifying and recommending candidates for membership on our</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20" w:type="dxa"/>
            <w:vAlign w:val="bottom"/>
            <w:vMerge w:val="restart"/>
          </w:tcPr>
          <w:p>
            <w:pPr>
              <w:ind w:left="300"/>
              <w:spacing w:after="0"/>
              <w:rPr>
                <w:sz w:val="20"/>
                <w:szCs w:val="20"/>
                <w:color w:val="auto"/>
              </w:rPr>
            </w:pPr>
            <w:r>
              <w:rPr>
                <w:rFonts w:ascii="Arial" w:cs="Arial" w:eastAsia="Arial" w:hAnsi="Arial"/>
                <w:sz w:val="18"/>
                <w:szCs w:val="18"/>
                <w:color w:val="auto"/>
              </w:rPr>
              <w:t>•</w:t>
            </w:r>
          </w:p>
        </w:tc>
        <w:tc>
          <w:tcPr>
            <w:tcW w:w="2240" w:type="dxa"/>
            <w:vAlign w:val="bottom"/>
            <w:vMerge w:val="restart"/>
          </w:tcPr>
          <w:p>
            <w:pPr>
              <w:ind w:left="60"/>
              <w:spacing w:after="0"/>
              <w:rPr>
                <w:sz w:val="20"/>
                <w:szCs w:val="20"/>
                <w:color w:val="auto"/>
              </w:rPr>
            </w:pPr>
            <w:r>
              <w:rPr>
                <w:rFonts w:ascii="Arial" w:cs="Arial" w:eastAsia="Arial" w:hAnsi="Arial"/>
                <w:sz w:val="18"/>
                <w:szCs w:val="18"/>
                <w:color w:val="auto"/>
              </w:rPr>
              <w:t>Martin Murphy, Ph.D.</w:t>
            </w:r>
          </w:p>
        </w:tc>
        <w:tc>
          <w:tcPr>
            <w:tcW w:w="160" w:type="dxa"/>
            <w:vAlign w:val="bottom"/>
          </w:tcPr>
          <w:p>
            <w:pPr>
              <w:spacing w:after="0"/>
              <w:rPr>
                <w:sz w:val="20"/>
                <w:szCs w:val="20"/>
                <w:color w:val="auto"/>
              </w:rPr>
            </w:pPr>
          </w:p>
        </w:tc>
        <w:tc>
          <w:tcPr>
            <w:tcW w:w="6000" w:type="dxa"/>
            <w:vAlign w:val="bottom"/>
          </w:tcPr>
          <w:p>
            <w:pPr>
              <w:ind w:left="460"/>
              <w:spacing w:after="0"/>
              <w:rPr>
                <w:sz w:val="20"/>
                <w:szCs w:val="20"/>
                <w:color w:val="auto"/>
              </w:rPr>
            </w:pPr>
            <w:r>
              <w:rPr>
                <w:rFonts w:ascii="Arial" w:cs="Arial" w:eastAsia="Arial" w:hAnsi="Arial"/>
                <w:sz w:val="18"/>
                <w:szCs w:val="18"/>
                <w:color w:val="auto"/>
              </w:rPr>
              <w:t>Board;</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420" w:type="dxa"/>
            <w:vAlign w:val="bottom"/>
            <w:vMerge w:val="continue"/>
          </w:tcPr>
          <w:p>
            <w:pPr>
              <w:spacing w:after="0"/>
              <w:rPr>
                <w:sz w:val="10"/>
                <w:szCs w:val="10"/>
                <w:color w:val="auto"/>
              </w:rPr>
            </w:pPr>
          </w:p>
        </w:tc>
        <w:tc>
          <w:tcPr>
            <w:tcW w:w="22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420" w:type="dxa"/>
            <w:vAlign w:val="bottom"/>
            <w:vMerge w:val="restart"/>
          </w:tcPr>
          <w:p>
            <w:pPr>
              <w:ind w:left="120"/>
              <w:spacing w:after="0"/>
              <w:rPr>
                <w:sz w:val="20"/>
                <w:szCs w:val="20"/>
                <w:color w:val="auto"/>
              </w:rPr>
            </w:pPr>
            <w:r>
              <w:rPr>
                <w:rFonts w:ascii="Arial" w:cs="Arial" w:eastAsia="Arial" w:hAnsi="Arial"/>
                <w:sz w:val="18"/>
                <w:szCs w:val="18"/>
                <w:color w:val="auto"/>
              </w:rPr>
              <w:t> </w:t>
            </w:r>
          </w:p>
        </w:tc>
        <w:tc>
          <w:tcPr>
            <w:tcW w:w="2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0" w:type="dxa"/>
            <w:vAlign w:val="bottom"/>
          </w:tcPr>
          <w:p>
            <w:pPr>
              <w:ind w:left="280"/>
              <w:spacing w:after="0"/>
              <w:rPr>
                <w:sz w:val="20"/>
                <w:szCs w:val="20"/>
                <w:color w:val="auto"/>
              </w:rPr>
            </w:pPr>
            <w:r>
              <w:rPr>
                <w:rFonts w:ascii="Arial" w:cs="Arial" w:eastAsia="Arial" w:hAnsi="Arial"/>
                <w:sz w:val="18"/>
                <w:szCs w:val="18"/>
                <w:color w:val="auto"/>
              </w:rPr>
              <w:t>• Reviewing and determining director independence annually and, as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7"/>
        </w:trPr>
        <w:tc>
          <w:tcPr>
            <w:tcW w:w="420" w:type="dxa"/>
            <w:vAlign w:val="bottom"/>
            <w:vMerge w:val="continue"/>
          </w:tcPr>
          <w:p>
            <w:pPr>
              <w:spacing w:after="0"/>
              <w:rPr>
                <w:sz w:val="10"/>
                <w:szCs w:val="10"/>
                <w:color w:val="auto"/>
              </w:rPr>
            </w:pPr>
          </w:p>
        </w:tc>
        <w:tc>
          <w:tcPr>
            <w:tcW w:w="2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0" w:type="dxa"/>
            <w:vAlign w:val="bottom"/>
            <w:vMerge w:val="restart"/>
          </w:tcPr>
          <w:p>
            <w:pPr>
              <w:ind w:left="460"/>
              <w:spacing w:after="0" w:line="147" w:lineRule="exact"/>
              <w:rPr>
                <w:sz w:val="20"/>
                <w:szCs w:val="20"/>
                <w:color w:val="auto"/>
              </w:rPr>
            </w:pPr>
            <w:r>
              <w:rPr>
                <w:rFonts w:ascii="Arial" w:cs="Arial" w:eastAsia="Arial" w:hAnsi="Arial"/>
                <w:sz w:val="17"/>
                <w:szCs w:val="17"/>
                <w:color w:val="auto"/>
              </w:rPr>
              <w:t>needed, as potential conflicts of interest arise;</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420" w:type="dxa"/>
            <w:vAlign w:val="bottom"/>
            <w:tcBorders>
              <w:bottom w:val="single" w:sz="8" w:color="1DA46F"/>
            </w:tcBorders>
          </w:tcPr>
          <w:p>
            <w:pPr>
              <w:spacing w:after="0"/>
              <w:rPr>
                <w:sz w:val="2"/>
                <w:szCs w:val="2"/>
                <w:color w:val="auto"/>
              </w:rPr>
            </w:pPr>
          </w:p>
        </w:tc>
        <w:tc>
          <w:tcPr>
            <w:tcW w:w="2240" w:type="dxa"/>
            <w:vAlign w:val="bottom"/>
            <w:tcBorders>
              <w:bottom w:val="single" w:sz="8" w:color="1DA46F"/>
            </w:tcBorders>
          </w:tcPr>
          <w:p>
            <w:pPr>
              <w:spacing w:after="0"/>
              <w:rPr>
                <w:sz w:val="2"/>
                <w:szCs w:val="2"/>
                <w:color w:val="auto"/>
              </w:rPr>
            </w:pPr>
          </w:p>
        </w:tc>
        <w:tc>
          <w:tcPr>
            <w:tcW w:w="160" w:type="dxa"/>
            <w:vAlign w:val="bottom"/>
            <w:tcBorders>
              <w:bottom w:val="single" w:sz="8" w:color="1DA46F"/>
            </w:tcBorders>
          </w:tcPr>
          <w:p>
            <w:pPr>
              <w:spacing w:after="0"/>
              <w:rPr>
                <w:sz w:val="2"/>
                <w:szCs w:val="2"/>
                <w:color w:val="auto"/>
              </w:rPr>
            </w:pPr>
          </w:p>
        </w:tc>
        <w:tc>
          <w:tcPr>
            <w:tcW w:w="600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20" w:type="dxa"/>
            <w:vAlign w:val="bottom"/>
          </w:tcPr>
          <w:p>
            <w:pPr>
              <w:ind w:left="20"/>
              <w:spacing w:after="0" w:line="183" w:lineRule="exact"/>
              <w:rPr>
                <w:sz w:val="20"/>
                <w:szCs w:val="20"/>
                <w:color w:val="auto"/>
              </w:rPr>
            </w:pPr>
            <w:r>
              <w:rPr>
                <w:rFonts w:ascii="Arial" w:cs="Arial" w:eastAsia="Arial" w:hAnsi="Arial"/>
                <w:sz w:val="18"/>
                <w:szCs w:val="18"/>
                <w:color w:val="auto"/>
              </w:rPr>
              <w:t>​</w:t>
            </w:r>
          </w:p>
        </w:tc>
        <w:tc>
          <w:tcPr>
            <w:tcW w:w="2240" w:type="dxa"/>
            <w:vAlign w:val="bottom"/>
          </w:tcPr>
          <w:p>
            <w:pPr>
              <w:spacing w:after="0"/>
              <w:rPr>
                <w:sz w:val="15"/>
                <w:szCs w:val="15"/>
                <w:color w:val="auto"/>
              </w:rPr>
            </w:pPr>
          </w:p>
        </w:tc>
        <w:tc>
          <w:tcPr>
            <w:tcW w:w="6160" w:type="dxa"/>
            <w:vAlign w:val="bottom"/>
            <w:gridSpan w:val="2"/>
          </w:tcPr>
          <w:p>
            <w:pPr>
              <w:ind w:left="60"/>
              <w:spacing w:after="0" w:line="18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60" w:type="dxa"/>
            <w:vAlign w:val="bottom"/>
            <w:gridSpan w:val="2"/>
            <w:vMerge w:val="restart"/>
          </w:tcPr>
          <w:p>
            <w:pPr>
              <w:ind w:left="340"/>
              <w:spacing w:after="0"/>
              <w:rPr>
                <w:sz w:val="20"/>
                <w:szCs w:val="20"/>
                <w:color w:val="auto"/>
              </w:rPr>
            </w:pPr>
            <w:r>
              <w:rPr>
                <w:rFonts w:ascii="Arial" w:cs="Arial" w:eastAsia="Arial" w:hAnsi="Arial"/>
                <w:sz w:val="18"/>
                <w:szCs w:val="18"/>
                <w:color w:val="auto"/>
              </w:rPr>
              <w:t>All members are deemed</w:t>
            </w:r>
          </w:p>
        </w:tc>
        <w:tc>
          <w:tcPr>
            <w:tcW w:w="160" w:type="dxa"/>
            <w:vAlign w:val="bottom"/>
          </w:tcPr>
          <w:p>
            <w:pPr>
              <w:spacing w:after="0"/>
              <w:rPr>
                <w:sz w:val="18"/>
                <w:szCs w:val="18"/>
                <w:color w:val="auto"/>
              </w:rPr>
            </w:pPr>
          </w:p>
        </w:tc>
        <w:tc>
          <w:tcPr>
            <w:tcW w:w="6000" w:type="dxa"/>
            <w:vAlign w:val="bottom"/>
          </w:tcPr>
          <w:p>
            <w:pPr>
              <w:ind w:left="280"/>
              <w:spacing w:after="0"/>
              <w:rPr>
                <w:sz w:val="20"/>
                <w:szCs w:val="20"/>
                <w:color w:val="auto"/>
              </w:rPr>
            </w:pPr>
            <w:r>
              <w:rPr>
                <w:rFonts w:ascii="Arial" w:cs="Arial" w:eastAsia="Arial" w:hAnsi="Arial"/>
                <w:sz w:val="18"/>
                <w:szCs w:val="18"/>
                <w:color w:val="auto"/>
              </w:rPr>
              <w:t>• Reviewing and recommending the assignment of directors to serve on</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6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000" w:type="dxa"/>
            <w:vAlign w:val="bottom"/>
            <w:vMerge w:val="restart"/>
          </w:tcPr>
          <w:p>
            <w:pPr>
              <w:ind w:left="460"/>
              <w:spacing w:after="0"/>
              <w:rPr>
                <w:sz w:val="20"/>
                <w:szCs w:val="20"/>
                <w:color w:val="auto"/>
              </w:rPr>
            </w:pPr>
            <w:r>
              <w:rPr>
                <w:rFonts w:ascii="Arial" w:cs="Arial" w:eastAsia="Arial" w:hAnsi="Arial"/>
                <w:sz w:val="18"/>
                <w:szCs w:val="18"/>
                <w:color w:val="auto"/>
              </w:rPr>
              <w:t>each Board committee;</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660" w:type="dxa"/>
            <w:vAlign w:val="bottom"/>
            <w:gridSpan w:val="2"/>
          </w:tcPr>
          <w:p>
            <w:pPr>
              <w:ind w:left="340"/>
              <w:spacing w:after="0"/>
              <w:rPr>
                <w:sz w:val="20"/>
                <w:szCs w:val="20"/>
                <w:color w:val="auto"/>
              </w:rPr>
            </w:pPr>
            <w:r>
              <w:rPr>
                <w:rFonts w:ascii="Arial" w:cs="Arial" w:eastAsia="Arial" w:hAnsi="Arial"/>
                <w:sz w:val="18"/>
                <w:szCs w:val="18"/>
                <w:color w:val="auto"/>
                <w:w w:val="99"/>
              </w:rPr>
              <w:t>“independent” and financially</w:t>
            </w:r>
          </w:p>
        </w:tc>
        <w:tc>
          <w:tcPr>
            <w:tcW w:w="160" w:type="dxa"/>
            <w:vAlign w:val="bottom"/>
          </w:tcPr>
          <w:p>
            <w:pPr>
              <w:spacing w:after="0"/>
              <w:rPr>
                <w:sz w:val="20"/>
                <w:szCs w:val="20"/>
                <w:color w:val="auto"/>
              </w:rPr>
            </w:pPr>
          </w:p>
        </w:tc>
        <w:tc>
          <w:tcPr>
            <w:tcW w:w="60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-273050</wp:posOffset>
            </wp:positionV>
            <wp:extent cx="76835" cy="774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77470"/>
                    </a:xfrm>
                    <a:prstGeom prst="rect">
                      <a:avLst/>
                    </a:prstGeom>
                    <a:noFill/>
                  </pic:spPr>
                </pic:pic>
              </a:graphicData>
            </a:graphic>
          </wp:anchor>
        </w:drawing>
      </w:r>
    </w:p>
    <w:tbl>
      <w:tblPr>
        <w:tblLayout w:type="fixed"/>
        <w:tblInd w:w="1200" w:type="dxa"/>
        <w:tblCellMar>
          <w:top w:w="0" w:type="dxa"/>
          <w:left w:w="0" w:type="dxa"/>
          <w:bottom w:w="0" w:type="dxa"/>
          <w:right w:w="0" w:type="dxa"/>
        </w:tblCellMar>
      </w:tblPr>
      <w:tr>
        <w:trPr>
          <w:trHeight w:val="198"/>
        </w:trPr>
        <w:tc>
          <w:tcPr>
            <w:tcW w:w="2460" w:type="dxa"/>
            <w:vAlign w:val="bottom"/>
          </w:tcPr>
          <w:p>
            <w:pPr>
              <w:spacing w:after="0" w:line="198" w:lineRule="exact"/>
              <w:rPr>
                <w:sz w:val="20"/>
                <w:szCs w:val="20"/>
                <w:color w:val="auto"/>
              </w:rPr>
            </w:pPr>
            <w:r>
              <w:rPr>
                <w:rFonts w:ascii="Arial" w:cs="Arial" w:eastAsia="Arial" w:hAnsi="Arial"/>
                <w:sz w:val="18"/>
                <w:szCs w:val="18"/>
                <w:color w:val="auto"/>
              </w:rPr>
              <w:t>literate under the applicable</w:t>
            </w:r>
          </w:p>
        </w:tc>
        <w:tc>
          <w:tcPr>
            <w:tcW w:w="5940" w:type="dxa"/>
            <w:vAlign w:val="bottom"/>
            <w:vMerge w:val="restart"/>
          </w:tcPr>
          <w:p>
            <w:pPr>
              <w:ind w:left="300"/>
              <w:spacing w:after="0"/>
              <w:rPr>
                <w:sz w:val="20"/>
                <w:szCs w:val="20"/>
                <w:color w:val="auto"/>
              </w:rPr>
            </w:pPr>
            <w:r>
              <w:rPr>
                <w:rFonts w:ascii="Arial" w:cs="Arial" w:eastAsia="Arial" w:hAnsi="Arial"/>
                <w:sz w:val="18"/>
                <w:szCs w:val="18"/>
                <w:color w:val="auto"/>
                <w:w w:val="99"/>
              </w:rPr>
              <w:t>• Reviewing and recommending changes to our Corporate Governance</w:t>
            </w:r>
          </w:p>
        </w:tc>
        <w:tc>
          <w:tcPr>
            <w:tcW w:w="0" w:type="dxa"/>
            <w:vAlign w:val="bottom"/>
          </w:tcPr>
          <w:p>
            <w:pPr>
              <w:spacing w:after="0"/>
              <w:rPr>
                <w:sz w:val="1"/>
                <w:szCs w:val="1"/>
                <w:color w:val="auto"/>
              </w:rPr>
            </w:pPr>
          </w:p>
        </w:tc>
      </w:tr>
      <w:tr>
        <w:trPr>
          <w:trHeight w:val="81"/>
        </w:trPr>
        <w:tc>
          <w:tcPr>
            <w:tcW w:w="2460" w:type="dxa"/>
            <w:vAlign w:val="bottom"/>
            <w:vMerge w:val="restart"/>
          </w:tcPr>
          <w:p>
            <w:pPr>
              <w:spacing w:after="0"/>
              <w:rPr>
                <w:sz w:val="20"/>
                <w:szCs w:val="20"/>
                <w:color w:val="auto"/>
              </w:rPr>
            </w:pPr>
            <w:r>
              <w:rPr>
                <w:rFonts w:ascii="Arial" w:cs="Arial" w:eastAsia="Arial" w:hAnsi="Arial"/>
                <w:sz w:val="18"/>
                <w:szCs w:val="18"/>
                <w:color w:val="auto"/>
              </w:rPr>
              <w:t>rules and regulations of the</w:t>
            </w:r>
          </w:p>
        </w:tc>
        <w:tc>
          <w:tcPr>
            <w:tcW w:w="5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460" w:type="dxa"/>
            <w:vAlign w:val="bottom"/>
            <w:vMerge w:val="continue"/>
          </w:tcPr>
          <w:p>
            <w:pPr>
              <w:spacing w:after="0"/>
              <w:rPr>
                <w:sz w:val="11"/>
                <w:szCs w:val="11"/>
                <w:color w:val="auto"/>
              </w:rPr>
            </w:pPr>
          </w:p>
        </w:tc>
        <w:tc>
          <w:tcPr>
            <w:tcW w:w="5940" w:type="dxa"/>
            <w:vAlign w:val="bottom"/>
            <w:vMerge w:val="restart"/>
          </w:tcPr>
          <w:p>
            <w:pPr>
              <w:ind w:left="480"/>
              <w:spacing w:after="0"/>
              <w:rPr>
                <w:sz w:val="20"/>
                <w:szCs w:val="20"/>
                <w:color w:val="auto"/>
              </w:rPr>
            </w:pPr>
            <w:r>
              <w:rPr>
                <w:rFonts w:ascii="Arial" w:cs="Arial" w:eastAsia="Arial" w:hAnsi="Arial"/>
                <w:sz w:val="18"/>
                <w:szCs w:val="18"/>
                <w:color w:val="auto"/>
              </w:rPr>
              <w:t>Guidelines;</w:t>
            </w:r>
          </w:p>
        </w:tc>
        <w:tc>
          <w:tcPr>
            <w:tcW w:w="0" w:type="dxa"/>
            <w:vAlign w:val="bottom"/>
          </w:tcPr>
          <w:p>
            <w:pPr>
              <w:spacing w:after="0"/>
              <w:rPr>
                <w:sz w:val="1"/>
                <w:szCs w:val="1"/>
                <w:color w:val="auto"/>
              </w:rPr>
            </w:pPr>
          </w:p>
        </w:tc>
      </w:tr>
      <w:tr>
        <w:trPr>
          <w:trHeight w:val="104"/>
        </w:trPr>
        <w:tc>
          <w:tcPr>
            <w:tcW w:w="2460" w:type="dxa"/>
            <w:vAlign w:val="bottom"/>
            <w:vMerge w:val="restart"/>
          </w:tcPr>
          <w:p>
            <w:pPr>
              <w:spacing w:after="0"/>
              <w:rPr>
                <w:sz w:val="20"/>
                <w:szCs w:val="20"/>
                <w:color w:val="auto"/>
              </w:rPr>
            </w:pPr>
            <w:r>
              <w:rPr>
                <w:rFonts w:ascii="Arial" w:cs="Arial" w:eastAsia="Arial" w:hAnsi="Arial"/>
                <w:sz w:val="18"/>
                <w:szCs w:val="18"/>
                <w:color w:val="auto"/>
              </w:rPr>
              <w:t>SEC and Nasdaq.</w:t>
            </w: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60" w:type="dxa"/>
            <w:vAlign w:val="bottom"/>
            <w:vMerge w:val="continue"/>
          </w:tcPr>
          <w:p>
            <w:pPr>
              <w:spacing w:after="0"/>
              <w:rPr>
                <w:sz w:val="11"/>
                <w:szCs w:val="11"/>
                <w:color w:val="auto"/>
              </w:rPr>
            </w:pPr>
          </w:p>
        </w:tc>
        <w:tc>
          <w:tcPr>
            <w:tcW w:w="5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4140" w:hanging="174"/>
        <w:spacing w:after="0"/>
        <w:tabs>
          <w:tab w:leader="none" w:pos="4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Overseeing the succession planning process for our executive officers;</w:t>
      </w:r>
    </w:p>
    <w:p>
      <w:pPr>
        <w:spacing w:after="0" w:line="134" w:lineRule="exact"/>
        <w:rPr>
          <w:rFonts w:ascii="Arial" w:cs="Arial" w:eastAsia="Arial" w:hAnsi="Arial"/>
          <w:sz w:val="18"/>
          <w:szCs w:val="18"/>
          <w:color w:val="auto"/>
        </w:rPr>
      </w:pPr>
    </w:p>
    <w:p>
      <w:pPr>
        <w:ind w:left="4140" w:right="399" w:hanging="174"/>
        <w:spacing w:after="0" w:line="287" w:lineRule="auto"/>
        <w:tabs>
          <w:tab w:leader="none" w:pos="4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Overseeing the process of evaluating the performance of our Board; and</w:t>
      </w:r>
    </w:p>
    <w:p>
      <w:pPr>
        <w:spacing w:after="0" w:line="71" w:lineRule="exact"/>
        <w:rPr>
          <w:rFonts w:ascii="Arial" w:cs="Arial" w:eastAsia="Arial" w:hAnsi="Arial"/>
          <w:sz w:val="18"/>
          <w:szCs w:val="18"/>
          <w:color w:val="auto"/>
        </w:rPr>
      </w:pPr>
    </w:p>
    <w:p>
      <w:pPr>
        <w:ind w:left="4140" w:hanging="174"/>
        <w:spacing w:after="0"/>
        <w:tabs>
          <w:tab w:leader="none" w:pos="4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Assisting our Board on corporate governance matters.</w:t>
      </w:r>
    </w:p>
    <w:p>
      <w:pPr>
        <w:spacing w:after="0" w:line="377" w:lineRule="exact"/>
        <w:rPr>
          <w:sz w:val="20"/>
          <w:szCs w:val="20"/>
          <w:color w:val="auto"/>
        </w:rPr>
      </w:pPr>
    </w:p>
    <w:tbl>
      <w:tblPr>
        <w:tblLayout w:type="fixed"/>
        <w:tblInd w:w="860" w:type="dxa"/>
        <w:tblCellMar>
          <w:top w:w="0" w:type="dxa"/>
          <w:left w:w="0" w:type="dxa"/>
          <w:bottom w:w="0" w:type="dxa"/>
          <w:right w:w="0" w:type="dxa"/>
        </w:tblCellMar>
      </w:tblPr>
      <w:tr>
        <w:trPr>
          <w:trHeight w:val="292"/>
        </w:trPr>
        <w:tc>
          <w:tcPr>
            <w:tcW w:w="2480" w:type="dxa"/>
            <w:vAlign w:val="bottom"/>
          </w:tcPr>
          <w:p>
            <w:pPr>
              <w:ind w:left="60"/>
              <w:spacing w:after="0"/>
              <w:rPr>
                <w:sz w:val="20"/>
                <w:szCs w:val="20"/>
                <w:color w:val="auto"/>
              </w:rPr>
            </w:pPr>
            <w:r>
              <w:rPr>
                <w:rFonts w:ascii="Arial" w:cs="Arial" w:eastAsia="Arial" w:hAnsi="Arial"/>
                <w:sz w:val="22"/>
                <w:szCs w:val="22"/>
                <w:b w:val="1"/>
                <w:bCs w:val="1"/>
                <w:color w:val="148CD9"/>
              </w:rPr>
              <w:t>​</w:t>
            </w:r>
          </w:p>
        </w:tc>
        <w:tc>
          <w:tcPr>
            <w:tcW w:w="120" w:type="dxa"/>
            <w:vAlign w:val="bottom"/>
          </w:tcPr>
          <w:p>
            <w:pPr>
              <w:spacing w:after="0"/>
              <w:rPr>
                <w:sz w:val="24"/>
                <w:szCs w:val="24"/>
                <w:color w:val="auto"/>
              </w:rPr>
            </w:pPr>
          </w:p>
        </w:tc>
        <w:tc>
          <w:tcPr>
            <w:tcW w:w="6240" w:type="dxa"/>
            <w:vAlign w:val="bottom"/>
          </w:tcPr>
          <w:p>
            <w:pPr>
              <w:ind w:left="140"/>
              <w:spacing w:after="0"/>
              <w:rPr>
                <w:sz w:val="20"/>
                <w:szCs w:val="20"/>
                <w:color w:val="auto"/>
              </w:rPr>
            </w:pPr>
            <w:r>
              <w:rPr>
                <w:rFonts w:ascii="Arial" w:cs="Arial" w:eastAsia="Arial" w:hAnsi="Arial"/>
                <w:sz w:val="22"/>
                <w:szCs w:val="22"/>
                <w:b w:val="1"/>
                <w:bCs w:val="1"/>
                <w:color w:val="148CD9"/>
              </w:rPr>
              <w:t>THE COMPENSATION COMMITTEE</w:t>
            </w:r>
          </w:p>
        </w:tc>
        <w:tc>
          <w:tcPr>
            <w:tcW w:w="160" w:type="dxa"/>
            <w:vAlign w:val="bottom"/>
            <w:gridSpan w:val="2"/>
          </w:tcPr>
          <w:p>
            <w:pPr>
              <w:ind w:left="100"/>
              <w:spacing w:after="0"/>
              <w:rPr>
                <w:sz w:val="20"/>
                <w:szCs w:val="20"/>
                <w:color w:val="auto"/>
              </w:rPr>
            </w:pPr>
            <w:r>
              <w:rPr>
                <w:rFonts w:ascii="Arial" w:cs="Arial" w:eastAsia="Arial" w:hAnsi="Arial"/>
                <w:sz w:val="22"/>
                <w:szCs w:val="22"/>
                <w:b w:val="1"/>
                <w:bCs w:val="1"/>
                <w:color w:val="148CD9"/>
              </w:rPr>
              <w:t>​</w:t>
            </w:r>
          </w:p>
        </w:tc>
        <w:tc>
          <w:tcPr>
            <w:tcW w:w="0" w:type="dxa"/>
            <w:vAlign w:val="bottom"/>
          </w:tcPr>
          <w:p>
            <w:pPr>
              <w:spacing w:after="0"/>
              <w:rPr>
                <w:sz w:val="1"/>
                <w:szCs w:val="1"/>
                <w:color w:val="auto"/>
              </w:rPr>
            </w:pPr>
          </w:p>
        </w:tc>
      </w:tr>
      <w:tr>
        <w:trPr>
          <w:trHeight w:val="255"/>
        </w:trPr>
        <w:tc>
          <w:tcPr>
            <w:tcW w:w="2480" w:type="dxa"/>
            <w:vAlign w:val="bottom"/>
            <w:tcBorders>
              <w:top w:val="single" w:sz="8" w:color="1DA46F"/>
            </w:tcBorders>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148CD9"/>
              </w:rPr>
              <w:t>Chair</w:t>
            </w:r>
            <w:r>
              <w:rPr>
                <w:rFonts w:ascii="Arial" w:cs="Arial" w:eastAsia="Arial" w:hAnsi="Arial"/>
                <w:sz w:val="18"/>
                <w:szCs w:val="18"/>
                <w:color w:val="auto"/>
              </w:rPr>
              <w:t>: Martin Murphy, Ph.D.</w:t>
            </w:r>
          </w:p>
        </w:tc>
        <w:tc>
          <w:tcPr>
            <w:tcW w:w="6360" w:type="dxa"/>
            <w:vAlign w:val="bottom"/>
            <w:tcBorders>
              <w:top w:val="single" w:sz="8" w:color="1DA46F"/>
            </w:tcBorders>
            <w:gridSpan w:val="2"/>
          </w:tcPr>
          <w:p>
            <w:pPr>
              <w:ind w:left="20"/>
              <w:spacing w:after="0"/>
              <w:rPr>
                <w:sz w:val="20"/>
                <w:szCs w:val="20"/>
                <w:color w:val="auto"/>
              </w:rPr>
            </w:pPr>
            <w:r>
              <w:rPr>
                <w:rFonts w:ascii="Arial" w:cs="Arial" w:eastAsia="Arial" w:hAnsi="Arial"/>
                <w:sz w:val="18"/>
                <w:szCs w:val="18"/>
                <w:color w:val="auto"/>
              </w:rPr>
              <w:t>​ ​ Responsible for, among other things:</w:t>
            </w:r>
          </w:p>
        </w:tc>
        <w:tc>
          <w:tcPr>
            <w:tcW w:w="140" w:type="dxa"/>
            <w:vAlign w:val="bottom"/>
            <w:tcBorders>
              <w:top w:val="single" w:sz="8" w:color="1DA46F"/>
            </w:tcBorders>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7"/>
        </w:trPr>
        <w:tc>
          <w:tcPr>
            <w:tcW w:w="2480" w:type="dxa"/>
            <w:vAlign w:val="bottom"/>
          </w:tcPr>
          <w:p>
            <w:pPr>
              <w:ind w:left="120"/>
              <w:spacing w:after="0"/>
              <w:rPr>
                <w:sz w:val="20"/>
                <w:szCs w:val="20"/>
                <w:color w:val="auto"/>
              </w:rPr>
            </w:pPr>
            <w:r>
              <w:rPr>
                <w:rFonts w:ascii="Arial" w:cs="Arial" w:eastAsia="Arial" w:hAnsi="Arial"/>
                <w:sz w:val="18"/>
                <w:szCs w:val="18"/>
                <w:b w:val="1"/>
                <w:bCs w:val="1"/>
                <w:color w:val="148CD9"/>
              </w:rPr>
              <w:t>Additional Committee</w:t>
            </w:r>
          </w:p>
        </w:tc>
        <w:tc>
          <w:tcPr>
            <w:tcW w:w="120" w:type="dxa"/>
            <w:vAlign w:val="bottom"/>
          </w:tcPr>
          <w:p>
            <w:pPr>
              <w:spacing w:after="0"/>
              <w:rPr>
                <w:sz w:val="24"/>
                <w:szCs w:val="24"/>
                <w:color w:val="auto"/>
              </w:rPr>
            </w:pPr>
          </w:p>
        </w:tc>
        <w:tc>
          <w:tcPr>
            <w:tcW w:w="6240" w:type="dxa"/>
            <w:vAlign w:val="bottom"/>
          </w:tcPr>
          <w:p>
            <w:pPr>
              <w:ind w:left="300"/>
              <w:spacing w:after="0"/>
              <w:rPr>
                <w:sz w:val="20"/>
                <w:szCs w:val="20"/>
                <w:color w:val="auto"/>
              </w:rPr>
            </w:pPr>
            <w:r>
              <w:rPr>
                <w:rFonts w:ascii="Arial" w:cs="Arial" w:eastAsia="Arial" w:hAnsi="Arial"/>
                <w:sz w:val="18"/>
                <w:szCs w:val="18"/>
                <w:color w:val="auto"/>
              </w:rPr>
              <w:t>• Reviewing and approving the compensation of our executive officers and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120"/>
              <w:spacing w:after="0"/>
              <w:rPr>
                <w:sz w:val="20"/>
                <w:szCs w:val="20"/>
                <w:color w:val="auto"/>
              </w:rPr>
            </w:pPr>
            <w:r>
              <w:rPr>
                <w:rFonts w:ascii="Arial" w:cs="Arial" w:eastAsia="Arial" w:hAnsi="Arial"/>
                <w:sz w:val="18"/>
                <w:szCs w:val="18"/>
                <w:b w:val="1"/>
                <w:bCs w:val="1"/>
                <w:color w:val="148CD9"/>
              </w:rPr>
              <w:t>Members</w:t>
            </w:r>
            <w:r>
              <w:rPr>
                <w:rFonts w:ascii="Arial" w:cs="Arial" w:eastAsia="Arial" w:hAnsi="Arial"/>
                <w:sz w:val="18"/>
                <w:szCs w:val="18"/>
                <w:color w:val="000000"/>
              </w:rPr>
              <w:t>:</w:t>
            </w:r>
          </w:p>
        </w:tc>
        <w:tc>
          <w:tcPr>
            <w:tcW w:w="120" w:type="dxa"/>
            <w:vAlign w:val="bottom"/>
          </w:tcPr>
          <w:p>
            <w:pPr>
              <w:spacing w:after="0"/>
              <w:rPr>
                <w:sz w:val="18"/>
                <w:szCs w:val="18"/>
                <w:color w:val="auto"/>
              </w:rPr>
            </w:pPr>
          </w:p>
        </w:tc>
        <w:tc>
          <w:tcPr>
            <w:tcW w:w="6240" w:type="dxa"/>
            <w:vAlign w:val="bottom"/>
          </w:tcPr>
          <w:p>
            <w:pPr>
              <w:ind w:left="480"/>
              <w:spacing w:after="0"/>
              <w:rPr>
                <w:sz w:val="20"/>
                <w:szCs w:val="20"/>
                <w:color w:val="auto"/>
              </w:rPr>
            </w:pPr>
            <w:r>
              <w:rPr>
                <w:rFonts w:ascii="Arial" w:cs="Arial" w:eastAsia="Arial" w:hAnsi="Arial"/>
                <w:sz w:val="18"/>
                <w:szCs w:val="18"/>
                <w:color w:val="auto"/>
              </w:rPr>
              <w:t>recommending that our Board approve the compensation of our Chief</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480" w:type="dxa"/>
            <w:vAlign w:val="bottom"/>
            <w:vMerge w:val="restart"/>
          </w:tcPr>
          <w:p>
            <w:pPr>
              <w:ind w:left="300"/>
              <w:spacing w:after="0"/>
              <w:rPr>
                <w:sz w:val="20"/>
                <w:szCs w:val="20"/>
                <w:color w:val="auto"/>
              </w:rPr>
            </w:pPr>
            <w:r>
              <w:rPr>
                <w:rFonts w:ascii="Arial" w:cs="Arial" w:eastAsia="Arial" w:hAnsi="Arial"/>
                <w:sz w:val="18"/>
                <w:szCs w:val="18"/>
                <w:color w:val="auto"/>
              </w:rPr>
              <w:t>• Han Lee, Ph.D., M.B.A.</w:t>
            </w:r>
          </w:p>
        </w:tc>
        <w:tc>
          <w:tcPr>
            <w:tcW w:w="120" w:type="dxa"/>
            <w:vAlign w:val="bottom"/>
          </w:tcPr>
          <w:p>
            <w:pPr>
              <w:spacing w:after="0"/>
              <w:rPr>
                <w:sz w:val="20"/>
                <w:szCs w:val="20"/>
                <w:color w:val="auto"/>
              </w:rPr>
            </w:pPr>
          </w:p>
        </w:tc>
        <w:tc>
          <w:tcPr>
            <w:tcW w:w="6240" w:type="dxa"/>
            <w:vAlign w:val="bottom"/>
          </w:tcPr>
          <w:p>
            <w:pPr>
              <w:ind w:left="480"/>
              <w:spacing w:after="0"/>
              <w:rPr>
                <w:sz w:val="20"/>
                <w:szCs w:val="20"/>
                <w:color w:val="auto"/>
              </w:rPr>
            </w:pPr>
            <w:r>
              <w:rPr>
                <w:rFonts w:ascii="Arial" w:cs="Arial" w:eastAsia="Arial" w:hAnsi="Arial"/>
                <w:sz w:val="18"/>
                <w:szCs w:val="18"/>
                <w:color w:val="auto"/>
              </w:rPr>
              <w:t>Executive Officer;</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4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40" w:type="dxa"/>
            <w:vAlign w:val="bottom"/>
            <w:vMerge w:val="restart"/>
          </w:tcPr>
          <w:p>
            <w:pPr>
              <w:ind w:left="300"/>
              <w:spacing w:after="0"/>
              <w:rPr>
                <w:sz w:val="20"/>
                <w:szCs w:val="20"/>
                <w:color w:val="auto"/>
              </w:rPr>
            </w:pPr>
            <w:r>
              <w:rPr>
                <w:rFonts w:ascii="Arial" w:cs="Arial" w:eastAsia="Arial" w:hAnsi="Arial"/>
                <w:sz w:val="18"/>
                <w:szCs w:val="18"/>
                <w:color w:val="auto"/>
              </w:rPr>
              <w:t>• Reviewing and recommending to our Board the compensation of our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480" w:type="dxa"/>
            <w:vAlign w:val="bottom"/>
            <w:vMerge w:val="restart"/>
          </w:tcPr>
          <w:p>
            <w:pPr>
              <w:ind w:left="300"/>
              <w:spacing w:after="0"/>
              <w:rPr>
                <w:sz w:val="20"/>
                <w:szCs w:val="20"/>
                <w:color w:val="auto"/>
              </w:rPr>
            </w:pPr>
            <w:r>
              <w:rPr>
                <w:rFonts w:ascii="Arial" w:cs="Arial" w:eastAsia="Arial" w:hAnsi="Arial"/>
                <w:sz w:val="18"/>
                <w:szCs w:val="18"/>
                <w:color w:val="auto"/>
              </w:rPr>
              <w:t>• Alessandro Riva, M.D.</w:t>
            </w:r>
          </w:p>
        </w:tc>
        <w:tc>
          <w:tcPr>
            <w:tcW w:w="120" w:type="dxa"/>
            <w:vAlign w:val="bottom"/>
          </w:tcPr>
          <w:p>
            <w:pPr>
              <w:spacing w:after="0"/>
              <w:rPr>
                <w:sz w:val="15"/>
                <w:szCs w:val="15"/>
                <w:color w:val="auto"/>
              </w:rPr>
            </w:pPr>
          </w:p>
        </w:tc>
        <w:tc>
          <w:tcPr>
            <w:tcW w:w="62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240" w:type="dxa"/>
            <w:vAlign w:val="bottom"/>
            <w:vMerge w:val="restart"/>
          </w:tcPr>
          <w:p>
            <w:pPr>
              <w:ind w:left="480"/>
              <w:spacing w:after="0"/>
              <w:rPr>
                <w:sz w:val="20"/>
                <w:szCs w:val="20"/>
                <w:color w:val="auto"/>
              </w:rPr>
            </w:pPr>
            <w:r>
              <w:rPr>
                <w:rFonts w:ascii="Arial" w:cs="Arial" w:eastAsia="Arial" w:hAnsi="Arial"/>
                <w:sz w:val="18"/>
                <w:szCs w:val="18"/>
                <w:color w:val="auto"/>
              </w:rPr>
              <w:t>directors;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480" w:type="dxa"/>
            <w:vAlign w:val="bottom"/>
            <w:vMerge w:val="restart"/>
          </w:tcPr>
          <w:p>
            <w:pPr>
              <w:ind w:left="300"/>
              <w:spacing w:after="0"/>
              <w:rPr>
                <w:sz w:val="20"/>
                <w:szCs w:val="20"/>
                <w:color w:val="auto"/>
              </w:rPr>
            </w:pPr>
            <w:r>
              <w:rPr>
                <w:rFonts w:ascii="Arial" w:cs="Arial" w:eastAsia="Arial" w:hAnsi="Arial"/>
                <w:sz w:val="18"/>
                <w:szCs w:val="18"/>
                <w:color w:val="auto"/>
              </w:rPr>
              <w:t>• Timothy P. Walbert</w:t>
            </w:r>
            <w:r>
              <w:rPr>
                <w:rFonts w:ascii="Arial" w:cs="Arial" w:eastAsia="Arial" w:hAnsi="Arial"/>
                <w:sz w:val="23"/>
                <w:szCs w:val="23"/>
                <w:color w:val="auto"/>
                <w:vertAlign w:val="superscript"/>
              </w:rPr>
              <w:t>1</w:t>
            </w:r>
          </w:p>
        </w:tc>
        <w:tc>
          <w:tcPr>
            <w:tcW w:w="120" w:type="dxa"/>
            <w:vAlign w:val="bottom"/>
          </w:tcPr>
          <w:p>
            <w:pPr>
              <w:spacing w:after="0"/>
              <w:rPr>
                <w:sz w:val="8"/>
                <w:szCs w:val="8"/>
                <w:color w:val="auto"/>
              </w:rPr>
            </w:pPr>
          </w:p>
        </w:tc>
        <w:tc>
          <w:tcPr>
            <w:tcW w:w="62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40" w:type="dxa"/>
            <w:vAlign w:val="bottom"/>
            <w:vMerge w:val="restart"/>
          </w:tcPr>
          <w:p>
            <w:pPr>
              <w:ind w:left="300"/>
              <w:spacing w:after="0"/>
              <w:rPr>
                <w:sz w:val="20"/>
                <w:szCs w:val="20"/>
                <w:color w:val="auto"/>
              </w:rPr>
            </w:pPr>
            <w:r>
              <w:rPr>
                <w:rFonts w:ascii="Arial" w:cs="Arial" w:eastAsia="Arial" w:hAnsi="Arial"/>
                <w:sz w:val="18"/>
                <w:szCs w:val="18"/>
                <w:color w:val="auto"/>
              </w:rPr>
              <w:t>• Administering our equity incentive plans and overseeing regulatory</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2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480" w:type="dxa"/>
            <w:vAlign w:val="bottom"/>
            <w:tcBorders>
              <w:bottom w:val="single" w:sz="8" w:color="1DA46F"/>
            </w:tcBorders>
          </w:tcPr>
          <w:p>
            <w:pPr>
              <w:ind w:left="120"/>
              <w:spacing w:after="0"/>
              <w:rPr>
                <w:sz w:val="20"/>
                <w:szCs w:val="20"/>
                <w:color w:val="auto"/>
              </w:rPr>
            </w:pPr>
            <w:r>
              <w:rPr>
                <w:rFonts w:ascii="Arial" w:cs="Arial" w:eastAsia="Arial" w:hAnsi="Arial"/>
                <w:sz w:val="18"/>
                <w:szCs w:val="18"/>
                <w:color w:val="auto"/>
              </w:rPr>
              <w:t> </w:t>
            </w:r>
          </w:p>
        </w:tc>
        <w:tc>
          <w:tcPr>
            <w:tcW w:w="120" w:type="dxa"/>
            <w:vAlign w:val="bottom"/>
            <w:tcBorders>
              <w:bottom w:val="single" w:sz="8" w:color="1DA46F"/>
            </w:tcBorders>
          </w:tcPr>
          <w:p>
            <w:pPr>
              <w:spacing w:after="0"/>
              <w:rPr>
                <w:sz w:val="24"/>
                <w:szCs w:val="24"/>
                <w:color w:val="auto"/>
              </w:rPr>
            </w:pPr>
          </w:p>
        </w:tc>
        <w:tc>
          <w:tcPr>
            <w:tcW w:w="6240" w:type="dxa"/>
            <w:vAlign w:val="bottom"/>
          </w:tcPr>
          <w:p>
            <w:pPr>
              <w:ind w:left="480"/>
              <w:spacing w:after="0"/>
              <w:rPr>
                <w:sz w:val="20"/>
                <w:szCs w:val="20"/>
                <w:color w:val="auto"/>
              </w:rPr>
            </w:pPr>
            <w:r>
              <w:rPr>
                <w:rFonts w:ascii="Arial" w:cs="Arial" w:eastAsia="Arial" w:hAnsi="Arial"/>
                <w:sz w:val="18"/>
                <w:szCs w:val="18"/>
                <w:color w:val="auto"/>
              </w:rPr>
              <w:t>compliance related to such plans;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rPr>
              <w:t>​</w:t>
            </w:r>
          </w:p>
        </w:tc>
        <w:tc>
          <w:tcPr>
            <w:tcW w:w="6240" w:type="dxa"/>
            <w:vAlign w:val="bottom"/>
            <w:vMerge w:val="restart"/>
          </w:tcPr>
          <w:p>
            <w:pPr>
              <w:ind w:left="300"/>
              <w:spacing w:after="0"/>
              <w:rPr>
                <w:sz w:val="20"/>
                <w:szCs w:val="20"/>
                <w:color w:val="auto"/>
              </w:rPr>
            </w:pPr>
            <w:r>
              <w:rPr>
                <w:rFonts w:ascii="Arial" w:cs="Arial" w:eastAsia="Arial" w:hAnsi="Arial"/>
                <w:sz w:val="18"/>
                <w:szCs w:val="18"/>
                <w:color w:val="auto"/>
              </w:rPr>
              <w:t>• Reviewing and administering our compensation recovery policy;</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
        </w:trPr>
        <w:tc>
          <w:tcPr>
            <w:tcW w:w="2480" w:type="dxa"/>
            <w:vAlign w:val="bottom"/>
            <w:vMerge w:val="restart"/>
          </w:tcPr>
          <w:p>
            <w:pPr>
              <w:ind w:left="340"/>
              <w:spacing w:after="0"/>
              <w:rPr>
                <w:sz w:val="20"/>
                <w:szCs w:val="20"/>
                <w:color w:val="auto"/>
              </w:rPr>
            </w:pPr>
            <w:r>
              <w:rPr>
                <w:rFonts w:ascii="Arial" w:cs="Arial" w:eastAsia="Arial" w:hAnsi="Arial"/>
                <w:sz w:val="18"/>
                <w:szCs w:val="18"/>
                <w:color w:val="auto"/>
              </w:rPr>
              <w:t>All members are deemed</w:t>
            </w:r>
          </w:p>
        </w:tc>
        <w:tc>
          <w:tcPr>
            <w:tcW w:w="120" w:type="dxa"/>
            <w:vAlign w:val="bottom"/>
          </w:tcPr>
          <w:p>
            <w:pPr>
              <w:spacing w:after="0"/>
              <w:rPr>
                <w:sz w:val="5"/>
                <w:szCs w:val="5"/>
                <w:color w:val="auto"/>
              </w:rPr>
            </w:pPr>
          </w:p>
        </w:tc>
        <w:tc>
          <w:tcPr>
            <w:tcW w:w="6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24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240" w:type="dxa"/>
            <w:vAlign w:val="bottom"/>
            <w:vMerge w:val="restart"/>
          </w:tcPr>
          <w:p>
            <w:pPr>
              <w:ind w:left="300"/>
              <w:spacing w:after="0"/>
              <w:rPr>
                <w:sz w:val="20"/>
                <w:szCs w:val="20"/>
                <w:color w:val="auto"/>
              </w:rPr>
            </w:pPr>
            <w:r>
              <w:rPr>
                <w:rFonts w:ascii="Arial" w:cs="Arial" w:eastAsia="Arial" w:hAnsi="Arial"/>
                <w:sz w:val="18"/>
                <w:szCs w:val="18"/>
                <w:color w:val="auto"/>
              </w:rPr>
              <w:t>• Reviewing and approving, or making recommendations to our Board with</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480" w:type="dxa"/>
            <w:vAlign w:val="bottom"/>
          </w:tcPr>
          <w:p>
            <w:pPr>
              <w:ind w:left="340"/>
              <w:spacing w:after="0" w:line="181" w:lineRule="exact"/>
              <w:rPr>
                <w:sz w:val="20"/>
                <w:szCs w:val="20"/>
                <w:color w:val="auto"/>
              </w:rPr>
            </w:pPr>
            <w:r>
              <w:rPr>
                <w:rFonts w:ascii="Arial" w:cs="Arial" w:eastAsia="Arial" w:hAnsi="Arial"/>
                <w:sz w:val="18"/>
                <w:szCs w:val="18"/>
                <w:color w:val="auto"/>
                <w:w w:val="97"/>
              </w:rPr>
              <w:t>“nonemployee directors” as</w:t>
            </w:r>
          </w:p>
        </w:tc>
        <w:tc>
          <w:tcPr>
            <w:tcW w:w="120" w:type="dxa"/>
            <w:vAlign w:val="bottom"/>
          </w:tcPr>
          <w:p>
            <w:pPr>
              <w:spacing w:after="0"/>
              <w:rPr>
                <w:sz w:val="15"/>
                <w:szCs w:val="15"/>
                <w:color w:val="auto"/>
              </w:rPr>
            </w:pPr>
          </w:p>
        </w:tc>
        <w:tc>
          <w:tcPr>
            <w:tcW w:w="62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2480" w:type="dxa"/>
            <w:vAlign w:val="bottom"/>
          </w:tcPr>
          <w:p>
            <w:pPr>
              <w:ind w:left="340"/>
              <w:spacing w:after="0"/>
              <w:rPr>
                <w:sz w:val="20"/>
                <w:szCs w:val="20"/>
                <w:color w:val="auto"/>
              </w:rPr>
            </w:pPr>
            <w:r>
              <w:rPr>
                <w:rFonts w:ascii="Arial" w:cs="Arial" w:eastAsia="Arial" w:hAnsi="Arial"/>
                <w:sz w:val="18"/>
                <w:szCs w:val="18"/>
                <w:color w:val="auto"/>
              </w:rPr>
              <w:t>defined by SEC rules</w:t>
            </w:r>
          </w:p>
        </w:tc>
        <w:tc>
          <w:tcPr>
            <w:tcW w:w="120" w:type="dxa"/>
            <w:vAlign w:val="bottom"/>
          </w:tcPr>
          <w:p>
            <w:pPr>
              <w:spacing w:after="0"/>
              <w:rPr>
                <w:sz w:val="23"/>
                <w:szCs w:val="23"/>
                <w:color w:val="auto"/>
              </w:rPr>
            </w:pPr>
          </w:p>
        </w:tc>
        <w:tc>
          <w:tcPr>
            <w:tcW w:w="6240" w:type="dxa"/>
            <w:vAlign w:val="bottom"/>
          </w:tcPr>
          <w:p>
            <w:pPr>
              <w:ind w:left="480"/>
              <w:spacing w:after="0"/>
              <w:rPr>
                <w:sz w:val="20"/>
                <w:szCs w:val="20"/>
                <w:color w:val="auto"/>
              </w:rPr>
            </w:pPr>
            <w:r>
              <w:rPr>
                <w:rFonts w:ascii="Arial" w:cs="Arial" w:eastAsia="Arial" w:hAnsi="Arial"/>
                <w:sz w:val="18"/>
                <w:szCs w:val="18"/>
                <w:color w:val="auto"/>
              </w:rPr>
              <w:t>respect to, incentive compensation and equity plans; and</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-393065</wp:posOffset>
            </wp:positionV>
            <wp:extent cx="76835" cy="768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76835"/>
                    </a:xfrm>
                    <a:prstGeom prst="rect">
                      <a:avLst/>
                    </a:prstGeom>
                    <a:noFill/>
                  </pic:spPr>
                </pic:pic>
              </a:graphicData>
            </a:graphic>
          </wp:anchor>
        </w:drawing>
      </w:r>
    </w:p>
    <w:tbl>
      <w:tblPr>
        <w:tblLayout w:type="fixed"/>
        <w:tblInd w:w="1200" w:type="dxa"/>
        <w:tblCellMar>
          <w:top w:w="0" w:type="dxa"/>
          <w:left w:w="0" w:type="dxa"/>
          <w:bottom w:w="0" w:type="dxa"/>
          <w:right w:w="0" w:type="dxa"/>
        </w:tblCellMar>
      </w:tblPr>
      <w:tr>
        <w:trPr>
          <w:trHeight w:val="198"/>
        </w:trPr>
        <w:tc>
          <w:tcPr>
            <w:tcW w:w="2340" w:type="dxa"/>
            <w:vAlign w:val="bottom"/>
          </w:tcPr>
          <w:p>
            <w:pPr>
              <w:spacing w:after="0" w:line="198" w:lineRule="exact"/>
              <w:rPr>
                <w:sz w:val="20"/>
                <w:szCs w:val="20"/>
                <w:color w:val="auto"/>
              </w:rPr>
            </w:pPr>
            <w:r>
              <w:rPr>
                <w:rFonts w:ascii="Arial" w:cs="Arial" w:eastAsia="Arial" w:hAnsi="Arial"/>
                <w:sz w:val="18"/>
                <w:szCs w:val="18"/>
                <w:color w:val="auto"/>
              </w:rPr>
              <w:t>All members are deemed</w:t>
            </w:r>
          </w:p>
        </w:tc>
        <w:tc>
          <w:tcPr>
            <w:tcW w:w="4160" w:type="dxa"/>
            <w:vAlign w:val="bottom"/>
            <w:vMerge w:val="restart"/>
          </w:tcPr>
          <w:p>
            <w:pPr>
              <w:ind w:left="220"/>
              <w:spacing w:after="0"/>
              <w:rPr>
                <w:sz w:val="20"/>
                <w:szCs w:val="20"/>
                <w:color w:val="auto"/>
              </w:rPr>
            </w:pPr>
            <w:r>
              <w:rPr>
                <w:rFonts w:ascii="Arial" w:cs="Arial" w:eastAsia="Arial" w:hAnsi="Arial"/>
                <w:sz w:val="18"/>
                <w:szCs w:val="18"/>
                <w:color w:val="auto"/>
                <w:w w:val="98"/>
              </w:rPr>
              <w:t>• Reviewing our overall compensation philosophy.</w:t>
            </w:r>
          </w:p>
        </w:tc>
        <w:tc>
          <w:tcPr>
            <w:tcW w:w="0" w:type="dxa"/>
            <w:vAlign w:val="bottom"/>
          </w:tcPr>
          <w:p>
            <w:pPr>
              <w:spacing w:after="0"/>
              <w:rPr>
                <w:sz w:val="1"/>
                <w:szCs w:val="1"/>
                <w:color w:val="auto"/>
              </w:rPr>
            </w:pPr>
          </w:p>
        </w:tc>
      </w:tr>
      <w:tr>
        <w:trPr>
          <w:trHeight w:val="104"/>
        </w:trPr>
        <w:tc>
          <w:tcPr>
            <w:tcW w:w="2340" w:type="dxa"/>
            <w:vAlign w:val="bottom"/>
            <w:vMerge w:val="restart"/>
          </w:tcPr>
          <w:p>
            <w:pPr>
              <w:spacing w:after="0"/>
              <w:rPr>
                <w:sz w:val="20"/>
                <w:szCs w:val="20"/>
                <w:color w:val="auto"/>
              </w:rPr>
            </w:pPr>
            <w:r>
              <w:rPr>
                <w:rFonts w:ascii="Arial" w:cs="Arial" w:eastAsia="Arial" w:hAnsi="Arial"/>
                <w:sz w:val="18"/>
                <w:szCs w:val="18"/>
                <w:color w:val="auto"/>
              </w:rPr>
              <w:t>“independent” and</w:t>
            </w:r>
          </w:p>
        </w:tc>
        <w:tc>
          <w:tcPr>
            <w:tcW w:w="4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340" w:type="dxa"/>
            <w:vAlign w:val="bottom"/>
            <w:vMerge w:val="continue"/>
          </w:tcPr>
          <w:p>
            <w:pPr>
              <w:spacing w:after="0"/>
              <w:rPr>
                <w:sz w:val="9"/>
                <w:szCs w:val="9"/>
                <w:color w:val="auto"/>
              </w:rPr>
            </w:pPr>
          </w:p>
        </w:tc>
        <w:tc>
          <w:tcPr>
            <w:tcW w:w="4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financially literate under the</w:t>
            </w:r>
          </w:p>
        </w:tc>
        <w:tc>
          <w:tcPr>
            <w:tcW w:w="4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applicable rules and</w:t>
            </w:r>
          </w:p>
        </w:tc>
        <w:tc>
          <w:tcPr>
            <w:tcW w:w="4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regulations of the SEC and</w:t>
            </w:r>
          </w:p>
        </w:tc>
        <w:tc>
          <w:tcPr>
            <w:tcW w:w="4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340" w:type="dxa"/>
            <w:vAlign w:val="bottom"/>
          </w:tcPr>
          <w:p>
            <w:pPr>
              <w:spacing w:after="0"/>
              <w:rPr>
                <w:sz w:val="20"/>
                <w:szCs w:val="20"/>
                <w:color w:val="auto"/>
              </w:rPr>
            </w:pPr>
            <w:r>
              <w:rPr>
                <w:rFonts w:ascii="Arial" w:cs="Arial" w:eastAsia="Arial" w:hAnsi="Arial"/>
                <w:sz w:val="18"/>
                <w:szCs w:val="18"/>
                <w:color w:val="auto"/>
              </w:rPr>
              <w:t>Nasdaq.</w:t>
            </w:r>
          </w:p>
        </w:tc>
        <w:tc>
          <w:tcPr>
            <w:tcW w:w="4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-807720</wp:posOffset>
            </wp:positionV>
            <wp:extent cx="76835" cy="768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76835"/>
                    </a:xfrm>
                    <a:prstGeom prst="rect">
                      <a:avLst/>
                    </a:prstGeom>
                    <a:noFill/>
                  </pic:spPr>
                </pic:pic>
              </a:graphicData>
            </a:graphic>
          </wp:anchor>
        </w:drawing>
      </w:r>
    </w:p>
    <w:p>
      <w:pPr>
        <w:spacing w:after="0" w:line="22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COMPENSATION CONSULTANT</w:t>
      </w:r>
    </w:p>
    <w:p>
      <w:pPr>
        <w:spacing w:after="0" w:line="158" w:lineRule="exact"/>
        <w:rPr>
          <w:sz w:val="20"/>
          <w:szCs w:val="20"/>
          <w:color w:val="auto"/>
        </w:rPr>
      </w:pPr>
    </w:p>
    <w:p>
      <w:pPr>
        <w:jc w:val="both"/>
        <w:ind w:left="880" w:right="19"/>
        <w:spacing w:after="0" w:line="273" w:lineRule="auto"/>
        <w:rPr>
          <w:sz w:val="20"/>
          <w:szCs w:val="20"/>
          <w:color w:val="auto"/>
        </w:rPr>
      </w:pPr>
      <w:r>
        <w:rPr>
          <w:rFonts w:ascii="Arial" w:cs="Arial" w:eastAsia="Arial" w:hAnsi="Arial"/>
          <w:sz w:val="18"/>
          <w:szCs w:val="18"/>
          <w:color w:val="auto"/>
        </w:rPr>
        <w:t>Radford, a subsidiary of Aon Hewitt Limited, serves as our executive compensation consultant. Radford reports directly to the Compensation Committee and provides various executive compensation services to the Compensation Committee, including advising the Compensation Committee on the principal aspects of our executive compensation program and evolving industry practices and providing market information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65405</wp:posOffset>
            </wp:positionV>
            <wp:extent cx="12344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90" w:lineRule="exact"/>
        <w:rPr>
          <w:sz w:val="20"/>
          <w:szCs w:val="20"/>
          <w:color w:val="auto"/>
        </w:rPr>
      </w:pPr>
    </w:p>
    <w:p>
      <w:pPr>
        <w:ind w:left="1240" w:right="39" w:hanging="370"/>
        <w:spacing w:after="0" w:line="198" w:lineRule="auto"/>
        <w:tabs>
          <w:tab w:leader="none" w:pos="1240" w:val="left"/>
        </w:tabs>
        <w:numPr>
          <w:ilvl w:val="0"/>
          <w:numId w:val="18"/>
        </w:numPr>
        <w:rPr>
          <w:rFonts w:ascii="Arial" w:cs="Arial" w:eastAsia="Arial" w:hAnsi="Arial"/>
          <w:sz w:val="25"/>
          <w:szCs w:val="25"/>
          <w:color w:val="auto"/>
          <w:vertAlign w:val="superscript"/>
        </w:rPr>
      </w:pPr>
      <w:r>
        <w:rPr>
          <w:rFonts w:ascii="Arial" w:cs="Arial" w:eastAsia="Arial" w:hAnsi="Arial"/>
          <w:sz w:val="16"/>
          <w:szCs w:val="16"/>
          <w:color w:val="auto"/>
        </w:rPr>
        <w:t>Mr. Walbert will not stand for re-election at the Annual Meeting. As such, his term as a member of the Compensation Committee will expire at the Annual Meeting.</w:t>
      </w:r>
    </w:p>
    <w:p>
      <w:pPr>
        <w:sectPr>
          <w:pgSz w:w="11900" w:h="16838" w:orient="portrait"/>
          <w:cols w:equalWidth="0" w:num="1">
            <w:col w:w="9879"/>
          </w:cols>
          <w:pgMar w:left="580" w:top="97" w:right="1440" w:bottom="1440" w:gutter="0" w:footer="0" w:header="0"/>
        </w:sectPr>
      </w:pPr>
    </w:p>
    <w:p>
      <w:pPr>
        <w:spacing w:after="0" w:line="308"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140970</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shd w:val="clear" w:color="auto" w:fill="1DA46F"/>
        </w:rPr>
        <w:t>​CORPORATE GOVERNANCE AND RISK MANAGEMENT</w:t>
        <w:tab/>
        <w:t>​</w:t>
      </w:r>
    </w:p>
    <w:p>
      <w:pPr>
        <w:spacing w:after="0" w:line="345" w:lineRule="exact"/>
        <w:rPr>
          <w:sz w:val="20"/>
          <w:szCs w:val="20"/>
          <w:color w:val="auto"/>
        </w:rPr>
      </w:pPr>
    </w:p>
    <w:p>
      <w:pPr>
        <w:jc w:val="both"/>
        <w:ind w:left="880" w:right="60"/>
        <w:spacing w:after="0" w:line="253" w:lineRule="auto"/>
        <w:rPr>
          <w:sz w:val="20"/>
          <w:szCs w:val="20"/>
          <w:color w:val="auto"/>
        </w:rPr>
      </w:pPr>
      <w:r>
        <w:rPr>
          <w:rFonts w:ascii="Arial" w:cs="Arial" w:eastAsia="Arial" w:hAnsi="Arial"/>
          <w:sz w:val="18"/>
          <w:szCs w:val="18"/>
          <w:color w:val="auto"/>
        </w:rPr>
        <w:t>analysis regarding the competitiveness of our program design and our award values in relation to performance. Radford does not provide services to us other than its advice to the Compensation Committee on executive and director compensation matters.</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44" w:lineRule="exact"/>
        <w:rPr>
          <w:sz w:val="20"/>
          <w:szCs w:val="20"/>
          <w:color w:val="auto"/>
        </w:rPr>
      </w:pPr>
    </w:p>
    <w:p>
      <w:pPr>
        <w:jc w:val="both"/>
        <w:ind w:left="880" w:right="40"/>
        <w:spacing w:after="0" w:line="246" w:lineRule="auto"/>
        <w:rPr>
          <w:sz w:val="20"/>
          <w:szCs w:val="20"/>
          <w:color w:val="auto"/>
        </w:rPr>
      </w:pPr>
      <w:r>
        <w:rPr>
          <w:rFonts w:ascii="Arial" w:cs="Arial" w:eastAsia="Arial" w:hAnsi="Arial"/>
          <w:sz w:val="18"/>
          <w:szCs w:val="18"/>
          <w:color w:val="auto"/>
        </w:rPr>
        <w:t>During 2025, Carlo Rizzuto, Cynthia Butitta, Joseph Jimenez, Han Lee, Ph.D., M.B.A., Martin Murphy, Ph.D., Alessandro Riva, M.D. and Timothy P. Walbert served as members of the Compensation Committee. During the fiscal year ended December 31, 2025 and as of the date of this Proxy Statement, none of the members of our Compensation Committee is currently, or has been at any time, one of our executive officers or employees. None of our executive officers currently serves, or has served during the last year, as a member of the compensation committee of any entity that has one or more executive officers serving as a member of our Board or on our Compensation Committee.</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FAMILY RELATIONSHIPS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STOCKHOLDER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137795</wp:posOffset>
            </wp:positionV>
            <wp:extent cx="5117465" cy="17056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17465"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Connect</w:t>
      </w:r>
    </w:p>
    <w:p>
      <w:pPr>
        <w:spacing w:after="0" w:line="158" w:lineRule="exact"/>
        <w:rPr>
          <w:sz w:val="20"/>
          <w:szCs w:val="20"/>
          <w:color w:val="auto"/>
        </w:rPr>
      </w:pPr>
    </w:p>
    <w:p>
      <w:pPr>
        <w:jc w:val="both"/>
        <w:ind w:left="880" w:right="60"/>
        <w:spacing w:after="0" w:line="253" w:lineRule="auto"/>
        <w:rPr>
          <w:sz w:val="20"/>
          <w:szCs w:val="20"/>
          <w:color w:val="auto"/>
        </w:rPr>
      </w:pPr>
      <w:r>
        <w:rPr>
          <w:rFonts w:ascii="Arial" w:cs="Arial" w:eastAsia="Arial" w:hAnsi="Arial"/>
          <w:sz w:val="18"/>
          <w:szCs w:val="18"/>
          <w:color w:val="auto"/>
        </w:rPr>
        <w:t>Engaging with investors is fundamental to our commitment to good corporate governance and essential to maintaining strong corporate governance practices. Throughout the year, we seek opportunities to connect with our investors to gain and share valuable insights into current and emerging global governance trends.</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Collaborate</w:t>
      </w:r>
    </w:p>
    <w:p>
      <w:pPr>
        <w:spacing w:after="0" w:line="144" w:lineRule="exact"/>
        <w:rPr>
          <w:sz w:val="20"/>
          <w:szCs w:val="20"/>
          <w:color w:val="auto"/>
        </w:rPr>
      </w:pPr>
    </w:p>
    <w:p>
      <w:pPr>
        <w:jc w:val="both"/>
        <w:ind w:left="880" w:right="60"/>
        <w:spacing w:after="0" w:line="287" w:lineRule="auto"/>
        <w:rPr>
          <w:sz w:val="20"/>
          <w:szCs w:val="20"/>
          <w:color w:val="auto"/>
        </w:rPr>
      </w:pPr>
      <w:r>
        <w:rPr>
          <w:rFonts w:ascii="Arial" w:cs="Arial" w:eastAsia="Arial" w:hAnsi="Arial"/>
          <w:sz w:val="18"/>
          <w:szCs w:val="18"/>
          <w:color w:val="auto"/>
        </w:rPr>
        <w:t>We strive for a collaborative approach to stockholder engagement and value the variety of investors’ perspectives received, which helps deepen our understanding of their interests and motivations.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Communicate</w:t>
      </w:r>
    </w:p>
    <w:p>
      <w:pPr>
        <w:spacing w:after="0" w:line="158" w:lineRule="exact"/>
        <w:rPr>
          <w:sz w:val="20"/>
          <w:szCs w:val="20"/>
          <w:color w:val="auto"/>
        </w:rPr>
      </w:pPr>
    </w:p>
    <w:p>
      <w:pPr>
        <w:jc w:val="both"/>
        <w:ind w:left="880" w:right="40"/>
        <w:spacing w:after="0" w:line="253" w:lineRule="auto"/>
        <w:rPr>
          <w:sz w:val="20"/>
          <w:szCs w:val="20"/>
          <w:color w:val="auto"/>
        </w:rPr>
      </w:pPr>
      <w:r>
        <w:rPr>
          <w:rFonts w:ascii="Arial" w:cs="Arial" w:eastAsia="Arial" w:hAnsi="Arial"/>
          <w:sz w:val="18"/>
          <w:szCs w:val="18"/>
          <w:color w:val="auto"/>
        </w:rPr>
        <w:t>Our goal is to communicate with our stockholders through various platforms, including via our website at www.centurytx.com, in print and in person at investor presentations or stockholder meetings. We view communication between our stockholders and the Board as a dialogue.</w:t>
      </w:r>
    </w:p>
    <w:p>
      <w:pPr>
        <w:spacing w:after="0" w:line="141" w:lineRule="exact"/>
        <w:rPr>
          <w:sz w:val="20"/>
          <w:szCs w:val="20"/>
          <w:color w:val="auto"/>
        </w:rPr>
      </w:pPr>
    </w:p>
    <w:tbl>
      <w:tblPr>
        <w:tblLayout w:type="fixed"/>
        <w:tblInd w:w="860" w:type="dxa"/>
        <w:tblCellMar>
          <w:top w:w="0" w:type="dxa"/>
          <w:left w:w="0" w:type="dxa"/>
          <w:bottom w:w="0" w:type="dxa"/>
          <w:right w:w="0" w:type="dxa"/>
        </w:tblCellMar>
      </w:tblPr>
      <w:tr>
        <w:trPr>
          <w:trHeight w:val="292"/>
        </w:trPr>
        <w:tc>
          <w:tcPr>
            <w:tcW w:w="1640" w:type="dxa"/>
            <w:vAlign w:val="bottom"/>
            <w:tcBorders>
              <w:top w:val="single" w:sz="8" w:color="148CD9"/>
            </w:tcBorders>
          </w:tcPr>
          <w:p>
            <w:pPr>
              <w:ind w:left="20"/>
              <w:spacing w:after="0" w:line="291" w:lineRule="exact"/>
              <w:rPr>
                <w:sz w:val="20"/>
                <w:szCs w:val="20"/>
                <w:color w:val="auto"/>
              </w:rPr>
            </w:pPr>
            <w:r>
              <w:rPr>
                <w:rFonts w:ascii="Arial" w:cs="Arial" w:eastAsia="Arial" w:hAnsi="Arial"/>
                <w:sz w:val="33"/>
                <w:szCs w:val="33"/>
                <w:color w:val="auto"/>
                <w:vertAlign w:val="superscript"/>
              </w:rPr>
              <w:t>​</w:t>
            </w:r>
            <w:r>
              <w:rPr>
                <w:rFonts w:ascii="Arial" w:cs="Arial" w:eastAsia="Arial" w:hAnsi="Arial"/>
                <w:sz w:val="17"/>
                <w:szCs w:val="17"/>
                <w:b w:val="1"/>
                <w:bCs w:val="1"/>
                <w:color w:val="auto"/>
              </w:rPr>
              <w:t xml:space="preserve"> HOW TO</w:t>
            </w:r>
          </w:p>
        </w:tc>
        <w:tc>
          <w:tcPr>
            <w:tcW w:w="7340" w:type="dxa"/>
            <w:vAlign w:val="bottom"/>
            <w:tcBorders>
              <w:top w:val="single" w:sz="8" w:color="148CD9"/>
            </w:tcBorders>
            <w:gridSpan w:val="2"/>
          </w:tcPr>
          <w:p>
            <w:pPr>
              <w:ind w:left="100"/>
              <w:spacing w:after="0" w:line="291" w:lineRule="exact"/>
              <w:rPr>
                <w:sz w:val="20"/>
                <w:szCs w:val="20"/>
                <w:color w:val="auto"/>
              </w:rPr>
            </w:pPr>
            <w:r>
              <w:rPr>
                <w:rFonts w:ascii="Arial" w:cs="Arial" w:eastAsia="Arial" w:hAnsi="Arial"/>
                <w:sz w:val="33"/>
                <w:szCs w:val="33"/>
                <w:color w:val="auto"/>
                <w:vertAlign w:val="superscript"/>
              </w:rPr>
              <w:t>​ ​</w:t>
            </w:r>
            <w:r>
              <w:rPr>
                <w:rFonts w:ascii="Arial" w:cs="Arial" w:eastAsia="Arial" w:hAnsi="Arial"/>
                <w:sz w:val="17"/>
                <w:szCs w:val="17"/>
                <w:color w:val="auto"/>
              </w:rPr>
              <w:t xml:space="preserve"> By mail:</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1640" w:type="dxa"/>
            <w:vAlign w:val="bottom"/>
          </w:tcPr>
          <w:p>
            <w:pPr>
              <w:ind w:left="200"/>
              <w:spacing w:after="0"/>
              <w:rPr>
                <w:sz w:val="20"/>
                <w:szCs w:val="20"/>
                <w:color w:val="auto"/>
              </w:rPr>
            </w:pPr>
            <w:r>
              <w:rPr>
                <w:rFonts w:ascii="Arial" w:cs="Arial" w:eastAsia="Arial" w:hAnsi="Arial"/>
                <w:sz w:val="18"/>
                <w:szCs w:val="18"/>
                <w:b w:val="1"/>
                <w:bCs w:val="1"/>
                <w:color w:val="auto"/>
              </w:rPr>
              <w:t>COMMUNICATE</w:t>
            </w:r>
          </w:p>
        </w:tc>
        <w:tc>
          <w:tcPr>
            <w:tcW w:w="20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Corporate Secretary, Century Therapeutics, Inc.</w:t>
            </w:r>
          </w:p>
        </w:tc>
        <w:tc>
          <w:tcPr>
            <w:tcW w:w="60" w:type="dxa"/>
            <w:vAlign w:val="bottom"/>
          </w:tcPr>
          <w:p>
            <w:pPr>
              <w:spacing w:after="0"/>
              <w:rPr>
                <w:sz w:val="18"/>
                <w:szCs w:val="18"/>
                <w:color w:val="auto"/>
              </w:rPr>
            </w:pPr>
          </w:p>
        </w:tc>
      </w:tr>
      <w:tr>
        <w:trPr>
          <w:trHeight w:val="216"/>
        </w:trPr>
        <w:tc>
          <w:tcPr>
            <w:tcW w:w="1640" w:type="dxa"/>
            <w:vAlign w:val="bottom"/>
          </w:tcPr>
          <w:p>
            <w:pPr>
              <w:ind w:left="200"/>
              <w:spacing w:after="0"/>
              <w:rPr>
                <w:sz w:val="20"/>
                <w:szCs w:val="20"/>
                <w:color w:val="auto"/>
              </w:rPr>
            </w:pPr>
            <w:r>
              <w:rPr>
                <w:rFonts w:ascii="Arial" w:cs="Arial" w:eastAsia="Arial" w:hAnsi="Arial"/>
                <w:sz w:val="18"/>
                <w:szCs w:val="18"/>
                <w:b w:val="1"/>
                <w:bCs w:val="1"/>
                <w:color w:val="auto"/>
              </w:rPr>
              <w:t>WITH OUR</w:t>
            </w:r>
          </w:p>
        </w:tc>
        <w:tc>
          <w:tcPr>
            <w:tcW w:w="20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25 North 38th Street, 11th Floor,</w:t>
            </w:r>
          </w:p>
        </w:tc>
        <w:tc>
          <w:tcPr>
            <w:tcW w:w="60" w:type="dxa"/>
            <w:vAlign w:val="bottom"/>
          </w:tcPr>
          <w:p>
            <w:pPr>
              <w:spacing w:after="0"/>
              <w:rPr>
                <w:sz w:val="18"/>
                <w:szCs w:val="18"/>
                <w:color w:val="auto"/>
              </w:rPr>
            </w:pPr>
          </w:p>
        </w:tc>
      </w:tr>
      <w:tr>
        <w:trPr>
          <w:trHeight w:val="247"/>
        </w:trPr>
        <w:tc>
          <w:tcPr>
            <w:tcW w:w="1640" w:type="dxa"/>
            <w:vAlign w:val="bottom"/>
          </w:tcPr>
          <w:p>
            <w:pPr>
              <w:ind w:left="200"/>
              <w:spacing w:after="0"/>
              <w:rPr>
                <w:sz w:val="20"/>
                <w:szCs w:val="20"/>
                <w:color w:val="auto"/>
              </w:rPr>
            </w:pPr>
            <w:r>
              <w:rPr>
                <w:rFonts w:ascii="Arial" w:cs="Arial" w:eastAsia="Arial" w:hAnsi="Arial"/>
                <w:sz w:val="18"/>
                <w:szCs w:val="18"/>
                <w:b w:val="1"/>
                <w:bCs w:val="1"/>
                <w:color w:val="auto"/>
              </w:rPr>
              <w:t>DIRECTORS</w:t>
            </w:r>
          </w:p>
        </w:tc>
        <w:tc>
          <w:tcPr>
            <w:tcW w:w="200" w:type="dxa"/>
            <w:vAlign w:val="bottom"/>
          </w:tcPr>
          <w:p>
            <w:pPr>
              <w:spacing w:after="0"/>
              <w:rPr>
                <w:sz w:val="21"/>
                <w:szCs w:val="21"/>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Philadelphia, PA 19104</w:t>
            </w:r>
          </w:p>
        </w:tc>
        <w:tc>
          <w:tcPr>
            <w:tcW w:w="60" w:type="dxa"/>
            <w:vAlign w:val="bottom"/>
          </w:tcPr>
          <w:p>
            <w:pPr>
              <w:spacing w:after="0"/>
              <w:rPr>
                <w:sz w:val="21"/>
                <w:szCs w:val="21"/>
                <w:color w:val="auto"/>
              </w:rPr>
            </w:pPr>
          </w:p>
        </w:tc>
      </w:tr>
      <w:tr>
        <w:trPr>
          <w:trHeight w:val="83"/>
        </w:trPr>
        <w:tc>
          <w:tcPr>
            <w:tcW w:w="1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1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bl>
    <w:p>
      <w:pPr>
        <w:spacing w:after="0" w:line="200" w:lineRule="exact"/>
        <w:rPr>
          <w:sz w:val="20"/>
          <w:szCs w:val="20"/>
          <w:color w:val="auto"/>
        </w:rPr>
      </w:pPr>
    </w:p>
    <w:p>
      <w:pPr>
        <w:sectPr>
          <w:pgSz w:w="11900" w:h="16838" w:orient="portrait"/>
          <w:cols w:equalWidth="0" w:num="1">
            <w:col w:w="9900"/>
          </w:cols>
          <w:pgMar w:left="580" w:top="97" w:right="1419" w:bottom="1440" w:gutter="0" w:footer="0" w:header="0"/>
        </w:sectPr>
      </w:pPr>
    </w:p>
    <w:p>
      <w:pPr>
        <w:spacing w:after="0" w:line="105"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140970</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​DIRECTOR COMPENSATION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39"/>
        <w:spacing w:after="0" w:line="268" w:lineRule="auto"/>
        <w:rPr>
          <w:sz w:val="20"/>
          <w:szCs w:val="20"/>
          <w:color w:val="auto"/>
        </w:rPr>
      </w:pPr>
      <w:r>
        <w:rPr>
          <w:rFonts w:ascii="Arial" w:cs="Arial" w:eastAsia="Arial" w:hAnsi="Arial"/>
          <w:sz w:val="18"/>
          <w:szCs w:val="18"/>
          <w:color w:val="148CD9"/>
        </w:rPr>
        <w:t>We have designed and implemented our compensation program for our non-employee directors to attract, motivate and retain individuals who are committed to our values and goals and who have the expertise and experience that we need to achieve those goals.</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144" w:lineRule="exact"/>
        <w:rPr>
          <w:sz w:val="20"/>
          <w:szCs w:val="20"/>
          <w:color w:val="auto"/>
        </w:rPr>
      </w:pPr>
    </w:p>
    <w:p>
      <w:pPr>
        <w:jc w:val="both"/>
        <w:ind w:left="880" w:right="19"/>
        <w:spacing w:after="0" w:line="287" w:lineRule="auto"/>
        <w:rPr>
          <w:sz w:val="20"/>
          <w:szCs w:val="20"/>
          <w:color w:val="auto"/>
        </w:rPr>
      </w:pPr>
      <w:r>
        <w:rPr>
          <w:rFonts w:ascii="Arial" w:cs="Arial" w:eastAsia="Arial" w:hAnsi="Arial"/>
          <w:sz w:val="18"/>
          <w:szCs w:val="18"/>
          <w:color w:val="auto"/>
        </w:rPr>
        <w:t>The material terms of our non-employee director compensation policy in effect in 2025 are summarized in the table below:</w:t>
      </w:r>
    </w:p>
    <w:p>
      <w:pPr>
        <w:spacing w:after="0" w:line="145" w:lineRule="exact"/>
        <w:rPr>
          <w:sz w:val="20"/>
          <w:szCs w:val="20"/>
          <w:color w:val="auto"/>
        </w:rPr>
      </w:pPr>
    </w:p>
    <w:tbl>
      <w:tblPr>
        <w:tblLayout w:type="fixed"/>
        <w:tblInd w:w="860" w:type="dxa"/>
        <w:tblCellMar>
          <w:top w:w="0" w:type="dxa"/>
          <w:left w:w="0" w:type="dxa"/>
          <w:bottom w:w="0" w:type="dxa"/>
          <w:right w:w="0" w:type="dxa"/>
        </w:tblCellMar>
      </w:tblPr>
      <w:tr>
        <w:trPr>
          <w:trHeight w:val="310"/>
        </w:trPr>
        <w:tc>
          <w:tcPr>
            <w:tcW w:w="200" w:type="dxa"/>
            <w:vAlign w:val="bottom"/>
            <w:shd w:val="clear" w:color="auto" w:fill="148CD9"/>
          </w:tcPr>
          <w:p>
            <w:pPr>
              <w:ind w:left="60"/>
              <w:spacing w:after="0"/>
              <w:rPr>
                <w:sz w:val="20"/>
                <w:szCs w:val="20"/>
                <w:color w:val="auto"/>
              </w:rPr>
            </w:pPr>
            <w:r>
              <w:rPr>
                <w:rFonts w:ascii="Arial" w:cs="Arial" w:eastAsia="Arial" w:hAnsi="Arial"/>
                <w:sz w:val="18"/>
                <w:szCs w:val="18"/>
                <w:b w:val="1"/>
                <w:bCs w:val="1"/>
                <w:color w:val="FFFFFF"/>
              </w:rPr>
              <w:t>​</w:t>
            </w:r>
          </w:p>
        </w:tc>
        <w:tc>
          <w:tcPr>
            <w:tcW w:w="8300" w:type="dxa"/>
            <w:vAlign w:val="bottom"/>
            <w:gridSpan w:val="4"/>
            <w:shd w:val="clear" w:color="auto" w:fill="148CD9"/>
          </w:tcPr>
          <w:p>
            <w:pPr>
              <w:ind w:left="660"/>
              <w:spacing w:after="0"/>
              <w:rPr>
                <w:sz w:val="20"/>
                <w:szCs w:val="20"/>
                <w:color w:val="auto"/>
              </w:rPr>
            </w:pPr>
            <w:r>
              <w:rPr>
                <w:rFonts w:ascii="Arial" w:cs="Arial" w:eastAsia="Arial" w:hAnsi="Arial"/>
                <w:sz w:val="18"/>
                <w:szCs w:val="18"/>
                <w:b w:val="1"/>
                <w:bCs w:val="1"/>
                <w:color w:val="FFFFFF"/>
              </w:rPr>
              <w:t>COMPENSATION ELEMENTS — NON-EMPLOYEE DIRECTOR COMPENSATION POLICY</w:t>
            </w:r>
          </w:p>
        </w:tc>
        <w:tc>
          <w:tcPr>
            <w:tcW w:w="480" w:type="dxa"/>
            <w:vAlign w:val="bottom"/>
            <w:shd w:val="clear" w:color="auto" w:fill="148CD9"/>
          </w:tcPr>
          <w:p>
            <w:pPr>
              <w:jc w:val="right"/>
              <w:spacing w:after="0"/>
              <w:rPr>
                <w:sz w:val="20"/>
                <w:szCs w:val="20"/>
                <w:color w:val="auto"/>
              </w:rPr>
            </w:pPr>
            <w:r>
              <w:rPr>
                <w:rFonts w:ascii="Arial" w:cs="Arial" w:eastAsia="Arial" w:hAnsi="Arial"/>
                <w:sz w:val="18"/>
                <w:szCs w:val="18"/>
                <w:b w:val="1"/>
                <w:bCs w:val="1"/>
                <w:color w:val="FFFFFF"/>
              </w:rPr>
              <w:t>​</w:t>
            </w:r>
          </w:p>
        </w:tc>
      </w:tr>
      <w:tr>
        <w:trPr>
          <w:trHeight w:val="283"/>
        </w:trPr>
        <w:tc>
          <w:tcPr>
            <w:tcW w:w="3860" w:type="dxa"/>
            <w:vAlign w:val="bottom"/>
            <w:gridSpan w:val="2"/>
            <w:shd w:val="clear" w:color="auto" w:fill="1DA46F"/>
          </w:tcPr>
          <w:p>
            <w:pPr>
              <w:ind w:left="20"/>
              <w:spacing w:after="0"/>
              <w:rPr>
                <w:sz w:val="20"/>
                <w:szCs w:val="20"/>
                <w:color w:val="auto"/>
              </w:rPr>
            </w:pPr>
            <w:r>
              <w:rPr>
                <w:rFonts w:ascii="Arial" w:cs="Arial" w:eastAsia="Arial" w:hAnsi="Arial"/>
                <w:sz w:val="18"/>
                <w:szCs w:val="18"/>
                <w:b w:val="1"/>
                <w:bCs w:val="1"/>
                <w:color w:val="FFFFFF"/>
              </w:rPr>
              <w:t>​ Cash</w:t>
            </w:r>
          </w:p>
        </w:tc>
        <w:tc>
          <w:tcPr>
            <w:tcW w:w="1560" w:type="dxa"/>
            <w:vAlign w:val="bottom"/>
            <w:shd w:val="clear" w:color="auto" w:fill="1DA46F"/>
          </w:tcPr>
          <w:p>
            <w:pPr>
              <w:ind w:left="480"/>
              <w:spacing w:after="0"/>
              <w:rPr>
                <w:sz w:val="20"/>
                <w:szCs w:val="20"/>
                <w:color w:val="auto"/>
              </w:rPr>
            </w:pPr>
            <w:r>
              <w:rPr>
                <w:rFonts w:ascii="Arial" w:cs="Arial" w:eastAsia="Arial" w:hAnsi="Arial"/>
                <w:sz w:val="18"/>
                <w:szCs w:val="18"/>
                <w:b w:val="1"/>
                <w:bCs w:val="1"/>
                <w:color w:val="FFFFFF"/>
              </w:rPr>
              <w:t>​ ​</w:t>
            </w:r>
          </w:p>
        </w:tc>
        <w:tc>
          <w:tcPr>
            <w:tcW w:w="1600" w:type="dxa"/>
            <w:vAlign w:val="bottom"/>
            <w:shd w:val="clear" w:color="auto" w:fill="1DA46F"/>
          </w:tcPr>
          <w:p>
            <w:pPr>
              <w:ind w:left="940"/>
              <w:spacing w:after="0"/>
              <w:rPr>
                <w:sz w:val="20"/>
                <w:szCs w:val="20"/>
                <w:color w:val="auto"/>
              </w:rPr>
            </w:pPr>
            <w:r>
              <w:rPr>
                <w:rFonts w:ascii="Arial" w:cs="Arial" w:eastAsia="Arial" w:hAnsi="Arial"/>
                <w:sz w:val="18"/>
                <w:szCs w:val="18"/>
                <w:b w:val="1"/>
                <w:bCs w:val="1"/>
                <w:color w:val="FFFFFF"/>
              </w:rPr>
              <w:t>​ ​</w:t>
            </w:r>
          </w:p>
        </w:tc>
        <w:tc>
          <w:tcPr>
            <w:tcW w:w="1480" w:type="dxa"/>
            <w:vAlign w:val="bottom"/>
            <w:shd w:val="clear" w:color="auto" w:fill="1DA46F"/>
          </w:tcPr>
          <w:p>
            <w:pPr>
              <w:ind w:left="20"/>
              <w:spacing w:after="0"/>
              <w:rPr>
                <w:sz w:val="20"/>
                <w:szCs w:val="20"/>
                <w:color w:val="auto"/>
              </w:rPr>
            </w:pPr>
            <w:r>
              <w:rPr>
                <w:rFonts w:ascii="Arial" w:cs="Arial" w:eastAsia="Arial" w:hAnsi="Arial"/>
                <w:sz w:val="18"/>
                <w:szCs w:val="18"/>
                <w:b w:val="1"/>
                <w:bCs w:val="1"/>
                <w:color w:val="FFFFFF"/>
              </w:rPr>
              <w:t>​</w:t>
            </w:r>
          </w:p>
        </w:tc>
        <w:tc>
          <w:tcPr>
            <w:tcW w:w="480" w:type="dxa"/>
            <w:vAlign w:val="bottom"/>
            <w:shd w:val="clear" w:color="auto" w:fill="1DA46F"/>
          </w:tcPr>
          <w:p>
            <w:pPr>
              <w:jc w:val="right"/>
              <w:spacing w:after="0"/>
              <w:rPr>
                <w:sz w:val="20"/>
                <w:szCs w:val="20"/>
                <w:color w:val="auto"/>
              </w:rPr>
            </w:pPr>
            <w:r>
              <w:rPr>
                <w:rFonts w:ascii="Arial" w:cs="Arial" w:eastAsia="Arial" w:hAnsi="Arial"/>
                <w:sz w:val="18"/>
                <w:szCs w:val="18"/>
                <w:b w:val="1"/>
                <w:bCs w:val="1"/>
                <w:color w:val="FFFFFF"/>
              </w:rPr>
              <w:t>​</w:t>
            </w:r>
          </w:p>
        </w:tc>
      </w:tr>
      <w:tr>
        <w:trPr>
          <w:trHeight w:val="268"/>
        </w:trPr>
        <w:tc>
          <w:tcPr>
            <w:tcW w:w="3860" w:type="dxa"/>
            <w:vAlign w:val="bottom"/>
            <w:gridSpan w:val="2"/>
          </w:tcPr>
          <w:p>
            <w:pPr>
              <w:ind w:left="20"/>
              <w:spacing w:after="0"/>
              <w:rPr>
                <w:sz w:val="20"/>
                <w:szCs w:val="20"/>
                <w:color w:val="auto"/>
              </w:rPr>
            </w:pPr>
            <w:r>
              <w:rPr>
                <w:rFonts w:ascii="Arial" w:cs="Arial" w:eastAsia="Arial" w:hAnsi="Arial"/>
                <w:sz w:val="18"/>
                <w:szCs w:val="18"/>
                <w:b w:val="1"/>
                <w:bCs w:val="1"/>
                <w:color w:val="auto"/>
              </w:rPr>
              <w:t>​ Annual Retainer</w:t>
            </w:r>
          </w:p>
        </w:tc>
        <w:tc>
          <w:tcPr>
            <w:tcW w:w="1560" w:type="dxa"/>
            <w:vAlign w:val="bottom"/>
          </w:tcPr>
          <w:p>
            <w:pPr>
              <w:ind w:left="480"/>
              <w:spacing w:after="0"/>
              <w:rPr>
                <w:sz w:val="20"/>
                <w:szCs w:val="20"/>
                <w:color w:val="auto"/>
              </w:rPr>
            </w:pPr>
            <w:r>
              <w:rPr>
                <w:rFonts w:ascii="Arial" w:cs="Arial" w:eastAsia="Arial" w:hAnsi="Arial"/>
                <w:sz w:val="18"/>
                <w:szCs w:val="18"/>
                <w:b w:val="1"/>
                <w:bCs w:val="1"/>
                <w:color w:val="auto"/>
              </w:rPr>
              <w:t>​ ​</w:t>
            </w:r>
          </w:p>
        </w:tc>
        <w:tc>
          <w:tcPr>
            <w:tcW w:w="1600" w:type="dxa"/>
            <w:vAlign w:val="bottom"/>
          </w:tcPr>
          <w:p>
            <w:pPr>
              <w:ind w:left="940"/>
              <w:spacing w:after="0"/>
              <w:rPr>
                <w:sz w:val="20"/>
                <w:szCs w:val="20"/>
                <w:color w:val="auto"/>
              </w:rPr>
            </w:pPr>
            <w:r>
              <w:rPr>
                <w:rFonts w:ascii="Arial" w:cs="Arial" w:eastAsia="Arial" w:hAnsi="Arial"/>
                <w:sz w:val="18"/>
                <w:szCs w:val="18"/>
                <w:b w:val="1"/>
                <w:bCs w:val="1"/>
                <w:color w:val="auto"/>
              </w:rPr>
              <w:t>​ ​</w:t>
            </w:r>
          </w:p>
        </w:tc>
        <w:tc>
          <w:tcPr>
            <w:tcW w:w="14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62"/>
        </w:trPr>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ind w:left="100"/>
              <w:spacing w:after="0"/>
              <w:rPr>
                <w:sz w:val="20"/>
                <w:szCs w:val="20"/>
                <w:color w:val="auto"/>
              </w:rPr>
            </w:pPr>
            <w:r>
              <w:rPr>
                <w:rFonts w:ascii="Arial" w:cs="Arial" w:eastAsia="Arial" w:hAnsi="Arial"/>
                <w:sz w:val="18"/>
                <w:szCs w:val="18"/>
                <w:color w:val="auto"/>
              </w:rPr>
              <w:t>Member Annual Retainer</w:t>
            </w:r>
          </w:p>
        </w:tc>
        <w:tc>
          <w:tcPr>
            <w:tcW w:w="1560" w:type="dxa"/>
            <w:vAlign w:val="bottom"/>
          </w:tcPr>
          <w:p>
            <w:pPr>
              <w:ind w:left="480"/>
              <w:spacing w:after="0"/>
              <w:rPr>
                <w:sz w:val="20"/>
                <w:szCs w:val="20"/>
                <w:color w:val="auto"/>
              </w:rPr>
            </w:pPr>
            <w:r>
              <w:rPr>
                <w:rFonts w:ascii="Arial" w:cs="Arial" w:eastAsia="Arial" w:hAnsi="Arial"/>
                <w:sz w:val="18"/>
                <w:szCs w:val="18"/>
                <w:color w:val="auto"/>
              </w:rPr>
              <w:t>​ ​</w:t>
            </w:r>
          </w:p>
        </w:tc>
        <w:tc>
          <w:tcPr>
            <w:tcW w:w="3080" w:type="dxa"/>
            <w:vAlign w:val="bottom"/>
            <w:gridSpan w:val="2"/>
          </w:tcPr>
          <w:p>
            <w:pPr>
              <w:ind w:left="940"/>
              <w:spacing w:after="0"/>
              <w:rPr>
                <w:sz w:val="20"/>
                <w:szCs w:val="20"/>
                <w:color w:val="auto"/>
              </w:rPr>
            </w:pPr>
            <w:r>
              <w:rPr>
                <w:rFonts w:ascii="Arial" w:cs="Arial" w:eastAsia="Arial" w:hAnsi="Arial"/>
                <w:sz w:val="18"/>
                <w:szCs w:val="18"/>
                <w:color w:val="auto"/>
              </w:rPr>
              <w:t>​$40,000</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ind w:left="100"/>
              <w:spacing w:after="0"/>
              <w:rPr>
                <w:sz w:val="20"/>
                <w:szCs w:val="20"/>
                <w:color w:val="auto"/>
              </w:rPr>
            </w:pPr>
            <w:r>
              <w:rPr>
                <w:rFonts w:ascii="Arial" w:cs="Arial" w:eastAsia="Arial" w:hAnsi="Arial"/>
                <w:sz w:val="18"/>
                <w:szCs w:val="18"/>
                <w:color w:val="auto"/>
              </w:rPr>
              <w:t>Chairperson Annual Retainer</w:t>
            </w:r>
          </w:p>
        </w:tc>
        <w:tc>
          <w:tcPr>
            <w:tcW w:w="1560" w:type="dxa"/>
            <w:vAlign w:val="bottom"/>
          </w:tcPr>
          <w:p>
            <w:pPr>
              <w:ind w:left="480"/>
              <w:spacing w:after="0"/>
              <w:rPr>
                <w:sz w:val="20"/>
                <w:szCs w:val="20"/>
                <w:color w:val="auto"/>
              </w:rPr>
            </w:pPr>
            <w:r>
              <w:rPr>
                <w:rFonts w:ascii="Arial" w:cs="Arial" w:eastAsia="Arial" w:hAnsi="Arial"/>
                <w:sz w:val="18"/>
                <w:szCs w:val="18"/>
                <w:color w:val="auto"/>
              </w:rPr>
              <w:t>​ ​</w:t>
            </w:r>
          </w:p>
        </w:tc>
        <w:tc>
          <w:tcPr>
            <w:tcW w:w="3080" w:type="dxa"/>
            <w:vAlign w:val="bottom"/>
            <w:gridSpan w:val="2"/>
          </w:tcPr>
          <w:p>
            <w:pPr>
              <w:ind w:left="940"/>
              <w:spacing w:after="0"/>
              <w:rPr>
                <w:sz w:val="20"/>
                <w:szCs w:val="20"/>
                <w:color w:val="auto"/>
              </w:rPr>
            </w:pPr>
            <w:r>
              <w:rPr>
                <w:rFonts w:ascii="Arial" w:cs="Arial" w:eastAsia="Arial" w:hAnsi="Arial"/>
                <w:sz w:val="18"/>
                <w:szCs w:val="18"/>
                <w:color w:val="auto"/>
              </w:rPr>
              <w:t>​$30,000</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8"/>
        </w:trPr>
        <w:tc>
          <w:tcPr>
            <w:tcW w:w="3860" w:type="dxa"/>
            <w:vAlign w:val="bottom"/>
            <w:gridSpan w:val="2"/>
          </w:tcPr>
          <w:p>
            <w:pPr>
              <w:ind w:left="20"/>
              <w:spacing w:after="0"/>
              <w:rPr>
                <w:sz w:val="20"/>
                <w:szCs w:val="20"/>
                <w:color w:val="auto"/>
              </w:rPr>
            </w:pPr>
            <w:r>
              <w:rPr>
                <w:rFonts w:ascii="Arial" w:cs="Arial" w:eastAsia="Arial" w:hAnsi="Arial"/>
                <w:sz w:val="18"/>
                <w:szCs w:val="18"/>
                <w:b w:val="1"/>
                <w:bCs w:val="1"/>
                <w:color w:val="auto"/>
              </w:rPr>
              <w:t>​ Annual Committee Chair Retainer</w:t>
            </w:r>
          </w:p>
        </w:tc>
        <w:tc>
          <w:tcPr>
            <w:tcW w:w="1560" w:type="dxa"/>
            <w:vAlign w:val="bottom"/>
          </w:tcPr>
          <w:p>
            <w:pPr>
              <w:ind w:left="480"/>
              <w:spacing w:after="0"/>
              <w:rPr>
                <w:sz w:val="20"/>
                <w:szCs w:val="20"/>
                <w:color w:val="auto"/>
              </w:rPr>
            </w:pPr>
            <w:r>
              <w:rPr>
                <w:rFonts w:ascii="Arial" w:cs="Arial" w:eastAsia="Arial" w:hAnsi="Arial"/>
                <w:sz w:val="18"/>
                <w:szCs w:val="18"/>
                <w:b w:val="1"/>
                <w:bCs w:val="1"/>
                <w:color w:val="auto"/>
              </w:rPr>
              <w:t>​ ​</w:t>
            </w:r>
          </w:p>
        </w:tc>
        <w:tc>
          <w:tcPr>
            <w:tcW w:w="1600" w:type="dxa"/>
            <w:vAlign w:val="bottom"/>
          </w:tcPr>
          <w:p>
            <w:pPr>
              <w:ind w:left="940"/>
              <w:spacing w:after="0"/>
              <w:rPr>
                <w:sz w:val="20"/>
                <w:szCs w:val="20"/>
                <w:color w:val="auto"/>
              </w:rPr>
            </w:pPr>
            <w:r>
              <w:rPr>
                <w:rFonts w:ascii="Arial" w:cs="Arial" w:eastAsia="Arial" w:hAnsi="Arial"/>
                <w:sz w:val="18"/>
                <w:szCs w:val="18"/>
                <w:b w:val="1"/>
                <w:bCs w:val="1"/>
                <w:color w:val="auto"/>
              </w:rPr>
              <w:t>​ ​</w:t>
            </w:r>
          </w:p>
        </w:tc>
        <w:tc>
          <w:tcPr>
            <w:tcW w:w="14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62"/>
        </w:trPr>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ind w:left="100"/>
              <w:spacing w:after="0"/>
              <w:rPr>
                <w:sz w:val="20"/>
                <w:szCs w:val="20"/>
                <w:color w:val="auto"/>
              </w:rPr>
            </w:pPr>
            <w:r>
              <w:rPr>
                <w:rFonts w:ascii="Arial" w:cs="Arial" w:eastAsia="Arial" w:hAnsi="Arial"/>
                <w:sz w:val="18"/>
                <w:szCs w:val="18"/>
                <w:color w:val="auto"/>
              </w:rPr>
              <w:t>Audit</w:t>
            </w:r>
          </w:p>
        </w:tc>
        <w:tc>
          <w:tcPr>
            <w:tcW w:w="1560" w:type="dxa"/>
            <w:vAlign w:val="bottom"/>
          </w:tcPr>
          <w:p>
            <w:pPr>
              <w:ind w:left="480"/>
              <w:spacing w:after="0"/>
              <w:rPr>
                <w:sz w:val="20"/>
                <w:szCs w:val="20"/>
                <w:color w:val="auto"/>
              </w:rPr>
            </w:pPr>
            <w:r>
              <w:rPr>
                <w:rFonts w:ascii="Arial" w:cs="Arial" w:eastAsia="Arial" w:hAnsi="Arial"/>
                <w:sz w:val="18"/>
                <w:szCs w:val="18"/>
                <w:color w:val="auto"/>
              </w:rPr>
              <w:t>​ ​</w:t>
            </w:r>
          </w:p>
        </w:tc>
        <w:tc>
          <w:tcPr>
            <w:tcW w:w="3080" w:type="dxa"/>
            <w:vAlign w:val="bottom"/>
            <w:gridSpan w:val="2"/>
          </w:tcPr>
          <w:p>
            <w:pPr>
              <w:ind w:left="940"/>
              <w:spacing w:after="0"/>
              <w:rPr>
                <w:sz w:val="20"/>
                <w:szCs w:val="20"/>
                <w:color w:val="auto"/>
              </w:rPr>
            </w:pPr>
            <w:r>
              <w:rPr>
                <w:rFonts w:ascii="Arial" w:cs="Arial" w:eastAsia="Arial" w:hAnsi="Arial"/>
                <w:sz w:val="18"/>
                <w:szCs w:val="18"/>
                <w:color w:val="auto"/>
              </w:rPr>
              <w:t>​$15,000</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ind w:left="100"/>
              <w:spacing w:after="0"/>
              <w:rPr>
                <w:sz w:val="20"/>
                <w:szCs w:val="20"/>
                <w:color w:val="auto"/>
              </w:rPr>
            </w:pPr>
            <w:r>
              <w:rPr>
                <w:rFonts w:ascii="Arial" w:cs="Arial" w:eastAsia="Arial" w:hAnsi="Arial"/>
                <w:sz w:val="18"/>
                <w:szCs w:val="18"/>
                <w:color w:val="auto"/>
              </w:rPr>
              <w:t>Compensation</w:t>
            </w:r>
          </w:p>
        </w:tc>
        <w:tc>
          <w:tcPr>
            <w:tcW w:w="1560" w:type="dxa"/>
            <w:vAlign w:val="bottom"/>
          </w:tcPr>
          <w:p>
            <w:pPr>
              <w:ind w:left="480"/>
              <w:spacing w:after="0"/>
              <w:rPr>
                <w:sz w:val="20"/>
                <w:szCs w:val="20"/>
                <w:color w:val="auto"/>
              </w:rPr>
            </w:pPr>
            <w:r>
              <w:rPr>
                <w:rFonts w:ascii="Arial" w:cs="Arial" w:eastAsia="Arial" w:hAnsi="Arial"/>
                <w:sz w:val="18"/>
                <w:szCs w:val="18"/>
                <w:color w:val="auto"/>
              </w:rPr>
              <w:t>​ ​</w:t>
            </w:r>
          </w:p>
        </w:tc>
        <w:tc>
          <w:tcPr>
            <w:tcW w:w="3080" w:type="dxa"/>
            <w:vAlign w:val="bottom"/>
            <w:gridSpan w:val="2"/>
          </w:tcPr>
          <w:p>
            <w:pPr>
              <w:ind w:left="940"/>
              <w:spacing w:after="0"/>
              <w:rPr>
                <w:sz w:val="20"/>
                <w:szCs w:val="20"/>
                <w:color w:val="auto"/>
              </w:rPr>
            </w:pPr>
            <w:r>
              <w:rPr>
                <w:rFonts w:ascii="Arial" w:cs="Arial" w:eastAsia="Arial" w:hAnsi="Arial"/>
                <w:sz w:val="18"/>
                <w:szCs w:val="18"/>
                <w:color w:val="auto"/>
              </w:rPr>
              <w:t>​$10,000</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  Nominating and Corporate Governance</w:t>
            </w:r>
          </w:p>
        </w:tc>
        <w:tc>
          <w:tcPr>
            <w:tcW w:w="1560" w:type="dxa"/>
            <w:vAlign w:val="bottom"/>
          </w:tcPr>
          <w:p>
            <w:pPr>
              <w:ind w:left="480"/>
              <w:spacing w:after="0"/>
              <w:rPr>
                <w:sz w:val="20"/>
                <w:szCs w:val="20"/>
                <w:color w:val="auto"/>
              </w:rPr>
            </w:pPr>
            <w:r>
              <w:rPr>
                <w:rFonts w:ascii="Arial" w:cs="Arial" w:eastAsia="Arial" w:hAnsi="Arial"/>
                <w:sz w:val="18"/>
                <w:szCs w:val="18"/>
                <w:color w:val="auto"/>
              </w:rPr>
              <w:t>​ ​</w:t>
            </w:r>
          </w:p>
        </w:tc>
        <w:tc>
          <w:tcPr>
            <w:tcW w:w="1600" w:type="dxa"/>
            <w:vAlign w:val="bottom"/>
          </w:tcPr>
          <w:p>
            <w:pPr>
              <w:ind w:left="1020"/>
              <w:spacing w:after="0"/>
              <w:rPr>
                <w:sz w:val="20"/>
                <w:szCs w:val="20"/>
                <w:color w:val="auto"/>
              </w:rPr>
            </w:pPr>
            <w:r>
              <w:rPr>
                <w:rFonts w:ascii="Arial" w:cs="Arial" w:eastAsia="Arial" w:hAnsi="Arial"/>
                <w:sz w:val="18"/>
                <w:szCs w:val="18"/>
                <w:color w:val="auto"/>
              </w:rPr>
              <w:t>$8,000</w:t>
            </w:r>
          </w:p>
        </w:tc>
        <w:tc>
          <w:tcPr>
            <w:tcW w:w="14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8"/>
        </w:trPr>
        <w:tc>
          <w:tcPr>
            <w:tcW w:w="3860" w:type="dxa"/>
            <w:vAlign w:val="bottom"/>
            <w:gridSpan w:val="2"/>
          </w:tcPr>
          <w:p>
            <w:pPr>
              <w:ind w:left="20"/>
              <w:spacing w:after="0"/>
              <w:rPr>
                <w:sz w:val="20"/>
                <w:szCs w:val="20"/>
                <w:color w:val="auto"/>
              </w:rPr>
            </w:pPr>
            <w:r>
              <w:rPr>
                <w:rFonts w:ascii="Arial" w:cs="Arial" w:eastAsia="Arial" w:hAnsi="Arial"/>
                <w:sz w:val="18"/>
                <w:szCs w:val="18"/>
                <w:b w:val="1"/>
                <w:bCs w:val="1"/>
                <w:color w:val="auto"/>
              </w:rPr>
              <w:t>​ Annual Committee Member Retainer</w:t>
            </w:r>
          </w:p>
        </w:tc>
        <w:tc>
          <w:tcPr>
            <w:tcW w:w="1560" w:type="dxa"/>
            <w:vAlign w:val="bottom"/>
          </w:tcPr>
          <w:p>
            <w:pPr>
              <w:ind w:left="480"/>
              <w:spacing w:after="0"/>
              <w:rPr>
                <w:sz w:val="20"/>
                <w:szCs w:val="20"/>
                <w:color w:val="auto"/>
              </w:rPr>
            </w:pPr>
            <w:r>
              <w:rPr>
                <w:rFonts w:ascii="Arial" w:cs="Arial" w:eastAsia="Arial" w:hAnsi="Arial"/>
                <w:sz w:val="18"/>
                <w:szCs w:val="18"/>
                <w:b w:val="1"/>
                <w:bCs w:val="1"/>
                <w:color w:val="auto"/>
              </w:rPr>
              <w:t>​ ​</w:t>
            </w:r>
          </w:p>
        </w:tc>
        <w:tc>
          <w:tcPr>
            <w:tcW w:w="1600" w:type="dxa"/>
            <w:vAlign w:val="bottom"/>
          </w:tcPr>
          <w:p>
            <w:pPr>
              <w:ind w:left="940"/>
              <w:spacing w:after="0"/>
              <w:rPr>
                <w:sz w:val="20"/>
                <w:szCs w:val="20"/>
                <w:color w:val="auto"/>
              </w:rPr>
            </w:pPr>
            <w:r>
              <w:rPr>
                <w:rFonts w:ascii="Arial" w:cs="Arial" w:eastAsia="Arial" w:hAnsi="Arial"/>
                <w:sz w:val="18"/>
                <w:szCs w:val="18"/>
                <w:b w:val="1"/>
                <w:bCs w:val="1"/>
                <w:color w:val="auto"/>
              </w:rPr>
              <w:t>​ ​</w:t>
            </w:r>
          </w:p>
        </w:tc>
        <w:tc>
          <w:tcPr>
            <w:tcW w:w="14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62"/>
        </w:trPr>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ind w:left="100"/>
              <w:spacing w:after="0"/>
              <w:rPr>
                <w:sz w:val="20"/>
                <w:szCs w:val="20"/>
                <w:color w:val="auto"/>
              </w:rPr>
            </w:pPr>
            <w:r>
              <w:rPr>
                <w:rFonts w:ascii="Arial" w:cs="Arial" w:eastAsia="Arial" w:hAnsi="Arial"/>
                <w:sz w:val="18"/>
                <w:szCs w:val="18"/>
                <w:color w:val="auto"/>
              </w:rPr>
              <w:t>Audit</w:t>
            </w:r>
          </w:p>
        </w:tc>
        <w:tc>
          <w:tcPr>
            <w:tcW w:w="1560" w:type="dxa"/>
            <w:vAlign w:val="bottom"/>
          </w:tcPr>
          <w:p>
            <w:pPr>
              <w:ind w:left="480"/>
              <w:spacing w:after="0"/>
              <w:rPr>
                <w:sz w:val="20"/>
                <w:szCs w:val="20"/>
                <w:color w:val="auto"/>
              </w:rPr>
            </w:pPr>
            <w:r>
              <w:rPr>
                <w:rFonts w:ascii="Arial" w:cs="Arial" w:eastAsia="Arial" w:hAnsi="Arial"/>
                <w:sz w:val="18"/>
                <w:szCs w:val="18"/>
                <w:color w:val="auto"/>
              </w:rPr>
              <w:t>​ ​</w:t>
            </w:r>
          </w:p>
        </w:tc>
        <w:tc>
          <w:tcPr>
            <w:tcW w:w="1600" w:type="dxa"/>
            <w:vAlign w:val="bottom"/>
          </w:tcPr>
          <w:p>
            <w:pPr>
              <w:ind w:left="1020"/>
              <w:spacing w:after="0"/>
              <w:rPr>
                <w:sz w:val="20"/>
                <w:szCs w:val="20"/>
                <w:color w:val="auto"/>
              </w:rPr>
            </w:pPr>
            <w:r>
              <w:rPr>
                <w:rFonts w:ascii="Arial" w:cs="Arial" w:eastAsia="Arial" w:hAnsi="Arial"/>
                <w:sz w:val="18"/>
                <w:szCs w:val="18"/>
                <w:color w:val="auto"/>
              </w:rPr>
              <w:t>$7,500</w:t>
            </w:r>
          </w:p>
        </w:tc>
        <w:tc>
          <w:tcPr>
            <w:tcW w:w="14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ind w:left="100"/>
              <w:spacing w:after="0"/>
              <w:rPr>
                <w:sz w:val="20"/>
                <w:szCs w:val="20"/>
                <w:color w:val="auto"/>
              </w:rPr>
            </w:pPr>
            <w:r>
              <w:rPr>
                <w:rFonts w:ascii="Arial" w:cs="Arial" w:eastAsia="Arial" w:hAnsi="Arial"/>
                <w:sz w:val="18"/>
                <w:szCs w:val="18"/>
                <w:color w:val="auto"/>
              </w:rPr>
              <w:t>Compensation</w:t>
            </w:r>
          </w:p>
        </w:tc>
        <w:tc>
          <w:tcPr>
            <w:tcW w:w="1560" w:type="dxa"/>
            <w:vAlign w:val="bottom"/>
          </w:tcPr>
          <w:p>
            <w:pPr>
              <w:ind w:left="480"/>
              <w:spacing w:after="0"/>
              <w:rPr>
                <w:sz w:val="20"/>
                <w:szCs w:val="20"/>
                <w:color w:val="auto"/>
              </w:rPr>
            </w:pPr>
            <w:r>
              <w:rPr>
                <w:rFonts w:ascii="Arial" w:cs="Arial" w:eastAsia="Arial" w:hAnsi="Arial"/>
                <w:sz w:val="18"/>
                <w:szCs w:val="18"/>
                <w:color w:val="auto"/>
              </w:rPr>
              <w:t>​ ​</w:t>
            </w:r>
          </w:p>
        </w:tc>
        <w:tc>
          <w:tcPr>
            <w:tcW w:w="1600" w:type="dxa"/>
            <w:vAlign w:val="bottom"/>
          </w:tcPr>
          <w:p>
            <w:pPr>
              <w:ind w:left="1020"/>
              <w:spacing w:after="0"/>
              <w:rPr>
                <w:sz w:val="20"/>
                <w:szCs w:val="20"/>
                <w:color w:val="auto"/>
              </w:rPr>
            </w:pPr>
            <w:r>
              <w:rPr>
                <w:rFonts w:ascii="Arial" w:cs="Arial" w:eastAsia="Arial" w:hAnsi="Arial"/>
                <w:sz w:val="18"/>
                <w:szCs w:val="18"/>
                <w:color w:val="auto"/>
              </w:rPr>
              <w:t>$5,000</w:t>
            </w:r>
          </w:p>
        </w:tc>
        <w:tc>
          <w:tcPr>
            <w:tcW w:w="14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5"/>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  Nominating and Corporate Governance</w:t>
            </w:r>
          </w:p>
        </w:tc>
        <w:tc>
          <w:tcPr>
            <w:tcW w:w="1560" w:type="dxa"/>
            <w:vAlign w:val="bottom"/>
          </w:tcPr>
          <w:p>
            <w:pPr>
              <w:ind w:left="480"/>
              <w:spacing w:after="0"/>
              <w:rPr>
                <w:sz w:val="20"/>
                <w:szCs w:val="20"/>
                <w:color w:val="auto"/>
              </w:rPr>
            </w:pPr>
            <w:r>
              <w:rPr>
                <w:rFonts w:ascii="Arial" w:cs="Arial" w:eastAsia="Arial" w:hAnsi="Arial"/>
                <w:sz w:val="18"/>
                <w:szCs w:val="18"/>
                <w:color w:val="auto"/>
              </w:rPr>
              <w:t>​ ​</w:t>
            </w:r>
          </w:p>
        </w:tc>
        <w:tc>
          <w:tcPr>
            <w:tcW w:w="1600" w:type="dxa"/>
            <w:vAlign w:val="bottom"/>
          </w:tcPr>
          <w:p>
            <w:pPr>
              <w:ind w:left="1020"/>
              <w:spacing w:after="0"/>
              <w:rPr>
                <w:sz w:val="20"/>
                <w:szCs w:val="20"/>
                <w:color w:val="auto"/>
              </w:rPr>
            </w:pPr>
            <w:r>
              <w:rPr>
                <w:rFonts w:ascii="Arial" w:cs="Arial" w:eastAsia="Arial" w:hAnsi="Arial"/>
                <w:sz w:val="18"/>
                <w:szCs w:val="18"/>
                <w:color w:val="auto"/>
              </w:rPr>
              <w:t>$4,000</w:t>
            </w:r>
          </w:p>
        </w:tc>
        <w:tc>
          <w:tcPr>
            <w:tcW w:w="14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5"/>
        </w:trPr>
        <w:tc>
          <w:tcPr>
            <w:tcW w:w="3860" w:type="dxa"/>
            <w:vAlign w:val="bottom"/>
            <w:gridSpan w:val="2"/>
            <w:shd w:val="clear" w:color="auto" w:fill="1DA46F"/>
          </w:tcPr>
          <w:p>
            <w:pPr>
              <w:ind w:left="20"/>
              <w:spacing w:after="0"/>
              <w:rPr>
                <w:sz w:val="20"/>
                <w:szCs w:val="20"/>
                <w:color w:val="auto"/>
              </w:rPr>
            </w:pPr>
            <w:r>
              <w:rPr>
                <w:rFonts w:ascii="Arial" w:cs="Arial" w:eastAsia="Arial" w:hAnsi="Arial"/>
                <w:sz w:val="18"/>
                <w:szCs w:val="18"/>
                <w:b w:val="1"/>
                <w:bCs w:val="1"/>
                <w:color w:val="FFFFFF"/>
              </w:rPr>
              <w:t>​ Equity</w:t>
            </w:r>
          </w:p>
        </w:tc>
        <w:tc>
          <w:tcPr>
            <w:tcW w:w="1560" w:type="dxa"/>
            <w:vAlign w:val="bottom"/>
            <w:shd w:val="clear" w:color="auto" w:fill="1DA46F"/>
          </w:tcPr>
          <w:p>
            <w:pPr>
              <w:ind w:left="480"/>
              <w:spacing w:after="0"/>
              <w:rPr>
                <w:sz w:val="20"/>
                <w:szCs w:val="20"/>
                <w:color w:val="auto"/>
              </w:rPr>
            </w:pPr>
            <w:r>
              <w:rPr>
                <w:rFonts w:ascii="Arial" w:cs="Arial" w:eastAsia="Arial" w:hAnsi="Arial"/>
                <w:sz w:val="18"/>
                <w:szCs w:val="18"/>
                <w:b w:val="1"/>
                <w:bCs w:val="1"/>
                <w:color w:val="FFFFFF"/>
              </w:rPr>
              <w:t>​ ​</w:t>
            </w:r>
          </w:p>
        </w:tc>
        <w:tc>
          <w:tcPr>
            <w:tcW w:w="1600" w:type="dxa"/>
            <w:vAlign w:val="bottom"/>
            <w:shd w:val="clear" w:color="auto" w:fill="1DA46F"/>
          </w:tcPr>
          <w:p>
            <w:pPr>
              <w:ind w:left="940"/>
              <w:spacing w:after="0"/>
              <w:rPr>
                <w:sz w:val="20"/>
                <w:szCs w:val="20"/>
                <w:color w:val="auto"/>
              </w:rPr>
            </w:pPr>
            <w:r>
              <w:rPr>
                <w:rFonts w:ascii="Arial" w:cs="Arial" w:eastAsia="Arial" w:hAnsi="Arial"/>
                <w:sz w:val="18"/>
                <w:szCs w:val="18"/>
                <w:b w:val="1"/>
                <w:bCs w:val="1"/>
                <w:color w:val="FFFFFF"/>
              </w:rPr>
              <w:t>​ ​</w:t>
            </w:r>
          </w:p>
        </w:tc>
        <w:tc>
          <w:tcPr>
            <w:tcW w:w="1480" w:type="dxa"/>
            <w:vAlign w:val="bottom"/>
            <w:shd w:val="clear" w:color="auto" w:fill="1DA46F"/>
          </w:tcPr>
          <w:p>
            <w:pPr>
              <w:ind w:left="20"/>
              <w:spacing w:after="0"/>
              <w:rPr>
                <w:sz w:val="20"/>
                <w:szCs w:val="20"/>
                <w:color w:val="auto"/>
              </w:rPr>
            </w:pPr>
            <w:r>
              <w:rPr>
                <w:rFonts w:ascii="Arial" w:cs="Arial" w:eastAsia="Arial" w:hAnsi="Arial"/>
                <w:sz w:val="18"/>
                <w:szCs w:val="18"/>
                <w:b w:val="1"/>
                <w:bCs w:val="1"/>
                <w:color w:val="FFFFFF"/>
              </w:rPr>
              <w:t>​</w:t>
            </w:r>
          </w:p>
        </w:tc>
        <w:tc>
          <w:tcPr>
            <w:tcW w:w="480" w:type="dxa"/>
            <w:vAlign w:val="bottom"/>
            <w:shd w:val="clear" w:color="auto" w:fill="1DA46F"/>
          </w:tcPr>
          <w:p>
            <w:pPr>
              <w:jc w:val="right"/>
              <w:spacing w:after="0"/>
              <w:rPr>
                <w:sz w:val="20"/>
                <w:szCs w:val="20"/>
                <w:color w:val="auto"/>
              </w:rPr>
            </w:pPr>
            <w:r>
              <w:rPr>
                <w:rFonts w:ascii="Arial" w:cs="Arial" w:eastAsia="Arial" w:hAnsi="Arial"/>
                <w:sz w:val="18"/>
                <w:szCs w:val="18"/>
                <w:b w:val="1"/>
                <w:bCs w:val="1"/>
                <w:color w:val="FFFFFF"/>
              </w:rPr>
              <w:t>​</w:t>
            </w:r>
          </w:p>
        </w:tc>
      </w:tr>
    </w:tbl>
    <w:p>
      <w:pPr>
        <w:spacing w:after="0" w:line="22"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3640" w:type="dxa"/>
            <w:vAlign w:val="bottom"/>
          </w:tcPr>
          <w:p>
            <w:pPr>
              <w:ind w:left="1420"/>
              <w:spacing w:after="0"/>
              <w:rPr>
                <w:sz w:val="20"/>
                <w:szCs w:val="20"/>
                <w:color w:val="auto"/>
              </w:rPr>
            </w:pPr>
            <w:r>
              <w:rPr>
                <w:rFonts w:ascii="Arial" w:cs="Arial" w:eastAsia="Arial" w:hAnsi="Arial"/>
                <w:sz w:val="18"/>
                <w:szCs w:val="18"/>
                <w:color w:val="auto"/>
              </w:rPr>
              <w:t>Option to purchase 88,000</w:t>
            </w:r>
          </w:p>
        </w:tc>
        <w:tc>
          <w:tcPr>
            <w:tcW w:w="2160" w:type="dxa"/>
            <w:vAlign w:val="bottom"/>
          </w:tcPr>
          <w:p>
            <w:pPr>
              <w:jc w:val="right"/>
              <w:spacing w:after="0"/>
              <w:rPr>
                <w:sz w:val="20"/>
                <w:szCs w:val="20"/>
                <w:color w:val="auto"/>
              </w:rPr>
            </w:pPr>
            <w:r>
              <w:rPr>
                <w:rFonts w:ascii="Arial" w:cs="Arial" w:eastAsia="Arial" w:hAnsi="Arial"/>
                <w:sz w:val="18"/>
                <w:szCs w:val="18"/>
                <w:color w:val="auto"/>
              </w:rPr>
              <w:t>shares of common stock,</w:t>
            </w:r>
          </w:p>
        </w:tc>
      </w:tr>
      <w:tr>
        <w:trPr>
          <w:trHeight w:val="203"/>
        </w:trPr>
        <w:tc>
          <w:tcPr>
            <w:tcW w:w="3100" w:type="dxa"/>
            <w:vAlign w:val="bottom"/>
          </w:tcPr>
          <w:p>
            <w:pPr>
              <w:spacing w:after="0"/>
              <w:rPr>
                <w:sz w:val="17"/>
                <w:szCs w:val="17"/>
                <w:color w:val="auto"/>
              </w:rPr>
            </w:pPr>
          </w:p>
        </w:tc>
        <w:tc>
          <w:tcPr>
            <w:tcW w:w="3640" w:type="dxa"/>
            <w:vAlign w:val="bottom"/>
          </w:tcPr>
          <w:p>
            <w:pPr>
              <w:ind w:left="1420"/>
              <w:spacing w:after="0" w:line="202" w:lineRule="exact"/>
              <w:rPr>
                <w:sz w:val="20"/>
                <w:szCs w:val="20"/>
                <w:color w:val="auto"/>
              </w:rPr>
            </w:pPr>
            <w:r>
              <w:rPr>
                <w:rFonts w:ascii="Arial" w:cs="Arial" w:eastAsia="Arial" w:hAnsi="Arial"/>
                <w:sz w:val="18"/>
                <w:szCs w:val="18"/>
                <w:color w:val="auto"/>
              </w:rPr>
              <w:t>made to directors at the</w:t>
            </w:r>
          </w:p>
        </w:tc>
        <w:tc>
          <w:tcPr>
            <w:tcW w:w="2160" w:type="dxa"/>
            <w:vAlign w:val="bottom"/>
          </w:tcPr>
          <w:p>
            <w:pPr>
              <w:jc w:val="right"/>
              <w:spacing w:after="0" w:line="202" w:lineRule="exact"/>
              <w:rPr>
                <w:sz w:val="20"/>
                <w:szCs w:val="20"/>
                <w:color w:val="auto"/>
              </w:rPr>
            </w:pPr>
            <w:r>
              <w:rPr>
                <w:rFonts w:ascii="Arial" w:cs="Arial" w:eastAsia="Arial" w:hAnsi="Arial"/>
                <w:sz w:val="18"/>
                <w:szCs w:val="18"/>
                <w:color w:val="auto"/>
              </w:rPr>
              <w:t>commencement of their</w:t>
            </w:r>
          </w:p>
        </w:tc>
      </w:tr>
      <w:tr>
        <w:trPr>
          <w:trHeight w:val="229"/>
        </w:trPr>
        <w:tc>
          <w:tcPr>
            <w:tcW w:w="310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Initial Equity Grant</w:t>
            </w:r>
          </w:p>
        </w:tc>
        <w:tc>
          <w:tcPr>
            <w:tcW w:w="5800" w:type="dxa"/>
            <w:vAlign w:val="bottom"/>
            <w:gridSpan w:val="2"/>
          </w:tcPr>
          <w:p>
            <w:pPr>
              <w:ind w:left="1220"/>
              <w:spacing w:after="0"/>
              <w:rPr>
                <w:sz w:val="20"/>
                <w:szCs w:val="20"/>
                <w:color w:val="auto"/>
              </w:rPr>
            </w:pPr>
            <w:r>
              <w:rPr>
                <w:rFonts w:ascii="Arial" w:cs="Arial" w:eastAsia="Arial" w:hAnsi="Arial"/>
                <w:sz w:val="18"/>
                <w:szCs w:val="18"/>
                <w:color w:val="auto"/>
              </w:rPr>
              <w:t>​ ​ director service, vesting monthly over a period of​</w:t>
            </w:r>
          </w:p>
        </w:tc>
      </w:tr>
      <w:tr>
        <w:trPr>
          <w:trHeight w:val="216"/>
        </w:trPr>
        <w:tc>
          <w:tcPr>
            <w:tcW w:w="3100" w:type="dxa"/>
            <w:vAlign w:val="bottom"/>
          </w:tcPr>
          <w:p>
            <w:pPr>
              <w:spacing w:after="0"/>
              <w:rPr>
                <w:sz w:val="18"/>
                <w:szCs w:val="18"/>
                <w:color w:val="auto"/>
              </w:rPr>
            </w:pPr>
          </w:p>
        </w:tc>
        <w:tc>
          <w:tcPr>
            <w:tcW w:w="5800" w:type="dxa"/>
            <w:vAlign w:val="bottom"/>
            <w:gridSpan w:val="2"/>
          </w:tcPr>
          <w:p>
            <w:pPr>
              <w:ind w:left="1420"/>
              <w:spacing w:after="0"/>
              <w:rPr>
                <w:sz w:val="20"/>
                <w:szCs w:val="20"/>
                <w:color w:val="auto"/>
              </w:rPr>
            </w:pPr>
            <w:r>
              <w:rPr>
                <w:rFonts w:ascii="Arial" w:cs="Arial" w:eastAsia="Arial" w:hAnsi="Arial"/>
                <w:sz w:val="18"/>
                <w:szCs w:val="18"/>
                <w:color w:val="auto"/>
              </w:rPr>
              <w:t>36 months, subject generally to continued service with</w:t>
            </w:r>
          </w:p>
        </w:tc>
      </w:tr>
      <w:tr>
        <w:trPr>
          <w:trHeight w:val="239"/>
        </w:trPr>
        <w:tc>
          <w:tcPr>
            <w:tcW w:w="3100" w:type="dxa"/>
            <w:vAlign w:val="bottom"/>
          </w:tcPr>
          <w:p>
            <w:pPr>
              <w:spacing w:after="0"/>
              <w:rPr>
                <w:sz w:val="20"/>
                <w:szCs w:val="20"/>
                <w:color w:val="auto"/>
              </w:rPr>
            </w:pPr>
          </w:p>
        </w:tc>
        <w:tc>
          <w:tcPr>
            <w:tcW w:w="3640" w:type="dxa"/>
            <w:vAlign w:val="bottom"/>
          </w:tcPr>
          <w:p>
            <w:pPr>
              <w:ind w:left="1420"/>
              <w:spacing w:after="0"/>
              <w:rPr>
                <w:sz w:val="20"/>
                <w:szCs w:val="20"/>
                <w:color w:val="auto"/>
              </w:rPr>
            </w:pPr>
            <w:r>
              <w:rPr>
                <w:rFonts w:ascii="Arial" w:cs="Arial" w:eastAsia="Arial" w:hAnsi="Arial"/>
                <w:sz w:val="18"/>
                <w:szCs w:val="18"/>
                <w:color w:val="auto"/>
              </w:rPr>
              <w:t>us.</w:t>
            </w:r>
          </w:p>
        </w:tc>
        <w:tc>
          <w:tcPr>
            <w:tcW w:w="2160" w:type="dxa"/>
            <w:vAlign w:val="bottom"/>
          </w:tcPr>
          <w:p>
            <w:pPr>
              <w:spacing w:after="0"/>
              <w:rPr>
                <w:sz w:val="20"/>
                <w:szCs w:val="20"/>
                <w:color w:val="auto"/>
              </w:rPr>
            </w:pPr>
          </w:p>
        </w:tc>
      </w:tr>
    </w:tbl>
    <w:p>
      <w:pPr>
        <w:spacing w:after="0" w:line="3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Option to purchase 44,000 shares of common stock,</w:t>
      </w:r>
    </w:p>
    <w:p>
      <w:pPr>
        <w:spacing w:after="0" w:line="27" w:lineRule="exact"/>
        <w:rPr>
          <w:sz w:val="20"/>
          <w:szCs w:val="20"/>
          <w:color w:val="auto"/>
        </w:rPr>
      </w:pPr>
    </w:p>
    <w:p>
      <w:pPr>
        <w:jc w:val="both"/>
        <w:ind w:left="1180" w:right="99" w:hanging="4535"/>
        <w:spacing w:after="0" w:line="225" w:lineRule="auto"/>
        <w:tabs>
          <w:tab w:leader="none" w:pos="1160" w:val="left"/>
        </w:tabs>
        <w:rPr>
          <w:sz w:val="20"/>
          <w:szCs w:val="20"/>
          <w:color w:val="auto"/>
        </w:rPr>
      </w:pPr>
      <w:r>
        <w:rPr>
          <w:rFonts w:ascii="Arial" w:cs="Arial" w:eastAsia="Arial" w:hAnsi="Arial"/>
          <w:sz w:val="35"/>
          <w:szCs w:val="35"/>
          <w:color w:val="auto"/>
          <w:vertAlign w:val="subscript"/>
        </w:rPr>
        <w:t>​</w:t>
      </w:r>
      <w:r>
        <w:rPr>
          <w:sz w:val="20"/>
          <w:szCs w:val="20"/>
          <w:color w:val="auto"/>
        </w:rPr>
        <w:tab/>
      </w:r>
      <w:r>
        <w:rPr>
          <w:rFonts w:ascii="Arial" w:cs="Arial" w:eastAsia="Arial" w:hAnsi="Arial"/>
          <w:sz w:val="26"/>
          <w:szCs w:val="26"/>
          <w:b w:val="1"/>
          <w:bCs w:val="1"/>
          <w:color w:val="auto"/>
          <w:vertAlign w:val="subscript"/>
        </w:rPr>
        <w:t xml:space="preserve">Annual Equity Retainer </w:t>
      </w:r>
      <w:r>
        <w:rPr>
          <w:rFonts w:ascii="Arial" w:cs="Arial" w:eastAsia="Arial" w:hAnsi="Arial"/>
          <w:sz w:val="25"/>
          <w:szCs w:val="25"/>
          <w:color w:val="auto"/>
          <w:vertAlign w:val="subscript"/>
        </w:rPr>
        <w:t>​ ​</w:t>
      </w:r>
      <w:r>
        <w:rPr>
          <w:rFonts w:ascii="Arial" w:cs="Arial" w:eastAsia="Arial" w:hAnsi="Arial"/>
          <w:sz w:val="26"/>
          <w:szCs w:val="26"/>
          <w:b w:val="1"/>
          <w:bCs w:val="1"/>
          <w:color w:val="auto"/>
          <w:vertAlign w:val="subscript"/>
        </w:rPr>
        <w:t xml:space="preserve"> </w:t>
      </w:r>
      <w:r>
        <w:rPr>
          <w:rFonts w:ascii="Arial" w:cs="Arial" w:eastAsia="Arial" w:hAnsi="Arial"/>
          <w:sz w:val="26"/>
          <w:szCs w:val="26"/>
          <w:color w:val="auto"/>
        </w:rPr>
        <w:t>vesting in full on the sooner of the first anniversary of</w:t>
      </w:r>
      <w:r>
        <w:rPr>
          <w:rFonts w:ascii="Arial" w:cs="Arial" w:eastAsia="Arial" w:hAnsi="Arial"/>
          <w:sz w:val="26"/>
          <w:szCs w:val="26"/>
          <w:color w:val="auto"/>
          <w:vertAlign w:val="subscript"/>
        </w:rPr>
        <w:t>​</w:t>
      </w:r>
      <w:r>
        <w:rPr>
          <w:rFonts w:ascii="Arial" w:cs="Arial" w:eastAsia="Arial" w:hAnsi="Arial"/>
          <w:sz w:val="26"/>
          <w:szCs w:val="26"/>
          <w:b w:val="1"/>
          <w:bCs w:val="1"/>
          <w:color w:val="auto"/>
        </w:rPr>
        <w:t xml:space="preserve"> </w:t>
      </w:r>
      <w:r>
        <w:rPr>
          <w:rFonts w:ascii="Arial" w:cs="Arial" w:eastAsia="Arial" w:hAnsi="Arial"/>
          <w:sz w:val="14"/>
          <w:szCs w:val="14"/>
          <w:color w:val="auto"/>
        </w:rPr>
        <w:t>the date of grant or the next annual shareholder</w:t>
      </w:r>
    </w:p>
    <w:p>
      <w:pPr>
        <w:spacing w:after="0" w:line="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meeting, subject generally to continued service with us.</w:t>
      </w:r>
    </w:p>
    <w:p>
      <w:pPr>
        <w:spacing w:after="0" w:line="180" w:lineRule="exact"/>
        <w:rPr>
          <w:sz w:val="20"/>
          <w:szCs w:val="20"/>
          <w:color w:val="auto"/>
        </w:rPr>
      </w:pPr>
    </w:p>
    <w:p>
      <w:pPr>
        <w:jc w:val="both"/>
        <w:ind w:left="880" w:right="39"/>
        <w:spacing w:after="0" w:line="287" w:lineRule="auto"/>
        <w:rPr>
          <w:sz w:val="20"/>
          <w:szCs w:val="20"/>
          <w:color w:val="auto"/>
        </w:rPr>
      </w:pPr>
      <w:r>
        <w:rPr>
          <w:rFonts w:ascii="Arial" w:cs="Arial" w:eastAsia="Arial" w:hAnsi="Arial"/>
          <w:sz w:val="18"/>
          <w:szCs w:val="18"/>
          <w:color w:val="auto"/>
        </w:rPr>
        <w:t>We will reimburse all reasonable out-of-pocket expenses incurred by non-employee directors in attending meetings of the Board of Directors and committees thereof.</w:t>
      </w:r>
    </w:p>
    <w:p>
      <w:pPr>
        <w:spacing w:after="0" w:line="85" w:lineRule="exact"/>
        <w:rPr>
          <w:sz w:val="20"/>
          <w:szCs w:val="20"/>
          <w:color w:val="auto"/>
        </w:rPr>
      </w:pPr>
    </w:p>
    <w:p>
      <w:pPr>
        <w:jc w:val="both"/>
        <w:ind w:left="880" w:right="39"/>
        <w:spacing w:after="0" w:line="287" w:lineRule="auto"/>
        <w:rPr>
          <w:sz w:val="20"/>
          <w:szCs w:val="20"/>
          <w:color w:val="auto"/>
        </w:rPr>
      </w:pPr>
      <w:r>
        <w:rPr>
          <w:rFonts w:ascii="Arial" w:cs="Arial" w:eastAsia="Arial" w:hAnsi="Arial"/>
          <w:sz w:val="18"/>
          <w:szCs w:val="18"/>
          <w:color w:val="auto"/>
        </w:rPr>
        <w:t>In February 2026, we amended our non-employee director compensation policy to increase the initial equity grant to 148,000 options and the annual equity retainer to 74,000 options.</w:t>
      </w:r>
    </w:p>
    <w:p>
      <w:pPr>
        <w:spacing w:after="0" w:line="85" w:lineRule="exact"/>
        <w:rPr>
          <w:sz w:val="20"/>
          <w:szCs w:val="20"/>
          <w:color w:val="auto"/>
        </w:rPr>
      </w:pPr>
    </w:p>
    <w:p>
      <w:pPr>
        <w:jc w:val="both"/>
        <w:ind w:left="880" w:right="39"/>
        <w:spacing w:after="0" w:line="268" w:lineRule="auto"/>
        <w:rPr>
          <w:sz w:val="20"/>
          <w:szCs w:val="20"/>
          <w:color w:val="auto"/>
        </w:rPr>
      </w:pPr>
      <w:r>
        <w:rPr>
          <w:rFonts w:ascii="Arial" w:cs="Arial" w:eastAsia="Arial" w:hAnsi="Arial"/>
          <w:sz w:val="18"/>
          <w:szCs w:val="18"/>
          <w:color w:val="auto"/>
        </w:rPr>
        <w:t>Each annual cash retainer is paid quarterly in arrears. All equity awards granted under the non-employee director compensation policy will be granted under, and subject to the terms of, the Company’s 2021 Equity Incentive Plan, or the 2021 Plan.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​DIRECTOR COMPENSATION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DIRECTOR COMPENSATION TABLE</w:t>
      </w:r>
    </w:p>
    <w:p>
      <w:pPr>
        <w:spacing w:after="0" w:line="144" w:lineRule="exact"/>
        <w:rPr>
          <w:sz w:val="20"/>
          <w:szCs w:val="20"/>
          <w:color w:val="auto"/>
        </w:rPr>
      </w:pPr>
    </w:p>
    <w:p>
      <w:pPr>
        <w:jc w:val="both"/>
        <w:ind w:left="880" w:right="19"/>
        <w:spacing w:after="0" w:line="257" w:lineRule="auto"/>
        <w:rPr>
          <w:sz w:val="20"/>
          <w:szCs w:val="20"/>
          <w:color w:val="auto"/>
        </w:rPr>
      </w:pPr>
      <w:r>
        <w:rPr>
          <w:rFonts w:ascii="Arial" w:cs="Arial" w:eastAsia="Arial" w:hAnsi="Arial"/>
          <w:sz w:val="18"/>
          <w:szCs w:val="18"/>
          <w:color w:val="auto"/>
        </w:rPr>
        <w:t>The following table below sets forth information for the fiscal year ended December 31, 2025, regarding the compensation of our non-employee directors. Brent Pfeiffenberger, Pharm.D., our President and Chief Executive Officer, served as the chairman of our Board of Directors and received no additional compensation for his service as a member of our Board and, consequently, is not included in this table. The compensation received by Dr. Pfeiffenberger during 2025 is set forth in the section of this proxy statement captioned “Executive Compensation — 2025 Summary Compensation Table.”</w:t>
      </w:r>
    </w:p>
    <w:p>
      <w:pPr>
        <w:spacing w:after="0" w:line="154" w:lineRule="exact"/>
        <w:rPr>
          <w:sz w:val="20"/>
          <w:szCs w:val="20"/>
          <w:color w:val="auto"/>
        </w:rPr>
      </w:pPr>
    </w:p>
    <w:tbl>
      <w:tblPr>
        <w:tblLayout w:type="fixed"/>
        <w:tblInd w:w="870" w:type="dxa"/>
        <w:tblCellMar>
          <w:top w:w="0" w:type="dxa"/>
          <w:left w:w="0" w:type="dxa"/>
          <w:bottom w:w="0" w:type="dxa"/>
          <w:right w:w="0" w:type="dxa"/>
        </w:tblCellMar>
      </w:tblPr>
      <w:tr>
        <w:trPr>
          <w:trHeight w:val="283"/>
        </w:trPr>
        <w:tc>
          <w:tcPr>
            <w:tcW w:w="1720" w:type="dxa"/>
            <w:vAlign w:val="bottom"/>
            <w:tcBorders>
              <w:top w:val="single" w:sz="8" w:color="auto"/>
              <w:left w:val="single" w:sz="8" w:color="auto"/>
            </w:tcBorders>
            <w:shd w:val="clear" w:color="auto" w:fill="148CD9"/>
          </w:tcPr>
          <w:p>
            <w:pPr>
              <w:ind w:left="80"/>
              <w:spacing w:after="0"/>
              <w:rPr>
                <w:sz w:val="20"/>
                <w:szCs w:val="20"/>
                <w:color w:val="auto"/>
              </w:rPr>
            </w:pPr>
            <w:r>
              <w:rPr>
                <w:rFonts w:ascii="Arial" w:cs="Arial" w:eastAsia="Arial" w:hAnsi="Arial"/>
                <w:sz w:val="16"/>
                <w:szCs w:val="16"/>
                <w:b w:val="1"/>
                <w:bCs w:val="1"/>
                <w:color w:val="FFFFFF"/>
              </w:rPr>
              <w:t>​</w:t>
            </w:r>
          </w:p>
        </w:tc>
        <w:tc>
          <w:tcPr>
            <w:tcW w:w="1440" w:type="dxa"/>
            <w:vAlign w:val="bottom"/>
            <w:tcBorders>
              <w:top w:val="single" w:sz="8" w:color="auto"/>
            </w:tcBorders>
            <w:shd w:val="clear" w:color="auto" w:fill="148CD9"/>
          </w:tcPr>
          <w:p>
            <w:pPr>
              <w:ind w:left="80"/>
              <w:spacing w:after="0"/>
              <w:rPr>
                <w:sz w:val="20"/>
                <w:szCs w:val="20"/>
                <w:color w:val="auto"/>
              </w:rPr>
            </w:pPr>
            <w:r>
              <w:rPr>
                <w:rFonts w:ascii="Arial" w:cs="Arial" w:eastAsia="Arial" w:hAnsi="Arial"/>
                <w:sz w:val="16"/>
                <w:szCs w:val="16"/>
                <w:b w:val="1"/>
                <w:bCs w:val="1"/>
                <w:color w:val="FFFFFF"/>
              </w:rPr>
              <w:t>NAME</w:t>
            </w:r>
          </w:p>
        </w:tc>
        <w:tc>
          <w:tcPr>
            <w:tcW w:w="3100" w:type="dxa"/>
            <w:vAlign w:val="bottom"/>
            <w:tcBorders>
              <w:top w:val="single" w:sz="8" w:color="auto"/>
            </w:tcBorders>
            <w:gridSpan w:val="2"/>
            <w:shd w:val="clear" w:color="auto" w:fill="148CD9"/>
          </w:tcPr>
          <w:p>
            <w:pPr>
              <w:ind w:left="840"/>
              <w:spacing w:after="0" w:line="283" w:lineRule="exact"/>
              <w:rPr>
                <w:sz w:val="20"/>
                <w:szCs w:val="20"/>
                <w:color w:val="auto"/>
              </w:rPr>
            </w:pPr>
            <w:r>
              <w:rPr>
                <w:rFonts w:ascii="Arial" w:cs="Arial" w:eastAsia="Arial" w:hAnsi="Arial"/>
                <w:sz w:val="32"/>
                <w:szCs w:val="32"/>
                <w:b w:val="1"/>
                <w:bCs w:val="1"/>
                <w:color w:val="FFFFFF"/>
                <w:vertAlign w:val="subscript"/>
              </w:rPr>
              <w:t>​ ​</w:t>
            </w:r>
            <w:r>
              <w:rPr>
                <w:rFonts w:ascii="Arial" w:cs="Arial" w:eastAsia="Arial" w:hAnsi="Arial"/>
                <w:sz w:val="16"/>
                <w:szCs w:val="16"/>
                <w:b w:val="1"/>
                <w:bCs w:val="1"/>
                <w:color w:val="FFFFFF"/>
              </w:rPr>
              <w:t>FEES EARNED OR PAID IN</w:t>
            </w:r>
          </w:p>
        </w:tc>
        <w:tc>
          <w:tcPr>
            <w:tcW w:w="1620" w:type="dxa"/>
            <w:vAlign w:val="bottom"/>
            <w:tcBorders>
              <w:top w:val="single" w:sz="8" w:color="auto"/>
            </w:tcBorders>
            <w:gridSpan w:val="2"/>
            <w:shd w:val="clear" w:color="auto" w:fill="148CD9"/>
          </w:tcPr>
          <w:p>
            <w:pPr>
              <w:ind w:left="40"/>
              <w:spacing w:after="0" w:line="283" w:lineRule="exact"/>
              <w:rPr>
                <w:sz w:val="20"/>
                <w:szCs w:val="20"/>
                <w:color w:val="auto"/>
              </w:rPr>
            </w:pPr>
            <w:r>
              <w:rPr>
                <w:rFonts w:ascii="Arial" w:cs="Arial" w:eastAsia="Arial" w:hAnsi="Arial"/>
                <w:sz w:val="32"/>
                <w:szCs w:val="32"/>
                <w:b w:val="1"/>
                <w:bCs w:val="1"/>
                <w:color w:val="FFFFFF"/>
                <w:vertAlign w:val="subscript"/>
              </w:rPr>
              <w:t>​ ​</w:t>
            </w:r>
            <w:r>
              <w:rPr>
                <w:rFonts w:ascii="Arial" w:cs="Arial" w:eastAsia="Arial" w:hAnsi="Arial"/>
                <w:sz w:val="16"/>
                <w:szCs w:val="16"/>
                <w:b w:val="1"/>
                <w:bCs w:val="1"/>
                <w:color w:val="FFFFFF"/>
              </w:rPr>
              <w:t>OPTION AWARDS</w:t>
            </w:r>
          </w:p>
        </w:tc>
        <w:tc>
          <w:tcPr>
            <w:tcW w:w="1120" w:type="dxa"/>
            <w:vAlign w:val="bottom"/>
            <w:tcBorders>
              <w:top w:val="single" w:sz="8" w:color="auto"/>
              <w:right w:val="single" w:sz="8" w:color="auto"/>
            </w:tcBorders>
            <w:gridSpan w:val="3"/>
            <w:shd w:val="clear" w:color="auto" w:fill="148CD9"/>
          </w:tcPr>
          <w:p>
            <w:pPr>
              <w:ind w:left="40"/>
              <w:spacing w:after="0"/>
              <w:rPr>
                <w:sz w:val="20"/>
                <w:szCs w:val="20"/>
                <w:color w:val="auto"/>
              </w:rPr>
            </w:pPr>
            <w:r>
              <w:rPr>
                <w:rFonts w:ascii="Arial" w:cs="Arial" w:eastAsia="Arial" w:hAnsi="Arial"/>
                <w:sz w:val="16"/>
                <w:szCs w:val="16"/>
                <w:b w:val="1"/>
                <w:bCs w:val="1"/>
                <w:color w:val="FFFFFF"/>
              </w:rPr>
              <w:t>​ ​ TOTAL ($) ​</w:t>
            </w:r>
          </w:p>
        </w:tc>
      </w:tr>
      <w:tr>
        <w:trPr>
          <w:trHeight w:val="175"/>
        </w:trPr>
        <w:tc>
          <w:tcPr>
            <w:tcW w:w="1720" w:type="dxa"/>
            <w:vAlign w:val="bottom"/>
            <w:tcBorders>
              <w:left w:val="single" w:sz="8" w:color="auto"/>
              <w:bottom w:val="single" w:sz="8" w:color="auto"/>
            </w:tcBorders>
            <w:shd w:val="clear" w:color="auto" w:fill="148CD9"/>
          </w:tcPr>
          <w:p>
            <w:pPr>
              <w:spacing w:after="0"/>
              <w:rPr>
                <w:sz w:val="15"/>
                <w:szCs w:val="15"/>
                <w:color w:val="auto"/>
              </w:rPr>
            </w:pPr>
          </w:p>
        </w:tc>
        <w:tc>
          <w:tcPr>
            <w:tcW w:w="1440" w:type="dxa"/>
            <w:vAlign w:val="bottom"/>
            <w:tcBorders>
              <w:bottom w:val="single" w:sz="8" w:color="auto"/>
            </w:tcBorders>
            <w:shd w:val="clear" w:color="auto" w:fill="148CD9"/>
          </w:tcPr>
          <w:p>
            <w:pPr>
              <w:spacing w:after="0"/>
              <w:rPr>
                <w:sz w:val="15"/>
                <w:szCs w:val="15"/>
                <w:color w:val="auto"/>
              </w:rPr>
            </w:pPr>
          </w:p>
        </w:tc>
        <w:tc>
          <w:tcPr>
            <w:tcW w:w="1360" w:type="dxa"/>
            <w:vAlign w:val="bottom"/>
            <w:tcBorders>
              <w:bottom w:val="single" w:sz="8" w:color="auto"/>
            </w:tcBorders>
            <w:shd w:val="clear" w:color="auto" w:fill="148CD9"/>
          </w:tcPr>
          <w:p>
            <w:pPr>
              <w:spacing w:after="0"/>
              <w:rPr>
                <w:sz w:val="15"/>
                <w:szCs w:val="15"/>
                <w:color w:val="auto"/>
              </w:rPr>
            </w:pPr>
          </w:p>
        </w:tc>
        <w:tc>
          <w:tcPr>
            <w:tcW w:w="1740" w:type="dxa"/>
            <w:vAlign w:val="bottom"/>
            <w:tcBorders>
              <w:bottom w:val="single" w:sz="8" w:color="auto"/>
            </w:tcBorders>
            <w:shd w:val="clear" w:color="auto" w:fill="148CD9"/>
          </w:tcPr>
          <w:p>
            <w:pPr>
              <w:ind w:left="340"/>
              <w:spacing w:after="0" w:line="175" w:lineRule="exact"/>
              <w:rPr>
                <w:sz w:val="20"/>
                <w:szCs w:val="20"/>
                <w:color w:val="auto"/>
              </w:rPr>
            </w:pPr>
            <w:r>
              <w:rPr>
                <w:rFonts w:ascii="Arial" w:cs="Arial" w:eastAsia="Arial" w:hAnsi="Arial"/>
                <w:sz w:val="16"/>
                <w:szCs w:val="16"/>
                <w:b w:val="1"/>
                <w:bCs w:val="1"/>
                <w:color w:val="FFFFFF"/>
              </w:rPr>
              <w:t>CASH ($)</w:t>
            </w:r>
          </w:p>
        </w:tc>
        <w:tc>
          <w:tcPr>
            <w:tcW w:w="420" w:type="dxa"/>
            <w:vAlign w:val="bottom"/>
            <w:tcBorders>
              <w:bottom w:val="single" w:sz="8" w:color="auto"/>
            </w:tcBorders>
            <w:shd w:val="clear" w:color="auto" w:fill="148CD9"/>
          </w:tcPr>
          <w:p>
            <w:pPr>
              <w:spacing w:after="0"/>
              <w:rPr>
                <w:sz w:val="15"/>
                <w:szCs w:val="15"/>
                <w:color w:val="auto"/>
              </w:rPr>
            </w:pPr>
          </w:p>
        </w:tc>
        <w:tc>
          <w:tcPr>
            <w:tcW w:w="1200" w:type="dxa"/>
            <w:vAlign w:val="bottom"/>
            <w:tcBorders>
              <w:bottom w:val="single" w:sz="8" w:color="auto"/>
            </w:tcBorders>
            <w:shd w:val="clear" w:color="auto" w:fill="148CD9"/>
          </w:tcPr>
          <w:p>
            <w:pPr>
              <w:jc w:val="center"/>
              <w:ind w:right="131"/>
              <w:spacing w:after="0" w:line="175" w:lineRule="exact"/>
              <w:rPr>
                <w:sz w:val="20"/>
                <w:szCs w:val="20"/>
                <w:color w:val="auto"/>
              </w:rPr>
            </w:pPr>
            <w:r>
              <w:rPr>
                <w:rFonts w:ascii="Arial" w:cs="Arial" w:eastAsia="Arial" w:hAnsi="Arial"/>
                <w:sz w:val="16"/>
                <w:szCs w:val="16"/>
                <w:b w:val="1"/>
                <w:bCs w:val="1"/>
                <w:color w:val="FFFFFF"/>
                <w:w w:val="97"/>
              </w:rPr>
              <w:t>($)(1)</w:t>
            </w:r>
          </w:p>
        </w:tc>
        <w:tc>
          <w:tcPr>
            <w:tcW w:w="260" w:type="dxa"/>
            <w:vAlign w:val="bottom"/>
            <w:tcBorders>
              <w:bottom w:val="single" w:sz="8" w:color="auto"/>
            </w:tcBorders>
            <w:shd w:val="clear" w:color="auto" w:fill="148CD9"/>
          </w:tcPr>
          <w:p>
            <w:pPr>
              <w:spacing w:after="0"/>
              <w:rPr>
                <w:sz w:val="15"/>
                <w:szCs w:val="15"/>
                <w:color w:val="auto"/>
              </w:rPr>
            </w:pPr>
          </w:p>
        </w:tc>
        <w:tc>
          <w:tcPr>
            <w:tcW w:w="700" w:type="dxa"/>
            <w:vAlign w:val="bottom"/>
            <w:tcBorders>
              <w:bottom w:val="single" w:sz="8" w:color="auto"/>
            </w:tcBorders>
            <w:shd w:val="clear" w:color="auto" w:fill="148CD9"/>
          </w:tcPr>
          <w:p>
            <w:pPr>
              <w:spacing w:after="0"/>
              <w:rPr>
                <w:sz w:val="15"/>
                <w:szCs w:val="15"/>
                <w:color w:val="auto"/>
              </w:rPr>
            </w:pPr>
          </w:p>
        </w:tc>
        <w:tc>
          <w:tcPr>
            <w:tcW w:w="160" w:type="dxa"/>
            <w:vAlign w:val="bottom"/>
            <w:tcBorders>
              <w:bottom w:val="single" w:sz="8" w:color="auto"/>
              <w:right w:val="single" w:sz="8" w:color="auto"/>
            </w:tcBorders>
            <w:shd w:val="clear" w:color="auto" w:fill="148CD9"/>
          </w:tcPr>
          <w:p>
            <w:pPr>
              <w:spacing w:after="0"/>
              <w:rPr>
                <w:sz w:val="15"/>
                <w:szCs w:val="15"/>
                <w:color w:val="auto"/>
              </w:rPr>
            </w:pPr>
          </w:p>
        </w:tc>
      </w:tr>
      <w:tr>
        <w:trPr>
          <w:trHeight w:val="250"/>
        </w:trPr>
        <w:tc>
          <w:tcPr>
            <w:tcW w:w="316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Kimberly Blackwell, M.D.(2)</w:t>
            </w:r>
          </w:p>
        </w:tc>
        <w:tc>
          <w:tcPr>
            <w:tcW w:w="136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 ​</w:t>
            </w:r>
          </w:p>
        </w:tc>
        <w:tc>
          <w:tcPr>
            <w:tcW w:w="1740" w:type="dxa"/>
            <w:vAlign w:val="bottom"/>
            <w:tcBorders>
              <w:bottom w:val="single" w:sz="8" w:color="auto"/>
            </w:tcBorders>
          </w:tcPr>
          <w:p>
            <w:pPr>
              <w:jc w:val="center"/>
              <w:ind w:right="271"/>
              <w:spacing w:after="0"/>
              <w:rPr>
                <w:sz w:val="20"/>
                <w:szCs w:val="20"/>
                <w:color w:val="auto"/>
              </w:rPr>
            </w:pPr>
            <w:r>
              <w:rPr>
                <w:rFonts w:ascii="Arial" w:cs="Arial" w:eastAsia="Arial" w:hAnsi="Arial"/>
                <w:sz w:val="18"/>
                <w:szCs w:val="18"/>
                <w:color w:val="auto"/>
                <w:w w:val="98"/>
              </w:rPr>
              <w:t>53,000</w:t>
            </w: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98"/>
              </w:rPr>
              <w:t>18,052</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71,052</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50"/>
        </w:trPr>
        <w:tc>
          <w:tcPr>
            <w:tcW w:w="1720" w:type="dxa"/>
            <w:vAlign w:val="bottom"/>
            <w:tcBorders>
              <w:left w:val="single" w:sz="8" w:color="auto"/>
              <w:bottom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Cynthia Butitta(3)</w:t>
            </w:r>
          </w:p>
        </w:tc>
        <w:tc>
          <w:tcPr>
            <w:tcW w:w="14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 ​</w:t>
            </w:r>
          </w:p>
        </w:tc>
        <w:tc>
          <w:tcPr>
            <w:tcW w:w="1740" w:type="dxa"/>
            <w:vAlign w:val="bottom"/>
            <w:tcBorders>
              <w:bottom w:val="single" w:sz="8" w:color="auto"/>
            </w:tcBorders>
          </w:tcPr>
          <w:p>
            <w:pPr>
              <w:jc w:val="center"/>
              <w:ind w:right="271"/>
              <w:spacing w:after="0"/>
              <w:rPr>
                <w:sz w:val="20"/>
                <w:szCs w:val="20"/>
                <w:color w:val="auto"/>
              </w:rPr>
            </w:pPr>
            <w:r>
              <w:rPr>
                <w:rFonts w:ascii="Arial" w:cs="Arial" w:eastAsia="Arial" w:hAnsi="Arial"/>
                <w:sz w:val="18"/>
                <w:szCs w:val="18"/>
                <w:color w:val="auto"/>
                <w:w w:val="98"/>
              </w:rPr>
              <w:t>32,813</w:t>
            </w: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98"/>
              </w:rPr>
              <w:t>18,052</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50,865</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50"/>
        </w:trPr>
        <w:tc>
          <w:tcPr>
            <w:tcW w:w="1720" w:type="dxa"/>
            <w:vAlign w:val="bottom"/>
            <w:tcBorders>
              <w:left w:val="single" w:sz="8" w:color="auto"/>
              <w:bottom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Joseph Jimenez(4)</w:t>
            </w:r>
          </w:p>
        </w:tc>
        <w:tc>
          <w:tcPr>
            <w:tcW w:w="14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 ​</w:t>
            </w:r>
          </w:p>
        </w:tc>
        <w:tc>
          <w:tcPr>
            <w:tcW w:w="1740" w:type="dxa"/>
            <w:vAlign w:val="bottom"/>
            <w:tcBorders>
              <w:bottom w:val="single" w:sz="8" w:color="auto"/>
            </w:tcBorders>
          </w:tcPr>
          <w:p>
            <w:pPr>
              <w:jc w:val="center"/>
              <w:ind w:right="271"/>
              <w:spacing w:after="0"/>
              <w:rPr>
                <w:sz w:val="20"/>
                <w:szCs w:val="20"/>
                <w:color w:val="auto"/>
              </w:rPr>
            </w:pPr>
            <w:r>
              <w:rPr>
                <w:rFonts w:ascii="Arial" w:cs="Arial" w:eastAsia="Arial" w:hAnsi="Arial"/>
                <w:sz w:val="18"/>
                <w:szCs w:val="18"/>
                <w:color w:val="auto"/>
                <w:w w:val="98"/>
              </w:rPr>
              <w:t>51,875</w:t>
            </w: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98"/>
              </w:rPr>
              <w:t>18,052</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60,927</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50"/>
        </w:trPr>
        <w:tc>
          <w:tcPr>
            <w:tcW w:w="316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Han Lee, Ph.D., M.B.A.(5)</w:t>
            </w:r>
          </w:p>
        </w:tc>
        <w:tc>
          <w:tcPr>
            <w:tcW w:w="136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 ​</w:t>
            </w:r>
          </w:p>
        </w:tc>
        <w:tc>
          <w:tcPr>
            <w:tcW w:w="1740" w:type="dxa"/>
            <w:vAlign w:val="bottom"/>
            <w:tcBorders>
              <w:bottom w:val="single" w:sz="8" w:color="auto"/>
            </w:tcBorders>
          </w:tcPr>
          <w:p>
            <w:pPr>
              <w:jc w:val="center"/>
              <w:ind w:right="271"/>
              <w:spacing w:after="0"/>
              <w:rPr>
                <w:sz w:val="20"/>
                <w:szCs w:val="20"/>
                <w:color w:val="auto"/>
              </w:rPr>
            </w:pPr>
            <w:r>
              <w:rPr>
                <w:rFonts w:ascii="Arial" w:cs="Arial" w:eastAsia="Arial" w:hAnsi="Arial"/>
                <w:sz w:val="18"/>
                <w:szCs w:val="18"/>
                <w:color w:val="auto"/>
              </w:rPr>
              <w:t>3,281</w:t>
            </w: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98"/>
              </w:rPr>
              <w:t>36,960</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40,241</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50"/>
        </w:trPr>
        <w:tc>
          <w:tcPr>
            <w:tcW w:w="316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Martin Murphy, Ph.D.(5)</w:t>
            </w:r>
          </w:p>
        </w:tc>
        <w:tc>
          <w:tcPr>
            <w:tcW w:w="136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 ​</w:t>
            </w:r>
          </w:p>
        </w:tc>
        <w:tc>
          <w:tcPr>
            <w:tcW w:w="1740" w:type="dxa"/>
            <w:vAlign w:val="bottom"/>
            <w:tcBorders>
              <w:bottom w:val="single" w:sz="8" w:color="auto"/>
            </w:tcBorders>
          </w:tcPr>
          <w:p>
            <w:pPr>
              <w:jc w:val="center"/>
              <w:ind w:right="271"/>
              <w:spacing w:after="0"/>
              <w:rPr>
                <w:sz w:val="20"/>
                <w:szCs w:val="20"/>
                <w:color w:val="auto"/>
              </w:rPr>
            </w:pPr>
            <w:r>
              <w:rPr>
                <w:rFonts w:ascii="Arial" w:cs="Arial" w:eastAsia="Arial" w:hAnsi="Arial"/>
                <w:sz w:val="18"/>
                <w:szCs w:val="18"/>
                <w:color w:val="auto"/>
              </w:rPr>
              <w:t>3,375</w:t>
            </w: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98"/>
              </w:rPr>
              <w:t>36,960</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40,335</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50"/>
        </w:trPr>
        <w:tc>
          <w:tcPr>
            <w:tcW w:w="1720" w:type="dxa"/>
            <w:vAlign w:val="bottom"/>
            <w:tcBorders>
              <w:left w:val="single" w:sz="8" w:color="auto"/>
              <w:bottom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Daphne Quimi(2)</w:t>
            </w:r>
          </w:p>
        </w:tc>
        <w:tc>
          <w:tcPr>
            <w:tcW w:w="14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 ​</w:t>
            </w:r>
          </w:p>
        </w:tc>
        <w:tc>
          <w:tcPr>
            <w:tcW w:w="1740" w:type="dxa"/>
            <w:vAlign w:val="bottom"/>
            <w:tcBorders>
              <w:bottom w:val="single" w:sz="8" w:color="auto"/>
            </w:tcBorders>
          </w:tcPr>
          <w:p>
            <w:pPr>
              <w:jc w:val="center"/>
              <w:ind w:right="271"/>
              <w:spacing w:after="0"/>
              <w:rPr>
                <w:sz w:val="20"/>
                <w:szCs w:val="20"/>
                <w:color w:val="auto"/>
              </w:rPr>
            </w:pPr>
            <w:r>
              <w:rPr>
                <w:rFonts w:ascii="Arial" w:cs="Arial" w:eastAsia="Arial" w:hAnsi="Arial"/>
                <w:sz w:val="18"/>
                <w:szCs w:val="18"/>
                <w:color w:val="auto"/>
                <w:w w:val="98"/>
              </w:rPr>
              <w:t>59,000</w:t>
            </w: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98"/>
              </w:rPr>
              <w:t>18,052</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77,052</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50"/>
        </w:trPr>
        <w:tc>
          <w:tcPr>
            <w:tcW w:w="316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Alessandro Riva, M.D.(2)</w:t>
            </w:r>
          </w:p>
        </w:tc>
        <w:tc>
          <w:tcPr>
            <w:tcW w:w="136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 ​</w:t>
            </w:r>
          </w:p>
        </w:tc>
        <w:tc>
          <w:tcPr>
            <w:tcW w:w="1740" w:type="dxa"/>
            <w:vAlign w:val="bottom"/>
            <w:tcBorders>
              <w:bottom w:val="single" w:sz="8" w:color="auto"/>
            </w:tcBorders>
          </w:tcPr>
          <w:p>
            <w:pPr>
              <w:jc w:val="center"/>
              <w:ind w:right="271"/>
              <w:spacing w:after="0"/>
              <w:rPr>
                <w:sz w:val="20"/>
                <w:szCs w:val="20"/>
                <w:color w:val="auto"/>
              </w:rPr>
            </w:pPr>
            <w:r>
              <w:rPr>
                <w:rFonts w:ascii="Arial" w:cs="Arial" w:eastAsia="Arial" w:hAnsi="Arial"/>
                <w:sz w:val="18"/>
                <w:szCs w:val="18"/>
                <w:color w:val="auto"/>
                <w:w w:val="98"/>
              </w:rPr>
              <w:t>49,375</w:t>
            </w: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98"/>
              </w:rPr>
              <w:t>18,052</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67,427</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50"/>
        </w:trPr>
        <w:tc>
          <w:tcPr>
            <w:tcW w:w="316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Carlo Rizzuto, Ph.D.(6)</w:t>
            </w:r>
          </w:p>
        </w:tc>
        <w:tc>
          <w:tcPr>
            <w:tcW w:w="136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 ​</w:t>
            </w:r>
          </w:p>
        </w:tc>
        <w:tc>
          <w:tcPr>
            <w:tcW w:w="1740" w:type="dxa"/>
            <w:vAlign w:val="bottom"/>
            <w:tcBorders>
              <w:bottom w:val="single" w:sz="8" w:color="auto"/>
            </w:tcBorders>
          </w:tcPr>
          <w:p>
            <w:pPr>
              <w:jc w:val="center"/>
              <w:ind w:right="271"/>
              <w:spacing w:after="0"/>
              <w:rPr>
                <w:sz w:val="20"/>
                <w:szCs w:val="20"/>
                <w:color w:val="auto"/>
              </w:rPr>
            </w:pPr>
            <w:r>
              <w:rPr>
                <w:rFonts w:ascii="Arial" w:cs="Arial" w:eastAsia="Arial" w:hAnsi="Arial"/>
                <w:sz w:val="18"/>
                <w:szCs w:val="18"/>
                <w:color w:val="auto"/>
                <w:w w:val="98"/>
              </w:rPr>
              <w:t>54,000</w:t>
            </w: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98"/>
              </w:rPr>
              <w:t>18,052</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72,052</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50"/>
        </w:trPr>
        <w:tc>
          <w:tcPr>
            <w:tcW w:w="316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Timothy P. Walbert(2)</w:t>
            </w:r>
          </w:p>
        </w:tc>
        <w:tc>
          <w:tcPr>
            <w:tcW w:w="136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 ​</w:t>
            </w:r>
          </w:p>
        </w:tc>
        <w:tc>
          <w:tcPr>
            <w:tcW w:w="1740" w:type="dxa"/>
            <w:vAlign w:val="bottom"/>
            <w:tcBorders>
              <w:bottom w:val="single" w:sz="8" w:color="auto"/>
            </w:tcBorders>
          </w:tcPr>
          <w:p>
            <w:pPr>
              <w:jc w:val="center"/>
              <w:ind w:right="271"/>
              <w:spacing w:after="0"/>
              <w:rPr>
                <w:sz w:val="20"/>
                <w:szCs w:val="20"/>
                <w:color w:val="auto"/>
              </w:rPr>
            </w:pPr>
            <w:r>
              <w:rPr>
                <w:rFonts w:ascii="Arial" w:cs="Arial" w:eastAsia="Arial" w:hAnsi="Arial"/>
                <w:sz w:val="18"/>
                <w:szCs w:val="18"/>
                <w:color w:val="auto"/>
                <w:w w:val="98"/>
              </w:rPr>
              <w:t>45,000</w:t>
            </w: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98"/>
              </w:rPr>
              <w:t>18,052</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63,052</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r>
    </w:tbl>
    <w:p>
      <w:pPr>
        <w:spacing w:after="0" w:line="107" w:lineRule="exact"/>
        <w:rPr>
          <w:sz w:val="20"/>
          <w:szCs w:val="20"/>
          <w:color w:val="auto"/>
        </w:rPr>
      </w:pPr>
    </w:p>
    <w:p>
      <w:pPr>
        <w:jc w:val="both"/>
        <w:ind w:left="1240" w:right="39" w:hanging="370"/>
        <w:spacing w:after="0" w:line="243" w:lineRule="auto"/>
        <w:tabs>
          <w:tab w:leader="none" w:pos="1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Amounts shown in this column do not reflect dollar amounts actually received by our directors. Instead, these amounts reflect the aggregate grant date fair value of each stock option granted in 2025 determined in accordance with the provisions of Financial Accounting Standards Board Accounting Standards, Codification Topic 718, Compensation — Stock Compensation, or FASB ASC Topic 718. The assumptions made in the calculation of these amounts are included in Note 2 of the Notes to Consolidated Financial Statements included in our 2025 Annual Report.</w:t>
      </w:r>
    </w:p>
    <w:p>
      <w:pPr>
        <w:spacing w:after="0" w:line="40" w:lineRule="exact"/>
        <w:rPr>
          <w:rFonts w:ascii="Arial" w:cs="Arial" w:eastAsia="Arial" w:hAnsi="Arial"/>
          <w:sz w:val="16"/>
          <w:szCs w:val="16"/>
          <w:color w:val="auto"/>
        </w:rPr>
      </w:pPr>
    </w:p>
    <w:p>
      <w:pPr>
        <w:ind w:left="1240" w:right="39" w:hanging="370"/>
        <w:spacing w:after="0" w:line="268" w:lineRule="auto"/>
        <w:tabs>
          <w:tab w:leader="none" w:pos="1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of December 31, 2025, Dr. Riva and Dr. Blackwell each held options to purchase 271,227 shares of our common stock; and Mr. Walbert and Ms. Quimi each held options to purchase 171,744 shares of our common stock.</w:t>
      </w:r>
    </w:p>
    <w:p>
      <w:pPr>
        <w:spacing w:after="0" w:line="21" w:lineRule="exact"/>
        <w:rPr>
          <w:rFonts w:ascii="Arial" w:cs="Arial" w:eastAsia="Arial" w:hAnsi="Arial"/>
          <w:sz w:val="16"/>
          <w:szCs w:val="16"/>
          <w:color w:val="auto"/>
        </w:rPr>
      </w:pPr>
    </w:p>
    <w:p>
      <w:pPr>
        <w:jc w:val="both"/>
        <w:ind w:left="1240" w:right="39" w:hanging="370"/>
        <w:spacing w:after="0" w:line="248" w:lineRule="auto"/>
        <w:tabs>
          <w:tab w:leader="none" w:pos="1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of December 31, 2025, Ms. Butitta held options to purchase 127,744 shares of our common stock. Ms. Butitta resigned from the Board, effective August 14, 2025. In connection with Ms. Butitta’s departure from the Board, the Board approved all of her outstanding vested option awards, held as of August 14, 2025, shall remain exercisable until the original expiration date of such option.</w:t>
      </w:r>
    </w:p>
    <w:p>
      <w:pPr>
        <w:spacing w:after="0" w:line="22" w:lineRule="exact"/>
        <w:rPr>
          <w:rFonts w:ascii="Arial" w:cs="Arial" w:eastAsia="Arial" w:hAnsi="Arial"/>
          <w:sz w:val="16"/>
          <w:szCs w:val="16"/>
          <w:color w:val="auto"/>
        </w:rPr>
      </w:pPr>
    </w:p>
    <w:p>
      <w:pPr>
        <w:jc w:val="both"/>
        <w:ind w:left="1240" w:right="39" w:hanging="370"/>
        <w:spacing w:after="0" w:line="243" w:lineRule="auto"/>
        <w:tabs>
          <w:tab w:leader="none" w:pos="1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of December 31, 2025, Mr. Jimenez held options to purchase 171,744 shares of our common stock. Mr. Jimenez resigned from the Board, effective August 14, 2025. In connection with Mr. Jimenez’s departure from the Board, we entered into a consulting agreement with Mr. Jimenez, effective August 14, 2025, or the Jimenez Consulting Agreement. Pursuant to the Jimenez Consulting Agreement, Mr. Jimenez provides strategic advice to our Chairman of the Board and as compensation for such services, all of the outstanding option awards of Mr. Jimenez will continue to vest pursuant to their terms for the duration of Mr. Jimenez’s service as an advisor to us under the Jimenez Consulting Agreement.</w:t>
      </w:r>
    </w:p>
    <w:p>
      <w:pPr>
        <w:spacing w:after="0" w:line="43" w:lineRule="exact"/>
        <w:rPr>
          <w:rFonts w:ascii="Arial" w:cs="Arial" w:eastAsia="Arial" w:hAnsi="Arial"/>
          <w:sz w:val="16"/>
          <w:szCs w:val="16"/>
          <w:color w:val="auto"/>
        </w:rPr>
      </w:pPr>
    </w:p>
    <w:p>
      <w:pPr>
        <w:ind w:left="1240" w:right="19" w:hanging="370"/>
        <w:spacing w:after="0" w:line="268" w:lineRule="auto"/>
        <w:tabs>
          <w:tab w:leader="none" w:pos="1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of December 31, 2025, Dr. Lee and Dr. Murphy each held options to purchase 88,000 shares of our common stock. Drs. Lee and Murphy were appointed to our Board, effective December 9, 2025.</w:t>
      </w:r>
    </w:p>
    <w:p>
      <w:pPr>
        <w:spacing w:after="0" w:line="21" w:lineRule="exact"/>
        <w:rPr>
          <w:rFonts w:ascii="Arial" w:cs="Arial" w:eastAsia="Arial" w:hAnsi="Arial"/>
          <w:sz w:val="16"/>
          <w:szCs w:val="16"/>
          <w:color w:val="auto"/>
        </w:rPr>
      </w:pPr>
    </w:p>
    <w:p>
      <w:pPr>
        <w:jc w:val="both"/>
        <w:ind w:left="1240" w:right="39" w:hanging="370"/>
        <w:spacing w:after="0" w:line="243" w:lineRule="auto"/>
        <w:tabs>
          <w:tab w:leader="none" w:pos="1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of December 31, 2025, Dr. Rizzuto held options to purchase 191,616 shares of our common stock. Dr. Rizzuto resigned from the Board, effective December 18, 2025. In connection with Dr. Rizzuto’s departure, Dr. Rizzuto agreed to provide consulting services to the Company and in consideration for such consulting services, his June 2025 annual director equity grant became fully vested on March 16, 2026, and all of his outstanding vested option awards, held as of December 18, 2025, shall remain exercisable until the original expiration date of such option.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171"/>
        </w:trPr>
        <w:tc>
          <w:tcPr>
            <w:tcW w:w="9340" w:type="dxa"/>
            <w:vAlign w:val="bottom"/>
            <w:gridSpan w:val="2"/>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500" w:type="dxa"/>
            <w:vAlign w:val="bottom"/>
          </w:tcPr>
          <w:p>
            <w:pPr>
              <w:spacing w:after="0"/>
              <w:rPr>
                <w:sz w:val="14"/>
                <w:szCs w:val="14"/>
                <w:color w:val="auto"/>
              </w:rPr>
            </w:pPr>
          </w:p>
        </w:tc>
      </w:tr>
      <w:tr>
        <w:trPr>
          <w:trHeight w:val="182"/>
        </w:trPr>
        <w:tc>
          <w:tcPr>
            <w:tcW w:w="860" w:type="dxa"/>
            <w:vAlign w:val="bottom"/>
          </w:tcPr>
          <w:p>
            <w:pPr>
              <w:spacing w:after="0"/>
              <w:rPr>
                <w:sz w:val="15"/>
                <w:szCs w:val="15"/>
                <w:color w:val="auto"/>
              </w:rPr>
            </w:pPr>
          </w:p>
        </w:tc>
        <w:tc>
          <w:tcPr>
            <w:tcW w:w="848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361"/>
        </w:trPr>
        <w:tc>
          <w:tcPr>
            <w:tcW w:w="860" w:type="dxa"/>
            <w:vAlign w:val="bottom"/>
          </w:tcPr>
          <w:p>
            <w:pPr>
              <w:spacing w:after="0"/>
              <w:rPr>
                <w:sz w:val="24"/>
                <w:szCs w:val="24"/>
                <w:color w:val="auto"/>
              </w:rPr>
            </w:pPr>
          </w:p>
        </w:tc>
        <w:tc>
          <w:tcPr>
            <w:tcW w:w="8480" w:type="dxa"/>
            <w:vAlign w:val="bottom"/>
            <w:shd w:val="clear" w:color="auto" w:fill="1DA46F"/>
          </w:tcPr>
          <w:p>
            <w:pPr>
              <w:ind w:left="120"/>
              <w:spacing w:after="0" w:line="361" w:lineRule="exact"/>
              <w:rPr>
                <w:sz w:val="20"/>
                <w:szCs w:val="20"/>
                <w:color w:val="auto"/>
              </w:rPr>
            </w:pPr>
            <w:r>
              <w:rPr>
                <w:rFonts w:ascii="Arial" w:cs="Arial" w:eastAsia="Arial" w:hAnsi="Arial"/>
                <w:sz w:val="32"/>
                <w:szCs w:val="32"/>
                <w:b w:val="1"/>
                <w:bCs w:val="1"/>
                <w:color w:val="FFFFFF"/>
              </w:rPr>
              <w:t>INDEPENDENT REGISTERED PUBLIC ACCOUNTING</w:t>
            </w:r>
          </w:p>
        </w:tc>
        <w:tc>
          <w:tcPr>
            <w:tcW w:w="500" w:type="dxa"/>
            <w:vAlign w:val="bottom"/>
            <w:shd w:val="clear" w:color="auto" w:fill="1DA46F"/>
          </w:tcPr>
          <w:p>
            <w:pPr>
              <w:spacing w:after="0"/>
              <w:rPr>
                <w:sz w:val="24"/>
                <w:szCs w:val="24"/>
                <w:color w:val="auto"/>
              </w:rPr>
            </w:pPr>
          </w:p>
        </w:tc>
      </w:tr>
      <w:tr>
        <w:trPr>
          <w:trHeight w:val="422"/>
        </w:trPr>
        <w:tc>
          <w:tcPr>
            <w:tcW w:w="860" w:type="dxa"/>
            <w:vAlign w:val="bottom"/>
          </w:tcPr>
          <w:p>
            <w:pPr>
              <w:spacing w:after="0"/>
              <w:rPr>
                <w:sz w:val="24"/>
                <w:szCs w:val="24"/>
                <w:color w:val="auto"/>
              </w:rPr>
            </w:pPr>
          </w:p>
        </w:tc>
        <w:tc>
          <w:tcPr>
            <w:tcW w:w="8480" w:type="dxa"/>
            <w:vAlign w:val="bottom"/>
            <w:shd w:val="clear" w:color="auto" w:fill="1DA46F"/>
          </w:tcPr>
          <w:p>
            <w:pPr>
              <w:ind w:left="20"/>
              <w:spacing w:after="0"/>
              <w:rPr>
                <w:sz w:val="20"/>
                <w:szCs w:val="20"/>
                <w:color w:val="auto"/>
              </w:rPr>
            </w:pPr>
            <w:r>
              <w:rPr>
                <w:rFonts w:ascii="Arial" w:cs="Arial" w:eastAsia="Arial" w:hAnsi="Arial"/>
                <w:sz w:val="32"/>
                <w:szCs w:val="32"/>
                <w:b w:val="1"/>
                <w:bCs w:val="1"/>
                <w:color w:val="FFFFFF"/>
              </w:rPr>
              <w:t>​FIRM</w:t>
            </w:r>
          </w:p>
        </w:tc>
        <w:tc>
          <w:tcPr>
            <w:tcW w:w="500" w:type="dxa"/>
            <w:vAlign w:val="bottom"/>
            <w:shd w:val="clear" w:color="auto" w:fill="1DA46F"/>
          </w:tcPr>
          <w:p>
            <w:pPr>
              <w:ind w:left="400"/>
              <w:spacing w:after="0"/>
              <w:rPr>
                <w:sz w:val="20"/>
                <w:szCs w:val="20"/>
                <w:color w:val="auto"/>
              </w:rPr>
            </w:pPr>
            <w:r>
              <w:rPr>
                <w:rFonts w:ascii="Arial" w:cs="Arial" w:eastAsia="Arial" w:hAnsi="Arial"/>
                <w:sz w:val="32"/>
                <w:szCs w:val="32"/>
                <w:b w:val="1"/>
                <w:bCs w:val="1"/>
                <w:color w:val="FFFFFF"/>
              </w:rPr>
              <w:t>​</w:t>
            </w:r>
          </w:p>
        </w:tc>
      </w:tr>
    </w:tbl>
    <w:p>
      <w:pPr>
        <w:spacing w:after="0" w:line="30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INDEPENDENT REGISTERED PUBLIC ACCOUNTING FIRM FEES</w:t>
      </w:r>
    </w:p>
    <w:p>
      <w:pPr>
        <w:spacing w:after="0" w:line="158" w:lineRule="exact"/>
        <w:rPr>
          <w:sz w:val="20"/>
          <w:szCs w:val="20"/>
          <w:color w:val="auto"/>
        </w:rPr>
      </w:pPr>
    </w:p>
    <w:p>
      <w:pPr>
        <w:jc w:val="both"/>
        <w:ind w:left="880" w:right="39"/>
        <w:spacing w:after="0" w:line="268" w:lineRule="auto"/>
        <w:rPr>
          <w:sz w:val="20"/>
          <w:szCs w:val="20"/>
          <w:color w:val="auto"/>
        </w:rPr>
      </w:pPr>
      <w:r>
        <w:rPr>
          <w:rFonts w:ascii="Arial" w:cs="Arial" w:eastAsia="Arial" w:hAnsi="Arial"/>
          <w:sz w:val="18"/>
          <w:szCs w:val="18"/>
          <w:color w:val="auto"/>
        </w:rPr>
        <w:t>The Audit Committee works with our management in order to negotiate appropriate fees with EY and is ultimately responsible for approving those fees. The following is a summary and description of fees for services provided by EY in 2025 and 2024.</w:t>
      </w:r>
    </w:p>
    <w:p>
      <w:pPr>
        <w:spacing w:after="0" w:line="129" w:lineRule="exact"/>
        <w:rPr>
          <w:sz w:val="20"/>
          <w:szCs w:val="20"/>
          <w:color w:val="auto"/>
        </w:rPr>
      </w:pPr>
    </w:p>
    <w:tbl>
      <w:tblPr>
        <w:tblLayout w:type="fixed"/>
        <w:tblInd w:w="1250" w:type="dxa"/>
        <w:tblCellMar>
          <w:top w:w="0" w:type="dxa"/>
          <w:left w:w="0" w:type="dxa"/>
          <w:bottom w:w="0" w:type="dxa"/>
          <w:right w:w="0" w:type="dxa"/>
        </w:tblCellMar>
      </w:tblPr>
      <w:tr>
        <w:trPr>
          <w:trHeight w:val="270"/>
        </w:trPr>
        <w:tc>
          <w:tcPr>
            <w:tcW w:w="1940" w:type="dxa"/>
            <w:vAlign w:val="bottom"/>
            <w:tcBorders>
              <w:top w:val="single" w:sz="8" w:color="auto"/>
              <w:left w:val="single" w:sz="8" w:color="auto"/>
              <w:bottom w:val="single" w:sz="8" w:color="auto"/>
            </w:tcBorders>
            <w:shd w:val="clear" w:color="auto" w:fill="148CD9"/>
          </w:tcPr>
          <w:p>
            <w:pPr>
              <w:ind w:left="60"/>
              <w:spacing w:after="0"/>
              <w:rPr>
                <w:sz w:val="20"/>
                <w:szCs w:val="20"/>
                <w:color w:val="auto"/>
              </w:rPr>
            </w:pPr>
            <w:r>
              <w:rPr>
                <w:rFonts w:ascii="Arial" w:cs="Arial" w:eastAsia="Arial" w:hAnsi="Arial"/>
                <w:sz w:val="16"/>
                <w:szCs w:val="16"/>
                <w:b w:val="1"/>
                <w:bCs w:val="1"/>
                <w:color w:val="FFFFFF"/>
              </w:rPr>
              <w:t>​</w:t>
            </w:r>
          </w:p>
        </w:tc>
        <w:tc>
          <w:tcPr>
            <w:tcW w:w="2120" w:type="dxa"/>
            <w:vAlign w:val="bottom"/>
            <w:tcBorders>
              <w:top w:val="single" w:sz="8" w:color="auto"/>
              <w:bottom w:val="single" w:sz="8" w:color="auto"/>
            </w:tcBorders>
            <w:shd w:val="clear" w:color="auto" w:fill="148CD9"/>
          </w:tcPr>
          <w:p>
            <w:pPr>
              <w:ind w:left="320"/>
              <w:spacing w:after="0"/>
              <w:rPr>
                <w:sz w:val="20"/>
                <w:szCs w:val="20"/>
                <w:color w:val="auto"/>
              </w:rPr>
            </w:pPr>
            <w:r>
              <w:rPr>
                <w:rFonts w:ascii="Arial" w:cs="Arial" w:eastAsia="Arial" w:hAnsi="Arial"/>
                <w:sz w:val="16"/>
                <w:szCs w:val="16"/>
                <w:b w:val="1"/>
                <w:bCs w:val="1"/>
                <w:color w:val="FFFFFF"/>
              </w:rPr>
              <w:t>SERVICE</w:t>
            </w:r>
          </w:p>
        </w:tc>
        <w:tc>
          <w:tcPr>
            <w:tcW w:w="1180" w:type="dxa"/>
            <w:vAlign w:val="bottom"/>
            <w:tcBorders>
              <w:top w:val="single" w:sz="8" w:color="auto"/>
              <w:bottom w:val="single" w:sz="8" w:color="auto"/>
              <w:right w:val="single" w:sz="8" w:color="auto"/>
            </w:tcBorders>
            <w:shd w:val="clear" w:color="auto" w:fill="148CD9"/>
          </w:tcPr>
          <w:p>
            <w:pPr>
              <w:ind w:left="1100"/>
              <w:spacing w:after="0"/>
              <w:rPr>
                <w:sz w:val="20"/>
                <w:szCs w:val="20"/>
                <w:color w:val="auto"/>
              </w:rPr>
            </w:pPr>
            <w:r>
              <w:rPr>
                <w:rFonts w:ascii="Arial" w:cs="Arial" w:eastAsia="Arial" w:hAnsi="Arial"/>
                <w:sz w:val="16"/>
                <w:szCs w:val="16"/>
                <w:b w:val="1"/>
                <w:bCs w:val="1"/>
                <w:color w:val="FFFFFF"/>
              </w:rPr>
              <w:t>​</w:t>
            </w:r>
          </w:p>
        </w:tc>
        <w:tc>
          <w:tcPr>
            <w:tcW w:w="220" w:type="dxa"/>
            <w:vAlign w:val="bottom"/>
            <w:tcBorders>
              <w:top w:val="single" w:sz="8" w:color="auto"/>
              <w:bottom w:val="single" w:sz="8" w:color="auto"/>
            </w:tcBorders>
            <w:shd w:val="clear" w:color="auto" w:fill="148CD9"/>
          </w:tcPr>
          <w:p>
            <w:pPr>
              <w:ind w:left="40"/>
              <w:spacing w:after="0"/>
              <w:rPr>
                <w:sz w:val="20"/>
                <w:szCs w:val="20"/>
                <w:color w:val="auto"/>
              </w:rPr>
            </w:pPr>
            <w:r>
              <w:rPr>
                <w:rFonts w:ascii="Arial" w:cs="Arial" w:eastAsia="Arial" w:hAnsi="Arial"/>
                <w:sz w:val="16"/>
                <w:szCs w:val="16"/>
                <w:b w:val="1"/>
                <w:bCs w:val="1"/>
                <w:color w:val="FFFFFF"/>
              </w:rPr>
              <w:t>​</w:t>
            </w:r>
          </w:p>
        </w:tc>
        <w:tc>
          <w:tcPr>
            <w:tcW w:w="1040" w:type="dxa"/>
            <w:vAlign w:val="bottom"/>
            <w:tcBorders>
              <w:top w:val="single" w:sz="8" w:color="auto"/>
              <w:bottom w:val="single" w:sz="8" w:color="auto"/>
            </w:tcBorders>
            <w:shd w:val="clear" w:color="auto" w:fill="148CD9"/>
          </w:tcPr>
          <w:p>
            <w:pPr>
              <w:jc w:val="center"/>
              <w:spacing w:after="0"/>
              <w:rPr>
                <w:sz w:val="20"/>
                <w:szCs w:val="20"/>
                <w:color w:val="auto"/>
              </w:rPr>
            </w:pPr>
            <w:r>
              <w:rPr>
                <w:rFonts w:ascii="Arial" w:cs="Arial" w:eastAsia="Arial" w:hAnsi="Arial"/>
                <w:sz w:val="16"/>
                <w:szCs w:val="16"/>
                <w:b w:val="1"/>
                <w:bCs w:val="1"/>
                <w:color w:val="FFFFFF"/>
                <w:w w:val="97"/>
              </w:rPr>
              <w:t>2025 ($)</w:t>
            </w:r>
          </w:p>
        </w:tc>
        <w:tc>
          <w:tcPr>
            <w:tcW w:w="240" w:type="dxa"/>
            <w:vAlign w:val="bottom"/>
            <w:tcBorders>
              <w:top w:val="single" w:sz="8" w:color="auto"/>
              <w:bottom w:val="single" w:sz="8" w:color="auto"/>
              <w:right w:val="single" w:sz="8" w:color="auto"/>
            </w:tcBorders>
            <w:shd w:val="clear" w:color="auto" w:fill="148CD9"/>
          </w:tcPr>
          <w:p>
            <w:pPr>
              <w:ind w:left="160"/>
              <w:spacing w:after="0"/>
              <w:rPr>
                <w:sz w:val="20"/>
                <w:szCs w:val="20"/>
                <w:color w:val="auto"/>
              </w:rPr>
            </w:pPr>
            <w:r>
              <w:rPr>
                <w:rFonts w:ascii="Arial" w:cs="Arial" w:eastAsia="Arial" w:hAnsi="Arial"/>
                <w:sz w:val="16"/>
                <w:szCs w:val="16"/>
                <w:b w:val="1"/>
                <w:bCs w:val="1"/>
                <w:color w:val="FFFFFF"/>
              </w:rPr>
              <w:t>​</w:t>
            </w:r>
          </w:p>
        </w:tc>
        <w:tc>
          <w:tcPr>
            <w:tcW w:w="220" w:type="dxa"/>
            <w:vAlign w:val="bottom"/>
            <w:tcBorders>
              <w:top w:val="single" w:sz="8" w:color="auto"/>
              <w:bottom w:val="single" w:sz="8" w:color="auto"/>
            </w:tcBorders>
            <w:shd w:val="clear" w:color="auto" w:fill="148CD9"/>
          </w:tcPr>
          <w:p>
            <w:pPr>
              <w:ind w:left="40"/>
              <w:spacing w:after="0"/>
              <w:rPr>
                <w:sz w:val="20"/>
                <w:szCs w:val="20"/>
                <w:color w:val="auto"/>
              </w:rPr>
            </w:pPr>
            <w:r>
              <w:rPr>
                <w:rFonts w:ascii="Arial" w:cs="Arial" w:eastAsia="Arial" w:hAnsi="Arial"/>
                <w:sz w:val="16"/>
                <w:szCs w:val="16"/>
                <w:b w:val="1"/>
                <w:bCs w:val="1"/>
                <w:color w:val="FFFFFF"/>
              </w:rPr>
              <w:t>​</w:t>
            </w:r>
          </w:p>
        </w:tc>
        <w:tc>
          <w:tcPr>
            <w:tcW w:w="1060" w:type="dxa"/>
            <w:vAlign w:val="bottom"/>
            <w:tcBorders>
              <w:top w:val="single" w:sz="8" w:color="auto"/>
              <w:bottom w:val="single" w:sz="8" w:color="auto"/>
            </w:tcBorders>
            <w:shd w:val="clear" w:color="auto" w:fill="148CD9"/>
          </w:tcPr>
          <w:p>
            <w:pPr>
              <w:jc w:val="center"/>
              <w:spacing w:after="0"/>
              <w:rPr>
                <w:sz w:val="20"/>
                <w:szCs w:val="20"/>
                <w:color w:val="auto"/>
              </w:rPr>
            </w:pPr>
            <w:r>
              <w:rPr>
                <w:rFonts w:ascii="Arial" w:cs="Arial" w:eastAsia="Arial" w:hAnsi="Arial"/>
                <w:sz w:val="16"/>
                <w:szCs w:val="16"/>
                <w:b w:val="1"/>
                <w:bCs w:val="1"/>
                <w:color w:val="FFFFFF"/>
              </w:rPr>
              <w:t>2024 ($)</w:t>
            </w:r>
          </w:p>
        </w:tc>
        <w:tc>
          <w:tcPr>
            <w:tcW w:w="240" w:type="dxa"/>
            <w:vAlign w:val="bottom"/>
            <w:tcBorders>
              <w:top w:val="single" w:sz="8" w:color="auto"/>
              <w:bottom w:val="single" w:sz="8" w:color="auto"/>
              <w:right w:val="single" w:sz="8" w:color="auto"/>
            </w:tcBorders>
            <w:shd w:val="clear" w:color="auto" w:fill="148CD9"/>
          </w:tcPr>
          <w:p>
            <w:pPr>
              <w:ind w:left="160"/>
              <w:spacing w:after="0"/>
              <w:rPr>
                <w:sz w:val="20"/>
                <w:szCs w:val="20"/>
                <w:color w:val="auto"/>
              </w:rPr>
            </w:pPr>
            <w:r>
              <w:rPr>
                <w:rFonts w:ascii="Arial" w:cs="Arial" w:eastAsia="Arial" w:hAnsi="Arial"/>
                <w:sz w:val="16"/>
                <w:szCs w:val="16"/>
                <w:b w:val="1"/>
                <w:bCs w:val="1"/>
                <w:color w:val="FFFFFF"/>
              </w:rPr>
              <w:t>​</w:t>
            </w:r>
          </w:p>
        </w:tc>
      </w:tr>
      <w:tr>
        <w:trPr>
          <w:trHeight w:val="250"/>
        </w:trPr>
        <w:tc>
          <w:tcPr>
            <w:tcW w:w="1940" w:type="dxa"/>
            <w:vAlign w:val="bottom"/>
            <w:tcBorders>
              <w:left w:val="single" w:sz="8" w:color="auto"/>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Audit Fees</w:t>
            </w:r>
          </w:p>
        </w:tc>
        <w:tc>
          <w:tcPr>
            <w:tcW w:w="2120" w:type="dxa"/>
            <w:vAlign w:val="bottom"/>
            <w:tcBorders>
              <w:bottom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$725,000</w:t>
            </w:r>
          </w:p>
        </w:tc>
        <w:tc>
          <w:tcPr>
            <w:tcW w:w="2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893,114</w:t>
            </w:r>
          </w:p>
        </w:tc>
        <w:tc>
          <w:tcPr>
            <w:tcW w:w="2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r>
      <w:tr>
        <w:trPr>
          <w:trHeight w:val="250"/>
        </w:trPr>
        <w:tc>
          <w:tcPr>
            <w:tcW w:w="1940" w:type="dxa"/>
            <w:vAlign w:val="bottom"/>
            <w:tcBorders>
              <w:left w:val="single" w:sz="8" w:color="auto"/>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Audit-Related Fees</w:t>
            </w:r>
          </w:p>
        </w:tc>
        <w:tc>
          <w:tcPr>
            <w:tcW w:w="2120" w:type="dxa"/>
            <w:vAlign w:val="bottom"/>
            <w:tcBorders>
              <w:bottom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$32,000</w:t>
            </w:r>
          </w:p>
        </w:tc>
        <w:tc>
          <w:tcPr>
            <w:tcW w:w="2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40,100</w:t>
            </w:r>
          </w:p>
        </w:tc>
        <w:tc>
          <w:tcPr>
            <w:tcW w:w="2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r>
      <w:tr>
        <w:trPr>
          <w:trHeight w:val="250"/>
        </w:trPr>
        <w:tc>
          <w:tcPr>
            <w:tcW w:w="1940" w:type="dxa"/>
            <w:vAlign w:val="bottom"/>
            <w:tcBorders>
              <w:left w:val="single" w:sz="8" w:color="auto"/>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Tax Fees</w:t>
            </w:r>
          </w:p>
        </w:tc>
        <w:tc>
          <w:tcPr>
            <w:tcW w:w="2120" w:type="dxa"/>
            <w:vAlign w:val="bottom"/>
            <w:tcBorders>
              <w:bottom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$239,000</w:t>
            </w:r>
          </w:p>
        </w:tc>
        <w:tc>
          <w:tcPr>
            <w:tcW w:w="2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247,700</w:t>
            </w:r>
          </w:p>
        </w:tc>
        <w:tc>
          <w:tcPr>
            <w:tcW w:w="2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r>
      <w:tr>
        <w:trPr>
          <w:trHeight w:val="250"/>
        </w:trPr>
        <w:tc>
          <w:tcPr>
            <w:tcW w:w="1940" w:type="dxa"/>
            <w:vAlign w:val="bottom"/>
            <w:tcBorders>
              <w:left w:val="single" w:sz="8" w:color="auto"/>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All Other Fees</w:t>
            </w:r>
          </w:p>
        </w:tc>
        <w:tc>
          <w:tcPr>
            <w:tcW w:w="2120" w:type="dxa"/>
            <w:vAlign w:val="bottom"/>
            <w:tcBorders>
              <w:bottom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r>
      <w:tr>
        <w:trPr>
          <w:trHeight w:val="250"/>
        </w:trPr>
        <w:tc>
          <w:tcPr>
            <w:tcW w:w="1940" w:type="dxa"/>
            <w:vAlign w:val="bottom"/>
            <w:tcBorders>
              <w:left w:val="single" w:sz="8" w:color="auto"/>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b w:val="1"/>
                <w:bCs w:val="1"/>
                <w:color w:val="auto"/>
              </w:rPr>
              <w:t>Total</w:t>
            </w:r>
          </w:p>
        </w:tc>
        <w:tc>
          <w:tcPr>
            <w:tcW w:w="2120" w:type="dxa"/>
            <w:vAlign w:val="bottom"/>
            <w:tcBorders>
              <w:bottom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$996,000</w:t>
            </w:r>
          </w:p>
        </w:tc>
        <w:tc>
          <w:tcPr>
            <w:tcW w:w="2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1,180,914</w:t>
            </w:r>
          </w:p>
        </w:tc>
        <w:tc>
          <w:tcPr>
            <w:tcW w:w="2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r>
    </w:tbl>
    <w:p>
      <w:pPr>
        <w:spacing w:after="0" w:line="116" w:lineRule="exact"/>
        <w:rPr>
          <w:sz w:val="20"/>
          <w:szCs w:val="20"/>
          <w:color w:val="auto"/>
        </w:rPr>
      </w:pPr>
    </w:p>
    <w:p>
      <w:pPr>
        <w:jc w:val="both"/>
        <w:ind w:left="880" w:right="3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 fees</w:t>
      </w:r>
      <w:r>
        <w:rPr>
          <w:rFonts w:ascii="Arial" w:cs="Arial" w:eastAsia="Arial" w:hAnsi="Arial"/>
          <w:sz w:val="18"/>
          <w:szCs w:val="18"/>
          <w:color w:val="auto"/>
        </w:rPr>
        <w:t>” represents the aggregate fees for professional services rendered for the audit of our financial statements and the review of our quarterly financial statements on Form 10-Q that are customary under the standards of the Public Company Accounting Oversight Board (United States), or the PCAOB. Also included are the fees related to our Registration Statements on Form S-3 and Form S-8.</w:t>
      </w:r>
    </w:p>
    <w:p>
      <w:pPr>
        <w:spacing w:after="0" w:line="109" w:lineRule="exact"/>
        <w:rPr>
          <w:sz w:val="20"/>
          <w:szCs w:val="20"/>
          <w:color w:val="auto"/>
        </w:rPr>
      </w:pPr>
    </w:p>
    <w:p>
      <w:pPr>
        <w:jc w:val="both"/>
        <w:ind w:left="880" w:right="3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Audit-related fees</w:t>
      </w:r>
      <w:r>
        <w:rPr>
          <w:rFonts w:ascii="Arial" w:cs="Arial" w:eastAsia="Arial" w:hAnsi="Arial"/>
          <w:sz w:val="18"/>
          <w:szCs w:val="18"/>
          <w:color w:val="auto"/>
        </w:rPr>
        <w:t>” represents fees billed for assurance and related services that are reasonably related to the performance of the audit or review of our financial statements, including services provided in connection with merger and acquisition audit services.</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fees</w:t>
      </w:r>
      <w:r>
        <w:rPr>
          <w:rFonts w:ascii="Arial" w:cs="Arial" w:eastAsia="Arial" w:hAnsi="Arial"/>
          <w:sz w:val="18"/>
          <w:szCs w:val="18"/>
          <w:color w:val="auto"/>
        </w:rPr>
        <w:t>” consists of fees related to tax compliance, tax planning and tax advice.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AUDIT COMMITTEE PRE-APPROVAL POLICIES AND PROCEDURES</w:t>
      </w:r>
    </w:p>
    <w:p>
      <w:pPr>
        <w:spacing w:after="0" w:line="158" w:lineRule="exact"/>
        <w:rPr>
          <w:sz w:val="20"/>
          <w:szCs w:val="20"/>
          <w:color w:val="auto"/>
        </w:rPr>
      </w:pPr>
    </w:p>
    <w:p>
      <w:pPr>
        <w:jc w:val="both"/>
        <w:ind w:left="880" w:right="39"/>
        <w:spacing w:after="0" w:line="262" w:lineRule="auto"/>
        <w:rPr>
          <w:sz w:val="20"/>
          <w:szCs w:val="20"/>
          <w:color w:val="auto"/>
        </w:rPr>
      </w:pPr>
      <w:r>
        <w:rPr>
          <w:rFonts w:ascii="Arial" w:cs="Arial" w:eastAsia="Arial" w:hAnsi="Arial"/>
          <w:sz w:val="18"/>
          <w:szCs w:val="18"/>
          <w:color w:val="auto"/>
        </w:rPr>
        <w:t>The Audit Committee is responsible for appointing, retaining, setting compensation for, and evaluating and overseeing the work of the independent registered public accounting firm. The Audit Committee’s charter establishes a policy that all audit and permissible non-audit services provided by the independent registered public accounting firm will be pre-approved by the Audit Committee.</w:t>
      </w:r>
    </w:p>
    <w:p>
      <w:pPr>
        <w:spacing w:after="0" w:line="109" w:lineRule="exact"/>
        <w:rPr>
          <w:sz w:val="20"/>
          <w:szCs w:val="20"/>
          <w:color w:val="auto"/>
        </w:rPr>
      </w:pPr>
    </w:p>
    <w:p>
      <w:pPr>
        <w:jc w:val="both"/>
        <w:ind w:left="880" w:right="19"/>
        <w:spacing w:after="0" w:line="256" w:lineRule="auto"/>
        <w:rPr>
          <w:sz w:val="20"/>
          <w:szCs w:val="20"/>
          <w:color w:val="auto"/>
        </w:rPr>
      </w:pPr>
      <w:r>
        <w:rPr>
          <w:rFonts w:ascii="Arial" w:cs="Arial" w:eastAsia="Arial" w:hAnsi="Arial"/>
          <w:sz w:val="18"/>
          <w:szCs w:val="18"/>
          <w:color w:val="auto"/>
        </w:rPr>
        <w:t>All such audit and permissible non-audit services were pre-approved in accordance with this policy during the fiscal year ended December 31, 2025. These services may include audit services, audit-related services, tax services and other services. The Audit Committee considers whether the provision of each non-audit service is compatible with maintaining the independence of our independent registered public accounting firm. The responsibility to pre-approve audit and non-audit services may be delegated by the Audit Committee to one or more members of the Audit Committee; provided that any decisions made by such member or members must be presented to the full Audit Committee at its next scheduled meeting.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140970</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​AUDIT COMMITTEE REPORT</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19"/>
        <w:spacing w:after="0" w:line="257" w:lineRule="auto"/>
        <w:rPr>
          <w:sz w:val="20"/>
          <w:szCs w:val="20"/>
          <w:color w:val="auto"/>
        </w:rPr>
      </w:pPr>
      <w:r>
        <w:rPr>
          <w:rFonts w:ascii="Arial" w:cs="Arial" w:eastAsia="Arial" w:hAnsi="Arial"/>
          <w:sz w:val="18"/>
          <w:szCs w:val="18"/>
          <w:color w:val="auto"/>
        </w:rPr>
        <w:t>The audit committee is appointed by the board of directors to assist the board of directors in fulfilling its oversight responsibilities with respect to (1) the integrity of the Company’s financial statements and financial reporting process and systems of internal controls regarding finance, accounting, and compliance with legal and regulatory requirements, (2) the qualifications, independence, and performance of the Company’s independent registered public accounting firm, (3) the performance of the Company’s internal audit function, if any, and (4) other matters as set forth in the charter of the audit committee approved by the board of directors.</w:t>
      </w:r>
    </w:p>
    <w:p>
      <w:pPr>
        <w:spacing w:after="0" w:line="101" w:lineRule="exact"/>
        <w:rPr>
          <w:sz w:val="20"/>
          <w:szCs w:val="20"/>
          <w:color w:val="auto"/>
        </w:rPr>
      </w:pPr>
    </w:p>
    <w:p>
      <w:pPr>
        <w:jc w:val="both"/>
        <w:ind w:left="880" w:right="19"/>
        <w:spacing w:after="0" w:line="257" w:lineRule="auto"/>
        <w:rPr>
          <w:sz w:val="20"/>
          <w:szCs w:val="20"/>
          <w:color w:val="auto"/>
        </w:rPr>
      </w:pPr>
      <w:r>
        <w:rPr>
          <w:rFonts w:ascii="Arial" w:cs="Arial" w:eastAsia="Arial" w:hAnsi="Arial"/>
          <w:sz w:val="18"/>
          <w:szCs w:val="18"/>
          <w:color w:val="auto"/>
        </w:rPr>
        <w:t>Management is responsible for the preparation of the Company’s financial statements and the financial reporting process, including its system of internal control over financial reporting and its disclosure controls and procedures. The independent registered public accounting firm is responsible for performing an audit of the Company’s financial statements in accordance with the standards of the Public Company Accounting Oversight Board, or the PCAOB, and issuing a report thereon. The audit committee’s responsibility is to monitor and oversee these processes.</w:t>
      </w:r>
    </w:p>
    <w:p>
      <w:pPr>
        <w:spacing w:after="0" w:line="115" w:lineRule="exact"/>
        <w:rPr>
          <w:sz w:val="20"/>
          <w:szCs w:val="20"/>
          <w:color w:val="auto"/>
        </w:rPr>
      </w:pPr>
    </w:p>
    <w:p>
      <w:pPr>
        <w:jc w:val="both"/>
        <w:ind w:left="880" w:right="19"/>
        <w:spacing w:after="0" w:line="255" w:lineRule="auto"/>
        <w:rPr>
          <w:sz w:val="20"/>
          <w:szCs w:val="20"/>
          <w:color w:val="auto"/>
        </w:rPr>
      </w:pPr>
      <w:r>
        <w:rPr>
          <w:rFonts w:ascii="Arial" w:cs="Arial" w:eastAsia="Arial" w:hAnsi="Arial"/>
          <w:sz w:val="18"/>
          <w:szCs w:val="18"/>
          <w:color w:val="auto"/>
        </w:rPr>
        <w:t>In connection with these responsibilities, the audit committee reviewed and discussed with management and the independent registered public accounting firm the audited consolidated financial statements of the Company for the fiscal year ended December 31, 2025. The audit committee also discussed with the independent registered public accounting firm the matters required to be discussed by the PCAOB’s Auditing Standard No. 1301, Communication with Audit Committees. In addition, the audit committee received written communications from the independent registered public accounting firm confirming their independence as required by the applicable requirements of the PCAOB and has discussed with the independent registered public accounting firm their independence.</w:t>
      </w:r>
    </w:p>
    <w:p>
      <w:pPr>
        <w:spacing w:after="0" w:line="117" w:lineRule="exact"/>
        <w:rPr>
          <w:sz w:val="20"/>
          <w:szCs w:val="20"/>
          <w:color w:val="auto"/>
        </w:rPr>
      </w:pPr>
    </w:p>
    <w:p>
      <w:pPr>
        <w:jc w:val="both"/>
        <w:ind w:left="880" w:right="19"/>
        <w:spacing w:after="0" w:line="255" w:lineRule="auto"/>
        <w:rPr>
          <w:sz w:val="20"/>
          <w:szCs w:val="20"/>
          <w:color w:val="auto"/>
        </w:rPr>
      </w:pPr>
      <w:r>
        <w:rPr>
          <w:rFonts w:ascii="Arial" w:cs="Arial" w:eastAsia="Arial" w:hAnsi="Arial"/>
          <w:sz w:val="18"/>
          <w:szCs w:val="18"/>
          <w:color w:val="auto"/>
        </w:rPr>
        <w:t>Based on the reviews and discussions referred to above, the audit committee recommended to the board of directors that the audited consolidated financial statements of the Company be included in the Company’s Annual Report on Form 10-K for the fiscal year ended December 31, 2025, that was filed with the SEC. The information contained in this report shall not be deemed to be (1) “soliciting material,” (2)​ “filed” with the SEC, (3) subject to Regulations 14A or 14C of the Securities Exchange Act of 1934, as amended, or the Exchange Act, or (4) subject to the liabilities of Section 18 of the Exchange Act. This report shall not be deemed incorporated by reference into any of our other filings under the Exchange Act or the Securities Act of 1933, as amended, or the Securities Act, except to the extent that we specifically incorporate it by reference into such filing.</w:t>
      </w:r>
    </w:p>
    <w:p>
      <w:pPr>
        <w:spacing w:after="0" w:line="200" w:lineRule="exact"/>
        <w:rPr>
          <w:sz w:val="20"/>
          <w:szCs w:val="20"/>
          <w:color w:val="auto"/>
        </w:rPr>
      </w:pPr>
    </w:p>
    <w:p>
      <w:pPr>
        <w:spacing w:after="0" w:line="20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148CD9"/>
        </w:rPr>
        <w:t>THE AUDIT COMMITTEE OF THE</w:t>
      </w:r>
    </w:p>
    <w:p>
      <w:pPr>
        <w:spacing w:after="0" w:line="2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148CD9"/>
        </w:rPr>
        <w:t>BOARD OF DIRECTORS OF</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148CD9"/>
        </w:rPr>
        <w:t>CENTURY THERAPEUTICS, INC.</w:t>
      </w:r>
    </w:p>
    <w:p>
      <w:pPr>
        <w:spacing w:after="0" w:line="20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Daphne Quimi, Chairperson</w:t>
      </w:r>
    </w:p>
    <w:p>
      <w:pPr>
        <w:spacing w:after="0" w:line="2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Kimberly Blackwell, M.D.</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Han Lee, Ph.D., M.B.A.</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Alessandro Riva, M.D.</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April [    ], 2026</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​EXECUTIVE OFFICERS</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sets forth the name, age and position of each of our executive officers as of the date of this</w:t>
      </w:r>
    </w:p>
    <w:p>
      <w:pPr>
        <w:ind w:left="880"/>
        <w:spacing w:after="0"/>
        <w:rPr>
          <w:sz w:val="20"/>
          <w:szCs w:val="20"/>
          <w:color w:val="auto"/>
        </w:rPr>
      </w:pPr>
      <w:r>
        <w:rPr>
          <w:rFonts w:ascii="Arial" w:cs="Arial" w:eastAsia="Arial" w:hAnsi="Arial"/>
          <w:sz w:val="18"/>
          <w:szCs w:val="18"/>
          <w:color w:val="auto"/>
        </w:rPr>
        <w:t>Proxy Statement:</w:t>
      </w:r>
    </w:p>
    <w:p>
      <w:pPr>
        <w:spacing w:after="0" w:line="165" w:lineRule="exact"/>
        <w:rPr>
          <w:sz w:val="20"/>
          <w:szCs w:val="20"/>
          <w:color w:val="auto"/>
        </w:rPr>
      </w:pPr>
    </w:p>
    <w:tbl>
      <w:tblPr>
        <w:tblLayout w:type="fixed"/>
        <w:tblInd w:w="870" w:type="dxa"/>
        <w:tblCellMar>
          <w:top w:w="0" w:type="dxa"/>
          <w:left w:w="0" w:type="dxa"/>
          <w:bottom w:w="0" w:type="dxa"/>
          <w:right w:w="0" w:type="dxa"/>
        </w:tblCellMar>
      </w:tblPr>
      <w:tr>
        <w:trPr>
          <w:trHeight w:val="270"/>
        </w:trPr>
        <w:tc>
          <w:tcPr>
            <w:tcW w:w="3260" w:type="dxa"/>
            <w:vAlign w:val="bottom"/>
            <w:tcBorders>
              <w:top w:val="single" w:sz="8" w:color="auto"/>
              <w:left w:val="single" w:sz="8" w:color="auto"/>
              <w:bottom w:val="single" w:sz="8" w:color="auto"/>
            </w:tcBorders>
            <w:shd w:val="clear" w:color="auto" w:fill="148CD9"/>
          </w:tcPr>
          <w:p>
            <w:pPr>
              <w:ind w:left="20"/>
              <w:spacing w:after="0" w:line="269" w:lineRule="exact"/>
              <w:rPr>
                <w:sz w:val="20"/>
                <w:szCs w:val="20"/>
                <w:color w:val="auto"/>
              </w:rPr>
            </w:pPr>
            <w:r>
              <w:rPr>
                <w:rFonts w:ascii="Arial" w:cs="Arial" w:eastAsia="Arial" w:hAnsi="Arial"/>
                <w:sz w:val="31"/>
                <w:szCs w:val="31"/>
                <w:b w:val="1"/>
                <w:bCs w:val="1"/>
                <w:color w:val="FFFFFF"/>
                <w:vertAlign w:val="subscript"/>
              </w:rPr>
              <w:t>​</w:t>
            </w:r>
            <w:r>
              <w:rPr>
                <w:rFonts w:ascii="Arial" w:cs="Arial" w:eastAsia="Arial" w:hAnsi="Arial"/>
                <w:sz w:val="16"/>
                <w:szCs w:val="16"/>
                <w:b w:val="1"/>
                <w:bCs w:val="1"/>
                <w:color w:val="FFFFFF"/>
              </w:rPr>
              <w:t xml:space="preserve"> NAME</w:t>
            </w:r>
          </w:p>
        </w:tc>
        <w:tc>
          <w:tcPr>
            <w:tcW w:w="4540" w:type="dxa"/>
            <w:vAlign w:val="bottom"/>
            <w:tcBorders>
              <w:top w:val="single" w:sz="8" w:color="auto"/>
              <w:bottom w:val="single" w:sz="8" w:color="auto"/>
            </w:tcBorders>
            <w:shd w:val="clear" w:color="auto" w:fill="148CD9"/>
          </w:tcPr>
          <w:p>
            <w:pPr>
              <w:ind w:left="700"/>
              <w:spacing w:after="0" w:line="269" w:lineRule="exact"/>
              <w:rPr>
                <w:sz w:val="20"/>
                <w:szCs w:val="20"/>
                <w:color w:val="auto"/>
              </w:rPr>
            </w:pPr>
            <w:r>
              <w:rPr>
                <w:rFonts w:ascii="Arial" w:cs="Arial" w:eastAsia="Arial" w:hAnsi="Arial"/>
                <w:sz w:val="31"/>
                <w:szCs w:val="31"/>
                <w:b w:val="1"/>
                <w:bCs w:val="1"/>
                <w:color w:val="FFFFFF"/>
                <w:vertAlign w:val="subscript"/>
              </w:rPr>
              <w:t>​ ​</w:t>
            </w:r>
            <w:r>
              <w:rPr>
                <w:rFonts w:ascii="Arial" w:cs="Arial" w:eastAsia="Arial" w:hAnsi="Arial"/>
                <w:sz w:val="16"/>
                <w:szCs w:val="16"/>
                <w:b w:val="1"/>
                <w:bCs w:val="1"/>
                <w:color w:val="FFFFFF"/>
              </w:rPr>
              <w:t xml:space="preserve"> POSITION</w:t>
            </w:r>
          </w:p>
        </w:tc>
        <w:tc>
          <w:tcPr>
            <w:tcW w:w="460" w:type="dxa"/>
            <w:vAlign w:val="bottom"/>
            <w:tcBorders>
              <w:top w:val="single" w:sz="8" w:color="auto"/>
              <w:bottom w:val="single" w:sz="8" w:color="auto"/>
            </w:tcBorders>
            <w:shd w:val="clear" w:color="auto" w:fill="148CD9"/>
          </w:tcPr>
          <w:p>
            <w:pPr>
              <w:ind w:left="200"/>
              <w:spacing w:after="0"/>
              <w:rPr>
                <w:sz w:val="20"/>
                <w:szCs w:val="20"/>
                <w:color w:val="auto"/>
              </w:rPr>
            </w:pPr>
            <w:r>
              <w:rPr>
                <w:rFonts w:ascii="Arial" w:cs="Arial" w:eastAsia="Arial" w:hAnsi="Arial"/>
                <w:sz w:val="16"/>
                <w:szCs w:val="16"/>
                <w:b w:val="1"/>
                <w:bCs w:val="1"/>
                <w:color w:val="FFFFFF"/>
              </w:rPr>
              <w:t>​ ​</w:t>
            </w:r>
          </w:p>
        </w:tc>
        <w:tc>
          <w:tcPr>
            <w:tcW w:w="540" w:type="dxa"/>
            <w:vAlign w:val="bottom"/>
            <w:tcBorders>
              <w:top w:val="single" w:sz="8" w:color="auto"/>
              <w:bottom w:val="single" w:sz="8" w:color="auto"/>
            </w:tcBorders>
            <w:shd w:val="clear" w:color="auto" w:fill="148CD9"/>
          </w:tcPr>
          <w:p>
            <w:pPr>
              <w:jc w:val="center"/>
              <w:spacing w:after="0"/>
              <w:rPr>
                <w:sz w:val="20"/>
                <w:szCs w:val="20"/>
                <w:color w:val="auto"/>
              </w:rPr>
            </w:pPr>
            <w:r>
              <w:rPr>
                <w:rFonts w:ascii="Arial" w:cs="Arial" w:eastAsia="Arial" w:hAnsi="Arial"/>
                <w:sz w:val="16"/>
                <w:szCs w:val="16"/>
                <w:b w:val="1"/>
                <w:bCs w:val="1"/>
                <w:color w:val="FFFFFF"/>
              </w:rPr>
              <w:t>AGE</w:t>
            </w:r>
          </w:p>
        </w:tc>
        <w:tc>
          <w:tcPr>
            <w:tcW w:w="200" w:type="dxa"/>
            <w:vAlign w:val="bottom"/>
            <w:tcBorders>
              <w:top w:val="single" w:sz="8" w:color="auto"/>
              <w:bottom w:val="single" w:sz="8" w:color="auto"/>
              <w:right w:val="single" w:sz="8" w:color="auto"/>
            </w:tcBorders>
            <w:shd w:val="clear" w:color="auto" w:fill="148CD9"/>
          </w:tcPr>
          <w:p>
            <w:pPr>
              <w:ind w:left="60"/>
              <w:spacing w:after="0"/>
              <w:rPr>
                <w:sz w:val="20"/>
                <w:szCs w:val="20"/>
                <w:color w:val="auto"/>
              </w:rPr>
            </w:pPr>
            <w:r>
              <w:rPr>
                <w:rFonts w:ascii="Arial" w:cs="Arial" w:eastAsia="Arial" w:hAnsi="Arial"/>
                <w:sz w:val="16"/>
                <w:szCs w:val="16"/>
                <w:b w:val="1"/>
                <w:bCs w:val="1"/>
                <w:color w:val="FFFFFF"/>
              </w:rPr>
              <w:t>​</w:t>
            </w:r>
          </w:p>
        </w:tc>
      </w:tr>
      <w:tr>
        <w:trPr>
          <w:trHeight w:val="250"/>
        </w:trPr>
        <w:tc>
          <w:tcPr>
            <w:tcW w:w="3260" w:type="dxa"/>
            <w:vAlign w:val="bottom"/>
            <w:tcBorders>
              <w:left w:val="single" w:sz="8" w:color="auto"/>
              <w:bottom w:val="single" w:sz="8" w:color="auto"/>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Brent Pfeiffenberger, Pharm.D.</w:t>
            </w:r>
          </w:p>
        </w:tc>
        <w:tc>
          <w:tcPr>
            <w:tcW w:w="4540" w:type="dxa"/>
            <w:vAlign w:val="bottom"/>
            <w:tcBorders>
              <w:bottom w:val="single" w:sz="8" w:color="auto"/>
            </w:tcBorders>
          </w:tcPr>
          <w:p>
            <w:pPr>
              <w:ind w:left="700"/>
              <w:spacing w:after="0" w:line="250"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President and Chief Executive Officer</w:t>
            </w: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 ​</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48</w:t>
            </w:r>
          </w:p>
        </w:tc>
        <w:tc>
          <w:tcPr>
            <w:tcW w:w="2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r>
      <w:tr>
        <w:trPr>
          <w:trHeight w:val="250"/>
        </w:trPr>
        <w:tc>
          <w:tcPr>
            <w:tcW w:w="3260" w:type="dxa"/>
            <w:vAlign w:val="bottom"/>
            <w:tcBorders>
              <w:left w:val="single" w:sz="8" w:color="auto"/>
              <w:bottom w:val="single" w:sz="8" w:color="auto"/>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Gregory Russotti, Ph.D.</w:t>
            </w:r>
          </w:p>
        </w:tc>
        <w:tc>
          <w:tcPr>
            <w:tcW w:w="4540" w:type="dxa"/>
            <w:vAlign w:val="bottom"/>
            <w:tcBorders>
              <w:bottom w:val="single" w:sz="8" w:color="auto"/>
            </w:tcBorders>
          </w:tcPr>
          <w:p>
            <w:pPr>
              <w:ind w:left="700"/>
              <w:spacing w:after="0" w:line="250"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Chief Technology and Manufacturing Officer</w:t>
            </w: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 ​</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59</w:t>
            </w:r>
          </w:p>
        </w:tc>
        <w:tc>
          <w:tcPr>
            <w:tcW w:w="2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r>
      <w:tr>
        <w:trPr>
          <w:trHeight w:val="250"/>
        </w:trPr>
        <w:tc>
          <w:tcPr>
            <w:tcW w:w="3260" w:type="dxa"/>
            <w:vAlign w:val="bottom"/>
            <w:tcBorders>
              <w:left w:val="single" w:sz="8" w:color="auto"/>
              <w:bottom w:val="single" w:sz="8" w:color="auto"/>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Chad Cowan, Ph.D.</w:t>
            </w:r>
          </w:p>
        </w:tc>
        <w:tc>
          <w:tcPr>
            <w:tcW w:w="4540" w:type="dxa"/>
            <w:vAlign w:val="bottom"/>
            <w:tcBorders>
              <w:bottom w:val="single" w:sz="8" w:color="auto"/>
            </w:tcBorders>
          </w:tcPr>
          <w:p>
            <w:pPr>
              <w:ind w:left="700"/>
              <w:spacing w:after="0" w:line="250"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Chief Scientific Officer</w:t>
            </w: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 ​</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54</w:t>
            </w:r>
          </w:p>
        </w:tc>
        <w:tc>
          <w:tcPr>
            <w:tcW w:w="2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r>
      <w:tr>
        <w:trPr>
          <w:trHeight w:val="204"/>
        </w:trPr>
        <w:tc>
          <w:tcPr>
            <w:tcW w:w="3260" w:type="dxa"/>
            <w:vAlign w:val="bottom"/>
            <w:tcBorders>
              <w:left w:val="single" w:sz="8" w:color="auto"/>
            </w:tcBorders>
          </w:tcPr>
          <w:p>
            <w:pPr>
              <w:ind w:left="20"/>
              <w:spacing w:after="0" w:line="204" w:lineRule="exact"/>
              <w:rPr>
                <w:sz w:val="20"/>
                <w:szCs w:val="20"/>
                <w:color w:val="auto"/>
              </w:rPr>
            </w:pPr>
            <w:r>
              <w:rPr>
                <w:rFonts w:ascii="Arial" w:cs="Arial" w:eastAsia="Arial" w:hAnsi="Arial"/>
                <w:sz w:val="18"/>
                <w:szCs w:val="18"/>
                <w:color w:val="auto"/>
              </w:rPr>
              <w:t>​ Douglas Carr</w:t>
            </w:r>
          </w:p>
        </w:tc>
        <w:tc>
          <w:tcPr>
            <w:tcW w:w="4540" w:type="dxa"/>
            <w:vAlign w:val="bottom"/>
          </w:tcPr>
          <w:p>
            <w:pPr>
              <w:ind w:left="700"/>
              <w:spacing w:after="0" w:line="204" w:lineRule="exact"/>
              <w:rPr>
                <w:sz w:val="20"/>
                <w:szCs w:val="20"/>
                <w:color w:val="auto"/>
              </w:rPr>
            </w:pPr>
            <w:r>
              <w:rPr>
                <w:rFonts w:ascii="Arial" w:cs="Arial" w:eastAsia="Arial" w:hAnsi="Arial"/>
                <w:sz w:val="18"/>
                <w:szCs w:val="18"/>
                <w:color w:val="auto"/>
              </w:rPr>
              <w:t>​ ​ Principal Finance Officer,</w:t>
            </w:r>
          </w:p>
        </w:tc>
        <w:tc>
          <w:tcPr>
            <w:tcW w:w="460" w:type="dxa"/>
            <w:vAlign w:val="bottom"/>
          </w:tcPr>
          <w:p>
            <w:pPr>
              <w:ind w:left="200"/>
              <w:spacing w:after="0" w:line="204" w:lineRule="exact"/>
              <w:rPr>
                <w:sz w:val="20"/>
                <w:szCs w:val="20"/>
                <w:color w:val="auto"/>
              </w:rPr>
            </w:pPr>
            <w:r>
              <w:rPr>
                <w:rFonts w:ascii="Arial" w:cs="Arial" w:eastAsia="Arial" w:hAnsi="Arial"/>
                <w:sz w:val="18"/>
                <w:szCs w:val="18"/>
                <w:color w:val="auto"/>
              </w:rPr>
              <w:t>​ ​</w:t>
            </w:r>
          </w:p>
        </w:tc>
        <w:tc>
          <w:tcPr>
            <w:tcW w:w="540" w:type="dxa"/>
            <w:vAlign w:val="bottom"/>
          </w:tcPr>
          <w:p>
            <w:pPr>
              <w:jc w:val="center"/>
              <w:spacing w:after="0" w:line="204" w:lineRule="exact"/>
              <w:rPr>
                <w:sz w:val="20"/>
                <w:szCs w:val="20"/>
                <w:color w:val="auto"/>
              </w:rPr>
            </w:pPr>
            <w:r>
              <w:rPr>
                <w:rFonts w:ascii="Arial" w:cs="Arial" w:eastAsia="Arial" w:hAnsi="Arial"/>
                <w:sz w:val="18"/>
                <w:szCs w:val="18"/>
                <w:color w:val="auto"/>
                <w:w w:val="99"/>
              </w:rPr>
              <w:t>63</w:t>
            </w:r>
          </w:p>
        </w:tc>
        <w:tc>
          <w:tcPr>
            <w:tcW w:w="200" w:type="dxa"/>
            <w:vAlign w:val="bottom"/>
            <w:tcBorders>
              <w:right w:val="single" w:sz="8" w:color="auto"/>
            </w:tcBorders>
          </w:tcPr>
          <w:p>
            <w:pPr>
              <w:ind w:left="60"/>
              <w:spacing w:after="0" w:line="204" w:lineRule="exact"/>
              <w:rPr>
                <w:sz w:val="20"/>
                <w:szCs w:val="20"/>
                <w:color w:val="auto"/>
              </w:rPr>
            </w:pPr>
            <w:r>
              <w:rPr>
                <w:rFonts w:ascii="Arial" w:cs="Arial" w:eastAsia="Arial" w:hAnsi="Arial"/>
                <w:sz w:val="18"/>
                <w:szCs w:val="18"/>
                <w:color w:val="auto"/>
              </w:rPr>
              <w:t>​</w:t>
            </w:r>
          </w:p>
        </w:tc>
      </w:tr>
      <w:tr>
        <w:trPr>
          <w:trHeight w:val="239"/>
        </w:trPr>
        <w:tc>
          <w:tcPr>
            <w:tcW w:w="3260" w:type="dxa"/>
            <w:vAlign w:val="bottom"/>
            <w:tcBorders>
              <w:left w:val="single" w:sz="8" w:color="auto"/>
            </w:tcBorders>
          </w:tcPr>
          <w:p>
            <w:pPr>
              <w:spacing w:after="0"/>
              <w:rPr>
                <w:sz w:val="20"/>
                <w:szCs w:val="20"/>
                <w:color w:val="auto"/>
              </w:rPr>
            </w:pPr>
          </w:p>
        </w:tc>
        <w:tc>
          <w:tcPr>
            <w:tcW w:w="4540" w:type="dxa"/>
            <w:vAlign w:val="bottom"/>
          </w:tcPr>
          <w:p>
            <w:pPr>
              <w:ind w:left="900"/>
              <w:spacing w:after="0"/>
              <w:rPr>
                <w:sz w:val="20"/>
                <w:szCs w:val="20"/>
                <w:color w:val="auto"/>
              </w:rPr>
            </w:pPr>
            <w:r>
              <w:rPr>
                <w:rFonts w:ascii="Arial" w:cs="Arial" w:eastAsia="Arial" w:hAnsi="Arial"/>
                <w:sz w:val="18"/>
                <w:szCs w:val="18"/>
                <w:color w:val="auto"/>
              </w:rPr>
              <w:t>Senior Vice President of Finance</w:t>
            </w: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r>
      <w:tr>
        <w:trPr>
          <w:trHeight w:val="36"/>
        </w:trPr>
        <w:tc>
          <w:tcPr>
            <w:tcW w:w="3260" w:type="dxa"/>
            <w:vAlign w:val="bottom"/>
            <w:tcBorders>
              <w:left w:val="single" w:sz="8" w:color="auto"/>
              <w:bottom w:val="single" w:sz="8" w:color="auto"/>
            </w:tcBorders>
          </w:tcPr>
          <w:p>
            <w:pPr>
              <w:spacing w:after="0"/>
              <w:rPr>
                <w:sz w:val="3"/>
                <w:szCs w:val="3"/>
                <w:color w:val="auto"/>
              </w:rPr>
            </w:pPr>
          </w:p>
        </w:tc>
        <w:tc>
          <w:tcPr>
            <w:tcW w:w="45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r>
    </w:tbl>
    <w:p>
      <w:pPr>
        <w:spacing w:after="0" w:line="118" w:lineRule="exact"/>
        <w:rPr>
          <w:sz w:val="20"/>
          <w:szCs w:val="20"/>
          <w:color w:val="auto"/>
        </w:rPr>
      </w:pPr>
    </w:p>
    <w:p>
      <w:pPr>
        <w:jc w:val="both"/>
        <w:ind w:left="880" w:right="39"/>
        <w:spacing w:after="0" w:line="269" w:lineRule="auto"/>
        <w:rPr>
          <w:sz w:val="20"/>
          <w:szCs w:val="20"/>
          <w:color w:val="auto"/>
        </w:rPr>
      </w:pPr>
      <w:r>
        <w:rPr>
          <w:rFonts w:ascii="Arial" w:cs="Arial" w:eastAsia="Arial" w:hAnsi="Arial"/>
          <w:sz w:val="18"/>
          <w:szCs w:val="18"/>
          <w:b w:val="1"/>
          <w:bCs w:val="1"/>
          <w:i w:val="1"/>
          <w:iCs w:val="1"/>
          <w:color w:val="auto"/>
        </w:rPr>
        <w:t xml:space="preserve">Brent Pfeiffenberger, Pharm.D. </w:t>
      </w:r>
      <w:r>
        <w:rPr>
          <w:rFonts w:ascii="Arial" w:cs="Arial" w:eastAsia="Arial" w:hAnsi="Arial"/>
          <w:sz w:val="18"/>
          <w:szCs w:val="18"/>
          <w:i w:val="1"/>
          <w:iCs w:val="1"/>
          <w:color w:val="auto"/>
        </w:rPr>
        <w:t>For biographical information for Dr. Pfeiffenberger, see “Board of Directors —</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Director Nominees.”</w:t>
      </w:r>
    </w:p>
    <w:p>
      <w:pPr>
        <w:spacing w:after="0" w:line="34" w:lineRule="exact"/>
        <w:rPr>
          <w:sz w:val="20"/>
          <w:szCs w:val="20"/>
          <w:color w:val="auto"/>
        </w:rPr>
      </w:pPr>
    </w:p>
    <w:p>
      <w:pPr>
        <w:jc w:val="both"/>
        <w:ind w:left="880" w:right="19"/>
        <w:spacing w:after="0" w:line="241" w:lineRule="auto"/>
        <w:rPr>
          <w:sz w:val="20"/>
          <w:szCs w:val="20"/>
          <w:color w:val="auto"/>
        </w:rPr>
      </w:pPr>
      <w:r>
        <w:rPr>
          <w:rFonts w:ascii="Arial" w:cs="Arial" w:eastAsia="Arial" w:hAnsi="Arial"/>
          <w:sz w:val="18"/>
          <w:szCs w:val="18"/>
          <w:b w:val="1"/>
          <w:bCs w:val="1"/>
          <w:i w:val="1"/>
          <w:iCs w:val="1"/>
          <w:color w:val="auto"/>
        </w:rPr>
        <w:t xml:space="preserve">Gregory Russotti, Ph.D. </w:t>
      </w:r>
      <w:r>
        <w:rPr>
          <w:rFonts w:ascii="Arial" w:cs="Arial" w:eastAsia="Arial" w:hAnsi="Arial"/>
          <w:sz w:val="18"/>
          <w:szCs w:val="18"/>
          <w:color w:val="auto"/>
        </w:rPr>
        <w:t>has served as our Chief Technology and Manufacturing Officer since December 2023.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this, Dr. Russotti served as our Interim President and Chief Executive Officer from April 2023 until December 2023. Previously, Dr. Russotti served as our Chief Technology Officer since January 2020. Prior to joining us, Dr. Russotti held multiple positions at Celgene Corporation, or Celgene, a Bristol-Myers company, from 2016 through 2019, including, Vice President of Cell Therapy Technical Development from January 2018 to November 2019 and Vice President of Cell Therapy Development and Operations from October 2016 to December 2017. Dr. Russotti served as Vice President of Technical Operations of Celgene Cellular Therapeutics from May 2013 to October 2016, Executive Director of Technical Operations of Celgene Cellular Therapeutics from June 2011 to May 2013, as Senior Director of Process Development from January 2008 to June 2011 and as Director of Process Development from November 2006 to January 2008. Prior to this, Dr. Russotti served as Senior Investigator at Merck &amp; Co., where he oversaw process development of vaccines and biologics from December 2004 to November 2006, and various positions of increasing responsibility dating back to 1991, when he began his career at Merck. Dr. Russotti serves as an Executive Committee member of the National Science Foundation-funded Center for the Manufacturing of Advanced Therapeutics at Georgia Tech and serves on the scientific advisory board for Dynamk Capital. Dr. Russotti holds a number of honors including the ECI and NIIMBL Cell Therapy Manufacturing Award for leadership in cell therapy process development, scale-up, and manufacturing in 2019 as well as receiving the Rutgers Engineering School Distinguished Alumnus Medal of Excellence in Education and Research in 2013 and the John W. Jackson Leadership Award in 2011, an award that was given to one leader at Celgene each year. Dr. Russotti is also a Fellow with the American Institute for Medical and Biological Engineering, or AIMBE. Dr. Russotti holds both a B.S. and M.S. in chemical engineering from Rensselaer Polytechnic Institute. He received his Ph.D. in biochemical and chemical engineering from Rutgers University.</w:t>
      </w:r>
    </w:p>
    <w:p>
      <w:pPr>
        <w:spacing w:after="0" w:line="71" w:lineRule="exact"/>
        <w:rPr>
          <w:sz w:val="20"/>
          <w:szCs w:val="20"/>
          <w:color w:val="auto"/>
        </w:rPr>
      </w:pPr>
    </w:p>
    <w:p>
      <w:pPr>
        <w:jc w:val="both"/>
        <w:ind w:left="880" w:right="19"/>
        <w:spacing w:after="0" w:line="244" w:lineRule="auto"/>
        <w:rPr>
          <w:sz w:val="20"/>
          <w:szCs w:val="20"/>
          <w:color w:val="auto"/>
        </w:rPr>
      </w:pPr>
      <w:r>
        <w:rPr>
          <w:rFonts w:ascii="Arial" w:cs="Arial" w:eastAsia="Arial" w:hAnsi="Arial"/>
          <w:sz w:val="18"/>
          <w:szCs w:val="18"/>
          <w:b w:val="1"/>
          <w:bCs w:val="1"/>
          <w:i w:val="1"/>
          <w:iCs w:val="1"/>
          <w:color w:val="auto"/>
        </w:rPr>
        <w:t xml:space="preserve">Chad Cowan, Ph.D. </w:t>
      </w:r>
      <w:r>
        <w:rPr>
          <w:rFonts w:ascii="Arial" w:cs="Arial" w:eastAsia="Arial" w:hAnsi="Arial"/>
          <w:sz w:val="18"/>
          <w:szCs w:val="18"/>
          <w:color w:val="auto"/>
        </w:rPr>
        <w:t>has served as our Chief Scientific Officer since October 2024. Previously, Dr. Cowan served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Chief Executive Officer of Clade Therapeutics, Inc., until it was acquired by us in April 2024. From April 2024 until October 2024, Dr. Cowan served as an Executive Scientific Advisor to us. Prior to this, Dr. Cowan founded and served as Chief Scientific Officer of Sana Biotechnology, Inc., from July 2018 until October 2019. Dr. Cowan co-founded and served as Head of Research at CRISPR Therapeutics, Inc., from May 2015 until May 2017. Dr. Cowan has served on the board of directors of Somite AI since September 2024. From May 2006 until May 2020, Dr. Cowan served as an associate professor at Harvard University and Harvard Medical School. Dr. Cowan received his B.A. and B.S., with honors, from the University of Kansas. He received his Ph.D. from the University of Texas Southwestern at Dallas and subsequently completed a Damon Runyon postdoctoral fellowship at Harvard University.</w:t>
      </w:r>
    </w:p>
    <w:p>
      <w:pPr>
        <w:spacing w:after="0" w:line="56" w:lineRule="exact"/>
        <w:rPr>
          <w:sz w:val="20"/>
          <w:szCs w:val="20"/>
          <w:color w:val="auto"/>
        </w:rPr>
      </w:pPr>
    </w:p>
    <w:p>
      <w:pPr>
        <w:jc w:val="both"/>
        <w:ind w:left="880" w:right="19"/>
        <w:spacing w:after="0" w:line="243" w:lineRule="auto"/>
        <w:rPr>
          <w:sz w:val="20"/>
          <w:szCs w:val="20"/>
          <w:color w:val="auto"/>
        </w:rPr>
      </w:pPr>
      <w:r>
        <w:rPr>
          <w:rFonts w:ascii="Arial" w:cs="Arial" w:eastAsia="Arial" w:hAnsi="Arial"/>
          <w:sz w:val="18"/>
          <w:szCs w:val="18"/>
          <w:b w:val="1"/>
          <w:bCs w:val="1"/>
          <w:i w:val="1"/>
          <w:iCs w:val="1"/>
          <w:color w:val="auto"/>
        </w:rPr>
        <w:t xml:space="preserve">Douglas Carr </w:t>
      </w:r>
      <w:r>
        <w:rPr>
          <w:rFonts w:ascii="Arial" w:cs="Arial" w:eastAsia="Arial" w:hAnsi="Arial"/>
          <w:sz w:val="18"/>
          <w:szCs w:val="18"/>
          <w:color w:val="auto"/>
        </w:rPr>
        <w:t>has served as our Principal Finance Officer since July 2025 and has been our Senior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of Finance since October 2018. Previously, Mr. Carr was Vice President of Finance at Novira Therapeutics, Inc., from July 2014 to July 2018, where he directed all financial and fiscal management aspects of the company’s operations and participated in the execution of the sale of Novira to Johnson &amp; Johnson Services Inc. (NASDAQ: JNJ). From November 2008 to July 2014, Mr. Carr was Financial Controller for Omthera Pharmaceuticals, Inc., where he established the finance and accounting infrastructure and led the company through an IPO and subsequent sale to AstraZeneca PLC (NASDAQ: AZN) in 2013. Additionally, he held various financial leadership positions at Merck &amp; Co. (NASDAQ: MRK) from January 2006 to November 2008, and started his career at PricewaterhouseCoopers LLP. Mr. Carr has served on the Board of Directors at Heritage Conservancy in Doylestown, Pennsylvania since January 2018. Mr. Carr holds a B.A. from Rutgers University and is a Certified Public Accountant in the State of New Jersey.</w:t>
      </w:r>
    </w:p>
    <w:p>
      <w:pPr>
        <w:spacing w:after="0" w:line="300"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140970</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​EXECUTIVE COMPENSATION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39"/>
        <w:spacing w:after="0" w:line="262" w:lineRule="auto"/>
        <w:rPr>
          <w:sz w:val="20"/>
          <w:szCs w:val="20"/>
          <w:color w:val="auto"/>
        </w:rPr>
      </w:pPr>
      <w:r>
        <w:rPr>
          <w:rFonts w:ascii="Arial" w:cs="Arial" w:eastAsia="Arial" w:hAnsi="Arial"/>
          <w:sz w:val="18"/>
          <w:szCs w:val="18"/>
          <w:color w:val="auto"/>
        </w:rPr>
        <w:t>This section discusses the material components of the executive compensation program for our named executive officers, or NEOs. In 2025, our NEOs were Brent Pfeiffenberger, Pharm.D., our President, Chief Executive Officer and Chairman, Gregory Russotti, Ph.D., our Chief Technology and Manufacturing Officer, Adrienne Farid, Ph.D., our Chief Development Officer and Chad Cowan, Ph.D., our Chief Scientific Officer.</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SUMMARY COMPENSATION TABLE</w:t>
      </w:r>
    </w:p>
    <w:p>
      <w:pPr>
        <w:spacing w:after="0" w:line="144" w:lineRule="exact"/>
        <w:rPr>
          <w:sz w:val="20"/>
          <w:szCs w:val="20"/>
          <w:color w:val="auto"/>
        </w:rPr>
      </w:pPr>
    </w:p>
    <w:p>
      <w:pPr>
        <w:jc w:val="both"/>
        <w:ind w:left="880" w:right="39"/>
        <w:spacing w:after="0" w:line="287" w:lineRule="auto"/>
        <w:rPr>
          <w:sz w:val="20"/>
          <w:szCs w:val="20"/>
          <w:color w:val="auto"/>
        </w:rPr>
      </w:pPr>
      <w:r>
        <w:rPr>
          <w:rFonts w:ascii="Arial" w:cs="Arial" w:eastAsia="Arial" w:hAnsi="Arial"/>
          <w:sz w:val="18"/>
          <w:szCs w:val="18"/>
          <w:color w:val="auto"/>
        </w:rPr>
        <w:t>The following table sets forth information concerning the compensation of our 2025 NEOs during the fiscal years ended December 31, 2025 and December 31, 2024:</w:t>
      </w:r>
    </w:p>
    <w:p>
      <w:pPr>
        <w:spacing w:after="0" w:line="125" w:lineRule="exact"/>
        <w:rPr>
          <w:sz w:val="20"/>
          <w:szCs w:val="20"/>
          <w:color w:val="auto"/>
        </w:rPr>
      </w:pPr>
    </w:p>
    <w:tbl>
      <w:tblPr>
        <w:tblLayout w:type="fixed"/>
        <w:tblInd w:w="870" w:type="dxa"/>
        <w:tblCellMar>
          <w:top w:w="0" w:type="dxa"/>
          <w:left w:w="0" w:type="dxa"/>
          <w:bottom w:w="0" w:type="dxa"/>
          <w:right w:w="0" w:type="dxa"/>
        </w:tblCellMar>
      </w:tblPr>
      <w:tr>
        <w:trPr>
          <w:trHeight w:val="225"/>
        </w:trPr>
        <w:tc>
          <w:tcPr>
            <w:tcW w:w="2020" w:type="dxa"/>
            <w:vAlign w:val="bottom"/>
            <w:tcBorders>
              <w:top w:val="single" w:sz="8" w:color="auto"/>
              <w:left w:val="single" w:sz="8" w:color="auto"/>
            </w:tcBorders>
            <w:vMerge w:val="restart"/>
            <w:shd w:val="clear" w:color="auto" w:fill="148CD9"/>
          </w:tcPr>
          <w:p>
            <w:pPr>
              <w:ind w:left="140"/>
              <w:spacing w:after="0"/>
              <w:rPr>
                <w:sz w:val="20"/>
                <w:szCs w:val="20"/>
                <w:color w:val="auto"/>
              </w:rPr>
            </w:pPr>
            <w:r>
              <w:rPr>
                <w:rFonts w:ascii="Arial" w:cs="Arial" w:eastAsia="Arial" w:hAnsi="Arial"/>
                <w:sz w:val="13"/>
                <w:szCs w:val="13"/>
                <w:b w:val="1"/>
                <w:bCs w:val="1"/>
                <w:color w:val="FFFFFF"/>
              </w:rPr>
              <w:t>NAME AND</w:t>
            </w:r>
          </w:p>
        </w:tc>
        <w:tc>
          <w:tcPr>
            <w:tcW w:w="120" w:type="dxa"/>
            <w:vAlign w:val="bottom"/>
            <w:tcBorders>
              <w:top w:val="single" w:sz="8" w:color="auto"/>
            </w:tcBorders>
            <w:shd w:val="clear" w:color="auto" w:fill="148CD9"/>
          </w:tcPr>
          <w:p>
            <w:pPr>
              <w:spacing w:after="0"/>
              <w:rPr>
                <w:sz w:val="19"/>
                <w:szCs w:val="19"/>
                <w:color w:val="auto"/>
              </w:rPr>
            </w:pPr>
          </w:p>
        </w:tc>
        <w:tc>
          <w:tcPr>
            <w:tcW w:w="600" w:type="dxa"/>
            <w:vAlign w:val="bottom"/>
            <w:tcBorders>
              <w:top w:val="single" w:sz="8" w:color="auto"/>
            </w:tcBorders>
            <w:shd w:val="clear" w:color="auto" w:fill="148CD9"/>
          </w:tcPr>
          <w:p>
            <w:pPr>
              <w:spacing w:after="0"/>
              <w:rPr>
                <w:sz w:val="19"/>
                <w:szCs w:val="19"/>
                <w:color w:val="auto"/>
              </w:rPr>
            </w:pPr>
          </w:p>
        </w:tc>
        <w:tc>
          <w:tcPr>
            <w:tcW w:w="540" w:type="dxa"/>
            <w:vAlign w:val="bottom"/>
            <w:tcBorders>
              <w:top w:val="single" w:sz="8" w:color="auto"/>
            </w:tcBorders>
            <w:shd w:val="clear" w:color="auto" w:fill="148CD9"/>
          </w:tcPr>
          <w:p>
            <w:pPr>
              <w:spacing w:after="0"/>
              <w:rPr>
                <w:sz w:val="19"/>
                <w:szCs w:val="19"/>
                <w:color w:val="auto"/>
              </w:rPr>
            </w:pPr>
          </w:p>
        </w:tc>
        <w:tc>
          <w:tcPr>
            <w:tcW w:w="160" w:type="dxa"/>
            <w:vAlign w:val="bottom"/>
            <w:tcBorders>
              <w:top w:val="single" w:sz="8" w:color="auto"/>
            </w:tcBorders>
            <w:shd w:val="clear" w:color="auto" w:fill="148CD9"/>
          </w:tcPr>
          <w:p>
            <w:pPr>
              <w:spacing w:after="0"/>
              <w:rPr>
                <w:sz w:val="19"/>
                <w:szCs w:val="19"/>
                <w:color w:val="auto"/>
              </w:rPr>
            </w:pPr>
          </w:p>
        </w:tc>
        <w:tc>
          <w:tcPr>
            <w:tcW w:w="720" w:type="dxa"/>
            <w:vAlign w:val="bottom"/>
            <w:tcBorders>
              <w:top w:val="single" w:sz="8" w:color="auto"/>
            </w:tcBorders>
            <w:shd w:val="clear" w:color="auto" w:fill="148CD9"/>
          </w:tcPr>
          <w:p>
            <w:pPr>
              <w:spacing w:after="0"/>
              <w:rPr>
                <w:sz w:val="19"/>
                <w:szCs w:val="19"/>
                <w:color w:val="auto"/>
              </w:rPr>
            </w:pPr>
          </w:p>
        </w:tc>
        <w:tc>
          <w:tcPr>
            <w:tcW w:w="160" w:type="dxa"/>
            <w:vAlign w:val="bottom"/>
            <w:tcBorders>
              <w:top w:val="single" w:sz="8" w:color="auto"/>
            </w:tcBorders>
            <w:shd w:val="clear" w:color="auto" w:fill="148CD9"/>
          </w:tcPr>
          <w:p>
            <w:pPr>
              <w:spacing w:after="0"/>
              <w:rPr>
                <w:sz w:val="19"/>
                <w:szCs w:val="19"/>
                <w:color w:val="auto"/>
              </w:rPr>
            </w:pPr>
          </w:p>
        </w:tc>
        <w:tc>
          <w:tcPr>
            <w:tcW w:w="600" w:type="dxa"/>
            <w:vAlign w:val="bottom"/>
            <w:tcBorders>
              <w:top w:val="single" w:sz="8" w:color="auto"/>
            </w:tcBorders>
            <w:vMerge w:val="restart"/>
            <w:shd w:val="clear" w:color="auto" w:fill="148CD9"/>
          </w:tcPr>
          <w:p>
            <w:pPr>
              <w:ind w:left="60"/>
              <w:spacing w:after="0"/>
              <w:rPr>
                <w:sz w:val="20"/>
                <w:szCs w:val="20"/>
                <w:color w:val="auto"/>
              </w:rPr>
            </w:pPr>
            <w:r>
              <w:rPr>
                <w:rFonts w:ascii="Arial" w:cs="Arial" w:eastAsia="Arial" w:hAnsi="Arial"/>
                <w:sz w:val="13"/>
                <w:szCs w:val="13"/>
                <w:b w:val="1"/>
                <w:bCs w:val="1"/>
                <w:color w:val="FFFFFF"/>
              </w:rPr>
              <w:t>STOCK</w:t>
            </w:r>
          </w:p>
        </w:tc>
        <w:tc>
          <w:tcPr>
            <w:tcW w:w="760" w:type="dxa"/>
            <w:vAlign w:val="bottom"/>
            <w:tcBorders>
              <w:top w:val="single" w:sz="8" w:color="auto"/>
            </w:tcBorders>
            <w:vMerge w:val="restart"/>
            <w:shd w:val="clear" w:color="auto" w:fill="148CD9"/>
          </w:tcPr>
          <w:p>
            <w:pPr>
              <w:ind w:left="200"/>
              <w:spacing w:after="0"/>
              <w:rPr>
                <w:sz w:val="20"/>
                <w:szCs w:val="20"/>
                <w:color w:val="auto"/>
              </w:rPr>
            </w:pPr>
            <w:r>
              <w:rPr>
                <w:rFonts w:ascii="Arial" w:cs="Arial" w:eastAsia="Arial" w:hAnsi="Arial"/>
                <w:sz w:val="13"/>
                <w:szCs w:val="13"/>
                <w:b w:val="1"/>
                <w:bCs w:val="1"/>
                <w:color w:val="FFFFFF"/>
              </w:rPr>
              <w:t>OPTION</w:t>
            </w:r>
          </w:p>
        </w:tc>
        <w:tc>
          <w:tcPr>
            <w:tcW w:w="200" w:type="dxa"/>
            <w:vAlign w:val="bottom"/>
            <w:tcBorders>
              <w:top w:val="single" w:sz="8" w:color="auto"/>
            </w:tcBorders>
            <w:shd w:val="clear" w:color="auto" w:fill="148CD9"/>
          </w:tcPr>
          <w:p>
            <w:pPr>
              <w:spacing w:after="0"/>
              <w:rPr>
                <w:sz w:val="19"/>
                <w:szCs w:val="19"/>
                <w:color w:val="auto"/>
              </w:rPr>
            </w:pPr>
          </w:p>
        </w:tc>
        <w:tc>
          <w:tcPr>
            <w:tcW w:w="980" w:type="dxa"/>
            <w:vAlign w:val="bottom"/>
            <w:tcBorders>
              <w:top w:val="single" w:sz="8" w:color="auto"/>
            </w:tcBorders>
            <w:shd w:val="clear" w:color="auto" w:fill="148CD9"/>
          </w:tcPr>
          <w:p>
            <w:pPr>
              <w:jc w:val="center"/>
              <w:ind w:right="32"/>
              <w:spacing w:after="0"/>
              <w:rPr>
                <w:sz w:val="20"/>
                <w:szCs w:val="20"/>
                <w:color w:val="auto"/>
              </w:rPr>
            </w:pPr>
            <w:r>
              <w:rPr>
                <w:rFonts w:ascii="Arial" w:cs="Arial" w:eastAsia="Arial" w:hAnsi="Arial"/>
                <w:sz w:val="13"/>
                <w:szCs w:val="13"/>
                <w:b w:val="1"/>
                <w:bCs w:val="1"/>
                <w:color w:val="FFFFFF"/>
                <w:w w:val="93"/>
              </w:rPr>
              <w:t>NON-EQUITY</w:t>
            </w:r>
          </w:p>
        </w:tc>
        <w:tc>
          <w:tcPr>
            <w:tcW w:w="220" w:type="dxa"/>
            <w:vAlign w:val="bottom"/>
            <w:tcBorders>
              <w:top w:val="single" w:sz="8" w:color="auto"/>
            </w:tcBorders>
            <w:shd w:val="clear" w:color="auto" w:fill="148CD9"/>
          </w:tcPr>
          <w:p>
            <w:pPr>
              <w:spacing w:after="0"/>
              <w:rPr>
                <w:sz w:val="19"/>
                <w:szCs w:val="19"/>
                <w:color w:val="auto"/>
              </w:rPr>
            </w:pPr>
          </w:p>
        </w:tc>
        <w:tc>
          <w:tcPr>
            <w:tcW w:w="960" w:type="dxa"/>
            <w:vAlign w:val="bottom"/>
            <w:tcBorders>
              <w:top w:val="single" w:sz="8" w:color="auto"/>
            </w:tcBorders>
            <w:vMerge w:val="restart"/>
            <w:shd w:val="clear" w:color="auto" w:fill="148CD9"/>
          </w:tcPr>
          <w:p>
            <w:pPr>
              <w:ind w:left="80"/>
              <w:spacing w:after="0"/>
              <w:rPr>
                <w:sz w:val="20"/>
                <w:szCs w:val="20"/>
                <w:color w:val="auto"/>
              </w:rPr>
            </w:pPr>
            <w:r>
              <w:rPr>
                <w:rFonts w:ascii="Arial" w:cs="Arial" w:eastAsia="Arial" w:hAnsi="Arial"/>
                <w:sz w:val="13"/>
                <w:szCs w:val="13"/>
                <w:b w:val="1"/>
                <w:bCs w:val="1"/>
                <w:color w:val="FFFFFF"/>
              </w:rPr>
              <w:t>ALL OTHER</w:t>
            </w:r>
          </w:p>
        </w:tc>
        <w:tc>
          <w:tcPr>
            <w:tcW w:w="200" w:type="dxa"/>
            <w:vAlign w:val="bottom"/>
            <w:tcBorders>
              <w:top w:val="single" w:sz="8" w:color="auto"/>
            </w:tcBorders>
            <w:shd w:val="clear" w:color="auto" w:fill="148CD9"/>
          </w:tcPr>
          <w:p>
            <w:pPr>
              <w:spacing w:after="0"/>
              <w:rPr>
                <w:sz w:val="19"/>
                <w:szCs w:val="19"/>
                <w:color w:val="auto"/>
              </w:rPr>
            </w:pPr>
          </w:p>
        </w:tc>
        <w:tc>
          <w:tcPr>
            <w:tcW w:w="640" w:type="dxa"/>
            <w:vAlign w:val="bottom"/>
            <w:tcBorders>
              <w:top w:val="single" w:sz="8" w:color="auto"/>
            </w:tcBorders>
            <w:shd w:val="clear" w:color="auto" w:fill="148CD9"/>
          </w:tcPr>
          <w:p>
            <w:pPr>
              <w:spacing w:after="0"/>
              <w:rPr>
                <w:sz w:val="19"/>
                <w:szCs w:val="19"/>
                <w:color w:val="auto"/>
              </w:rPr>
            </w:pPr>
          </w:p>
        </w:tc>
        <w:tc>
          <w:tcPr>
            <w:tcW w:w="120" w:type="dxa"/>
            <w:vAlign w:val="bottom"/>
            <w:tcBorders>
              <w:top w:val="single" w:sz="8" w:color="auto"/>
              <w:right w:val="single" w:sz="8" w:color="auto"/>
            </w:tcBorders>
            <w:shd w:val="clear" w:color="auto" w:fill="148CD9"/>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20" w:type="dxa"/>
            <w:vAlign w:val="bottom"/>
            <w:tcBorders>
              <w:left w:val="single" w:sz="8" w:color="auto"/>
            </w:tcBorders>
            <w:vMerge w:val="continue"/>
            <w:shd w:val="clear" w:color="auto" w:fill="148CD9"/>
          </w:tcPr>
          <w:p>
            <w:pPr>
              <w:spacing w:after="0"/>
              <w:rPr>
                <w:sz w:val="14"/>
                <w:szCs w:val="14"/>
                <w:color w:val="auto"/>
              </w:rPr>
            </w:pPr>
          </w:p>
        </w:tc>
        <w:tc>
          <w:tcPr>
            <w:tcW w:w="720" w:type="dxa"/>
            <w:vAlign w:val="bottom"/>
            <w:gridSpan w:val="2"/>
            <w:vMerge w:val="restart"/>
            <w:shd w:val="clear" w:color="auto" w:fill="148CD9"/>
          </w:tcPr>
          <w:p>
            <w:pPr>
              <w:ind w:left="80"/>
              <w:spacing w:after="0"/>
              <w:rPr>
                <w:sz w:val="20"/>
                <w:szCs w:val="20"/>
                <w:color w:val="auto"/>
              </w:rPr>
            </w:pPr>
            <w:r>
              <w:rPr>
                <w:rFonts w:ascii="Arial" w:cs="Arial" w:eastAsia="Arial" w:hAnsi="Arial"/>
                <w:sz w:val="13"/>
                <w:szCs w:val="13"/>
                <w:b w:val="1"/>
                <w:bCs w:val="1"/>
                <w:color w:val="FFFFFF"/>
              </w:rPr>
              <w:t>​ ​YEAR ​ ​</w:t>
            </w:r>
          </w:p>
        </w:tc>
        <w:tc>
          <w:tcPr>
            <w:tcW w:w="540" w:type="dxa"/>
            <w:vAlign w:val="bottom"/>
            <w:shd w:val="clear" w:color="auto" w:fill="148CD9"/>
          </w:tcPr>
          <w:p>
            <w:pPr>
              <w:jc w:val="center"/>
              <w:spacing w:after="0"/>
              <w:rPr>
                <w:sz w:val="20"/>
                <w:szCs w:val="20"/>
                <w:color w:val="auto"/>
              </w:rPr>
            </w:pPr>
            <w:r>
              <w:rPr>
                <w:rFonts w:ascii="Arial" w:cs="Arial" w:eastAsia="Arial" w:hAnsi="Arial"/>
                <w:sz w:val="13"/>
                <w:szCs w:val="13"/>
                <w:b w:val="1"/>
                <w:bCs w:val="1"/>
                <w:color w:val="FFFFFF"/>
                <w:w w:val="93"/>
              </w:rPr>
              <w:t>SALARY</w:t>
            </w:r>
          </w:p>
        </w:tc>
        <w:tc>
          <w:tcPr>
            <w:tcW w:w="160" w:type="dxa"/>
            <w:vAlign w:val="bottom"/>
            <w:vMerge w:val="restart"/>
            <w:shd w:val="clear" w:color="auto" w:fill="148CD9"/>
          </w:tcPr>
          <w:p>
            <w:pPr>
              <w:jc w:val="right"/>
              <w:spacing w:after="0"/>
              <w:rPr>
                <w:sz w:val="20"/>
                <w:szCs w:val="20"/>
                <w:color w:val="auto"/>
              </w:rPr>
            </w:pPr>
            <w:r>
              <w:rPr>
                <w:rFonts w:ascii="Arial" w:cs="Arial" w:eastAsia="Arial" w:hAnsi="Arial"/>
                <w:sz w:val="13"/>
                <w:szCs w:val="13"/>
                <w:b w:val="1"/>
                <w:bCs w:val="1"/>
                <w:color w:val="FFFFFF"/>
              </w:rPr>
              <w:t>​ ​</w:t>
            </w:r>
          </w:p>
        </w:tc>
        <w:tc>
          <w:tcPr>
            <w:tcW w:w="720" w:type="dxa"/>
            <w:vAlign w:val="bottom"/>
            <w:shd w:val="clear" w:color="auto" w:fill="148CD9"/>
          </w:tcPr>
          <w:p>
            <w:pPr>
              <w:ind w:left="100"/>
              <w:spacing w:after="0"/>
              <w:rPr>
                <w:sz w:val="20"/>
                <w:szCs w:val="20"/>
                <w:color w:val="auto"/>
              </w:rPr>
            </w:pPr>
            <w:r>
              <w:rPr>
                <w:rFonts w:ascii="Arial" w:cs="Arial" w:eastAsia="Arial" w:hAnsi="Arial"/>
                <w:sz w:val="13"/>
                <w:szCs w:val="13"/>
                <w:b w:val="1"/>
                <w:bCs w:val="1"/>
                <w:color w:val="FFFFFF"/>
              </w:rPr>
              <w:t>BONUS</w:t>
            </w:r>
          </w:p>
        </w:tc>
        <w:tc>
          <w:tcPr>
            <w:tcW w:w="160" w:type="dxa"/>
            <w:vAlign w:val="bottom"/>
            <w:shd w:val="clear" w:color="auto" w:fill="148CD9"/>
          </w:tcPr>
          <w:p>
            <w:pPr>
              <w:spacing w:after="0"/>
              <w:rPr>
                <w:sz w:val="14"/>
                <w:szCs w:val="14"/>
                <w:color w:val="auto"/>
              </w:rPr>
            </w:pPr>
          </w:p>
        </w:tc>
        <w:tc>
          <w:tcPr>
            <w:tcW w:w="600" w:type="dxa"/>
            <w:vAlign w:val="bottom"/>
            <w:vMerge w:val="continue"/>
            <w:shd w:val="clear" w:color="auto" w:fill="148CD9"/>
          </w:tcPr>
          <w:p>
            <w:pPr>
              <w:spacing w:after="0"/>
              <w:rPr>
                <w:sz w:val="14"/>
                <w:szCs w:val="14"/>
                <w:color w:val="auto"/>
              </w:rPr>
            </w:pPr>
          </w:p>
        </w:tc>
        <w:tc>
          <w:tcPr>
            <w:tcW w:w="760" w:type="dxa"/>
            <w:vAlign w:val="bottom"/>
            <w:vMerge w:val="continue"/>
            <w:shd w:val="clear" w:color="auto" w:fill="148CD9"/>
          </w:tcPr>
          <w:p>
            <w:pPr>
              <w:spacing w:after="0"/>
              <w:rPr>
                <w:sz w:val="14"/>
                <w:szCs w:val="14"/>
                <w:color w:val="auto"/>
              </w:rPr>
            </w:pPr>
          </w:p>
        </w:tc>
        <w:tc>
          <w:tcPr>
            <w:tcW w:w="200" w:type="dxa"/>
            <w:vAlign w:val="bottom"/>
            <w:vMerge w:val="restart"/>
            <w:shd w:val="clear" w:color="auto" w:fill="148CD9"/>
          </w:tcPr>
          <w:p>
            <w:pPr>
              <w:ind w:left="40"/>
              <w:spacing w:after="0"/>
              <w:rPr>
                <w:sz w:val="20"/>
                <w:szCs w:val="20"/>
                <w:color w:val="auto"/>
              </w:rPr>
            </w:pPr>
            <w:r>
              <w:rPr>
                <w:rFonts w:ascii="Arial" w:cs="Arial" w:eastAsia="Arial" w:hAnsi="Arial"/>
                <w:sz w:val="13"/>
                <w:szCs w:val="13"/>
                <w:b w:val="1"/>
                <w:bCs w:val="1"/>
                <w:color w:val="FFFFFF"/>
              </w:rPr>
              <w:t>​ ​</w:t>
            </w:r>
          </w:p>
        </w:tc>
        <w:tc>
          <w:tcPr>
            <w:tcW w:w="980" w:type="dxa"/>
            <w:vAlign w:val="bottom"/>
            <w:shd w:val="clear" w:color="auto" w:fill="148CD9"/>
          </w:tcPr>
          <w:p>
            <w:pPr>
              <w:jc w:val="center"/>
              <w:ind w:right="52"/>
              <w:spacing w:after="0"/>
              <w:rPr>
                <w:sz w:val="20"/>
                <w:szCs w:val="20"/>
                <w:color w:val="auto"/>
              </w:rPr>
            </w:pPr>
            <w:r>
              <w:rPr>
                <w:rFonts w:ascii="Arial" w:cs="Arial" w:eastAsia="Arial" w:hAnsi="Arial"/>
                <w:sz w:val="13"/>
                <w:szCs w:val="13"/>
                <w:b w:val="1"/>
                <w:bCs w:val="1"/>
                <w:color w:val="FFFFFF"/>
                <w:w w:val="95"/>
              </w:rPr>
              <w:t>INCENTIVE</w:t>
            </w:r>
          </w:p>
        </w:tc>
        <w:tc>
          <w:tcPr>
            <w:tcW w:w="220" w:type="dxa"/>
            <w:vAlign w:val="bottom"/>
            <w:shd w:val="clear" w:color="auto" w:fill="148CD9"/>
          </w:tcPr>
          <w:p>
            <w:pPr>
              <w:spacing w:after="0"/>
              <w:rPr>
                <w:sz w:val="14"/>
                <w:szCs w:val="14"/>
                <w:color w:val="auto"/>
              </w:rPr>
            </w:pPr>
          </w:p>
        </w:tc>
        <w:tc>
          <w:tcPr>
            <w:tcW w:w="960" w:type="dxa"/>
            <w:vAlign w:val="bottom"/>
            <w:vMerge w:val="continue"/>
            <w:shd w:val="clear" w:color="auto" w:fill="148CD9"/>
          </w:tcPr>
          <w:p>
            <w:pPr>
              <w:spacing w:after="0"/>
              <w:rPr>
                <w:sz w:val="14"/>
                <w:szCs w:val="14"/>
                <w:color w:val="auto"/>
              </w:rPr>
            </w:pPr>
          </w:p>
        </w:tc>
        <w:tc>
          <w:tcPr>
            <w:tcW w:w="200" w:type="dxa"/>
            <w:vAlign w:val="bottom"/>
            <w:vMerge w:val="restart"/>
            <w:shd w:val="clear" w:color="auto" w:fill="148CD9"/>
          </w:tcPr>
          <w:p>
            <w:pPr>
              <w:ind w:left="60"/>
              <w:spacing w:after="0"/>
              <w:rPr>
                <w:sz w:val="20"/>
                <w:szCs w:val="20"/>
                <w:color w:val="auto"/>
              </w:rPr>
            </w:pPr>
            <w:r>
              <w:rPr>
                <w:rFonts w:ascii="Arial" w:cs="Arial" w:eastAsia="Arial" w:hAnsi="Arial"/>
                <w:sz w:val="13"/>
                <w:szCs w:val="13"/>
                <w:b w:val="1"/>
                <w:bCs w:val="1"/>
                <w:color w:val="FFFFFF"/>
              </w:rPr>
              <w:t>​ ​</w:t>
            </w:r>
          </w:p>
        </w:tc>
        <w:tc>
          <w:tcPr>
            <w:tcW w:w="640" w:type="dxa"/>
            <w:vAlign w:val="bottom"/>
            <w:shd w:val="clear" w:color="auto" w:fill="148CD9"/>
          </w:tcPr>
          <w:p>
            <w:pPr>
              <w:ind w:left="80"/>
              <w:spacing w:after="0"/>
              <w:rPr>
                <w:sz w:val="20"/>
                <w:szCs w:val="20"/>
                <w:color w:val="auto"/>
              </w:rPr>
            </w:pPr>
            <w:r>
              <w:rPr>
                <w:rFonts w:ascii="Arial" w:cs="Arial" w:eastAsia="Arial" w:hAnsi="Arial"/>
                <w:sz w:val="13"/>
                <w:szCs w:val="13"/>
                <w:b w:val="1"/>
                <w:bCs w:val="1"/>
                <w:color w:val="FFFFFF"/>
              </w:rPr>
              <w:t>TOTAL</w:t>
            </w:r>
          </w:p>
        </w:tc>
        <w:tc>
          <w:tcPr>
            <w:tcW w:w="120" w:type="dxa"/>
            <w:vAlign w:val="bottom"/>
            <w:tcBorders>
              <w:right w:val="single" w:sz="8" w:color="auto"/>
            </w:tcBorders>
            <w:vMerge w:val="restart"/>
            <w:shd w:val="clear" w:color="auto" w:fill="148CD9"/>
          </w:tcPr>
          <w:p>
            <w:pPr>
              <w:ind w:left="40"/>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08"/>
        </w:trPr>
        <w:tc>
          <w:tcPr>
            <w:tcW w:w="2020" w:type="dxa"/>
            <w:vAlign w:val="bottom"/>
            <w:tcBorders>
              <w:left w:val="single" w:sz="8" w:color="auto"/>
            </w:tcBorders>
            <w:shd w:val="clear" w:color="auto" w:fill="148CD9"/>
          </w:tcPr>
          <w:p>
            <w:pPr>
              <w:ind w:left="80"/>
              <w:spacing w:after="0" w:line="108" w:lineRule="exact"/>
              <w:rPr>
                <w:sz w:val="20"/>
                <w:szCs w:val="20"/>
                <w:color w:val="auto"/>
              </w:rPr>
            </w:pPr>
            <w:r>
              <w:rPr>
                <w:rFonts w:ascii="Arial" w:cs="Arial" w:eastAsia="Arial" w:hAnsi="Arial"/>
                <w:sz w:val="12"/>
                <w:szCs w:val="12"/>
                <w:b w:val="1"/>
                <w:bCs w:val="1"/>
                <w:color w:val="FFFFFF"/>
              </w:rPr>
              <w:t>​ PRINCIPAL</w:t>
            </w:r>
          </w:p>
        </w:tc>
        <w:tc>
          <w:tcPr>
            <w:tcW w:w="720" w:type="dxa"/>
            <w:vAlign w:val="bottom"/>
            <w:gridSpan w:val="2"/>
            <w:vMerge w:val="continue"/>
            <w:shd w:val="clear" w:color="auto" w:fill="148CD9"/>
          </w:tcPr>
          <w:p>
            <w:pPr>
              <w:spacing w:after="0"/>
              <w:rPr>
                <w:sz w:val="9"/>
                <w:szCs w:val="9"/>
                <w:color w:val="auto"/>
              </w:rPr>
            </w:pPr>
          </w:p>
        </w:tc>
        <w:tc>
          <w:tcPr>
            <w:tcW w:w="540" w:type="dxa"/>
            <w:vAlign w:val="bottom"/>
            <w:shd w:val="clear" w:color="auto" w:fill="148CD9"/>
          </w:tcPr>
          <w:p>
            <w:pPr>
              <w:jc w:val="right"/>
              <w:ind w:right="140"/>
              <w:spacing w:after="0" w:line="108" w:lineRule="exact"/>
              <w:rPr>
                <w:sz w:val="20"/>
                <w:szCs w:val="20"/>
                <w:color w:val="auto"/>
              </w:rPr>
            </w:pPr>
            <w:r>
              <w:rPr>
                <w:rFonts w:ascii="Arial" w:cs="Arial" w:eastAsia="Arial" w:hAnsi="Arial"/>
                <w:sz w:val="12"/>
                <w:szCs w:val="12"/>
                <w:b w:val="1"/>
                <w:bCs w:val="1"/>
                <w:color w:val="FFFFFF"/>
              </w:rPr>
              <w:t>($)</w:t>
            </w:r>
          </w:p>
        </w:tc>
        <w:tc>
          <w:tcPr>
            <w:tcW w:w="160" w:type="dxa"/>
            <w:vAlign w:val="bottom"/>
            <w:vMerge w:val="continue"/>
            <w:shd w:val="clear" w:color="auto" w:fill="148CD9"/>
          </w:tcPr>
          <w:p>
            <w:pPr>
              <w:spacing w:after="0"/>
              <w:rPr>
                <w:sz w:val="9"/>
                <w:szCs w:val="9"/>
                <w:color w:val="auto"/>
              </w:rPr>
            </w:pPr>
          </w:p>
        </w:tc>
        <w:tc>
          <w:tcPr>
            <w:tcW w:w="720" w:type="dxa"/>
            <w:vAlign w:val="bottom"/>
            <w:shd w:val="clear" w:color="auto" w:fill="148CD9"/>
          </w:tcPr>
          <w:p>
            <w:pPr>
              <w:jc w:val="center"/>
              <w:spacing w:after="0" w:line="108" w:lineRule="exact"/>
              <w:rPr>
                <w:sz w:val="20"/>
                <w:szCs w:val="20"/>
                <w:color w:val="auto"/>
              </w:rPr>
            </w:pPr>
            <w:r>
              <w:rPr>
                <w:rFonts w:ascii="Arial" w:cs="Arial" w:eastAsia="Arial" w:hAnsi="Arial"/>
                <w:sz w:val="12"/>
                <w:szCs w:val="12"/>
                <w:b w:val="1"/>
                <w:bCs w:val="1"/>
                <w:color w:val="FFFFFF"/>
              </w:rPr>
              <w:t>($)</w:t>
            </w:r>
          </w:p>
        </w:tc>
        <w:tc>
          <w:tcPr>
            <w:tcW w:w="760" w:type="dxa"/>
            <w:vAlign w:val="bottom"/>
            <w:gridSpan w:val="2"/>
            <w:shd w:val="clear" w:color="auto" w:fill="148CD9"/>
          </w:tcPr>
          <w:p>
            <w:pPr>
              <w:ind w:left="20"/>
              <w:spacing w:after="0" w:line="108" w:lineRule="exact"/>
              <w:rPr>
                <w:sz w:val="20"/>
                <w:szCs w:val="20"/>
                <w:color w:val="auto"/>
              </w:rPr>
            </w:pPr>
            <w:r>
              <w:rPr>
                <w:rFonts w:ascii="Arial" w:cs="Arial" w:eastAsia="Arial" w:hAnsi="Arial"/>
                <w:sz w:val="12"/>
                <w:szCs w:val="12"/>
                <w:b w:val="1"/>
                <w:bCs w:val="1"/>
                <w:color w:val="FFFFFF"/>
              </w:rPr>
              <w:t>​ ​ AWARDS</w:t>
            </w:r>
          </w:p>
        </w:tc>
        <w:tc>
          <w:tcPr>
            <w:tcW w:w="760" w:type="dxa"/>
            <w:vAlign w:val="bottom"/>
            <w:shd w:val="clear" w:color="auto" w:fill="148CD9"/>
          </w:tcPr>
          <w:p>
            <w:pPr>
              <w:ind w:left="60"/>
              <w:spacing w:after="0" w:line="108" w:lineRule="exact"/>
              <w:rPr>
                <w:sz w:val="20"/>
                <w:szCs w:val="20"/>
                <w:color w:val="auto"/>
              </w:rPr>
            </w:pPr>
            <w:r>
              <w:rPr>
                <w:rFonts w:ascii="Arial" w:cs="Arial" w:eastAsia="Arial" w:hAnsi="Arial"/>
                <w:sz w:val="12"/>
                <w:szCs w:val="12"/>
                <w:b w:val="1"/>
                <w:bCs w:val="1"/>
                <w:color w:val="FFFFFF"/>
              </w:rPr>
              <w:t>​ ​AWARDS</w:t>
            </w:r>
          </w:p>
        </w:tc>
        <w:tc>
          <w:tcPr>
            <w:tcW w:w="200" w:type="dxa"/>
            <w:vAlign w:val="bottom"/>
            <w:vMerge w:val="continue"/>
            <w:shd w:val="clear" w:color="auto" w:fill="148CD9"/>
          </w:tcPr>
          <w:p>
            <w:pPr>
              <w:spacing w:after="0"/>
              <w:rPr>
                <w:sz w:val="9"/>
                <w:szCs w:val="9"/>
                <w:color w:val="auto"/>
              </w:rPr>
            </w:pPr>
          </w:p>
        </w:tc>
        <w:tc>
          <w:tcPr>
            <w:tcW w:w="980" w:type="dxa"/>
            <w:vAlign w:val="bottom"/>
            <w:shd w:val="clear" w:color="auto" w:fill="148CD9"/>
          </w:tcPr>
          <w:p>
            <w:pPr>
              <w:jc w:val="center"/>
              <w:ind w:right="32"/>
              <w:spacing w:after="0" w:line="108" w:lineRule="exact"/>
              <w:rPr>
                <w:sz w:val="20"/>
                <w:szCs w:val="20"/>
                <w:color w:val="auto"/>
              </w:rPr>
            </w:pPr>
            <w:r>
              <w:rPr>
                <w:rFonts w:ascii="Arial" w:cs="Arial" w:eastAsia="Arial" w:hAnsi="Arial"/>
                <w:sz w:val="12"/>
                <w:szCs w:val="12"/>
                <w:b w:val="1"/>
                <w:bCs w:val="1"/>
                <w:color w:val="FFFFFF"/>
                <w:w w:val="97"/>
              </w:rPr>
              <w:t>PLAN</w:t>
            </w:r>
          </w:p>
        </w:tc>
        <w:tc>
          <w:tcPr>
            <w:tcW w:w="1180" w:type="dxa"/>
            <w:vAlign w:val="bottom"/>
            <w:gridSpan w:val="2"/>
            <w:shd w:val="clear" w:color="auto" w:fill="148CD9"/>
          </w:tcPr>
          <w:p>
            <w:pPr>
              <w:ind w:left="20"/>
              <w:spacing w:after="0" w:line="108" w:lineRule="exact"/>
              <w:rPr>
                <w:sz w:val="20"/>
                <w:szCs w:val="20"/>
                <w:color w:val="auto"/>
              </w:rPr>
            </w:pPr>
            <w:r>
              <w:rPr>
                <w:rFonts w:ascii="Arial" w:cs="Arial" w:eastAsia="Arial" w:hAnsi="Arial"/>
                <w:sz w:val="12"/>
                <w:szCs w:val="12"/>
                <w:b w:val="1"/>
                <w:bCs w:val="1"/>
                <w:color w:val="FFFFFF"/>
              </w:rPr>
              <w:t>​ ​ COMPENSATION</w:t>
            </w:r>
          </w:p>
        </w:tc>
        <w:tc>
          <w:tcPr>
            <w:tcW w:w="200" w:type="dxa"/>
            <w:vAlign w:val="bottom"/>
            <w:vMerge w:val="continue"/>
            <w:shd w:val="clear" w:color="auto" w:fill="148CD9"/>
          </w:tcPr>
          <w:p>
            <w:pPr>
              <w:spacing w:after="0"/>
              <w:rPr>
                <w:sz w:val="9"/>
                <w:szCs w:val="9"/>
                <w:color w:val="auto"/>
              </w:rPr>
            </w:pPr>
          </w:p>
        </w:tc>
        <w:tc>
          <w:tcPr>
            <w:tcW w:w="640" w:type="dxa"/>
            <w:vAlign w:val="bottom"/>
            <w:shd w:val="clear" w:color="auto" w:fill="148CD9"/>
          </w:tcPr>
          <w:p>
            <w:pPr>
              <w:jc w:val="center"/>
              <w:spacing w:after="0" w:line="108" w:lineRule="exact"/>
              <w:rPr>
                <w:sz w:val="20"/>
                <w:szCs w:val="20"/>
                <w:color w:val="auto"/>
              </w:rPr>
            </w:pPr>
            <w:r>
              <w:rPr>
                <w:rFonts w:ascii="Arial" w:cs="Arial" w:eastAsia="Arial" w:hAnsi="Arial"/>
                <w:sz w:val="12"/>
                <w:szCs w:val="12"/>
                <w:b w:val="1"/>
                <w:bCs w:val="1"/>
                <w:color w:val="FFFFFF"/>
                <w:w w:val="95"/>
              </w:rPr>
              <w:t>($)</w:t>
            </w:r>
          </w:p>
        </w:tc>
        <w:tc>
          <w:tcPr>
            <w:tcW w:w="120" w:type="dxa"/>
            <w:vAlign w:val="bottom"/>
            <w:tcBorders>
              <w:right w:val="single" w:sz="8" w:color="auto"/>
            </w:tcBorders>
            <w:vMerge w:val="continue"/>
            <w:shd w:val="clear" w:color="auto" w:fill="148CD9"/>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20" w:type="dxa"/>
            <w:vAlign w:val="bottom"/>
            <w:tcBorders>
              <w:left w:val="single" w:sz="8" w:color="auto"/>
            </w:tcBorders>
            <w:shd w:val="clear" w:color="auto" w:fill="148CD9"/>
          </w:tcPr>
          <w:p>
            <w:pPr>
              <w:ind w:left="140"/>
              <w:spacing w:after="0"/>
              <w:rPr>
                <w:sz w:val="20"/>
                <w:szCs w:val="20"/>
                <w:color w:val="auto"/>
              </w:rPr>
            </w:pPr>
            <w:r>
              <w:rPr>
                <w:rFonts w:ascii="Arial" w:cs="Arial" w:eastAsia="Arial" w:hAnsi="Arial"/>
                <w:sz w:val="13"/>
                <w:szCs w:val="13"/>
                <w:b w:val="1"/>
                <w:bCs w:val="1"/>
                <w:color w:val="FFFFFF"/>
              </w:rPr>
              <w:t>POSITION</w:t>
            </w:r>
          </w:p>
        </w:tc>
        <w:tc>
          <w:tcPr>
            <w:tcW w:w="120" w:type="dxa"/>
            <w:vAlign w:val="bottom"/>
            <w:shd w:val="clear" w:color="auto" w:fill="148CD9"/>
          </w:tcPr>
          <w:p>
            <w:pPr>
              <w:spacing w:after="0"/>
              <w:rPr>
                <w:sz w:val="13"/>
                <w:szCs w:val="13"/>
                <w:color w:val="auto"/>
              </w:rPr>
            </w:pPr>
          </w:p>
        </w:tc>
        <w:tc>
          <w:tcPr>
            <w:tcW w:w="600" w:type="dxa"/>
            <w:vAlign w:val="bottom"/>
            <w:shd w:val="clear" w:color="auto" w:fill="148CD9"/>
          </w:tcPr>
          <w:p>
            <w:pPr>
              <w:spacing w:after="0"/>
              <w:rPr>
                <w:sz w:val="13"/>
                <w:szCs w:val="13"/>
                <w:color w:val="auto"/>
              </w:rPr>
            </w:pPr>
          </w:p>
        </w:tc>
        <w:tc>
          <w:tcPr>
            <w:tcW w:w="540" w:type="dxa"/>
            <w:vAlign w:val="bottom"/>
            <w:shd w:val="clear" w:color="auto" w:fill="148CD9"/>
          </w:tcPr>
          <w:p>
            <w:pPr>
              <w:spacing w:after="0"/>
              <w:rPr>
                <w:sz w:val="13"/>
                <w:szCs w:val="13"/>
                <w:color w:val="auto"/>
              </w:rPr>
            </w:pPr>
          </w:p>
        </w:tc>
        <w:tc>
          <w:tcPr>
            <w:tcW w:w="160" w:type="dxa"/>
            <w:vAlign w:val="bottom"/>
            <w:shd w:val="clear" w:color="auto" w:fill="148CD9"/>
          </w:tcPr>
          <w:p>
            <w:pPr>
              <w:spacing w:after="0"/>
              <w:rPr>
                <w:sz w:val="13"/>
                <w:szCs w:val="13"/>
                <w:color w:val="auto"/>
              </w:rPr>
            </w:pPr>
          </w:p>
        </w:tc>
        <w:tc>
          <w:tcPr>
            <w:tcW w:w="720" w:type="dxa"/>
            <w:vAlign w:val="bottom"/>
            <w:shd w:val="clear" w:color="auto" w:fill="148CD9"/>
          </w:tcPr>
          <w:p>
            <w:pPr>
              <w:spacing w:after="0"/>
              <w:rPr>
                <w:sz w:val="13"/>
                <w:szCs w:val="13"/>
                <w:color w:val="auto"/>
              </w:rPr>
            </w:pPr>
          </w:p>
        </w:tc>
        <w:tc>
          <w:tcPr>
            <w:tcW w:w="160" w:type="dxa"/>
            <w:vAlign w:val="bottom"/>
            <w:shd w:val="clear" w:color="auto" w:fill="148CD9"/>
          </w:tcPr>
          <w:p>
            <w:pPr>
              <w:spacing w:after="0"/>
              <w:rPr>
                <w:sz w:val="13"/>
                <w:szCs w:val="13"/>
                <w:color w:val="auto"/>
              </w:rPr>
            </w:pPr>
          </w:p>
        </w:tc>
        <w:tc>
          <w:tcPr>
            <w:tcW w:w="600" w:type="dxa"/>
            <w:vAlign w:val="bottom"/>
            <w:shd w:val="clear" w:color="auto" w:fill="148CD9"/>
          </w:tcPr>
          <w:p>
            <w:pPr>
              <w:jc w:val="center"/>
              <w:spacing w:after="0"/>
              <w:rPr>
                <w:sz w:val="20"/>
                <w:szCs w:val="20"/>
                <w:color w:val="auto"/>
              </w:rPr>
            </w:pPr>
            <w:r>
              <w:rPr>
                <w:rFonts w:ascii="Arial" w:cs="Arial" w:eastAsia="Arial" w:hAnsi="Arial"/>
                <w:sz w:val="13"/>
                <w:szCs w:val="13"/>
                <w:b w:val="1"/>
                <w:bCs w:val="1"/>
                <w:color w:val="FFFFFF"/>
                <w:w w:val="94"/>
              </w:rPr>
              <w:t>($)(1)</w:t>
            </w:r>
          </w:p>
        </w:tc>
        <w:tc>
          <w:tcPr>
            <w:tcW w:w="760" w:type="dxa"/>
            <w:vAlign w:val="bottom"/>
            <w:shd w:val="clear" w:color="auto" w:fill="148CD9"/>
          </w:tcPr>
          <w:p>
            <w:pPr>
              <w:ind w:left="300"/>
              <w:spacing w:after="0"/>
              <w:rPr>
                <w:sz w:val="20"/>
                <w:szCs w:val="20"/>
                <w:color w:val="auto"/>
              </w:rPr>
            </w:pPr>
            <w:r>
              <w:rPr>
                <w:rFonts w:ascii="Arial" w:cs="Arial" w:eastAsia="Arial" w:hAnsi="Arial"/>
                <w:sz w:val="13"/>
                <w:szCs w:val="13"/>
                <w:b w:val="1"/>
                <w:bCs w:val="1"/>
                <w:color w:val="FFFFFF"/>
              </w:rPr>
              <w:t>($)(1)</w:t>
            </w:r>
          </w:p>
        </w:tc>
        <w:tc>
          <w:tcPr>
            <w:tcW w:w="1180" w:type="dxa"/>
            <w:vAlign w:val="bottom"/>
            <w:gridSpan w:val="2"/>
            <w:shd w:val="clear" w:color="auto" w:fill="148CD9"/>
          </w:tcPr>
          <w:p>
            <w:pPr>
              <w:jc w:val="center"/>
              <w:ind w:left="30"/>
              <w:spacing w:after="0"/>
              <w:rPr>
                <w:sz w:val="20"/>
                <w:szCs w:val="20"/>
                <w:color w:val="auto"/>
              </w:rPr>
            </w:pPr>
            <w:r>
              <w:rPr>
                <w:rFonts w:ascii="Arial" w:cs="Arial" w:eastAsia="Arial" w:hAnsi="Arial"/>
                <w:sz w:val="13"/>
                <w:szCs w:val="13"/>
                <w:b w:val="1"/>
                <w:bCs w:val="1"/>
                <w:color w:val="FFFFFF"/>
                <w:w w:val="94"/>
              </w:rPr>
              <w:t>COMPENSATION</w:t>
            </w:r>
          </w:p>
        </w:tc>
        <w:tc>
          <w:tcPr>
            <w:tcW w:w="220" w:type="dxa"/>
            <w:vAlign w:val="bottom"/>
            <w:shd w:val="clear" w:color="auto" w:fill="148CD9"/>
          </w:tcPr>
          <w:p>
            <w:pPr>
              <w:spacing w:after="0"/>
              <w:rPr>
                <w:sz w:val="13"/>
                <w:szCs w:val="13"/>
                <w:color w:val="auto"/>
              </w:rPr>
            </w:pPr>
          </w:p>
        </w:tc>
        <w:tc>
          <w:tcPr>
            <w:tcW w:w="960" w:type="dxa"/>
            <w:vAlign w:val="bottom"/>
            <w:shd w:val="clear" w:color="auto" w:fill="148CD9"/>
          </w:tcPr>
          <w:p>
            <w:pPr>
              <w:jc w:val="center"/>
              <w:spacing w:after="0"/>
              <w:rPr>
                <w:sz w:val="20"/>
                <w:szCs w:val="20"/>
                <w:color w:val="auto"/>
              </w:rPr>
            </w:pPr>
            <w:r>
              <w:rPr>
                <w:rFonts w:ascii="Arial" w:cs="Arial" w:eastAsia="Arial" w:hAnsi="Arial"/>
                <w:sz w:val="13"/>
                <w:szCs w:val="13"/>
                <w:b w:val="1"/>
                <w:bCs w:val="1"/>
                <w:color w:val="FFFFFF"/>
                <w:w w:val="94"/>
              </w:rPr>
              <w:t>($)(3)</w:t>
            </w:r>
          </w:p>
        </w:tc>
        <w:tc>
          <w:tcPr>
            <w:tcW w:w="200" w:type="dxa"/>
            <w:vAlign w:val="bottom"/>
            <w:shd w:val="clear" w:color="auto" w:fill="148CD9"/>
          </w:tcPr>
          <w:p>
            <w:pPr>
              <w:spacing w:after="0"/>
              <w:rPr>
                <w:sz w:val="13"/>
                <w:szCs w:val="13"/>
                <w:color w:val="auto"/>
              </w:rPr>
            </w:pPr>
          </w:p>
        </w:tc>
        <w:tc>
          <w:tcPr>
            <w:tcW w:w="640" w:type="dxa"/>
            <w:vAlign w:val="bottom"/>
            <w:shd w:val="clear" w:color="auto" w:fill="148CD9"/>
          </w:tcPr>
          <w:p>
            <w:pPr>
              <w:spacing w:after="0"/>
              <w:rPr>
                <w:sz w:val="13"/>
                <w:szCs w:val="13"/>
                <w:color w:val="auto"/>
              </w:rPr>
            </w:pPr>
          </w:p>
        </w:tc>
        <w:tc>
          <w:tcPr>
            <w:tcW w:w="120" w:type="dxa"/>
            <w:vAlign w:val="bottom"/>
            <w:tcBorders>
              <w:right w:val="single" w:sz="8" w:color="auto"/>
            </w:tcBorders>
            <w:shd w:val="clear" w:color="auto" w:fill="148CD9"/>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20" w:type="dxa"/>
            <w:vAlign w:val="bottom"/>
            <w:tcBorders>
              <w:left w:val="single" w:sz="8" w:color="auto"/>
            </w:tcBorders>
            <w:shd w:val="clear" w:color="auto" w:fill="148CD9"/>
          </w:tcPr>
          <w:p>
            <w:pPr>
              <w:spacing w:after="0"/>
              <w:rPr>
                <w:sz w:val="15"/>
                <w:szCs w:val="15"/>
                <w:color w:val="auto"/>
              </w:rPr>
            </w:pPr>
          </w:p>
        </w:tc>
        <w:tc>
          <w:tcPr>
            <w:tcW w:w="120" w:type="dxa"/>
            <w:vAlign w:val="bottom"/>
            <w:shd w:val="clear" w:color="auto" w:fill="148CD9"/>
          </w:tcPr>
          <w:p>
            <w:pPr>
              <w:spacing w:after="0"/>
              <w:rPr>
                <w:sz w:val="15"/>
                <w:szCs w:val="15"/>
                <w:color w:val="auto"/>
              </w:rPr>
            </w:pPr>
          </w:p>
        </w:tc>
        <w:tc>
          <w:tcPr>
            <w:tcW w:w="600" w:type="dxa"/>
            <w:vAlign w:val="bottom"/>
            <w:shd w:val="clear" w:color="auto" w:fill="148CD9"/>
          </w:tcPr>
          <w:p>
            <w:pPr>
              <w:spacing w:after="0"/>
              <w:rPr>
                <w:sz w:val="15"/>
                <w:szCs w:val="15"/>
                <w:color w:val="auto"/>
              </w:rPr>
            </w:pPr>
          </w:p>
        </w:tc>
        <w:tc>
          <w:tcPr>
            <w:tcW w:w="540" w:type="dxa"/>
            <w:vAlign w:val="bottom"/>
            <w:shd w:val="clear" w:color="auto" w:fill="148CD9"/>
          </w:tcPr>
          <w:p>
            <w:pPr>
              <w:spacing w:after="0"/>
              <w:rPr>
                <w:sz w:val="15"/>
                <w:szCs w:val="15"/>
                <w:color w:val="auto"/>
              </w:rPr>
            </w:pPr>
          </w:p>
        </w:tc>
        <w:tc>
          <w:tcPr>
            <w:tcW w:w="160" w:type="dxa"/>
            <w:vAlign w:val="bottom"/>
            <w:shd w:val="clear" w:color="auto" w:fill="148CD9"/>
          </w:tcPr>
          <w:p>
            <w:pPr>
              <w:spacing w:after="0"/>
              <w:rPr>
                <w:sz w:val="15"/>
                <w:szCs w:val="15"/>
                <w:color w:val="auto"/>
              </w:rPr>
            </w:pPr>
          </w:p>
        </w:tc>
        <w:tc>
          <w:tcPr>
            <w:tcW w:w="720" w:type="dxa"/>
            <w:vAlign w:val="bottom"/>
            <w:shd w:val="clear" w:color="auto" w:fill="148CD9"/>
          </w:tcPr>
          <w:p>
            <w:pPr>
              <w:spacing w:after="0"/>
              <w:rPr>
                <w:sz w:val="15"/>
                <w:szCs w:val="15"/>
                <w:color w:val="auto"/>
              </w:rPr>
            </w:pPr>
          </w:p>
        </w:tc>
        <w:tc>
          <w:tcPr>
            <w:tcW w:w="160" w:type="dxa"/>
            <w:vAlign w:val="bottom"/>
            <w:shd w:val="clear" w:color="auto" w:fill="148CD9"/>
          </w:tcPr>
          <w:p>
            <w:pPr>
              <w:spacing w:after="0"/>
              <w:rPr>
                <w:sz w:val="15"/>
                <w:szCs w:val="15"/>
                <w:color w:val="auto"/>
              </w:rPr>
            </w:pPr>
          </w:p>
        </w:tc>
        <w:tc>
          <w:tcPr>
            <w:tcW w:w="600" w:type="dxa"/>
            <w:vAlign w:val="bottom"/>
            <w:shd w:val="clear" w:color="auto" w:fill="148CD9"/>
          </w:tcPr>
          <w:p>
            <w:pPr>
              <w:spacing w:after="0"/>
              <w:rPr>
                <w:sz w:val="15"/>
                <w:szCs w:val="15"/>
                <w:color w:val="auto"/>
              </w:rPr>
            </w:pPr>
          </w:p>
        </w:tc>
        <w:tc>
          <w:tcPr>
            <w:tcW w:w="760" w:type="dxa"/>
            <w:vAlign w:val="bottom"/>
            <w:shd w:val="clear" w:color="auto" w:fill="148CD9"/>
          </w:tcPr>
          <w:p>
            <w:pPr>
              <w:spacing w:after="0"/>
              <w:rPr>
                <w:sz w:val="15"/>
                <w:szCs w:val="15"/>
                <w:color w:val="auto"/>
              </w:rPr>
            </w:pPr>
          </w:p>
        </w:tc>
        <w:tc>
          <w:tcPr>
            <w:tcW w:w="200" w:type="dxa"/>
            <w:vAlign w:val="bottom"/>
            <w:shd w:val="clear" w:color="auto" w:fill="148CD9"/>
          </w:tcPr>
          <w:p>
            <w:pPr>
              <w:spacing w:after="0"/>
              <w:rPr>
                <w:sz w:val="15"/>
                <w:szCs w:val="15"/>
                <w:color w:val="auto"/>
              </w:rPr>
            </w:pPr>
          </w:p>
        </w:tc>
        <w:tc>
          <w:tcPr>
            <w:tcW w:w="980" w:type="dxa"/>
            <w:vAlign w:val="bottom"/>
            <w:shd w:val="clear" w:color="auto" w:fill="148CD9"/>
          </w:tcPr>
          <w:p>
            <w:pPr>
              <w:jc w:val="center"/>
              <w:ind w:right="12"/>
              <w:spacing w:after="0"/>
              <w:rPr>
                <w:sz w:val="20"/>
                <w:szCs w:val="20"/>
                <w:color w:val="auto"/>
              </w:rPr>
            </w:pPr>
            <w:r>
              <w:rPr>
                <w:rFonts w:ascii="Arial" w:cs="Arial" w:eastAsia="Arial" w:hAnsi="Arial"/>
                <w:sz w:val="13"/>
                <w:szCs w:val="13"/>
                <w:b w:val="1"/>
                <w:bCs w:val="1"/>
                <w:color w:val="FFFFFF"/>
                <w:w w:val="94"/>
              </w:rPr>
              <w:t>($)(2)</w:t>
            </w:r>
          </w:p>
        </w:tc>
        <w:tc>
          <w:tcPr>
            <w:tcW w:w="220" w:type="dxa"/>
            <w:vAlign w:val="bottom"/>
            <w:shd w:val="clear" w:color="auto" w:fill="148CD9"/>
          </w:tcPr>
          <w:p>
            <w:pPr>
              <w:spacing w:after="0"/>
              <w:rPr>
                <w:sz w:val="15"/>
                <w:szCs w:val="15"/>
                <w:color w:val="auto"/>
              </w:rPr>
            </w:pPr>
          </w:p>
        </w:tc>
        <w:tc>
          <w:tcPr>
            <w:tcW w:w="960" w:type="dxa"/>
            <w:vAlign w:val="bottom"/>
            <w:shd w:val="clear" w:color="auto" w:fill="148CD9"/>
          </w:tcPr>
          <w:p>
            <w:pPr>
              <w:spacing w:after="0"/>
              <w:rPr>
                <w:sz w:val="15"/>
                <w:szCs w:val="15"/>
                <w:color w:val="auto"/>
              </w:rPr>
            </w:pPr>
          </w:p>
        </w:tc>
        <w:tc>
          <w:tcPr>
            <w:tcW w:w="200" w:type="dxa"/>
            <w:vAlign w:val="bottom"/>
            <w:shd w:val="clear" w:color="auto" w:fill="148CD9"/>
          </w:tcPr>
          <w:p>
            <w:pPr>
              <w:spacing w:after="0"/>
              <w:rPr>
                <w:sz w:val="15"/>
                <w:szCs w:val="15"/>
                <w:color w:val="auto"/>
              </w:rPr>
            </w:pPr>
          </w:p>
        </w:tc>
        <w:tc>
          <w:tcPr>
            <w:tcW w:w="640" w:type="dxa"/>
            <w:vAlign w:val="bottom"/>
            <w:shd w:val="clear" w:color="auto" w:fill="148CD9"/>
          </w:tcPr>
          <w:p>
            <w:pPr>
              <w:spacing w:after="0"/>
              <w:rPr>
                <w:sz w:val="15"/>
                <w:szCs w:val="15"/>
                <w:color w:val="auto"/>
              </w:rPr>
            </w:pPr>
          </w:p>
        </w:tc>
        <w:tc>
          <w:tcPr>
            <w:tcW w:w="120" w:type="dxa"/>
            <w:vAlign w:val="bottom"/>
            <w:tcBorders>
              <w:right w:val="single" w:sz="8" w:color="auto"/>
            </w:tcBorders>
            <w:shd w:val="clear" w:color="auto" w:fill="148CD9"/>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20" w:type="dxa"/>
            <w:vAlign w:val="bottom"/>
            <w:tcBorders>
              <w:left w:val="single" w:sz="8" w:color="auto"/>
            </w:tcBorders>
          </w:tcPr>
          <w:p>
            <w:pPr>
              <w:ind w:left="140"/>
              <w:spacing w:after="0"/>
              <w:rPr>
                <w:sz w:val="20"/>
                <w:szCs w:val="20"/>
                <w:color w:val="auto"/>
              </w:rPr>
            </w:pPr>
            <w:r>
              <w:rPr>
                <w:rFonts w:ascii="Arial" w:cs="Arial" w:eastAsia="Arial" w:hAnsi="Arial"/>
                <w:sz w:val="14"/>
                <w:szCs w:val="14"/>
                <w:b w:val="1"/>
                <w:bCs w:val="1"/>
                <w:color w:val="auto"/>
              </w:rPr>
              <w:t>Brent Pfeiffenberger,</w:t>
            </w:r>
          </w:p>
        </w:tc>
        <w:tc>
          <w:tcPr>
            <w:tcW w:w="120" w:type="dxa"/>
            <w:vAlign w:val="bottom"/>
          </w:tcPr>
          <w:p>
            <w:pPr>
              <w:spacing w:after="0"/>
              <w:rPr>
                <w:sz w:val="17"/>
                <w:szCs w:val="17"/>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14"/>
                <w:szCs w:val="14"/>
                <w:color w:val="auto"/>
              </w:rPr>
              <w:t>​ 2025 ​ ​640,625 ​ ​</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520" w:type="dxa"/>
            <w:vAlign w:val="bottom"/>
            <w:gridSpan w:val="3"/>
            <w:vMerge w:val="restart"/>
          </w:tcPr>
          <w:p>
            <w:pPr>
              <w:ind w:left="20"/>
              <w:spacing w:after="0"/>
              <w:rPr>
                <w:sz w:val="20"/>
                <w:szCs w:val="20"/>
                <w:color w:val="auto"/>
              </w:rPr>
            </w:pPr>
            <w:r>
              <w:rPr>
                <w:rFonts w:ascii="Arial" w:cs="Arial" w:eastAsia="Arial" w:hAnsi="Arial"/>
                <w:sz w:val="14"/>
                <w:szCs w:val="14"/>
                <w:color w:val="auto"/>
              </w:rPr>
              <w:t>​ ​1,869,609 ​ ​ 222,681</w:t>
            </w:r>
          </w:p>
        </w:tc>
        <w:tc>
          <w:tcPr>
            <w:tcW w:w="20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rPr>
              <w:t>317,109</w:t>
            </w: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960" w:type="dxa"/>
            <w:vAlign w:val="bottom"/>
            <w:vMerge w:val="restart"/>
          </w:tcPr>
          <w:p>
            <w:pPr>
              <w:jc w:val="center"/>
              <w:ind w:right="10"/>
              <w:spacing w:after="0"/>
              <w:rPr>
                <w:sz w:val="20"/>
                <w:szCs w:val="20"/>
                <w:color w:val="auto"/>
              </w:rPr>
            </w:pPr>
            <w:r>
              <w:rPr>
                <w:rFonts w:ascii="Arial" w:cs="Arial" w:eastAsia="Arial" w:hAnsi="Arial"/>
                <w:sz w:val="14"/>
                <w:szCs w:val="14"/>
                <w:color w:val="auto"/>
              </w:rPr>
              <w:t>13,998</w:t>
            </w: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color w:val="auto"/>
              </w:rPr>
              <w:t>​ ​2,381,022</w:t>
            </w:r>
          </w:p>
        </w:tc>
        <w:tc>
          <w:tcPr>
            <w:tcW w:w="1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9"/>
        </w:trPr>
        <w:tc>
          <w:tcPr>
            <w:tcW w:w="2020" w:type="dxa"/>
            <w:vAlign w:val="bottom"/>
            <w:tcBorders>
              <w:left w:val="single" w:sz="8" w:color="auto"/>
            </w:tcBorders>
            <w:vMerge w:val="restart"/>
          </w:tcPr>
          <w:p>
            <w:pPr>
              <w:ind w:left="80"/>
              <w:spacing w:after="0" w:line="172"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1"/>
                <w:szCs w:val="11"/>
                <w:b w:val="1"/>
                <w:bCs w:val="1"/>
                <w:color w:val="auto"/>
              </w:rPr>
              <w:t xml:space="preserve">Pharm.D., </w:t>
            </w:r>
            <w:r>
              <w:rPr>
                <w:rFonts w:ascii="Arial" w:cs="Arial" w:eastAsia="Arial" w:hAnsi="Arial"/>
                <w:sz w:val="11"/>
                <w:szCs w:val="11"/>
                <w:color w:val="auto"/>
              </w:rPr>
              <w:t>President, Chief</w:t>
            </w:r>
          </w:p>
        </w:tc>
        <w:tc>
          <w:tcPr>
            <w:tcW w:w="12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20" w:type="dxa"/>
            <w:vAlign w:val="bottom"/>
            <w:tcBorders>
              <w:left w:val="single" w:sz="8" w:color="auto"/>
            </w:tcBorders>
            <w:vMerge w:val="continue"/>
          </w:tcPr>
          <w:p>
            <w:pPr>
              <w:spacing w:after="0"/>
              <w:rPr>
                <w:sz w:val="8"/>
                <w:szCs w:val="8"/>
                <w:color w:val="auto"/>
              </w:rPr>
            </w:pPr>
          </w:p>
        </w:tc>
        <w:tc>
          <w:tcPr>
            <w:tcW w:w="120" w:type="dxa"/>
            <w:vAlign w:val="bottom"/>
          </w:tcPr>
          <w:p>
            <w:pPr>
              <w:ind w:left="80"/>
              <w:spacing w:after="0" w:line="103"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20" w:type="dxa"/>
            <w:vAlign w:val="bottom"/>
            <w:tcBorders>
              <w:left w:val="single" w:sz="8" w:color="auto"/>
            </w:tcBorders>
          </w:tcPr>
          <w:p>
            <w:pPr>
              <w:ind w:left="140"/>
              <w:spacing w:after="0" w:line="147" w:lineRule="exact"/>
              <w:rPr>
                <w:sz w:val="20"/>
                <w:szCs w:val="20"/>
                <w:color w:val="auto"/>
              </w:rPr>
            </w:pPr>
            <w:r>
              <w:rPr>
                <w:rFonts w:ascii="Arial" w:cs="Arial" w:eastAsia="Arial" w:hAnsi="Arial"/>
                <w:sz w:val="14"/>
                <w:szCs w:val="14"/>
                <w:color w:val="auto"/>
              </w:rPr>
              <w:t>Executive Officer and</w:t>
            </w:r>
          </w:p>
        </w:tc>
        <w:tc>
          <w:tcPr>
            <w:tcW w:w="120" w:type="dxa"/>
            <w:vAlign w:val="bottom"/>
          </w:tcPr>
          <w:p>
            <w:pPr>
              <w:spacing w:after="0"/>
              <w:rPr>
                <w:sz w:val="12"/>
                <w:szCs w:val="12"/>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14"/>
                <w:szCs w:val="14"/>
                <w:color w:val="auto"/>
              </w:rPr>
              <w:t>​ 2024 ​ ​ 625,000 ​ ​</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rPr>
              <w:t>450,000(5)</w:t>
            </w: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97"/>
              </w:rPr>
              <w:t>92,614</w:t>
            </w:r>
          </w:p>
        </w:tc>
        <w:tc>
          <w:tcPr>
            <w:tcW w:w="760" w:type="dxa"/>
            <w:vAlign w:val="bottom"/>
            <w:vMerge w:val="restart"/>
          </w:tcPr>
          <w:p>
            <w:pPr>
              <w:ind w:left="60"/>
              <w:spacing w:after="0"/>
              <w:rPr>
                <w:sz w:val="20"/>
                <w:szCs w:val="20"/>
                <w:color w:val="auto"/>
              </w:rPr>
            </w:pPr>
            <w:r>
              <w:rPr>
                <w:rFonts w:ascii="Arial" w:cs="Arial" w:eastAsia="Arial" w:hAnsi="Arial"/>
                <w:sz w:val="14"/>
                <w:szCs w:val="14"/>
                <w:color w:val="auto"/>
              </w:rPr>
              <w:t>​ ​ 392,000</w:t>
            </w:r>
          </w:p>
        </w:tc>
        <w:tc>
          <w:tcPr>
            <w:tcW w:w="20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rPr>
              <w:t>360,938</w:t>
            </w: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960" w:type="dxa"/>
            <w:vAlign w:val="bottom"/>
            <w:vMerge w:val="restart"/>
          </w:tcPr>
          <w:p>
            <w:pPr>
              <w:jc w:val="center"/>
              <w:ind w:right="10"/>
              <w:spacing w:after="0"/>
              <w:rPr>
                <w:sz w:val="20"/>
                <w:szCs w:val="20"/>
                <w:color w:val="auto"/>
              </w:rPr>
            </w:pPr>
            <w:r>
              <w:rPr>
                <w:rFonts w:ascii="Arial" w:cs="Arial" w:eastAsia="Arial" w:hAnsi="Arial"/>
                <w:sz w:val="14"/>
                <w:szCs w:val="14"/>
                <w:color w:val="auto"/>
              </w:rPr>
              <w:t>272,729(6)</w:t>
            </w: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color w:val="auto"/>
              </w:rPr>
              <w:t>​ ​2,193,281</w:t>
            </w:r>
          </w:p>
        </w:tc>
        <w:tc>
          <w:tcPr>
            <w:tcW w:w="1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6"/>
        </w:trPr>
        <w:tc>
          <w:tcPr>
            <w:tcW w:w="2020" w:type="dxa"/>
            <w:vAlign w:val="bottom"/>
            <w:tcBorders>
              <w:left w:val="single" w:sz="8" w:color="auto"/>
            </w:tcBorders>
            <w:vMerge w:val="restart"/>
          </w:tcPr>
          <w:p>
            <w:pPr>
              <w:ind w:left="140"/>
              <w:spacing w:after="0"/>
              <w:rPr>
                <w:sz w:val="20"/>
                <w:szCs w:val="20"/>
                <w:color w:val="auto"/>
              </w:rPr>
            </w:pPr>
            <w:r>
              <w:rPr>
                <w:rFonts w:ascii="Arial" w:cs="Arial" w:eastAsia="Arial" w:hAnsi="Arial"/>
                <w:sz w:val="14"/>
                <w:szCs w:val="14"/>
                <w:color w:val="auto"/>
              </w:rPr>
              <w:t>Chairman of the Board(4)</w:t>
            </w:r>
          </w:p>
        </w:tc>
        <w:tc>
          <w:tcPr>
            <w:tcW w:w="12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020" w:type="dxa"/>
            <w:vAlign w:val="bottom"/>
            <w:tcBorders>
              <w:lef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
        </w:trPr>
        <w:tc>
          <w:tcPr>
            <w:tcW w:w="202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20" w:type="dxa"/>
            <w:vAlign w:val="bottom"/>
            <w:tcBorders>
              <w:left w:val="single" w:sz="8" w:color="auto"/>
            </w:tcBorders>
          </w:tcPr>
          <w:p>
            <w:pPr>
              <w:ind w:left="140"/>
              <w:spacing w:after="0"/>
              <w:rPr>
                <w:sz w:val="20"/>
                <w:szCs w:val="20"/>
                <w:color w:val="auto"/>
              </w:rPr>
            </w:pPr>
            <w:r>
              <w:rPr>
                <w:rFonts w:ascii="Arial" w:cs="Arial" w:eastAsia="Arial" w:hAnsi="Arial"/>
                <w:sz w:val="14"/>
                <w:szCs w:val="14"/>
                <w:b w:val="1"/>
                <w:bCs w:val="1"/>
                <w:color w:val="auto"/>
              </w:rPr>
              <w:t>Gregory Russotti, Ph.D.,</w:t>
            </w:r>
          </w:p>
        </w:tc>
        <w:tc>
          <w:tcPr>
            <w:tcW w:w="120" w:type="dxa"/>
            <w:vAlign w:val="bottom"/>
          </w:tcPr>
          <w:p>
            <w:pPr>
              <w:spacing w:after="0"/>
              <w:rPr>
                <w:sz w:val="17"/>
                <w:szCs w:val="17"/>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14"/>
                <w:szCs w:val="14"/>
                <w:color w:val="auto"/>
              </w:rPr>
              <w:t>​ 2025 ​ ​559,650 ​ ​</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97"/>
              </w:rPr>
              <w:t>71,120</w:t>
            </w:r>
          </w:p>
        </w:tc>
        <w:tc>
          <w:tcPr>
            <w:tcW w:w="760" w:type="dxa"/>
            <w:vAlign w:val="bottom"/>
            <w:vMerge w:val="restart"/>
          </w:tcPr>
          <w:p>
            <w:pPr>
              <w:ind w:left="60"/>
              <w:spacing w:after="0"/>
              <w:rPr>
                <w:sz w:val="20"/>
                <w:szCs w:val="20"/>
                <w:color w:val="auto"/>
              </w:rPr>
            </w:pPr>
            <w:r>
              <w:rPr>
                <w:rFonts w:ascii="Arial" w:cs="Arial" w:eastAsia="Arial" w:hAnsi="Arial"/>
                <w:sz w:val="14"/>
                <w:szCs w:val="14"/>
                <w:color w:val="auto"/>
              </w:rPr>
              <w:t>​ ​ 51,240</w:t>
            </w:r>
          </w:p>
        </w:tc>
        <w:tc>
          <w:tcPr>
            <w:tcW w:w="20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rPr>
              <w:t>226,658</w:t>
            </w: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960" w:type="dxa"/>
            <w:vAlign w:val="bottom"/>
            <w:vMerge w:val="restart"/>
          </w:tcPr>
          <w:p>
            <w:pPr>
              <w:jc w:val="center"/>
              <w:ind w:right="10"/>
              <w:spacing w:after="0"/>
              <w:rPr>
                <w:sz w:val="20"/>
                <w:szCs w:val="20"/>
                <w:color w:val="auto"/>
              </w:rPr>
            </w:pPr>
            <w:r>
              <w:rPr>
                <w:rFonts w:ascii="Arial" w:cs="Arial" w:eastAsia="Arial" w:hAnsi="Arial"/>
                <w:sz w:val="14"/>
                <w:szCs w:val="14"/>
                <w:color w:val="auto"/>
              </w:rPr>
              <w:t>3,652</w:t>
            </w:r>
          </w:p>
        </w:tc>
        <w:tc>
          <w:tcPr>
            <w:tcW w:w="200" w:type="dxa"/>
            <w:vAlign w:val="bottom"/>
            <w:vMerge w:val="restart"/>
          </w:tcPr>
          <w:p>
            <w:pPr>
              <w:ind w:left="60"/>
              <w:spacing w:after="0"/>
              <w:rPr>
                <w:sz w:val="20"/>
                <w:szCs w:val="20"/>
                <w:color w:val="auto"/>
              </w:rPr>
            </w:pPr>
            <w:r>
              <w:rPr>
                <w:rFonts w:ascii="Arial" w:cs="Arial" w:eastAsia="Arial" w:hAnsi="Arial"/>
                <w:sz w:val="14"/>
                <w:szCs w:val="14"/>
                <w:color w:val="auto"/>
              </w:rPr>
              <w:t>​ ​</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8"/>
              </w:rPr>
              <w:t>912,320</w:t>
            </w:r>
          </w:p>
        </w:tc>
        <w:tc>
          <w:tcPr>
            <w:tcW w:w="1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2020" w:type="dxa"/>
            <w:vAlign w:val="bottom"/>
            <w:tcBorders>
              <w:left w:val="single" w:sz="8" w:color="auto"/>
            </w:tcBorders>
            <w:vMerge w:val="restart"/>
          </w:tcPr>
          <w:p>
            <w:pPr>
              <w:ind w:left="140"/>
              <w:spacing w:after="0"/>
              <w:rPr>
                <w:sz w:val="20"/>
                <w:szCs w:val="20"/>
                <w:color w:val="auto"/>
              </w:rPr>
            </w:pPr>
            <w:r>
              <w:rPr>
                <w:rFonts w:ascii="Arial" w:cs="Arial" w:eastAsia="Arial" w:hAnsi="Arial"/>
                <w:sz w:val="14"/>
                <w:szCs w:val="14"/>
                <w:color w:val="auto"/>
              </w:rPr>
              <w:t>Chief Technology and</w:t>
            </w:r>
          </w:p>
        </w:tc>
        <w:tc>
          <w:tcPr>
            <w:tcW w:w="1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20" w:type="dxa"/>
            <w:vAlign w:val="bottom"/>
            <w:tcBorders>
              <w:lef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20" w:type="dxa"/>
            <w:vAlign w:val="bottom"/>
            <w:tcBorders>
              <w:left w:val="single" w:sz="8" w:color="auto"/>
            </w:tcBorders>
            <w:vMerge w:val="restart"/>
          </w:tcPr>
          <w:p>
            <w:pPr>
              <w:ind w:left="80"/>
              <w:spacing w:after="0"/>
              <w:rPr>
                <w:sz w:val="20"/>
                <w:szCs w:val="20"/>
                <w:color w:val="auto"/>
              </w:rPr>
            </w:pPr>
            <w:r>
              <w:rPr>
                <w:rFonts w:ascii="Arial" w:cs="Arial" w:eastAsia="Arial" w:hAnsi="Arial"/>
                <w:sz w:val="14"/>
                <w:szCs w:val="14"/>
                <w:color w:val="auto"/>
              </w:rPr>
              <w:t>​Manufacturing Officer and</w:t>
            </w:r>
          </w:p>
        </w:tc>
        <w:tc>
          <w:tcPr>
            <w:tcW w:w="12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20" w:type="dxa"/>
            <w:vAlign w:val="bottom"/>
            <w:tcBorders>
              <w:left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20" w:type="dxa"/>
            <w:vAlign w:val="bottom"/>
            <w:tcBorders>
              <w:left w:val="single" w:sz="8" w:color="auto"/>
            </w:tcBorders>
          </w:tcPr>
          <w:p>
            <w:pPr>
              <w:ind w:left="140"/>
              <w:spacing w:after="0"/>
              <w:rPr>
                <w:sz w:val="20"/>
                <w:szCs w:val="20"/>
                <w:color w:val="auto"/>
              </w:rPr>
            </w:pPr>
            <w:r>
              <w:rPr>
                <w:rFonts w:ascii="Arial" w:cs="Arial" w:eastAsia="Arial" w:hAnsi="Arial"/>
                <w:sz w:val="14"/>
                <w:szCs w:val="14"/>
                <w:color w:val="auto"/>
              </w:rPr>
              <w:t>former Interim President and</w:t>
            </w:r>
          </w:p>
        </w:tc>
        <w:tc>
          <w:tcPr>
            <w:tcW w:w="120" w:type="dxa"/>
            <w:vAlign w:val="bottom"/>
          </w:tcPr>
          <w:p>
            <w:pPr>
              <w:spacing w:after="0"/>
              <w:rPr>
                <w:sz w:val="15"/>
                <w:szCs w:val="15"/>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14"/>
                <w:szCs w:val="14"/>
                <w:color w:val="auto"/>
              </w:rPr>
              <w:t>​ 2024 ​ ​542,500 ​ ​</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color w:val="auto"/>
              </w:rPr>
              <w:t>​ ​ 127,560</w:t>
            </w:r>
          </w:p>
        </w:tc>
        <w:tc>
          <w:tcPr>
            <w:tcW w:w="760" w:type="dxa"/>
            <w:vAlign w:val="bottom"/>
            <w:vMerge w:val="restart"/>
          </w:tcPr>
          <w:p>
            <w:pPr>
              <w:ind w:left="60"/>
              <w:spacing w:after="0"/>
              <w:rPr>
                <w:sz w:val="20"/>
                <w:szCs w:val="20"/>
                <w:color w:val="auto"/>
              </w:rPr>
            </w:pPr>
            <w:r>
              <w:rPr>
                <w:rFonts w:ascii="Arial" w:cs="Arial" w:eastAsia="Arial" w:hAnsi="Arial"/>
                <w:sz w:val="14"/>
                <w:szCs w:val="14"/>
                <w:color w:val="auto"/>
              </w:rPr>
              <w:t>​ ​ 547,413</w:t>
            </w:r>
          </w:p>
        </w:tc>
        <w:tc>
          <w:tcPr>
            <w:tcW w:w="20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rPr>
              <w:t>256,331</w:t>
            </w: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960" w:type="dxa"/>
            <w:vAlign w:val="bottom"/>
            <w:vMerge w:val="restart"/>
          </w:tcPr>
          <w:p>
            <w:pPr>
              <w:jc w:val="center"/>
              <w:ind w:right="10"/>
              <w:spacing w:after="0"/>
              <w:rPr>
                <w:sz w:val="20"/>
                <w:szCs w:val="20"/>
                <w:color w:val="auto"/>
              </w:rPr>
            </w:pPr>
            <w:r>
              <w:rPr>
                <w:rFonts w:ascii="Arial" w:cs="Arial" w:eastAsia="Arial" w:hAnsi="Arial"/>
                <w:sz w:val="14"/>
                <w:szCs w:val="14"/>
                <w:color w:val="auto"/>
              </w:rPr>
              <w:t>13,800</w:t>
            </w: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color w:val="auto"/>
              </w:rPr>
              <w:t>​ ​1,487,604</w:t>
            </w:r>
          </w:p>
        </w:tc>
        <w:tc>
          <w:tcPr>
            <w:tcW w:w="1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2"/>
        </w:trPr>
        <w:tc>
          <w:tcPr>
            <w:tcW w:w="2020" w:type="dxa"/>
            <w:vAlign w:val="bottom"/>
            <w:tcBorders>
              <w:left w:val="single" w:sz="8" w:color="auto"/>
            </w:tcBorders>
            <w:vMerge w:val="restart"/>
          </w:tcPr>
          <w:p>
            <w:pPr>
              <w:ind w:left="140"/>
              <w:spacing w:after="0"/>
              <w:rPr>
                <w:sz w:val="20"/>
                <w:szCs w:val="20"/>
                <w:color w:val="auto"/>
              </w:rPr>
            </w:pPr>
            <w:r>
              <w:rPr>
                <w:rFonts w:ascii="Arial" w:cs="Arial" w:eastAsia="Arial" w:hAnsi="Arial"/>
                <w:sz w:val="14"/>
                <w:szCs w:val="14"/>
                <w:color w:val="auto"/>
              </w:rPr>
              <w:t>Chief Executive Officer</w:t>
            </w:r>
          </w:p>
        </w:tc>
        <w:tc>
          <w:tcPr>
            <w:tcW w:w="120" w:type="dxa"/>
            <w:vAlign w:val="bottom"/>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20" w:type="dxa"/>
            <w:vAlign w:val="bottom"/>
            <w:tcBorders>
              <w:left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5"/>
        </w:trPr>
        <w:tc>
          <w:tcPr>
            <w:tcW w:w="202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3"/>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20" w:type="dxa"/>
            <w:vAlign w:val="bottom"/>
            <w:tcBorders>
              <w:left w:val="single" w:sz="8" w:color="auto"/>
            </w:tcBorders>
          </w:tcPr>
          <w:p>
            <w:pPr>
              <w:ind w:left="140"/>
              <w:spacing w:after="0"/>
              <w:rPr>
                <w:sz w:val="20"/>
                <w:szCs w:val="20"/>
                <w:color w:val="auto"/>
              </w:rPr>
            </w:pPr>
            <w:r>
              <w:rPr>
                <w:rFonts w:ascii="Arial" w:cs="Arial" w:eastAsia="Arial" w:hAnsi="Arial"/>
                <w:sz w:val="14"/>
                <w:szCs w:val="14"/>
                <w:b w:val="1"/>
                <w:bCs w:val="1"/>
                <w:color w:val="auto"/>
              </w:rPr>
              <w:t>Adrienne Farid, Ph.D.,</w:t>
            </w:r>
          </w:p>
        </w:tc>
        <w:tc>
          <w:tcPr>
            <w:tcW w:w="12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color w:val="auto"/>
              </w:rPr>
              <w:t>​ 2025 ​ ​333,348 ​ ​</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 ​</w:t>
            </w:r>
          </w:p>
        </w:tc>
        <w:tc>
          <w:tcPr>
            <w:tcW w:w="600" w:type="dxa"/>
            <w:vAlign w:val="bottom"/>
          </w:tcPr>
          <w:p>
            <w:pPr>
              <w:jc w:val="center"/>
              <w:spacing w:after="0"/>
              <w:rPr>
                <w:sz w:val="20"/>
                <w:szCs w:val="20"/>
                <w:color w:val="auto"/>
              </w:rPr>
            </w:pPr>
            <w:r>
              <w:rPr>
                <w:rFonts w:ascii="Arial" w:cs="Arial" w:eastAsia="Arial" w:hAnsi="Arial"/>
                <w:sz w:val="14"/>
                <w:szCs w:val="14"/>
                <w:color w:val="auto"/>
                <w:w w:val="97"/>
              </w:rPr>
              <w:t>71,120</w:t>
            </w:r>
          </w:p>
        </w:tc>
        <w:tc>
          <w:tcPr>
            <w:tcW w:w="760" w:type="dxa"/>
            <w:vAlign w:val="bottom"/>
          </w:tcPr>
          <w:p>
            <w:pPr>
              <w:ind w:left="60"/>
              <w:spacing w:after="0"/>
              <w:rPr>
                <w:sz w:val="20"/>
                <w:szCs w:val="20"/>
                <w:color w:val="auto"/>
              </w:rPr>
            </w:pPr>
            <w:r>
              <w:rPr>
                <w:rFonts w:ascii="Arial" w:cs="Arial" w:eastAsia="Arial" w:hAnsi="Arial"/>
                <w:sz w:val="14"/>
                <w:szCs w:val="14"/>
                <w:color w:val="auto"/>
              </w:rPr>
              <w:t>​ ​ 51,240</w:t>
            </w:r>
          </w:p>
        </w:tc>
        <w:tc>
          <w:tcPr>
            <w:tcW w:w="200" w:type="dxa"/>
            <w:vAlign w:val="bottom"/>
          </w:tcPr>
          <w:p>
            <w:pPr>
              <w:ind w:left="40"/>
              <w:spacing w:after="0"/>
              <w:rPr>
                <w:sz w:val="20"/>
                <w:szCs w:val="20"/>
                <w:color w:val="auto"/>
              </w:rPr>
            </w:pPr>
            <w:r>
              <w:rPr>
                <w:rFonts w:ascii="Arial" w:cs="Arial" w:eastAsia="Arial" w:hAnsi="Arial"/>
                <w:sz w:val="14"/>
                <w:szCs w:val="14"/>
                <w:color w:val="auto"/>
              </w:rPr>
              <w:t>​ ​</w:t>
            </w:r>
          </w:p>
        </w:tc>
        <w:tc>
          <w:tcPr>
            <w:tcW w:w="980" w:type="dxa"/>
            <w:vAlign w:val="bottom"/>
          </w:tcPr>
          <w:p>
            <w:pPr>
              <w:jc w:val="center"/>
              <w:ind w:right="12"/>
              <w:spacing w:after="0"/>
              <w:rPr>
                <w:sz w:val="20"/>
                <w:szCs w:val="20"/>
                <w:color w:val="auto"/>
              </w:rPr>
            </w:pPr>
            <w:r>
              <w:rPr>
                <w:rFonts w:ascii="Arial" w:cs="Arial" w:eastAsia="Arial" w:hAnsi="Arial"/>
                <w:sz w:val="14"/>
                <w:szCs w:val="14"/>
                <w:color w:val="auto"/>
                <w:w w:val="99"/>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 ​</w:t>
            </w:r>
          </w:p>
        </w:tc>
        <w:tc>
          <w:tcPr>
            <w:tcW w:w="960" w:type="dxa"/>
            <w:vAlign w:val="bottom"/>
          </w:tcPr>
          <w:p>
            <w:pPr>
              <w:jc w:val="center"/>
              <w:ind w:right="10"/>
              <w:spacing w:after="0"/>
              <w:rPr>
                <w:sz w:val="20"/>
                <w:szCs w:val="20"/>
                <w:color w:val="auto"/>
              </w:rPr>
            </w:pPr>
            <w:r>
              <w:rPr>
                <w:rFonts w:ascii="Arial" w:cs="Arial" w:eastAsia="Arial" w:hAnsi="Arial"/>
                <w:sz w:val="14"/>
                <w:szCs w:val="14"/>
                <w:color w:val="auto"/>
              </w:rPr>
              <w:t>533,515(8)</w:t>
            </w:r>
          </w:p>
        </w:tc>
        <w:tc>
          <w:tcPr>
            <w:tcW w:w="200" w:type="dxa"/>
            <w:vAlign w:val="bottom"/>
          </w:tcPr>
          <w:p>
            <w:pPr>
              <w:ind w:left="60"/>
              <w:spacing w:after="0"/>
              <w:rPr>
                <w:sz w:val="20"/>
                <w:szCs w:val="20"/>
                <w:color w:val="auto"/>
              </w:rPr>
            </w:pPr>
            <w:r>
              <w:rPr>
                <w:rFonts w:ascii="Arial" w:cs="Arial" w:eastAsia="Arial" w:hAnsi="Arial"/>
                <w:sz w:val="14"/>
                <w:szCs w:val="14"/>
                <w:color w:val="auto"/>
              </w:rPr>
              <w:t>​ ​</w:t>
            </w:r>
          </w:p>
        </w:tc>
        <w:tc>
          <w:tcPr>
            <w:tcW w:w="640" w:type="dxa"/>
            <w:vAlign w:val="bottom"/>
          </w:tcPr>
          <w:p>
            <w:pPr>
              <w:jc w:val="center"/>
              <w:spacing w:after="0"/>
              <w:rPr>
                <w:sz w:val="20"/>
                <w:szCs w:val="20"/>
                <w:color w:val="auto"/>
              </w:rPr>
            </w:pPr>
            <w:r>
              <w:rPr>
                <w:rFonts w:ascii="Arial" w:cs="Arial" w:eastAsia="Arial" w:hAnsi="Arial"/>
                <w:sz w:val="14"/>
                <w:szCs w:val="14"/>
                <w:color w:val="auto"/>
                <w:w w:val="98"/>
              </w:rPr>
              <w:t>989,403</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3"/>
        </w:trPr>
        <w:tc>
          <w:tcPr>
            <w:tcW w:w="2020" w:type="dxa"/>
            <w:vAlign w:val="bottom"/>
            <w:tcBorders>
              <w:left w:val="single" w:sz="8" w:color="auto"/>
            </w:tcBorders>
            <w:vMerge w:val="restart"/>
          </w:tcPr>
          <w:p>
            <w:pPr>
              <w:ind w:left="80"/>
              <w:spacing w:after="0"/>
              <w:rPr>
                <w:sz w:val="20"/>
                <w:szCs w:val="20"/>
                <w:color w:val="auto"/>
              </w:rPr>
            </w:pPr>
            <w:r>
              <w:rPr>
                <w:rFonts w:ascii="Arial" w:cs="Arial" w:eastAsia="Arial" w:hAnsi="Arial"/>
                <w:sz w:val="14"/>
                <w:szCs w:val="14"/>
                <w:color w:val="auto"/>
              </w:rPr>
              <w:t>​Former Chief Development</w:t>
            </w:r>
          </w:p>
        </w:tc>
        <w:tc>
          <w:tcPr>
            <w:tcW w:w="12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20" w:type="dxa"/>
            <w:vAlign w:val="bottom"/>
            <w:tcBorders>
              <w:left w:val="single" w:sz="8" w:color="auto"/>
            </w:tcBorders>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14"/>
                <w:szCs w:val="14"/>
                <w:color w:val="auto"/>
              </w:rPr>
              <w:t>​ 2024 ​ ​ 513,050 ​ ​</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color w:val="auto"/>
              </w:rPr>
              <w:t>​ ​ 127,560</w:t>
            </w:r>
          </w:p>
        </w:tc>
        <w:tc>
          <w:tcPr>
            <w:tcW w:w="760" w:type="dxa"/>
            <w:vAlign w:val="bottom"/>
            <w:vMerge w:val="restart"/>
          </w:tcPr>
          <w:p>
            <w:pPr>
              <w:ind w:left="60"/>
              <w:spacing w:after="0"/>
              <w:rPr>
                <w:sz w:val="20"/>
                <w:szCs w:val="20"/>
                <w:color w:val="auto"/>
              </w:rPr>
            </w:pPr>
            <w:r>
              <w:rPr>
                <w:rFonts w:ascii="Arial" w:cs="Arial" w:eastAsia="Arial" w:hAnsi="Arial"/>
                <w:sz w:val="14"/>
                <w:szCs w:val="14"/>
                <w:color w:val="auto"/>
              </w:rPr>
              <w:t>​ ​ 547,413</w:t>
            </w:r>
          </w:p>
        </w:tc>
        <w:tc>
          <w:tcPr>
            <w:tcW w:w="20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rPr>
              <w:t>215,481</w:t>
            </w: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960" w:type="dxa"/>
            <w:vAlign w:val="bottom"/>
            <w:vMerge w:val="restart"/>
          </w:tcPr>
          <w:p>
            <w:pPr>
              <w:jc w:val="center"/>
              <w:ind w:right="10"/>
              <w:spacing w:after="0"/>
              <w:rPr>
                <w:sz w:val="20"/>
                <w:szCs w:val="20"/>
                <w:color w:val="auto"/>
              </w:rPr>
            </w:pPr>
            <w:r>
              <w:rPr>
                <w:rFonts w:ascii="Arial" w:cs="Arial" w:eastAsia="Arial" w:hAnsi="Arial"/>
                <w:sz w:val="14"/>
                <w:szCs w:val="14"/>
                <w:color w:val="auto"/>
              </w:rPr>
              <w:t>13,800</w:t>
            </w: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color w:val="auto"/>
              </w:rPr>
              <w:t>​ ​1,417,304</w:t>
            </w:r>
          </w:p>
        </w:tc>
        <w:tc>
          <w:tcPr>
            <w:tcW w:w="1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020" w:type="dxa"/>
            <w:vAlign w:val="bottom"/>
            <w:tcBorders>
              <w:left w:val="single" w:sz="8" w:color="auto"/>
            </w:tcBorders>
          </w:tcPr>
          <w:p>
            <w:pPr>
              <w:ind w:left="140"/>
              <w:spacing w:after="0"/>
              <w:rPr>
                <w:sz w:val="20"/>
                <w:szCs w:val="20"/>
                <w:color w:val="auto"/>
              </w:rPr>
            </w:pPr>
            <w:r>
              <w:rPr>
                <w:rFonts w:ascii="Arial" w:cs="Arial" w:eastAsia="Arial" w:hAnsi="Arial"/>
                <w:sz w:val="14"/>
                <w:szCs w:val="14"/>
                <w:color w:val="auto"/>
              </w:rPr>
              <w:t>Officer(7)</w:t>
            </w:r>
          </w:p>
        </w:tc>
        <w:tc>
          <w:tcPr>
            <w:tcW w:w="12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02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020" w:type="dxa"/>
            <w:vAlign w:val="bottom"/>
            <w:tcBorders>
              <w:left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Chad Cowan</w:t>
            </w:r>
            <w:r>
              <w:rPr>
                <w:rFonts w:ascii="Arial" w:cs="Arial" w:eastAsia="Arial" w:hAnsi="Arial"/>
                <w:sz w:val="14"/>
                <w:szCs w:val="14"/>
                <w:color w:val="auto"/>
              </w:rPr>
              <w:t>,</w:t>
            </w:r>
            <w:r>
              <w:rPr>
                <w:rFonts w:ascii="Arial" w:cs="Arial" w:eastAsia="Arial" w:hAnsi="Arial"/>
                <w:sz w:val="14"/>
                <w:szCs w:val="14"/>
                <w:b w:val="1"/>
                <w:bCs w:val="1"/>
                <w:color w:val="auto"/>
              </w:rPr>
              <w:t xml:space="preserve"> Ph.D.</w:t>
            </w:r>
            <w:r>
              <w:rPr>
                <w:rFonts w:ascii="Arial" w:cs="Arial" w:eastAsia="Arial" w:hAnsi="Arial"/>
                <w:sz w:val="14"/>
                <w:szCs w:val="14"/>
                <w:color w:val="auto"/>
              </w:rPr>
              <w:t>, Chief</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2020" w:type="dxa"/>
            <w:vAlign w:val="bottom"/>
            <w:tcBorders>
              <w:left w:val="single" w:sz="8" w:color="auto"/>
              <w:bottom w:val="single" w:sz="8" w:color="auto"/>
            </w:tcBorders>
          </w:tcPr>
          <w:p>
            <w:pPr>
              <w:ind w:left="80"/>
              <w:spacing w:after="0" w:line="28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Scientific Officer(9)</w:t>
            </w: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 ​ 2025 ​ ​559,532 ​ ​</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 ​ 398,329</w:t>
            </w: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 ​  8,327</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201,007</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 ​1,167,015</w:t>
            </w:r>
          </w:p>
        </w:tc>
        <w:tc>
          <w:tcPr>
            <w:tcW w:w="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1240" w:right="39" w:hanging="370"/>
        <w:spacing w:after="0" w:line="248" w:lineRule="auto"/>
        <w:tabs>
          <w:tab w:leader="none" w:pos="1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Amounts shown in this column do not reflect dollar amounts actually received by our NEOs. Instead, these amounts reflect the aggregate grant date fair value of each restricted stock unit and stock option, as applicable, determined in accordance with the provisions of FASB ASC Topic 718. The assumptions made in the calculation of these amounts are included in Note 2 of the Notes to the Consolidated Financial Statements included in our 2025 Annual Report.</w:t>
      </w:r>
    </w:p>
    <w:p>
      <w:pPr>
        <w:spacing w:after="0" w:line="22" w:lineRule="exact"/>
        <w:rPr>
          <w:rFonts w:ascii="Arial" w:cs="Arial" w:eastAsia="Arial" w:hAnsi="Arial"/>
          <w:sz w:val="16"/>
          <w:szCs w:val="16"/>
          <w:color w:val="auto"/>
        </w:rPr>
      </w:pPr>
    </w:p>
    <w:p>
      <w:pPr>
        <w:jc w:val="both"/>
        <w:ind w:left="1240" w:right="19" w:hanging="370"/>
        <w:spacing w:after="0" w:line="257" w:lineRule="auto"/>
        <w:tabs>
          <w:tab w:leader="none" w:pos="1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Amounts shown for 2025 are cash incentive payments earned in respect of 2025 performance and paid in the first quarter of 2026. Amounts shown for 2024 are cash incentive payments earned in respect of 2024 performance and paid in the first quarter of 2025.</w:t>
      </w:r>
    </w:p>
    <w:p>
      <w:pPr>
        <w:spacing w:after="0" w:line="29" w:lineRule="exact"/>
        <w:rPr>
          <w:rFonts w:ascii="Arial" w:cs="Arial" w:eastAsia="Arial" w:hAnsi="Arial"/>
          <w:sz w:val="16"/>
          <w:szCs w:val="16"/>
          <w:color w:val="auto"/>
        </w:rPr>
      </w:pPr>
    </w:p>
    <w:p>
      <w:pPr>
        <w:ind w:left="1240" w:hanging="370"/>
        <w:spacing w:after="0"/>
        <w:tabs>
          <w:tab w:leader="none" w:pos="1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Unless otherwise noted, amounts represent 401(k) matching contributions.</w:t>
      </w:r>
    </w:p>
    <w:p>
      <w:pPr>
        <w:spacing w:after="0" w:line="59" w:lineRule="exact"/>
        <w:rPr>
          <w:rFonts w:ascii="Arial" w:cs="Arial" w:eastAsia="Arial" w:hAnsi="Arial"/>
          <w:sz w:val="16"/>
          <w:szCs w:val="16"/>
          <w:color w:val="auto"/>
        </w:rPr>
      </w:pPr>
    </w:p>
    <w:p>
      <w:pPr>
        <w:ind w:left="1240" w:right="39" w:hanging="370"/>
        <w:spacing w:after="0" w:line="281" w:lineRule="auto"/>
        <w:tabs>
          <w:tab w:leader="none" w:pos="1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Dr. Pfeiffenberger was appointed President and Chief Executive Officer in December 2023, and Chairman of the Board in August 2025.</w:t>
      </w:r>
    </w:p>
    <w:p>
      <w:pPr>
        <w:spacing w:after="0" w:line="1" w:lineRule="exact"/>
        <w:rPr>
          <w:rFonts w:ascii="Arial" w:cs="Arial" w:eastAsia="Arial" w:hAnsi="Arial"/>
          <w:sz w:val="16"/>
          <w:szCs w:val="16"/>
          <w:color w:val="auto"/>
        </w:rPr>
      </w:pPr>
    </w:p>
    <w:p>
      <w:pPr>
        <w:jc w:val="both"/>
        <w:ind w:left="1240" w:right="19" w:hanging="370"/>
        <w:spacing w:after="0" w:line="248" w:lineRule="auto"/>
        <w:tabs>
          <w:tab w:leader="none" w:pos="1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a retention bonus paid in 2024 to Dr. Pfeiffenberger in connection with the commencement of his employment with us, subject to repayment in full if Dr. Pfeiffenberger’s employment had terminated for any reason other than death, disability, resignation for good reason, or termination without cause, in each case prior to the one-year anniversary of his start date.</w:t>
      </w:r>
    </w:p>
    <w:p>
      <w:pPr>
        <w:spacing w:after="0" w:line="36" w:lineRule="exact"/>
        <w:rPr>
          <w:rFonts w:ascii="Arial" w:cs="Arial" w:eastAsia="Arial" w:hAnsi="Arial"/>
          <w:sz w:val="16"/>
          <w:szCs w:val="16"/>
          <w:color w:val="auto"/>
        </w:rPr>
      </w:pPr>
    </w:p>
    <w:p>
      <w:pPr>
        <w:ind w:left="1240" w:right="39" w:hanging="370"/>
        <w:spacing w:after="0" w:line="268" w:lineRule="auto"/>
        <w:tabs>
          <w:tab w:leader="none" w:pos="1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(i) 401(k) matching contributions in an amount of $13,800 and (ii) reimbursement for relocation expenses Dr. Pfeiffenberger received in an amount of $258,929.</w:t>
      </w:r>
    </w:p>
    <w:p>
      <w:pPr>
        <w:spacing w:after="0" w:line="21" w:lineRule="exact"/>
        <w:rPr>
          <w:rFonts w:ascii="Arial" w:cs="Arial" w:eastAsia="Arial" w:hAnsi="Arial"/>
          <w:sz w:val="16"/>
          <w:szCs w:val="16"/>
          <w:color w:val="auto"/>
        </w:rPr>
      </w:pPr>
    </w:p>
    <w:p>
      <w:pPr>
        <w:ind w:left="1240" w:hanging="370"/>
        <w:spacing w:after="0"/>
        <w:tabs>
          <w:tab w:leader="none" w:pos="1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Dr. Farid’s employment as Chief Development Officer ended on July 31, 2025.</w:t>
      </w:r>
    </w:p>
    <w:p>
      <w:pPr>
        <w:spacing w:after="0" w:line="72" w:lineRule="exact"/>
        <w:rPr>
          <w:rFonts w:ascii="Arial" w:cs="Arial" w:eastAsia="Arial" w:hAnsi="Arial"/>
          <w:sz w:val="16"/>
          <w:szCs w:val="16"/>
          <w:color w:val="auto"/>
        </w:rPr>
      </w:pPr>
    </w:p>
    <w:p>
      <w:pPr>
        <w:jc w:val="both"/>
        <w:ind w:left="1240" w:right="19" w:hanging="370"/>
        <w:spacing w:after="0" w:line="248" w:lineRule="auto"/>
        <w:tabs>
          <w:tab w:leader="none" w:pos="1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(i) 401(k) matching contributions in an amount of $5,381, (ii) a COBRA benefits payment in an amount of $3,180 and (iii) the payment of severance under Dr. Farid’s employment agreement in an amount equal to (a) $398,888, representing nine months of base salary and (b) $126,066, representing a prorated 2025 annual bonus, paid at target.</w:t>
      </w:r>
    </w:p>
    <w:p>
      <w:pPr>
        <w:spacing w:after="0" w:line="37" w:lineRule="exact"/>
        <w:rPr>
          <w:rFonts w:ascii="Arial" w:cs="Arial" w:eastAsia="Arial" w:hAnsi="Arial"/>
          <w:sz w:val="16"/>
          <w:szCs w:val="16"/>
          <w:color w:val="auto"/>
        </w:rPr>
      </w:pPr>
    </w:p>
    <w:p>
      <w:pPr>
        <w:ind w:left="1240" w:hanging="370"/>
        <w:spacing w:after="0"/>
        <w:tabs>
          <w:tab w:leader="none" w:pos="1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Dr. Cowan was not an NEO in 2024.</w:t>
      </w:r>
    </w:p>
    <w:p>
      <w:pPr>
        <w:spacing w:after="0" w:line="218"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Narrative to the Summary Compensation Table and Elements of Compensation</w:t>
      </w:r>
    </w:p>
    <w:p>
      <w:pPr>
        <w:spacing w:after="0" w:line="156" w:lineRule="exact"/>
        <w:rPr>
          <w:sz w:val="20"/>
          <w:szCs w:val="20"/>
          <w:color w:val="auto"/>
        </w:rPr>
      </w:pPr>
    </w:p>
    <w:p>
      <w:pPr>
        <w:ind w:left="880" w:right="19"/>
        <w:spacing w:after="0" w:line="287" w:lineRule="auto"/>
        <w:rPr>
          <w:sz w:val="20"/>
          <w:szCs w:val="20"/>
          <w:color w:val="auto"/>
        </w:rPr>
      </w:pPr>
      <w:r>
        <w:rPr>
          <w:rFonts w:ascii="Arial" w:cs="Arial" w:eastAsia="Arial" w:hAnsi="Arial"/>
          <w:sz w:val="18"/>
          <w:szCs w:val="18"/>
          <w:color w:val="auto"/>
        </w:rPr>
        <w:t>The compensation of our NEOs generally consists of base salary, annual cash incentive opportunities, long-term incentive compensation in the form of equity awards, and other benefits, as described below.</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​EXECUTIVE COMPENSATION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Base salary</w:t>
      </w:r>
    </w:p>
    <w:p>
      <w:pPr>
        <w:spacing w:after="0" w:line="142" w:lineRule="exact"/>
        <w:rPr>
          <w:sz w:val="20"/>
          <w:szCs w:val="20"/>
          <w:color w:val="auto"/>
        </w:rPr>
      </w:pPr>
    </w:p>
    <w:p>
      <w:pPr>
        <w:jc w:val="both"/>
        <w:ind w:left="880" w:right="19"/>
        <w:spacing w:after="0" w:line="252" w:lineRule="auto"/>
        <w:rPr>
          <w:sz w:val="20"/>
          <w:szCs w:val="20"/>
          <w:color w:val="auto"/>
        </w:rPr>
      </w:pPr>
      <w:r>
        <w:rPr>
          <w:rFonts w:ascii="Arial" w:cs="Arial" w:eastAsia="Arial" w:hAnsi="Arial"/>
          <w:sz w:val="18"/>
          <w:szCs w:val="18"/>
          <w:color w:val="auto"/>
        </w:rPr>
        <w:t>The base salary payable to each NEO is intended to provide a fixed component of compensation reflecting the executive’s skill set, experience, role, responsibilities, and contributions. Each NEO’s initial base salary was specified in his or her employment agreement, as described below, and is reviewed (and, if applicable, adjusted) from time to time by our Board or Compensation Committee, as applicable.</w:t>
      </w:r>
    </w:p>
    <w:p>
      <w:pPr>
        <w:spacing w:after="0" w:line="103" w:lineRule="exact"/>
        <w:rPr>
          <w:sz w:val="20"/>
          <w:szCs w:val="20"/>
          <w:color w:val="auto"/>
        </w:rPr>
      </w:pPr>
    </w:p>
    <w:p>
      <w:pPr>
        <w:jc w:val="both"/>
        <w:ind w:left="880" w:right="39"/>
        <w:spacing w:after="0" w:line="287" w:lineRule="auto"/>
        <w:rPr>
          <w:sz w:val="20"/>
          <w:szCs w:val="20"/>
          <w:color w:val="auto"/>
        </w:rPr>
      </w:pPr>
      <w:r>
        <w:rPr>
          <w:rFonts w:ascii="Arial" w:cs="Arial" w:eastAsia="Arial" w:hAnsi="Arial"/>
          <w:sz w:val="18"/>
          <w:szCs w:val="18"/>
          <w:color w:val="auto"/>
        </w:rPr>
        <w:t>Effective March 1, 2025, the annual base salary rates for our NEOs were $643,800 for Dr. Pfeiffenberger, $562,400 for Dr. Russotti, $531,800 for Dr. Farid and $551,000 for Dr. Cowan.</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Annual Incentive Opportunities</w:t>
      </w:r>
    </w:p>
    <w:p>
      <w:pPr>
        <w:spacing w:after="0" w:line="156" w:lineRule="exact"/>
        <w:rPr>
          <w:sz w:val="20"/>
          <w:szCs w:val="20"/>
          <w:color w:val="auto"/>
        </w:rPr>
      </w:pPr>
    </w:p>
    <w:p>
      <w:pPr>
        <w:jc w:val="both"/>
        <w:ind w:left="880" w:right="19"/>
        <w:spacing w:after="0" w:line="252" w:lineRule="auto"/>
        <w:rPr>
          <w:sz w:val="20"/>
          <w:szCs w:val="20"/>
          <w:color w:val="auto"/>
        </w:rPr>
      </w:pPr>
      <w:r>
        <w:rPr>
          <w:rFonts w:ascii="Arial" w:cs="Arial" w:eastAsia="Arial" w:hAnsi="Arial"/>
          <w:sz w:val="18"/>
          <w:szCs w:val="18"/>
          <w:color w:val="auto"/>
        </w:rPr>
        <w:t>Each of our NEO’s annual non-equity incentive opportunity is expressed as a percentage of base salary that can be earned based on the achievement of predetermined corporate and individual performance objectives. The 2025 annual bonus opportunities for Dr. Pfeiffenberger, Dr. Russotti, Dr. Farid and Dr. Cowan were targeted at 55%, 45%, 40% and 40% of their respective base salaries.</w:t>
      </w:r>
    </w:p>
    <w:p>
      <w:pPr>
        <w:spacing w:after="0" w:line="103" w:lineRule="exact"/>
        <w:rPr>
          <w:sz w:val="20"/>
          <w:szCs w:val="20"/>
          <w:color w:val="auto"/>
        </w:rPr>
      </w:pPr>
    </w:p>
    <w:p>
      <w:pPr>
        <w:jc w:val="both"/>
        <w:ind w:left="880" w:right="19"/>
        <w:spacing w:after="0" w:line="244" w:lineRule="auto"/>
        <w:rPr>
          <w:sz w:val="20"/>
          <w:szCs w:val="20"/>
          <w:color w:val="auto"/>
        </w:rPr>
      </w:pPr>
      <w:r>
        <w:rPr>
          <w:rFonts w:ascii="Arial" w:cs="Arial" w:eastAsia="Arial" w:hAnsi="Arial"/>
          <w:sz w:val="18"/>
          <w:szCs w:val="18"/>
          <w:color w:val="auto"/>
        </w:rPr>
        <w:t>For 2025, all NEOs were eligible to earn their annual cash incentives pursuant to the achievement of corporate and/or individual performance goals approved by our Board. These goals primarily related to pipeline and platform development, manufacturing, business development and financing. The Board determined that the 2025 corporate goals were achieved at 90% for Dr. Pfeiffenberger, Dr. Russotti and Dr. Cowan. Following a review of 2025 performance, our Compensation Committee approved, and, in the case of Dr. Pfeiffenberger, our Compensation Committee recommended and our Board approved, 2025 annual cash incentive payouts to each of Dr. Pfeiffenberger, Dr. Russotti and Dr. Cowan equal to $317,109.40, $226,658 and $201,008, respectively, in each case representing 90% of the target cash incentive for each such NEO. Dr. Farid was not eligible to receive an annual cash incentive for 2025 due to her departure, but was eligible to receive a prorated 2025 bonus, assuming target achievement, in connection with her termination.</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Long Term Equity Incentives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Annual Equity Grants</w:t>
      </w:r>
    </w:p>
    <w:p>
      <w:pPr>
        <w:spacing w:after="0" w:line="156" w:lineRule="exact"/>
        <w:rPr>
          <w:sz w:val="20"/>
          <w:szCs w:val="20"/>
          <w:color w:val="auto"/>
        </w:rPr>
      </w:pPr>
    </w:p>
    <w:p>
      <w:pPr>
        <w:jc w:val="both"/>
        <w:ind w:left="880" w:right="19"/>
        <w:spacing w:after="0" w:line="244" w:lineRule="auto"/>
        <w:rPr>
          <w:sz w:val="20"/>
          <w:szCs w:val="20"/>
          <w:color w:val="auto"/>
        </w:rPr>
      </w:pPr>
      <w:r>
        <w:rPr>
          <w:rFonts w:ascii="Arial" w:cs="Arial" w:eastAsia="Arial" w:hAnsi="Arial"/>
          <w:sz w:val="18"/>
          <w:szCs w:val="18"/>
          <w:color w:val="auto"/>
        </w:rPr>
        <w:t>Our equity-based incentive awards are designed to align the interests of our stockholders with those of our NEOs. Our Board or Compensation Committee, as applicable, approves equity grants to NEOs under our 2021 Plan. In March 2025, our Compensation Committee recommended and our Board approved, an equity grant to Dr. Pfeiffenberger of (i) an option to purchase 521,500 shares of common stock and (ii) 521,500 restricted stock units, or RSUs. In March 2025, our Compensation Committee approved equity grants to Dr. Russotti, Dr. Farid and Dr. Cowan consisting of (i) an option to purchase 120,000, 120,000 and 19,500 shares of common stock, respectively and 120,000, 120,000 and 19,500 RSUs, respectively. Dr. Pfeiffenberger also received a grant of 1,587,614 RSUs as a retention award in August 2025.</w:t>
      </w:r>
    </w:p>
    <w:p>
      <w:pPr>
        <w:spacing w:after="0" w:line="112" w:lineRule="exact"/>
        <w:rPr>
          <w:sz w:val="20"/>
          <w:szCs w:val="20"/>
          <w:color w:val="auto"/>
        </w:rPr>
      </w:pPr>
    </w:p>
    <w:p>
      <w:pPr>
        <w:jc w:val="both"/>
        <w:ind w:left="880" w:right="19"/>
        <w:spacing w:after="0" w:line="252" w:lineRule="auto"/>
        <w:rPr>
          <w:sz w:val="20"/>
          <w:szCs w:val="20"/>
          <w:color w:val="auto"/>
        </w:rPr>
      </w:pPr>
      <w:r>
        <w:rPr>
          <w:rFonts w:ascii="Arial" w:cs="Arial" w:eastAsia="Arial" w:hAnsi="Arial"/>
          <w:sz w:val="18"/>
          <w:szCs w:val="18"/>
          <w:color w:val="auto"/>
        </w:rPr>
        <w:t>Stock options awarded to our NEOs generally vest 25% on the first anniversary of the grant date, with the remaining 75% vesting in equal monthly installments on the last day of each of the 36 calendar months immediately following the first anniversary of the grant date, subject generally to the NEO’s continuous service through the relevant vesting dates.</w:t>
      </w:r>
    </w:p>
    <w:p>
      <w:pPr>
        <w:spacing w:after="0" w:line="103" w:lineRule="exact"/>
        <w:rPr>
          <w:sz w:val="20"/>
          <w:szCs w:val="20"/>
          <w:color w:val="auto"/>
        </w:rPr>
      </w:pPr>
    </w:p>
    <w:p>
      <w:pPr>
        <w:jc w:val="both"/>
        <w:ind w:left="880" w:right="19"/>
        <w:spacing w:after="0" w:line="252" w:lineRule="auto"/>
        <w:rPr>
          <w:sz w:val="20"/>
          <w:szCs w:val="20"/>
          <w:color w:val="auto"/>
        </w:rPr>
      </w:pPr>
      <w:r>
        <w:rPr>
          <w:rFonts w:ascii="Arial" w:cs="Arial" w:eastAsia="Arial" w:hAnsi="Arial"/>
          <w:sz w:val="18"/>
          <w:szCs w:val="18"/>
          <w:color w:val="auto"/>
        </w:rPr>
        <w:t>Other than the retention RSUs awarded to Dr. Pfeiffenberger in August 2025, RSUs awarded to our NEOs generally vest 25% on the first anniversary of the date of grant for each employee, with the remaining with the remaining 75% vesting on a quarterly basis for the three years thereafter, subject to the NEO’s continued employment with the Company.</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Other Benefits</w:t>
      </w:r>
    </w:p>
    <w:p>
      <w:pPr>
        <w:spacing w:after="0" w:line="156" w:lineRule="exact"/>
        <w:rPr>
          <w:sz w:val="20"/>
          <w:szCs w:val="20"/>
          <w:color w:val="auto"/>
        </w:rPr>
      </w:pPr>
    </w:p>
    <w:p>
      <w:pPr>
        <w:jc w:val="both"/>
        <w:ind w:left="880" w:right="39"/>
        <w:spacing w:after="0" w:line="271" w:lineRule="auto"/>
        <w:rPr>
          <w:sz w:val="20"/>
          <w:szCs w:val="20"/>
          <w:color w:val="auto"/>
        </w:rPr>
      </w:pPr>
      <w:r>
        <w:rPr>
          <w:rFonts w:ascii="Arial" w:cs="Arial" w:eastAsia="Arial" w:hAnsi="Arial"/>
          <w:sz w:val="18"/>
          <w:szCs w:val="18"/>
          <w:color w:val="auto"/>
        </w:rPr>
        <w:t>Our NEOs are eligible for the same welfare benefits that are generally available to all of our salaried employees, including health, dental, life, vision, and disability insurance.</w:t>
      </w:r>
    </w:p>
    <w:p>
      <w:pPr>
        <w:spacing w:after="0" w:line="86" w:lineRule="exact"/>
        <w:rPr>
          <w:sz w:val="20"/>
          <w:szCs w:val="20"/>
          <w:color w:val="auto"/>
        </w:rPr>
      </w:pPr>
    </w:p>
    <w:p>
      <w:pPr>
        <w:jc w:val="both"/>
        <w:ind w:left="880" w:right="19"/>
        <w:spacing w:after="0" w:line="261" w:lineRule="auto"/>
        <w:rPr>
          <w:sz w:val="20"/>
          <w:szCs w:val="20"/>
          <w:color w:val="auto"/>
        </w:rPr>
      </w:pPr>
      <w:r>
        <w:rPr>
          <w:rFonts w:ascii="Arial" w:cs="Arial" w:eastAsia="Arial" w:hAnsi="Arial"/>
          <w:sz w:val="18"/>
          <w:szCs w:val="18"/>
          <w:color w:val="auto"/>
        </w:rPr>
        <w:t>In addition, we maintain, and the NEOs are eligible to participate in, a 401(k) plan that provides eligible employees with an opportunity to save for retirement on a tax-advantaged basis and under which we make safe harbor matching</w:t>
      </w:r>
    </w:p>
    <w:p>
      <w:pPr>
        <w:spacing w:after="0" w:line="270"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​EXECUTIVE COMPENSATION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19"/>
        <w:spacing w:after="0" w:line="267" w:lineRule="auto"/>
        <w:rPr>
          <w:sz w:val="20"/>
          <w:szCs w:val="20"/>
          <w:color w:val="auto"/>
        </w:rPr>
      </w:pPr>
      <w:r>
        <w:rPr>
          <w:rFonts w:ascii="Arial" w:cs="Arial" w:eastAsia="Arial" w:hAnsi="Arial"/>
          <w:sz w:val="18"/>
          <w:szCs w:val="18"/>
          <w:color w:val="auto"/>
        </w:rPr>
        <w:t>employer contributions. We match 100% of each participating employee’s contributions (up to the first 3% of eligible compensation) and 50% of the participating employee’s contributions (for the next 2% of eligible compensation), and participants are always fully vested in these employer matching contributions. For 2025, the Internal Revenue Service, or IRS, limit on eligible compensation for this purpose was $350,000. Employees’ pre-tax contributions are allocated to each participant’s individual account and are then invested in selected investment alternatives according to the participant’s directions. The 401(k) plan is intended to be qualified under Section 401(a) of the Internal Revenue Code.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INSIDER TRADING POLICY</w:t>
      </w:r>
    </w:p>
    <w:p>
      <w:pPr>
        <w:spacing w:after="0" w:line="158" w:lineRule="exact"/>
        <w:rPr>
          <w:sz w:val="20"/>
          <w:szCs w:val="20"/>
          <w:color w:val="auto"/>
        </w:rPr>
      </w:pPr>
    </w:p>
    <w:p>
      <w:pPr>
        <w:jc w:val="both"/>
        <w:ind w:left="880" w:right="19"/>
        <w:spacing w:after="0" w:line="266" w:lineRule="auto"/>
        <w:rPr>
          <w:sz w:val="20"/>
          <w:szCs w:val="20"/>
          <w:color w:val="auto"/>
        </w:rPr>
      </w:pPr>
      <w:r>
        <w:rPr>
          <w:rFonts w:ascii="Arial" w:cs="Arial" w:eastAsia="Arial" w:hAnsi="Arial"/>
          <w:sz w:val="18"/>
          <w:szCs w:val="18"/>
          <w:color w:val="auto"/>
        </w:rPr>
        <w:t>We have adopted an Insider Trading Policy governing the purchase, sale, and other dispositions of securities of Century by directors, officers, and employees that we believe are reasonably designed to promote compliance with insider trading laws, rules and regulations, and applicable Nasdaq listing standards. Our Insider Trading Policy states, among other things, that our directors, officers, and employees are prohibited from trading in such securities while in possession of material, nonpublic information. In addition, with regard to trading in our own securities, it is our policy to comply with the federal securities laws and the applicable exchange listing requirements. A copy of our Insider Trading Policy is filed as Exhibit 19.1 to our Annual Report on Form 10-K for the year ended December 31, 2025.</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PLEDGING AND HEDGING POLICIES</w:t>
      </w:r>
    </w:p>
    <w:p>
      <w:pPr>
        <w:spacing w:after="0" w:line="158" w:lineRule="exact"/>
        <w:rPr>
          <w:sz w:val="20"/>
          <w:szCs w:val="20"/>
          <w:color w:val="auto"/>
        </w:rPr>
      </w:pPr>
    </w:p>
    <w:p>
      <w:pPr>
        <w:jc w:val="both"/>
        <w:ind w:left="880" w:right="39"/>
        <w:spacing w:after="0" w:line="294" w:lineRule="auto"/>
        <w:rPr>
          <w:sz w:val="20"/>
          <w:szCs w:val="20"/>
          <w:color w:val="auto"/>
        </w:rPr>
      </w:pPr>
      <w:r>
        <w:rPr>
          <w:rFonts w:ascii="Arial" w:cs="Arial" w:eastAsia="Arial" w:hAnsi="Arial"/>
          <w:sz w:val="17"/>
          <w:szCs w:val="17"/>
          <w:color w:val="auto"/>
        </w:rPr>
        <w:t>Under the terms of our Insider Trading Policy, our executive officers and directors are prohibited from: trading in call or put options involving our securities and other derivative securities; engaging in short sales of our securities; holding our securities in a margin account; all forms of hedging or monetizing our transactions, such as zero-cost collars and forward sale contracts; and pledging company securities to secure margin or other loans.</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COMPENSATION RECOVERY POLICY</w:t>
      </w:r>
    </w:p>
    <w:p>
      <w:pPr>
        <w:spacing w:after="0" w:line="144" w:lineRule="exact"/>
        <w:rPr>
          <w:sz w:val="20"/>
          <w:szCs w:val="20"/>
          <w:color w:val="auto"/>
        </w:rPr>
      </w:pPr>
    </w:p>
    <w:p>
      <w:pPr>
        <w:jc w:val="both"/>
        <w:ind w:left="880" w:right="19"/>
        <w:spacing w:after="0" w:line="264" w:lineRule="auto"/>
        <w:rPr>
          <w:sz w:val="20"/>
          <w:szCs w:val="20"/>
          <w:color w:val="auto"/>
        </w:rPr>
      </w:pPr>
      <w:r>
        <w:rPr>
          <w:rFonts w:ascii="Arial" w:cs="Arial" w:eastAsia="Arial" w:hAnsi="Arial"/>
          <w:sz w:val="18"/>
          <w:szCs w:val="18"/>
          <w:color w:val="auto"/>
        </w:rPr>
        <w:t>Our Board has adopted a compensation recoupment or “clawback” policy, applicable to all officers subject to Section 16 of the Exchange Act. Under this policy, we will pursue recoupment of any excess compensation, which was awarded to a covered officer based on financial statements of the Company where such statements are required to be restated. In addition to recoupment of any excess compensation, we will seek to recoup up to 100% of all incentive-based compensation in the case of (i) willful, knowing or intentional misconduct or a willful, knowing or intentional violation of any of the rules or applicable legal or regulatory requirements or (ii) fraud in the course of a covered employee’s employment. The recovery period for recoupment of any compensation is up to three fiscal years preceding the date on which we determine we are required to prepare and file the restated financial statements. This policy has been adopted to comply with the final guidance under Section 954 of the Dodd-Frank Wall Street Reform and Consumer Protection Act of 2010, or the Dodd-Frank Act.</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POLICIES AND PRACTICES REGARDING GRANTS OF EQUITY AWARDS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Compensation Committee and Board generally make equity grants on regularly scheduled dates, including</w:t>
      </w:r>
    </w:p>
    <w:p>
      <w:pPr>
        <w:spacing w:after="0" w:line="32" w:lineRule="exact"/>
        <w:rPr>
          <w:sz w:val="20"/>
          <w:szCs w:val="20"/>
          <w:color w:val="auto"/>
        </w:rPr>
      </w:pPr>
    </w:p>
    <w:p>
      <w:pPr>
        <w:jc w:val="both"/>
        <w:ind w:left="880" w:right="19" w:hanging="10"/>
        <w:spacing w:after="0" w:line="268" w:lineRule="auto"/>
        <w:tabs>
          <w:tab w:leader="none" w:pos="111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first quarter of the fiscal year for executive officers and other employees and (ii) following our annual meetings of shareholders for non-employee directors. In certain circumstances, such as in connection with new hires, promotions or similar events, or where the Board or Compensation Committee determines that making grants on such date would be in the Company’s best interest, the Board or Compensation Committee may change a regularly scheduled grant date and approve the grant of equity awards at other times.</w:t>
      </w:r>
    </w:p>
    <w:p>
      <w:pPr>
        <w:spacing w:after="0" w:line="104" w:lineRule="exact"/>
        <w:rPr>
          <w:sz w:val="20"/>
          <w:szCs w:val="20"/>
          <w:color w:val="auto"/>
        </w:rPr>
      </w:pPr>
    </w:p>
    <w:p>
      <w:pPr>
        <w:jc w:val="both"/>
        <w:ind w:left="880" w:right="39"/>
        <w:spacing w:after="0" w:line="267" w:lineRule="auto"/>
        <w:rPr>
          <w:sz w:val="20"/>
          <w:szCs w:val="20"/>
          <w:color w:val="auto"/>
        </w:rPr>
      </w:pPr>
      <w:r>
        <w:rPr>
          <w:rFonts w:ascii="Arial" w:cs="Arial" w:eastAsia="Arial" w:hAnsi="Arial"/>
          <w:sz w:val="18"/>
          <w:szCs w:val="18"/>
          <w:color w:val="auto"/>
        </w:rPr>
        <w:t>During 2025, our Compensation Committee did not take into account any material nonpublic information when determining the timing and terms of equity incentive awards and we did not time the disclosure of material nonpublic information for the purpose of affecting the value of such awards. No stock options were granted during the period beginning four business days before the filing of a periodic report on Form 10-Q or Form 10-K, or the filing or furnishing of a current report on Form 8-K that disclosed material nonpublic information, and ending one business day after the filing or furnishing of such report.</w:t>
      </w:r>
    </w:p>
    <w:p>
      <w:pPr>
        <w:spacing w:after="0" w:line="292"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​EXECUTIVE COMPENSATION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44" w:lineRule="exact"/>
        <w:rPr>
          <w:sz w:val="20"/>
          <w:szCs w:val="20"/>
          <w:color w:val="auto"/>
        </w:rPr>
      </w:pPr>
    </w:p>
    <w:p>
      <w:pPr>
        <w:ind w:left="880" w:right="39"/>
        <w:spacing w:after="0" w:line="287" w:lineRule="auto"/>
        <w:rPr>
          <w:sz w:val="20"/>
          <w:szCs w:val="20"/>
          <w:color w:val="auto"/>
        </w:rPr>
      </w:pPr>
      <w:r>
        <w:rPr>
          <w:rFonts w:ascii="Arial" w:cs="Arial" w:eastAsia="Arial" w:hAnsi="Arial"/>
          <w:sz w:val="18"/>
          <w:szCs w:val="18"/>
          <w:color w:val="auto"/>
        </w:rPr>
        <w:t>The following table sets forth information regarding the number of shares of common stock underlying outstanding plan awards held by each of our NEOs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74930</wp:posOffset>
            </wp:positionV>
            <wp:extent cx="1817370" cy="8743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817370" cy="874395"/>
                    </a:xfrm>
                    <a:prstGeom prst="rect">
                      <a:avLst/>
                    </a:prstGeom>
                    <a:noFill/>
                  </pic:spPr>
                </pic:pic>
              </a:graphicData>
            </a:graphic>
          </wp:anchor>
        </w:drawing>
      </w:r>
    </w:p>
    <w:p>
      <w:pPr>
        <w:spacing w:after="0" w:line="78" w:lineRule="exact"/>
        <w:rPr>
          <w:sz w:val="20"/>
          <w:szCs w:val="20"/>
          <w:color w:val="auto"/>
        </w:rPr>
      </w:pPr>
    </w:p>
    <w:tbl>
      <w:tblPr>
        <w:tblLayout w:type="fixed"/>
        <w:tblInd w:w="870" w:type="dxa"/>
        <w:tblCellMar>
          <w:top w:w="0" w:type="dxa"/>
          <w:left w:w="0" w:type="dxa"/>
          <w:bottom w:w="0" w:type="dxa"/>
          <w:right w:w="0" w:type="dxa"/>
        </w:tblCellMar>
      </w:tblPr>
      <w:tr>
        <w:trPr>
          <w:trHeight w:val="288"/>
        </w:trPr>
        <w:tc>
          <w:tcPr>
            <w:tcW w:w="1780" w:type="dxa"/>
            <w:vAlign w:val="bottom"/>
            <w:tcBorders>
              <w:top w:val="single" w:sz="8" w:color="auto"/>
              <w:left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auto"/>
              <w:bottom w:val="single" w:sz="8" w:color="148CD9"/>
            </w:tcBorders>
            <w:gridSpan w:val="2"/>
            <w:shd w:val="clear" w:color="auto" w:fill="148CD9"/>
          </w:tcPr>
          <w:p>
            <w:pPr>
              <w:jc w:val="right"/>
              <w:spacing w:after="0"/>
              <w:rPr>
                <w:sz w:val="20"/>
                <w:szCs w:val="20"/>
                <w:color w:val="auto"/>
              </w:rPr>
            </w:pPr>
            <w:r>
              <w:rPr>
                <w:rFonts w:ascii="Arial" w:cs="Arial" w:eastAsia="Arial" w:hAnsi="Arial"/>
                <w:sz w:val="13"/>
                <w:szCs w:val="13"/>
                <w:b w:val="1"/>
                <w:bCs w:val="1"/>
                <w:color w:val="FFFFFF"/>
              </w:rPr>
              <w:t>​</w:t>
            </w:r>
          </w:p>
        </w:tc>
        <w:tc>
          <w:tcPr>
            <w:tcW w:w="920" w:type="dxa"/>
            <w:vAlign w:val="bottom"/>
            <w:tcBorders>
              <w:top w:val="single" w:sz="8" w:color="auto"/>
              <w:bottom w:val="single" w:sz="8" w:color="148CD9"/>
            </w:tcBorders>
            <w:shd w:val="clear" w:color="auto" w:fill="148CD9"/>
          </w:tcPr>
          <w:p>
            <w:pPr>
              <w:spacing w:after="0"/>
              <w:rPr>
                <w:sz w:val="24"/>
                <w:szCs w:val="24"/>
                <w:color w:val="auto"/>
              </w:rPr>
            </w:pPr>
          </w:p>
        </w:tc>
        <w:tc>
          <w:tcPr>
            <w:tcW w:w="140" w:type="dxa"/>
            <w:vAlign w:val="bottom"/>
            <w:tcBorders>
              <w:top w:val="single" w:sz="8" w:color="auto"/>
              <w:bottom w:val="single" w:sz="8" w:color="148CD9"/>
            </w:tcBorders>
            <w:shd w:val="clear" w:color="auto" w:fill="148CD9"/>
          </w:tcPr>
          <w:p>
            <w:pPr>
              <w:spacing w:after="0"/>
              <w:rPr>
                <w:sz w:val="24"/>
                <w:szCs w:val="24"/>
                <w:color w:val="auto"/>
              </w:rPr>
            </w:pPr>
          </w:p>
        </w:tc>
        <w:tc>
          <w:tcPr>
            <w:tcW w:w="1820" w:type="dxa"/>
            <w:vAlign w:val="bottom"/>
            <w:tcBorders>
              <w:top w:val="single" w:sz="8" w:color="auto"/>
              <w:bottom w:val="single" w:sz="8" w:color="148CD9"/>
            </w:tcBorders>
            <w:gridSpan w:val="3"/>
            <w:shd w:val="clear" w:color="auto" w:fill="148CD9"/>
          </w:tcPr>
          <w:p>
            <w:pPr>
              <w:ind w:left="300"/>
              <w:spacing w:after="0"/>
              <w:rPr>
                <w:sz w:val="20"/>
                <w:szCs w:val="20"/>
                <w:color w:val="auto"/>
              </w:rPr>
            </w:pPr>
            <w:r>
              <w:rPr>
                <w:rFonts w:ascii="Arial" w:cs="Arial" w:eastAsia="Arial" w:hAnsi="Arial"/>
                <w:sz w:val="13"/>
                <w:szCs w:val="13"/>
                <w:b w:val="1"/>
                <w:bCs w:val="1"/>
                <w:color w:val="FFFFFF"/>
              </w:rPr>
              <w:t>OPTION AWARDS</w:t>
            </w:r>
          </w:p>
        </w:tc>
        <w:tc>
          <w:tcPr>
            <w:tcW w:w="180" w:type="dxa"/>
            <w:vAlign w:val="bottom"/>
            <w:tcBorders>
              <w:top w:val="single" w:sz="8" w:color="auto"/>
              <w:bottom w:val="single" w:sz="8" w:color="148CD9"/>
            </w:tcBorders>
            <w:shd w:val="clear" w:color="auto" w:fill="148CD9"/>
          </w:tcPr>
          <w:p>
            <w:pPr>
              <w:spacing w:after="0"/>
              <w:rPr>
                <w:sz w:val="24"/>
                <w:szCs w:val="24"/>
                <w:color w:val="auto"/>
              </w:rPr>
            </w:pPr>
          </w:p>
        </w:tc>
        <w:tc>
          <w:tcPr>
            <w:tcW w:w="720" w:type="dxa"/>
            <w:vAlign w:val="bottom"/>
            <w:tcBorders>
              <w:top w:val="single" w:sz="8" w:color="auto"/>
              <w:bottom w:val="single" w:sz="8" w:color="148CD9"/>
            </w:tcBorders>
            <w:shd w:val="clear" w:color="auto" w:fill="148CD9"/>
          </w:tcPr>
          <w:p>
            <w:pPr>
              <w:spacing w:after="0"/>
              <w:rPr>
                <w:sz w:val="24"/>
                <w:szCs w:val="24"/>
                <w:color w:val="auto"/>
              </w:rPr>
            </w:pPr>
          </w:p>
        </w:tc>
        <w:tc>
          <w:tcPr>
            <w:tcW w:w="160" w:type="dxa"/>
            <w:vAlign w:val="bottom"/>
            <w:tcBorders>
              <w:top w:val="single" w:sz="8" w:color="auto"/>
              <w:bottom w:val="single" w:sz="8" w:color="148CD9"/>
            </w:tcBorders>
            <w:shd w:val="clear" w:color="auto" w:fill="148CD9"/>
          </w:tcPr>
          <w:p>
            <w:pPr>
              <w:ind w:left="40"/>
              <w:spacing w:after="0"/>
              <w:rPr>
                <w:sz w:val="20"/>
                <w:szCs w:val="20"/>
                <w:color w:val="auto"/>
              </w:rPr>
            </w:pPr>
            <w:r>
              <w:rPr>
                <w:rFonts w:ascii="Arial" w:cs="Arial" w:eastAsia="Arial" w:hAnsi="Arial"/>
                <w:sz w:val="13"/>
                <w:szCs w:val="13"/>
                <w:b w:val="1"/>
                <w:bCs w:val="1"/>
                <w:color w:val="FFFFFF"/>
              </w:rPr>
              <w:t>​ ​</w:t>
            </w:r>
          </w:p>
        </w:tc>
        <w:tc>
          <w:tcPr>
            <w:tcW w:w="2040" w:type="dxa"/>
            <w:vAlign w:val="bottom"/>
            <w:tcBorders>
              <w:top w:val="single" w:sz="8" w:color="auto"/>
              <w:bottom w:val="single" w:sz="8" w:color="148CD9"/>
            </w:tcBorders>
            <w:gridSpan w:val="3"/>
            <w:shd w:val="clear" w:color="auto" w:fill="148CD9"/>
          </w:tcPr>
          <w:p>
            <w:pPr>
              <w:ind w:left="500"/>
              <w:spacing w:after="0"/>
              <w:rPr>
                <w:sz w:val="20"/>
                <w:szCs w:val="20"/>
                <w:color w:val="auto"/>
              </w:rPr>
            </w:pPr>
            <w:r>
              <w:rPr>
                <w:rFonts w:ascii="Arial" w:cs="Arial" w:eastAsia="Arial" w:hAnsi="Arial"/>
                <w:sz w:val="13"/>
                <w:szCs w:val="13"/>
                <w:b w:val="1"/>
                <w:bCs w:val="1"/>
                <w:color w:val="FFFFFF"/>
              </w:rPr>
              <w:t>STOCK AWARDS</w:t>
            </w:r>
          </w:p>
        </w:tc>
        <w:tc>
          <w:tcPr>
            <w:tcW w:w="120" w:type="dxa"/>
            <w:vAlign w:val="bottom"/>
            <w:tcBorders>
              <w:top w:val="single" w:sz="8" w:color="auto"/>
              <w:bottom w:val="single" w:sz="8" w:color="148CD9"/>
              <w:right w:val="single" w:sz="8" w:color="auto"/>
            </w:tcBorders>
            <w:shd w:val="clear" w:color="auto" w:fill="148CD9"/>
          </w:tcPr>
          <w:p>
            <w:pPr>
              <w:ind w:left="40"/>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65"/>
        </w:trPr>
        <w:tc>
          <w:tcPr>
            <w:tcW w:w="1780" w:type="dxa"/>
            <w:vAlign w:val="bottom"/>
            <w:tcBorders>
              <w:lef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FFFFFF"/>
                <w:w w:val="96"/>
              </w:rPr>
              <w:t>NUMBER OF</w:t>
            </w: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center"/>
              <w:ind w:right="10"/>
              <w:spacing w:after="0"/>
              <w:rPr>
                <w:sz w:val="20"/>
                <w:szCs w:val="20"/>
                <w:color w:val="auto"/>
              </w:rPr>
            </w:pPr>
            <w:r>
              <w:rPr>
                <w:rFonts w:ascii="Arial" w:cs="Arial" w:eastAsia="Arial" w:hAnsi="Arial"/>
                <w:sz w:val="13"/>
                <w:szCs w:val="13"/>
                <w:b w:val="1"/>
                <w:bCs w:val="1"/>
                <w:color w:val="FFFFFF"/>
                <w:w w:val="96"/>
              </w:rPr>
              <w:t>NUMBER OF</w:t>
            </w: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FFFFFF"/>
                <w:w w:val="96"/>
              </w:rPr>
              <w:t>NUMBER OF</w:t>
            </w: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FFFFFF"/>
                <w:w w:val="94"/>
              </w:rPr>
              <w:t>MARKET VALUE</w:t>
            </w:r>
          </w:p>
        </w:tc>
        <w:tc>
          <w:tcPr>
            <w:tcW w:w="12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78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FFFFFF"/>
                <w:w w:val="95"/>
              </w:rPr>
              <w:t>SHARES OR</w:t>
            </w: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780" w:type="dxa"/>
            <w:vAlign w:val="bottom"/>
            <w:tcBorders>
              <w:left w:val="single" w:sz="8" w:color="auto"/>
            </w:tcBorders>
            <w:vMerge w:val="restart"/>
          </w:tcPr>
          <w:p>
            <w:pPr>
              <w:ind w:left="80"/>
              <w:spacing w:after="0"/>
              <w:rPr>
                <w:sz w:val="20"/>
                <w:szCs w:val="20"/>
                <w:color w:val="auto"/>
              </w:rPr>
            </w:pPr>
            <w:r>
              <w:rPr>
                <w:rFonts w:ascii="Arial" w:cs="Arial" w:eastAsia="Arial" w:hAnsi="Arial"/>
                <w:sz w:val="13"/>
                <w:szCs w:val="13"/>
                <w:b w:val="1"/>
                <w:bCs w:val="1"/>
                <w:color w:val="FFFFFF"/>
              </w:rPr>
              <w:t>​ NAME</w:t>
            </w:r>
          </w:p>
        </w:tc>
        <w:tc>
          <w:tcPr>
            <w:tcW w:w="110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FFFFFF"/>
              </w:rPr>
              <w:t>​ ​ GRANT DATE ​</w:t>
            </w:r>
          </w:p>
        </w:tc>
        <w:tc>
          <w:tcPr>
            <w:tcW w:w="20" w:type="dxa"/>
            <w:vAlign w:val="bottom"/>
          </w:tcPr>
          <w:p>
            <w:pPr>
              <w:spacing w:after="0"/>
              <w:rPr>
                <w:sz w:val="5"/>
                <w:szCs w:val="5"/>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4"/>
              </w:rPr>
              <w:t>SECURITIES</w:t>
            </w:r>
          </w:p>
        </w:tc>
        <w:tc>
          <w:tcPr>
            <w:tcW w:w="140" w:type="dxa"/>
            <w:vAlign w:val="bottom"/>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4"/>
              </w:rPr>
              <w:t>SECURITIES</w:t>
            </w:r>
          </w:p>
        </w:tc>
        <w:tc>
          <w:tcPr>
            <w:tcW w:w="140" w:type="dxa"/>
            <w:vAlign w:val="bottom"/>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3"/>
                <w:szCs w:val="13"/>
                <w:b w:val="1"/>
                <w:bCs w:val="1"/>
                <w:color w:val="FFFFFF"/>
              </w:rPr>
              <w:t>OPTION</w:t>
            </w:r>
          </w:p>
        </w:tc>
        <w:tc>
          <w:tcPr>
            <w:tcW w:w="180" w:type="dxa"/>
            <w:vAlign w:val="bottom"/>
          </w:tcPr>
          <w:p>
            <w:pPr>
              <w:spacing w:after="0"/>
              <w:rPr>
                <w:sz w:val="5"/>
                <w:szCs w:val="5"/>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b w:val="1"/>
                <w:bCs w:val="1"/>
                <w:color w:val="FFFFFF"/>
              </w:rPr>
              <w:t>OPTION</w:t>
            </w:r>
          </w:p>
        </w:tc>
        <w:tc>
          <w:tcPr>
            <w:tcW w:w="1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4"/>
              </w:rPr>
              <w:t>OF SHARES OR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1780" w:type="dxa"/>
            <w:vAlign w:val="bottom"/>
            <w:tcBorders>
              <w:left w:val="single" w:sz="8" w:color="auto"/>
            </w:tcBorders>
            <w:vMerge w:val="continue"/>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center"/>
              <w:spacing w:after="0" w:line="126" w:lineRule="exact"/>
              <w:rPr>
                <w:sz w:val="20"/>
                <w:szCs w:val="20"/>
                <w:color w:val="auto"/>
              </w:rPr>
            </w:pPr>
            <w:r>
              <w:rPr>
                <w:rFonts w:ascii="Arial" w:cs="Arial" w:eastAsia="Arial" w:hAnsi="Arial"/>
                <w:sz w:val="13"/>
                <w:szCs w:val="13"/>
                <w:b w:val="1"/>
                <w:bCs w:val="1"/>
                <w:color w:val="FFFFFF"/>
                <w:w w:val="95"/>
              </w:rPr>
              <w:t>UNITS OF</w:t>
            </w:r>
          </w:p>
        </w:tc>
        <w:tc>
          <w:tcPr>
            <w:tcW w:w="1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80" w:type="dxa"/>
            <w:vAlign w:val="bottom"/>
            <w:tcBorders>
              <w:lef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b w:val="1"/>
                <w:bCs w:val="1"/>
                <w:color w:val="FFFFFF"/>
              </w:rPr>
              <w:t>​</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FFFFFF"/>
                <w:w w:val="93"/>
              </w:rPr>
              <w:t>UNDERLYING</w:t>
            </w:r>
          </w:p>
        </w:tc>
        <w:tc>
          <w:tcPr>
            <w:tcW w:w="140" w:type="dxa"/>
            <w:vAlign w:val="bottom"/>
          </w:tcPr>
          <w:p>
            <w:pPr>
              <w:ind w:left="20"/>
              <w:spacing w:after="0"/>
              <w:rPr>
                <w:sz w:val="20"/>
                <w:szCs w:val="20"/>
                <w:color w:val="auto"/>
              </w:rPr>
            </w:pPr>
            <w:r>
              <w:rPr>
                <w:rFonts w:ascii="Arial" w:cs="Arial" w:eastAsia="Arial" w:hAnsi="Arial"/>
                <w:sz w:val="13"/>
                <w:szCs w:val="13"/>
                <w:b w:val="1"/>
                <w:bCs w:val="1"/>
                <w:color w:val="FFFFFF"/>
              </w:rPr>
              <w:t>​ ​</w:t>
            </w:r>
          </w:p>
        </w:tc>
        <w:tc>
          <w:tcPr>
            <w:tcW w:w="1040" w:type="dxa"/>
            <w:vAlign w:val="bottom"/>
          </w:tcPr>
          <w:p>
            <w:pPr>
              <w:jc w:val="center"/>
              <w:ind w:right="10"/>
              <w:spacing w:after="0"/>
              <w:rPr>
                <w:sz w:val="20"/>
                <w:szCs w:val="20"/>
                <w:color w:val="auto"/>
              </w:rPr>
            </w:pPr>
            <w:r>
              <w:rPr>
                <w:rFonts w:ascii="Arial" w:cs="Arial" w:eastAsia="Arial" w:hAnsi="Arial"/>
                <w:sz w:val="13"/>
                <w:szCs w:val="13"/>
                <w:b w:val="1"/>
                <w:bCs w:val="1"/>
                <w:color w:val="FFFFFF"/>
                <w:w w:val="93"/>
              </w:rPr>
              <w:t>UNDERLYING</w:t>
            </w: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FFFFFF"/>
              </w:rPr>
              <w:t>​ ​EXERCISE</w:t>
            </w:r>
          </w:p>
        </w:tc>
        <w:tc>
          <w:tcPr>
            <w:tcW w:w="3100" w:type="dxa"/>
            <w:vAlign w:val="bottom"/>
            <w:gridSpan w:val="6"/>
          </w:tcPr>
          <w:p>
            <w:pPr>
              <w:ind w:left="20"/>
              <w:spacing w:after="0" w:line="149" w:lineRule="exact"/>
              <w:rPr>
                <w:sz w:val="20"/>
                <w:szCs w:val="20"/>
                <w:color w:val="auto"/>
              </w:rPr>
            </w:pPr>
            <w:r>
              <w:rPr>
                <w:rFonts w:ascii="Arial" w:cs="Arial" w:eastAsia="Arial" w:hAnsi="Arial"/>
                <w:sz w:val="10"/>
                <w:szCs w:val="10"/>
                <w:b w:val="1"/>
                <w:bCs w:val="1"/>
                <w:color w:val="FFFFFF"/>
              </w:rPr>
              <w:t>​ ​EXPIRATION ​ ​STOCK THAT ​ ​</w:t>
            </w:r>
            <w:r>
              <w:rPr>
                <w:rFonts w:ascii="Arial" w:cs="Arial" w:eastAsia="Arial" w:hAnsi="Arial"/>
                <w:sz w:val="17"/>
                <w:szCs w:val="17"/>
                <w:b w:val="1"/>
                <w:bCs w:val="1"/>
                <w:color w:val="FFFFFF"/>
                <w:vertAlign w:val="superscript"/>
              </w:rPr>
              <w:t>UNITS OF STOCK</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77"/>
        </w:trPr>
        <w:tc>
          <w:tcPr>
            <w:tcW w:w="1780" w:type="dxa"/>
            <w:vAlign w:val="bottom"/>
            <w:tcBorders>
              <w:lef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gridSpan w:val="2"/>
          </w:tcPr>
          <w:p>
            <w:pPr>
              <w:jc w:val="center"/>
              <w:spacing w:after="0" w:line="77" w:lineRule="exact"/>
              <w:rPr>
                <w:sz w:val="20"/>
                <w:szCs w:val="20"/>
                <w:color w:val="auto"/>
              </w:rPr>
            </w:pPr>
            <w:r>
              <w:rPr>
                <w:rFonts w:ascii="Arial" w:cs="Arial" w:eastAsia="Arial" w:hAnsi="Arial"/>
                <w:sz w:val="8"/>
                <w:szCs w:val="8"/>
                <w:b w:val="1"/>
                <w:bCs w:val="1"/>
                <w:color w:val="FFFFFF"/>
              </w:rPr>
              <w:t>UNEXERCISED</w:t>
            </w:r>
          </w:p>
        </w:tc>
        <w:tc>
          <w:tcPr>
            <w:tcW w:w="140" w:type="dxa"/>
            <w:vAlign w:val="bottom"/>
          </w:tcPr>
          <w:p>
            <w:pPr>
              <w:spacing w:after="0"/>
              <w:rPr>
                <w:sz w:val="6"/>
                <w:szCs w:val="6"/>
                <w:color w:val="auto"/>
              </w:rPr>
            </w:pPr>
          </w:p>
        </w:tc>
        <w:tc>
          <w:tcPr>
            <w:tcW w:w="1040" w:type="dxa"/>
            <w:vAlign w:val="bottom"/>
          </w:tcPr>
          <w:p>
            <w:pPr>
              <w:jc w:val="center"/>
              <w:ind w:right="10"/>
              <w:spacing w:after="0" w:line="77" w:lineRule="exact"/>
              <w:rPr>
                <w:sz w:val="20"/>
                <w:szCs w:val="20"/>
                <w:color w:val="auto"/>
              </w:rPr>
            </w:pPr>
            <w:r>
              <w:rPr>
                <w:rFonts w:ascii="Arial" w:cs="Arial" w:eastAsia="Arial" w:hAnsi="Arial"/>
                <w:sz w:val="8"/>
                <w:szCs w:val="8"/>
                <w:b w:val="1"/>
                <w:bCs w:val="1"/>
                <w:color w:val="FFFFFF"/>
              </w:rPr>
              <w:t>UNEXERCISED</w:t>
            </w:r>
          </w:p>
        </w:tc>
        <w:tc>
          <w:tcPr>
            <w:tcW w:w="140" w:type="dxa"/>
            <w:vAlign w:val="bottom"/>
          </w:tcPr>
          <w:p>
            <w:pPr>
              <w:spacing w:after="0"/>
              <w:rPr>
                <w:sz w:val="6"/>
                <w:szCs w:val="6"/>
                <w:color w:val="auto"/>
              </w:rPr>
            </w:pPr>
          </w:p>
        </w:tc>
        <w:tc>
          <w:tcPr>
            <w:tcW w:w="64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4"/>
              </w:rPr>
              <w:t>PRICE ($)</w:t>
            </w:r>
          </w:p>
        </w:tc>
        <w:tc>
          <w:tcPr>
            <w:tcW w:w="180" w:type="dxa"/>
            <w:vAlign w:val="bottom"/>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0"/>
              </w:rPr>
              <w:t>DATE</w:t>
            </w:r>
          </w:p>
        </w:tc>
        <w:tc>
          <w:tcPr>
            <w:tcW w:w="160" w:type="dxa"/>
            <w:vAlign w:val="bottom"/>
          </w:tcPr>
          <w:p>
            <w:pPr>
              <w:spacing w:after="0"/>
              <w:rPr>
                <w:sz w:val="6"/>
                <w:szCs w:val="6"/>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5"/>
              </w:rPr>
              <w:t>HAVE NOT</w:t>
            </w:r>
          </w:p>
        </w:tc>
        <w:tc>
          <w:tcPr>
            <w:tcW w:w="160" w:type="dxa"/>
            <w:vAlign w:val="bottom"/>
          </w:tcPr>
          <w:p>
            <w:pPr>
              <w:spacing w:after="0"/>
              <w:rPr>
                <w:sz w:val="6"/>
                <w:szCs w:val="6"/>
                <w:color w:val="auto"/>
              </w:rPr>
            </w:pPr>
          </w:p>
        </w:tc>
        <w:tc>
          <w:tcPr>
            <w:tcW w:w="1080" w:type="dxa"/>
            <w:vAlign w:val="bottom"/>
          </w:tcPr>
          <w:p>
            <w:pPr>
              <w:jc w:val="center"/>
              <w:spacing w:after="0" w:line="77" w:lineRule="exact"/>
              <w:rPr>
                <w:sz w:val="20"/>
                <w:szCs w:val="20"/>
                <w:color w:val="auto"/>
              </w:rPr>
            </w:pPr>
            <w:r>
              <w:rPr>
                <w:rFonts w:ascii="Arial" w:cs="Arial" w:eastAsia="Arial" w:hAnsi="Arial"/>
                <w:sz w:val="8"/>
                <w:szCs w:val="8"/>
                <w:b w:val="1"/>
                <w:bCs w:val="1"/>
                <w:color w:val="FFFFFF"/>
              </w:rPr>
              <w:t>THAT HAVE NOT</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78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4"/>
              </w:rPr>
              <w:t>OPTIONS (#)</w:t>
            </w:r>
          </w:p>
        </w:tc>
        <w:tc>
          <w:tcPr>
            <w:tcW w:w="140" w:type="dxa"/>
            <w:vAlign w:val="bottom"/>
          </w:tcPr>
          <w:p>
            <w:pPr>
              <w:spacing w:after="0"/>
              <w:rPr>
                <w:sz w:val="7"/>
                <w:szCs w:val="7"/>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4"/>
              </w:rPr>
              <w:t>OPTIONS (#)</w:t>
            </w: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6"/>
              </w:rPr>
              <w:t>VESTED</w:t>
            </w: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78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FFFFFF"/>
                <w:w w:val="96"/>
              </w:rPr>
              <w:t>VESTED</w:t>
            </w: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78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5"/>
              </w:rPr>
              <w:t>EXERCISABLE</w:t>
            </w:r>
          </w:p>
        </w:tc>
        <w:tc>
          <w:tcPr>
            <w:tcW w:w="1180" w:type="dxa"/>
            <w:vAlign w:val="bottom"/>
            <w:gridSpan w:val="2"/>
            <w:vMerge w:val="restart"/>
          </w:tcPr>
          <w:p>
            <w:pPr>
              <w:jc w:val="center"/>
              <w:ind w:left="29"/>
              <w:spacing w:after="0"/>
              <w:rPr>
                <w:sz w:val="20"/>
                <w:szCs w:val="20"/>
                <w:color w:val="auto"/>
              </w:rPr>
            </w:pPr>
            <w:r>
              <w:rPr>
                <w:rFonts w:ascii="Arial" w:cs="Arial" w:eastAsia="Arial" w:hAnsi="Arial"/>
                <w:sz w:val="13"/>
                <w:szCs w:val="13"/>
                <w:b w:val="1"/>
                <w:bCs w:val="1"/>
                <w:color w:val="FFFFFF"/>
                <w:w w:val="93"/>
              </w:rPr>
              <w:t>UNEXERCISABLE</w:t>
            </w: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4"/>
              </w:rPr>
              <w:t>($)(1)</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1780" w:type="dxa"/>
            <w:vAlign w:val="bottom"/>
            <w:tcBorders>
              <w:lef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FFFFFF"/>
              </w:rPr>
              <w:t>(#)</w:t>
            </w:r>
          </w:p>
        </w:tc>
        <w:tc>
          <w:tcPr>
            <w:tcW w:w="16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78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780" w:type="dxa"/>
            <w:vAlign w:val="bottom"/>
            <w:tcBorders>
              <w:left w:val="single" w:sz="8" w:color="auto"/>
              <w:bottom w:val="single" w:sz="8" w:color="auto"/>
            </w:tcBorders>
          </w:tcPr>
          <w:p>
            <w:pPr>
              <w:spacing w:after="0"/>
              <w:rPr>
                <w:sz w:val="3"/>
                <w:szCs w:val="3"/>
                <w:color w:val="auto"/>
              </w:rPr>
            </w:pPr>
          </w:p>
        </w:tc>
        <w:tc>
          <w:tcPr>
            <w:tcW w:w="1120" w:type="dxa"/>
            <w:vAlign w:val="bottom"/>
            <w:tcBorders>
              <w:bottom w:val="single" w:sz="8" w:color="auto"/>
            </w:tcBorders>
            <w:gridSpan w:val="4"/>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1780" w:type="dxa"/>
            <w:vAlign w:val="bottom"/>
            <w:tcBorders>
              <w:left w:val="single" w:sz="8" w:color="auto"/>
            </w:tcBorders>
          </w:tcPr>
          <w:p>
            <w:pPr>
              <w:ind w:left="140"/>
              <w:spacing w:after="0"/>
              <w:rPr>
                <w:sz w:val="20"/>
                <w:szCs w:val="20"/>
                <w:color w:val="auto"/>
              </w:rPr>
            </w:pPr>
            <w:r>
              <w:rPr>
                <w:rFonts w:ascii="Arial" w:cs="Arial" w:eastAsia="Arial" w:hAnsi="Arial"/>
                <w:sz w:val="14"/>
                <w:szCs w:val="14"/>
                <w:b w:val="1"/>
                <w:bCs w:val="1"/>
                <w:color w:val="auto"/>
              </w:rPr>
              <w:t>Brent Pfeiffenberger,</w:t>
            </w:r>
          </w:p>
        </w:tc>
        <w:tc>
          <w:tcPr>
            <w:tcW w:w="1120" w:type="dxa"/>
            <w:vAlign w:val="bottom"/>
            <w:gridSpan w:val="4"/>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r>
              <w:rPr>
                <w:rFonts w:ascii="Arial" w:cs="Arial" w:eastAsia="Arial" w:hAnsi="Arial"/>
                <w:sz w:val="14"/>
                <w:szCs w:val="14"/>
                <w:color w:val="auto"/>
              </w:rPr>
              <w:t xml:space="preserve"> 12/4/2023(2​​​)</w:t>
            </w:r>
          </w:p>
        </w:tc>
        <w:tc>
          <w:tcPr>
            <w:tcW w:w="920" w:type="dxa"/>
            <w:vAlign w:val="bottom"/>
          </w:tcPr>
          <w:p>
            <w:pPr>
              <w:jc w:val="center"/>
              <w:spacing w:after="0"/>
              <w:rPr>
                <w:sz w:val="20"/>
                <w:szCs w:val="20"/>
                <w:color w:val="auto"/>
              </w:rPr>
            </w:pPr>
            <w:r>
              <w:rPr>
                <w:rFonts w:ascii="Arial" w:cs="Arial" w:eastAsia="Arial" w:hAnsi="Arial"/>
                <w:sz w:val="14"/>
                <w:szCs w:val="14"/>
                <w:color w:val="auto"/>
                <w:w w:val="97"/>
              </w:rPr>
              <w:t>31,055</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31,056</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$1.61</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12/4/2033</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ind w:left="5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780" w:type="dxa"/>
            <w:vAlign w:val="bottom"/>
            <w:tcBorders>
              <w:left w:val="single" w:sz="8" w:color="auto"/>
            </w:tcBorders>
          </w:tcPr>
          <w:p>
            <w:pPr>
              <w:ind w:left="140"/>
              <w:spacing w:after="0"/>
              <w:rPr>
                <w:sz w:val="20"/>
                <w:szCs w:val="20"/>
                <w:color w:val="auto"/>
              </w:rPr>
            </w:pPr>
            <w:r>
              <w:rPr>
                <w:rFonts w:ascii="Arial" w:cs="Arial" w:eastAsia="Arial" w:hAnsi="Arial"/>
                <w:sz w:val="14"/>
                <w:szCs w:val="14"/>
                <w:b w:val="1"/>
                <w:bCs w:val="1"/>
                <w:color w:val="auto"/>
              </w:rPr>
              <w:t>Pharm.D.</w:t>
            </w:r>
          </w:p>
        </w:tc>
        <w:tc>
          <w:tcPr>
            <w:tcW w:w="1120" w:type="dxa"/>
            <w:vAlign w:val="bottom"/>
            <w:gridSpan w:val="4"/>
            <w:vMerge w:val="restart"/>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r>
              <w:rPr>
                <w:rFonts w:ascii="Arial" w:cs="Arial" w:eastAsia="Arial" w:hAnsi="Arial"/>
                <w:sz w:val="14"/>
                <w:szCs w:val="14"/>
                <w:color w:val="auto"/>
              </w:rPr>
              <w:t xml:space="preserve"> 12/4/2023(2​​​)</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98"/>
              </w:rPr>
              <w:t>255,788</w:t>
            </w: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rPr>
              <w:t>255,792</w:t>
            </w: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$1.61</w:t>
            </w: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rPr>
              <w:t>12/4/2033</w:t>
            </w:r>
          </w:p>
        </w:tc>
        <w:tc>
          <w:tcPr>
            <w:tcW w:w="16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800" w:type="dxa"/>
            <w:vAlign w:val="bottom"/>
            <w:vMerge w:val="restart"/>
          </w:tcPr>
          <w:p>
            <w:pPr>
              <w:ind w:left="40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1080" w:type="dxa"/>
            <w:vAlign w:val="bottom"/>
            <w:vMerge w:val="restart"/>
          </w:tcPr>
          <w:p>
            <w:pPr>
              <w:ind w:left="5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2"/>
        </w:trPr>
        <w:tc>
          <w:tcPr>
            <w:tcW w:w="1780" w:type="dxa"/>
            <w:vAlign w:val="bottom"/>
            <w:tcBorders>
              <w:left w:val="single" w:sz="8" w:color="auto"/>
            </w:tcBorders>
          </w:tcPr>
          <w:p>
            <w:pPr>
              <w:spacing w:after="0"/>
              <w:rPr>
                <w:sz w:val="5"/>
                <w:szCs w:val="5"/>
                <w:color w:val="auto"/>
              </w:rPr>
            </w:pPr>
          </w:p>
        </w:tc>
        <w:tc>
          <w:tcPr>
            <w:tcW w:w="1120" w:type="dxa"/>
            <w:vAlign w:val="bottom"/>
            <w:gridSpan w:val="4"/>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1780" w:type="dxa"/>
            <w:vAlign w:val="bottom"/>
            <w:tcBorders>
              <w:left w:val="single" w:sz="8" w:color="auto"/>
            </w:tcBorders>
          </w:tcPr>
          <w:p>
            <w:pPr>
              <w:spacing w:after="0"/>
              <w:rPr>
                <w:sz w:val="22"/>
                <w:szCs w:val="22"/>
                <w:color w:val="auto"/>
              </w:rPr>
            </w:pPr>
          </w:p>
        </w:tc>
        <w:tc>
          <w:tcPr>
            <w:tcW w:w="1120" w:type="dxa"/>
            <w:vAlign w:val="bottom"/>
            <w:gridSpan w:val="4"/>
          </w:tcPr>
          <w:p>
            <w:pPr>
              <w:jc w:val="right"/>
              <w:spacing w:after="0"/>
              <w:rPr>
                <w:sz w:val="20"/>
                <w:szCs w:val="20"/>
                <w:color w:val="auto"/>
              </w:rPr>
            </w:pPr>
            <w:r>
              <w:rPr>
                <w:rFonts w:ascii="Arial" w:cs="Arial" w:eastAsia="Arial" w:hAnsi="Arial"/>
                <w:sz w:val="14"/>
                <w:szCs w:val="14"/>
                <w:color w:val="auto"/>
              </w:rPr>
              <w:t>​​ 12/4/2023(3​​​)</w:t>
            </w: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jc w:val="center"/>
              <w:spacing w:after="0"/>
              <w:rPr>
                <w:sz w:val="20"/>
                <w:szCs w:val="20"/>
                <w:color w:val="auto"/>
              </w:rPr>
            </w:pPr>
            <w:r>
              <w:rPr>
                <w:rFonts w:ascii="Arial" w:cs="Arial" w:eastAsia="Arial" w:hAnsi="Arial"/>
                <w:sz w:val="14"/>
                <w:szCs w:val="14"/>
                <w:color w:val="auto"/>
              </w:rPr>
              <w:t>586,887</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$586,953</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6"/>
        </w:trPr>
        <w:tc>
          <w:tcPr>
            <w:tcW w:w="1780" w:type="dxa"/>
            <w:vAlign w:val="bottom"/>
            <w:tcBorders>
              <w:left w:val="single" w:sz="8" w:color="auto"/>
            </w:tcBorders>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line="29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3/7/2024(4​​​)</w:t>
            </w: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jc w:val="center"/>
              <w:spacing w:after="0"/>
              <w:rPr>
                <w:sz w:val="20"/>
                <w:szCs w:val="20"/>
                <w:color w:val="auto"/>
              </w:rPr>
            </w:pPr>
            <w:r>
              <w:rPr>
                <w:rFonts w:ascii="Arial" w:cs="Arial" w:eastAsia="Arial" w:hAnsi="Arial"/>
                <w:sz w:val="14"/>
                <w:szCs w:val="14"/>
                <w:color w:val="auto"/>
              </w:rPr>
              <w:t>9,802</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jc w:val="center"/>
              <w:spacing w:after="0"/>
              <w:rPr>
                <w:sz w:val="20"/>
                <w:szCs w:val="20"/>
                <w:color w:val="auto"/>
              </w:rPr>
            </w:pPr>
            <w:r>
              <w:rPr>
                <w:rFonts w:ascii="Arial" w:cs="Arial" w:eastAsia="Arial" w:hAnsi="Arial"/>
                <w:sz w:val="14"/>
                <w:szCs w:val="14"/>
                <w:color w:val="auto"/>
              </w:rPr>
              <w:t>$9,753</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780" w:type="dxa"/>
            <w:vAlign w:val="bottom"/>
            <w:tcBorders>
              <w:left w:val="single" w:sz="8" w:color="auto"/>
            </w:tcBorders>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3/7/2024(5​​​)</w:t>
            </w:r>
          </w:p>
        </w:tc>
        <w:tc>
          <w:tcPr>
            <w:tcW w:w="920" w:type="dxa"/>
            <w:vAlign w:val="bottom"/>
          </w:tcPr>
          <w:p>
            <w:pPr>
              <w:jc w:val="center"/>
              <w:spacing w:after="0"/>
              <w:rPr>
                <w:sz w:val="20"/>
                <w:szCs w:val="20"/>
                <w:color w:val="auto"/>
              </w:rPr>
            </w:pPr>
            <w:r>
              <w:rPr>
                <w:rFonts w:ascii="Arial" w:cs="Arial" w:eastAsia="Arial" w:hAnsi="Arial"/>
                <w:sz w:val="14"/>
                <w:szCs w:val="14"/>
                <w:color w:val="auto"/>
                <w:w w:val="97"/>
              </w:rPr>
              <w:t>45,739</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58,811</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$5.315</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3/7/2034</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ind w:left="5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780" w:type="dxa"/>
            <w:vAlign w:val="bottom"/>
            <w:tcBorders>
              <w:left w:val="single" w:sz="8" w:color="auto"/>
            </w:tcBorders>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3/11/2025(5​​​)</w:t>
            </w: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521,500</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$0.601</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3/11/2035</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ind w:left="5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780" w:type="dxa"/>
            <w:vAlign w:val="bottom"/>
            <w:tcBorders>
              <w:left w:val="single" w:sz="8" w:color="auto"/>
            </w:tcBorders>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3/11/2025(4​​​)</w:t>
            </w: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jc w:val="center"/>
              <w:spacing w:after="0"/>
              <w:rPr>
                <w:sz w:val="20"/>
                <w:szCs w:val="20"/>
                <w:color w:val="auto"/>
              </w:rPr>
            </w:pPr>
            <w:r>
              <w:rPr>
                <w:rFonts w:ascii="Arial" w:cs="Arial" w:eastAsia="Arial" w:hAnsi="Arial"/>
                <w:sz w:val="14"/>
                <w:szCs w:val="14"/>
                <w:color w:val="auto"/>
              </w:rPr>
              <w:t>521,500</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$518,892</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780" w:type="dxa"/>
            <w:vAlign w:val="bottom"/>
            <w:tcBorders>
              <w:left w:val="single" w:sz="8" w:color="auto"/>
            </w:tcBorders>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8/14/2025(6​​​)</w:t>
            </w: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jc w:val="center"/>
              <w:spacing w:after="0"/>
              <w:rPr>
                <w:sz w:val="20"/>
                <w:szCs w:val="20"/>
                <w:color w:val="auto"/>
              </w:rPr>
            </w:pPr>
            <w:r>
              <w:rPr>
                <w:rFonts w:ascii="Arial" w:cs="Arial" w:eastAsia="Arial" w:hAnsi="Arial"/>
                <w:sz w:val="14"/>
                <w:szCs w:val="14"/>
                <w:color w:val="auto"/>
              </w:rPr>
              <w:t>1,587,614</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$1,579,676</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
        </w:trPr>
        <w:tc>
          <w:tcPr>
            <w:tcW w:w="1780" w:type="dxa"/>
            <w:vAlign w:val="bottom"/>
            <w:tcBorders>
              <w:left w:val="single" w:sz="8" w:color="auto"/>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3"/>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1780" w:type="dxa"/>
            <w:vAlign w:val="bottom"/>
            <w:tcBorders>
              <w:left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Gregory Russotti, Ph.D.</w:t>
            </w:r>
          </w:p>
        </w:tc>
        <w:tc>
          <w:tcPr>
            <w:tcW w:w="2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tcPr>
          <w:p>
            <w:pPr>
              <w:jc w:val="center"/>
              <w:spacing w:after="0" w:line="142" w:lineRule="exact"/>
              <w:rPr>
                <w:sz w:val="20"/>
                <w:szCs w:val="20"/>
                <w:color w:val="auto"/>
              </w:rPr>
            </w:pPr>
            <w:r>
              <w:rPr>
                <w:rFonts w:ascii="Arial" w:cs="Arial" w:eastAsia="Arial" w:hAnsi="Arial"/>
                <w:sz w:val="14"/>
                <w:szCs w:val="14"/>
                <w:color w:val="auto"/>
                <w:w w:val="96"/>
              </w:rPr>
              <w:t>7,731</w:t>
            </w:r>
          </w:p>
        </w:tc>
        <w:tc>
          <w:tcPr>
            <w:tcW w:w="140" w:type="dxa"/>
            <w:vAlign w:val="bottom"/>
          </w:tcPr>
          <w:p>
            <w:pPr>
              <w:ind w:left="20"/>
              <w:spacing w:after="0" w:line="142" w:lineRule="exact"/>
              <w:rPr>
                <w:sz w:val="20"/>
                <w:szCs w:val="20"/>
                <w:color w:val="auto"/>
              </w:rPr>
            </w:pPr>
            <w:r>
              <w:rPr>
                <w:rFonts w:ascii="Arial" w:cs="Arial" w:eastAsia="Arial" w:hAnsi="Arial"/>
                <w:sz w:val="14"/>
                <w:szCs w:val="14"/>
                <w:color w:val="auto"/>
              </w:rPr>
              <w:t>​​</w:t>
            </w:r>
          </w:p>
        </w:tc>
        <w:tc>
          <w:tcPr>
            <w:tcW w:w="104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20"/>
              <w:spacing w:after="0" w:line="142" w:lineRule="exact"/>
              <w:rPr>
                <w:sz w:val="20"/>
                <w:szCs w:val="20"/>
                <w:color w:val="auto"/>
              </w:rPr>
            </w:pPr>
            <w:r>
              <w:rPr>
                <w:rFonts w:ascii="Arial" w:cs="Arial" w:eastAsia="Arial" w:hAnsi="Arial"/>
                <w:sz w:val="14"/>
                <w:szCs w:val="14"/>
                <w:color w:val="auto"/>
              </w:rPr>
              <w:t>​​</w:t>
            </w:r>
          </w:p>
        </w:tc>
        <w:tc>
          <w:tcPr>
            <w:tcW w:w="640" w:type="dxa"/>
            <w:vAlign w:val="bottom"/>
          </w:tcPr>
          <w:p>
            <w:pPr>
              <w:jc w:val="center"/>
              <w:spacing w:after="0" w:line="142" w:lineRule="exact"/>
              <w:rPr>
                <w:sz w:val="20"/>
                <w:szCs w:val="20"/>
                <w:color w:val="auto"/>
              </w:rPr>
            </w:pPr>
            <w:r>
              <w:rPr>
                <w:rFonts w:ascii="Arial" w:cs="Arial" w:eastAsia="Arial" w:hAnsi="Arial"/>
                <w:sz w:val="14"/>
                <w:szCs w:val="14"/>
                <w:color w:val="auto"/>
              </w:rPr>
              <w:t>$1.03</w:t>
            </w:r>
          </w:p>
        </w:tc>
        <w:tc>
          <w:tcPr>
            <w:tcW w:w="180" w:type="dxa"/>
            <w:vAlign w:val="bottom"/>
          </w:tcPr>
          <w:p>
            <w:pPr>
              <w:ind w:left="20"/>
              <w:spacing w:after="0" w:line="142" w:lineRule="exact"/>
              <w:rPr>
                <w:sz w:val="20"/>
                <w:szCs w:val="20"/>
                <w:color w:val="auto"/>
              </w:rPr>
            </w:pPr>
            <w:r>
              <w:rPr>
                <w:rFonts w:ascii="Arial" w:cs="Arial" w:eastAsia="Arial" w:hAnsi="Arial"/>
                <w:sz w:val="14"/>
                <w:szCs w:val="14"/>
                <w:color w:val="auto"/>
              </w:rPr>
              <w:t>​ ​</w:t>
            </w:r>
          </w:p>
        </w:tc>
        <w:tc>
          <w:tcPr>
            <w:tcW w:w="720" w:type="dxa"/>
            <w:vAlign w:val="bottom"/>
          </w:tcPr>
          <w:p>
            <w:pPr>
              <w:jc w:val="center"/>
              <w:spacing w:after="0" w:line="142" w:lineRule="exact"/>
              <w:rPr>
                <w:sz w:val="20"/>
                <w:szCs w:val="20"/>
                <w:color w:val="auto"/>
              </w:rPr>
            </w:pPr>
            <w:r>
              <w:rPr>
                <w:rFonts w:ascii="Arial" w:cs="Arial" w:eastAsia="Arial" w:hAnsi="Arial"/>
                <w:sz w:val="14"/>
                <w:szCs w:val="14"/>
                <w:color w:val="auto"/>
              </w:rPr>
              <w:t>3/17/2030</w:t>
            </w:r>
          </w:p>
        </w:tc>
        <w:tc>
          <w:tcPr>
            <w:tcW w:w="160" w:type="dxa"/>
            <w:vAlign w:val="bottom"/>
          </w:tcPr>
          <w:p>
            <w:pPr>
              <w:ind w:left="40"/>
              <w:spacing w:after="0" w:line="142" w:lineRule="exact"/>
              <w:rPr>
                <w:sz w:val="20"/>
                <w:szCs w:val="20"/>
                <w:color w:val="auto"/>
              </w:rPr>
            </w:pPr>
            <w:r>
              <w:rPr>
                <w:rFonts w:ascii="Arial" w:cs="Arial" w:eastAsia="Arial" w:hAnsi="Arial"/>
                <w:sz w:val="14"/>
                <w:szCs w:val="14"/>
                <w:color w:val="auto"/>
              </w:rPr>
              <w:t>​ ​</w:t>
            </w:r>
          </w:p>
        </w:tc>
        <w:tc>
          <w:tcPr>
            <w:tcW w:w="800" w:type="dxa"/>
            <w:vAlign w:val="bottom"/>
          </w:tcPr>
          <w:p>
            <w:pPr>
              <w:ind w:left="400"/>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ind w:left="40"/>
              <w:spacing w:after="0" w:line="142" w:lineRule="exact"/>
              <w:rPr>
                <w:sz w:val="20"/>
                <w:szCs w:val="20"/>
                <w:color w:val="auto"/>
              </w:rPr>
            </w:pPr>
            <w:r>
              <w:rPr>
                <w:rFonts w:ascii="Arial" w:cs="Arial" w:eastAsia="Arial" w:hAnsi="Arial"/>
                <w:sz w:val="14"/>
                <w:szCs w:val="14"/>
                <w:color w:val="auto"/>
              </w:rPr>
              <w:t>​ ​</w:t>
            </w:r>
          </w:p>
        </w:tc>
        <w:tc>
          <w:tcPr>
            <w:tcW w:w="1080" w:type="dxa"/>
            <w:vAlign w:val="bottom"/>
          </w:tcPr>
          <w:p>
            <w:pPr>
              <w:ind w:left="520"/>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ind w:left="4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5"/>
        </w:trPr>
        <w:tc>
          <w:tcPr>
            <w:tcW w:w="1780" w:type="dxa"/>
            <w:vAlign w:val="bottom"/>
            <w:tcBorders>
              <w:left w:val="single" w:sz="8" w:color="auto"/>
            </w:tcBorders>
            <w:vMerge w:val="continue"/>
          </w:tcPr>
          <w:p>
            <w:pPr>
              <w:spacing w:after="0"/>
              <w:rPr>
                <w:sz w:val="7"/>
                <w:szCs w:val="7"/>
                <w:color w:val="auto"/>
              </w:rPr>
            </w:pPr>
          </w:p>
        </w:tc>
        <w:tc>
          <w:tcPr>
            <w:tcW w:w="200" w:type="dxa"/>
            <w:vAlign w:val="bottom"/>
          </w:tcPr>
          <w:p>
            <w:pPr>
              <w:jc w:val="right"/>
              <w:spacing w:after="0" w:line="85" w:lineRule="exact"/>
              <w:rPr>
                <w:sz w:val="20"/>
                <w:szCs w:val="20"/>
                <w:color w:val="auto"/>
              </w:rPr>
            </w:pPr>
            <w:r>
              <w:rPr>
                <w:rFonts w:ascii="Arial" w:cs="Arial" w:eastAsia="Arial" w:hAnsi="Arial"/>
                <w:sz w:val="9"/>
                <w:szCs w:val="9"/>
                <w:color w:val="auto"/>
              </w:rPr>
              <w:t>​</w:t>
            </w:r>
          </w:p>
        </w:tc>
        <w:tc>
          <w:tcPr>
            <w:tcW w:w="840" w:type="dxa"/>
            <w:vAlign w:val="bottom"/>
          </w:tcPr>
          <w:p>
            <w:pPr>
              <w:jc w:val="right"/>
              <w:spacing w:after="0" w:line="85" w:lineRule="exact"/>
              <w:rPr>
                <w:sz w:val="20"/>
                <w:szCs w:val="20"/>
                <w:color w:val="auto"/>
              </w:rPr>
            </w:pPr>
            <w:r>
              <w:rPr>
                <w:rFonts w:ascii="Arial" w:cs="Arial" w:eastAsia="Arial" w:hAnsi="Arial"/>
                <w:sz w:val="9"/>
                <w:szCs w:val="9"/>
                <w:color w:val="auto"/>
              </w:rPr>
              <w:t>3/18/2020(7)</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1780" w:type="dxa"/>
            <w:vAlign w:val="bottom"/>
            <w:tcBorders>
              <w:left w:val="single" w:sz="8" w:color="auto"/>
            </w:tcBorders>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4/16/2021(7​​​)</w:t>
            </w:r>
          </w:p>
        </w:tc>
        <w:tc>
          <w:tcPr>
            <w:tcW w:w="920" w:type="dxa"/>
            <w:vAlign w:val="bottom"/>
          </w:tcPr>
          <w:p>
            <w:pPr>
              <w:jc w:val="center"/>
              <w:spacing w:after="0"/>
              <w:rPr>
                <w:sz w:val="20"/>
                <w:szCs w:val="20"/>
                <w:color w:val="auto"/>
              </w:rPr>
            </w:pPr>
            <w:r>
              <w:rPr>
                <w:rFonts w:ascii="Arial" w:cs="Arial" w:eastAsia="Arial" w:hAnsi="Arial"/>
                <w:sz w:val="14"/>
                <w:szCs w:val="14"/>
                <w:color w:val="auto"/>
                <w:w w:val="98"/>
              </w:rPr>
              <w:t>101,347</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$7.27</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4/15/2031</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ind w:left="5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1780" w:type="dxa"/>
            <w:vAlign w:val="bottom"/>
            <w:tcBorders>
              <w:left w:val="single" w:sz="8" w:color="auto"/>
            </w:tcBorders>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1/25/2022(5)​​​</w:t>
            </w:r>
          </w:p>
        </w:tc>
        <w:tc>
          <w:tcPr>
            <w:tcW w:w="920" w:type="dxa"/>
            <w:vAlign w:val="bottom"/>
          </w:tcPr>
          <w:p>
            <w:pPr>
              <w:jc w:val="center"/>
              <w:spacing w:after="0"/>
              <w:rPr>
                <w:sz w:val="20"/>
                <w:szCs w:val="20"/>
                <w:color w:val="auto"/>
              </w:rPr>
            </w:pPr>
            <w:r>
              <w:rPr>
                <w:rFonts w:ascii="Arial" w:cs="Arial" w:eastAsia="Arial" w:hAnsi="Arial"/>
                <w:sz w:val="14"/>
                <w:szCs w:val="14"/>
                <w:color w:val="auto"/>
                <w:w w:val="98"/>
              </w:rPr>
              <w:t>102,812</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2,188</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$13.15</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1/25/2032</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ind w:left="5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780" w:type="dxa"/>
            <w:vAlign w:val="bottom"/>
            <w:tcBorders>
              <w:left w:val="single" w:sz="8" w:color="auto"/>
            </w:tcBorders>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2/2/2023(5​​​)</w:t>
            </w:r>
          </w:p>
        </w:tc>
        <w:tc>
          <w:tcPr>
            <w:tcW w:w="920" w:type="dxa"/>
            <w:vAlign w:val="bottom"/>
          </w:tcPr>
          <w:p>
            <w:pPr>
              <w:jc w:val="center"/>
              <w:spacing w:after="0"/>
              <w:rPr>
                <w:sz w:val="20"/>
                <w:szCs w:val="20"/>
                <w:color w:val="auto"/>
              </w:rPr>
            </w:pPr>
            <w:r>
              <w:rPr>
                <w:rFonts w:ascii="Arial" w:cs="Arial" w:eastAsia="Arial" w:hAnsi="Arial"/>
                <w:sz w:val="14"/>
                <w:szCs w:val="14"/>
                <w:color w:val="auto"/>
                <w:w w:val="98"/>
              </w:rPr>
              <w:t>123,956</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51,044</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$4.64</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2/2/2033</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ind w:left="5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1780" w:type="dxa"/>
            <w:vAlign w:val="bottom"/>
            <w:tcBorders>
              <w:left w:val="single" w:sz="8" w:color="auto"/>
            </w:tcBorders>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2/2/2023(5​​​)</w:t>
            </w:r>
          </w:p>
        </w:tc>
        <w:tc>
          <w:tcPr>
            <w:tcW w:w="920" w:type="dxa"/>
            <w:vAlign w:val="bottom"/>
          </w:tcPr>
          <w:p>
            <w:pPr>
              <w:jc w:val="center"/>
              <w:spacing w:after="0"/>
              <w:rPr>
                <w:sz w:val="20"/>
                <w:szCs w:val="20"/>
                <w:color w:val="auto"/>
              </w:rPr>
            </w:pPr>
            <w:r>
              <w:rPr>
                <w:rFonts w:ascii="Arial" w:cs="Arial" w:eastAsia="Arial" w:hAnsi="Arial"/>
                <w:sz w:val="14"/>
                <w:szCs w:val="14"/>
                <w:color w:val="auto"/>
                <w:w w:val="98"/>
              </w:rPr>
              <w:t>123,956</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51,044</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$4.64</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2/2/2033</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ind w:left="5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2"/>
        </w:trPr>
        <w:tc>
          <w:tcPr>
            <w:tcW w:w="1780" w:type="dxa"/>
            <w:vAlign w:val="bottom"/>
            <w:tcBorders>
              <w:left w:val="single" w:sz="8" w:color="auto"/>
            </w:tcBorders>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4/12/2023(5​​​)</w:t>
            </w:r>
          </w:p>
        </w:tc>
        <w:tc>
          <w:tcPr>
            <w:tcW w:w="920" w:type="dxa"/>
            <w:vAlign w:val="bottom"/>
          </w:tcPr>
          <w:p>
            <w:pPr>
              <w:jc w:val="center"/>
              <w:spacing w:after="0"/>
              <w:rPr>
                <w:sz w:val="20"/>
                <w:szCs w:val="20"/>
                <w:color w:val="auto"/>
              </w:rPr>
            </w:pPr>
            <w:r>
              <w:rPr>
                <w:rFonts w:ascii="Arial" w:cs="Arial" w:eastAsia="Arial" w:hAnsi="Arial"/>
                <w:sz w:val="14"/>
                <w:szCs w:val="14"/>
                <w:color w:val="auto"/>
                <w:w w:val="98"/>
              </w:rPr>
              <w:t>212,494</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106,256</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$2.91</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4/12/2033</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ind w:left="5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780" w:type="dxa"/>
            <w:vAlign w:val="bottom"/>
            <w:tcBorders>
              <w:left w:val="single" w:sz="8" w:color="auto"/>
            </w:tcBorders>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3/7/2024(5​​​)</w:t>
            </w:r>
          </w:p>
        </w:tc>
        <w:tc>
          <w:tcPr>
            <w:tcW w:w="920" w:type="dxa"/>
            <w:vAlign w:val="bottom"/>
          </w:tcPr>
          <w:p>
            <w:pPr>
              <w:jc w:val="center"/>
              <w:spacing w:after="0"/>
              <w:rPr>
                <w:sz w:val="20"/>
                <w:szCs w:val="20"/>
                <w:color w:val="auto"/>
              </w:rPr>
            </w:pPr>
            <w:r>
              <w:rPr>
                <w:rFonts w:ascii="Arial" w:cs="Arial" w:eastAsia="Arial" w:hAnsi="Arial"/>
                <w:sz w:val="14"/>
                <w:szCs w:val="14"/>
                <w:color w:val="auto"/>
                <w:w w:val="97"/>
              </w:rPr>
              <w:t>63,869</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82,131</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$5.315</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3/7/2034</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ind w:left="5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780" w:type="dxa"/>
            <w:vAlign w:val="bottom"/>
            <w:tcBorders>
              <w:left w:val="single" w:sz="8" w:color="auto"/>
            </w:tcBorders>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3/7/2024(4​​​)</w:t>
            </w: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jc w:val="center"/>
              <w:spacing w:after="0"/>
              <w:rPr>
                <w:sz w:val="20"/>
                <w:szCs w:val="20"/>
                <w:color w:val="auto"/>
              </w:rPr>
            </w:pPr>
            <w:r>
              <w:rPr>
                <w:rFonts w:ascii="Arial" w:cs="Arial" w:eastAsia="Arial" w:hAnsi="Arial"/>
                <w:sz w:val="14"/>
                <w:szCs w:val="14"/>
                <w:color w:val="auto"/>
              </w:rPr>
              <w:t>13,500</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jc w:val="center"/>
              <w:spacing w:after="0"/>
              <w:rPr>
                <w:sz w:val="20"/>
                <w:szCs w:val="20"/>
                <w:color w:val="auto"/>
              </w:rPr>
            </w:pPr>
            <w:r>
              <w:rPr>
                <w:rFonts w:ascii="Arial" w:cs="Arial" w:eastAsia="Arial" w:hAnsi="Arial"/>
                <w:sz w:val="14"/>
                <w:szCs w:val="14"/>
                <w:color w:val="auto"/>
              </w:rPr>
              <w:t>$13,433</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780" w:type="dxa"/>
            <w:vAlign w:val="bottom"/>
            <w:tcBorders>
              <w:left w:val="single" w:sz="8" w:color="auto"/>
            </w:tcBorders>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3/11/2025(5​​​)</w:t>
            </w: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120,000</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$0.601</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3/11/2035</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ind w:left="5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780" w:type="dxa"/>
            <w:vAlign w:val="bottom"/>
            <w:tcBorders>
              <w:left w:val="single" w:sz="8" w:color="auto"/>
            </w:tcBorders>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3/11/2025(4​​​)</w:t>
            </w: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jc w:val="center"/>
              <w:spacing w:after="0"/>
              <w:rPr>
                <w:sz w:val="20"/>
                <w:szCs w:val="20"/>
                <w:color w:val="auto"/>
              </w:rPr>
            </w:pPr>
            <w:r>
              <w:rPr>
                <w:rFonts w:ascii="Arial" w:cs="Arial" w:eastAsia="Arial" w:hAnsi="Arial"/>
                <w:sz w:val="14"/>
                <w:szCs w:val="14"/>
                <w:color w:val="auto"/>
              </w:rPr>
              <w:t>120,000</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$119,400</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
        </w:trPr>
        <w:tc>
          <w:tcPr>
            <w:tcW w:w="1780" w:type="dxa"/>
            <w:vAlign w:val="bottom"/>
            <w:tcBorders>
              <w:left w:val="single" w:sz="8" w:color="auto"/>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3"/>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1780" w:type="dxa"/>
            <w:vAlign w:val="bottom"/>
            <w:tcBorders>
              <w:left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Adrienne Farid, Ph.D.</w:t>
            </w:r>
          </w:p>
        </w:tc>
        <w:tc>
          <w:tcPr>
            <w:tcW w:w="2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tcPr>
          <w:p>
            <w:pPr>
              <w:jc w:val="center"/>
              <w:spacing w:after="0" w:line="142" w:lineRule="exact"/>
              <w:rPr>
                <w:sz w:val="20"/>
                <w:szCs w:val="20"/>
                <w:color w:val="auto"/>
              </w:rPr>
            </w:pPr>
            <w:r>
              <w:rPr>
                <w:rFonts w:ascii="Arial" w:cs="Arial" w:eastAsia="Arial" w:hAnsi="Arial"/>
                <w:sz w:val="14"/>
                <w:szCs w:val="14"/>
                <w:color w:val="auto"/>
                <w:w w:val="98"/>
              </w:rPr>
              <w:t>168,655</w:t>
            </w:r>
          </w:p>
        </w:tc>
        <w:tc>
          <w:tcPr>
            <w:tcW w:w="140" w:type="dxa"/>
            <w:vAlign w:val="bottom"/>
          </w:tcPr>
          <w:p>
            <w:pPr>
              <w:ind w:left="20"/>
              <w:spacing w:after="0" w:line="142" w:lineRule="exact"/>
              <w:rPr>
                <w:sz w:val="20"/>
                <w:szCs w:val="20"/>
                <w:color w:val="auto"/>
              </w:rPr>
            </w:pPr>
            <w:r>
              <w:rPr>
                <w:rFonts w:ascii="Arial" w:cs="Arial" w:eastAsia="Arial" w:hAnsi="Arial"/>
                <w:sz w:val="14"/>
                <w:szCs w:val="14"/>
                <w:color w:val="auto"/>
              </w:rPr>
              <w:t>​​</w:t>
            </w:r>
          </w:p>
        </w:tc>
        <w:tc>
          <w:tcPr>
            <w:tcW w:w="104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20"/>
              <w:spacing w:after="0" w:line="142" w:lineRule="exact"/>
              <w:rPr>
                <w:sz w:val="20"/>
                <w:szCs w:val="20"/>
                <w:color w:val="auto"/>
              </w:rPr>
            </w:pPr>
            <w:r>
              <w:rPr>
                <w:rFonts w:ascii="Arial" w:cs="Arial" w:eastAsia="Arial" w:hAnsi="Arial"/>
                <w:sz w:val="14"/>
                <w:szCs w:val="14"/>
                <w:color w:val="auto"/>
              </w:rPr>
              <w:t>​​</w:t>
            </w:r>
          </w:p>
        </w:tc>
        <w:tc>
          <w:tcPr>
            <w:tcW w:w="640" w:type="dxa"/>
            <w:vAlign w:val="bottom"/>
          </w:tcPr>
          <w:p>
            <w:pPr>
              <w:jc w:val="center"/>
              <w:spacing w:after="0" w:line="142" w:lineRule="exact"/>
              <w:rPr>
                <w:sz w:val="20"/>
                <w:szCs w:val="20"/>
                <w:color w:val="auto"/>
              </w:rPr>
            </w:pPr>
            <w:r>
              <w:rPr>
                <w:rFonts w:ascii="Arial" w:cs="Arial" w:eastAsia="Arial" w:hAnsi="Arial"/>
                <w:sz w:val="14"/>
                <w:szCs w:val="14"/>
                <w:color w:val="auto"/>
              </w:rPr>
              <w:t>$1.03</w:t>
            </w:r>
          </w:p>
        </w:tc>
        <w:tc>
          <w:tcPr>
            <w:tcW w:w="180" w:type="dxa"/>
            <w:vAlign w:val="bottom"/>
          </w:tcPr>
          <w:p>
            <w:pPr>
              <w:ind w:left="20"/>
              <w:spacing w:after="0" w:line="142" w:lineRule="exact"/>
              <w:rPr>
                <w:sz w:val="20"/>
                <w:szCs w:val="20"/>
                <w:color w:val="auto"/>
              </w:rPr>
            </w:pPr>
            <w:r>
              <w:rPr>
                <w:rFonts w:ascii="Arial" w:cs="Arial" w:eastAsia="Arial" w:hAnsi="Arial"/>
                <w:sz w:val="14"/>
                <w:szCs w:val="14"/>
                <w:color w:val="auto"/>
              </w:rPr>
              <w:t>​ ​</w:t>
            </w:r>
          </w:p>
        </w:tc>
        <w:tc>
          <w:tcPr>
            <w:tcW w:w="720" w:type="dxa"/>
            <w:vAlign w:val="bottom"/>
          </w:tcPr>
          <w:p>
            <w:pPr>
              <w:jc w:val="center"/>
              <w:spacing w:after="0" w:line="142" w:lineRule="exact"/>
              <w:rPr>
                <w:sz w:val="20"/>
                <w:szCs w:val="20"/>
                <w:color w:val="auto"/>
              </w:rPr>
            </w:pPr>
            <w:r>
              <w:rPr>
                <w:rFonts w:ascii="Arial" w:cs="Arial" w:eastAsia="Arial" w:hAnsi="Arial"/>
                <w:sz w:val="14"/>
                <w:szCs w:val="14"/>
                <w:color w:val="auto"/>
              </w:rPr>
              <w:t>7/17/2028</w:t>
            </w:r>
          </w:p>
        </w:tc>
        <w:tc>
          <w:tcPr>
            <w:tcW w:w="160" w:type="dxa"/>
            <w:vAlign w:val="bottom"/>
          </w:tcPr>
          <w:p>
            <w:pPr>
              <w:ind w:left="40"/>
              <w:spacing w:after="0" w:line="142" w:lineRule="exact"/>
              <w:rPr>
                <w:sz w:val="20"/>
                <w:szCs w:val="20"/>
                <w:color w:val="auto"/>
              </w:rPr>
            </w:pPr>
            <w:r>
              <w:rPr>
                <w:rFonts w:ascii="Arial" w:cs="Arial" w:eastAsia="Arial" w:hAnsi="Arial"/>
                <w:sz w:val="14"/>
                <w:szCs w:val="14"/>
                <w:color w:val="auto"/>
              </w:rPr>
              <w:t>​ ​</w:t>
            </w:r>
          </w:p>
        </w:tc>
        <w:tc>
          <w:tcPr>
            <w:tcW w:w="800" w:type="dxa"/>
            <w:vAlign w:val="bottom"/>
          </w:tcPr>
          <w:p>
            <w:pPr>
              <w:ind w:left="400"/>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ind w:left="40"/>
              <w:spacing w:after="0" w:line="142" w:lineRule="exact"/>
              <w:rPr>
                <w:sz w:val="20"/>
                <w:szCs w:val="20"/>
                <w:color w:val="auto"/>
              </w:rPr>
            </w:pPr>
            <w:r>
              <w:rPr>
                <w:rFonts w:ascii="Arial" w:cs="Arial" w:eastAsia="Arial" w:hAnsi="Arial"/>
                <w:sz w:val="14"/>
                <w:szCs w:val="14"/>
                <w:color w:val="auto"/>
              </w:rPr>
              <w:t>​ ​</w:t>
            </w:r>
          </w:p>
        </w:tc>
        <w:tc>
          <w:tcPr>
            <w:tcW w:w="1080" w:type="dxa"/>
            <w:vAlign w:val="bottom"/>
          </w:tcPr>
          <w:p>
            <w:pPr>
              <w:ind w:left="520"/>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ind w:left="4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5"/>
        </w:trPr>
        <w:tc>
          <w:tcPr>
            <w:tcW w:w="1780" w:type="dxa"/>
            <w:vAlign w:val="bottom"/>
            <w:tcBorders>
              <w:left w:val="single" w:sz="8" w:color="auto"/>
            </w:tcBorders>
            <w:vMerge w:val="continue"/>
          </w:tcPr>
          <w:p>
            <w:pPr>
              <w:spacing w:after="0"/>
              <w:rPr>
                <w:sz w:val="7"/>
                <w:szCs w:val="7"/>
                <w:color w:val="auto"/>
              </w:rPr>
            </w:pPr>
          </w:p>
        </w:tc>
        <w:tc>
          <w:tcPr>
            <w:tcW w:w="1120" w:type="dxa"/>
            <w:vAlign w:val="bottom"/>
            <w:gridSpan w:val="4"/>
          </w:tcPr>
          <w:p>
            <w:pPr>
              <w:jc w:val="right"/>
              <w:ind w:right="38"/>
              <w:spacing w:after="0" w:line="85" w:lineRule="exact"/>
              <w:rPr>
                <w:sz w:val="20"/>
                <w:szCs w:val="20"/>
                <w:color w:val="auto"/>
              </w:rPr>
            </w:pPr>
            <w:r>
              <w:rPr>
                <w:rFonts w:ascii="Arial" w:cs="Arial" w:eastAsia="Arial" w:hAnsi="Arial"/>
                <w:sz w:val="9"/>
                <w:szCs w:val="9"/>
                <w:color w:val="auto"/>
              </w:rPr>
              <w:t>​ 7/18/2019(7)</w:t>
            </w: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1780" w:type="dxa"/>
            <w:vAlign w:val="bottom"/>
            <w:tcBorders>
              <w:left w:val="single" w:sz="8" w:color="auto"/>
            </w:tcBorders>
          </w:tcPr>
          <w:p>
            <w:pPr>
              <w:spacing w:after="0"/>
              <w:rPr>
                <w:sz w:val="16"/>
                <w:szCs w:val="16"/>
                <w:color w:val="auto"/>
              </w:rPr>
            </w:pPr>
          </w:p>
        </w:tc>
        <w:tc>
          <w:tcPr>
            <w:tcW w:w="1120" w:type="dxa"/>
            <w:vAlign w:val="bottom"/>
            <w:gridSpan w:val="4"/>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r>
              <w:rPr>
                <w:rFonts w:ascii="Arial" w:cs="Arial" w:eastAsia="Arial" w:hAnsi="Arial"/>
                <w:sz w:val="14"/>
                <w:szCs w:val="14"/>
                <w:color w:val="auto"/>
              </w:rPr>
              <w:t>10/01/2020(7​​​)</w:t>
            </w:r>
          </w:p>
        </w:tc>
        <w:tc>
          <w:tcPr>
            <w:tcW w:w="920" w:type="dxa"/>
            <w:vAlign w:val="bottom"/>
          </w:tcPr>
          <w:p>
            <w:pPr>
              <w:jc w:val="center"/>
              <w:spacing w:after="0"/>
              <w:rPr>
                <w:sz w:val="20"/>
                <w:szCs w:val="20"/>
                <w:color w:val="auto"/>
              </w:rPr>
            </w:pPr>
            <w:r>
              <w:rPr>
                <w:rFonts w:ascii="Arial" w:cs="Arial" w:eastAsia="Arial" w:hAnsi="Arial"/>
                <w:sz w:val="14"/>
                <w:szCs w:val="14"/>
                <w:color w:val="auto"/>
                <w:w w:val="97"/>
              </w:rPr>
              <w:t>15,462</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$1.75</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7/31/2028</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ind w:left="5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780" w:type="dxa"/>
            <w:vAlign w:val="bottom"/>
            <w:tcBorders>
              <w:left w:val="single" w:sz="8" w:color="auto"/>
            </w:tcBorders>
          </w:tcPr>
          <w:p>
            <w:pPr>
              <w:spacing w:after="0"/>
              <w:rPr>
                <w:sz w:val="21"/>
                <w:szCs w:val="21"/>
                <w:color w:val="auto"/>
              </w:rPr>
            </w:pPr>
          </w:p>
        </w:tc>
        <w:tc>
          <w:tcPr>
            <w:tcW w:w="1120" w:type="dxa"/>
            <w:vAlign w:val="bottom"/>
            <w:gridSpan w:val="4"/>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r>
              <w:rPr>
                <w:rFonts w:ascii="Arial" w:cs="Arial" w:eastAsia="Arial" w:hAnsi="Arial"/>
                <w:sz w:val="14"/>
                <w:szCs w:val="14"/>
                <w:color w:val="auto"/>
              </w:rPr>
              <w:t xml:space="preserve"> 4/16/2021(7​​​)</w:t>
            </w:r>
          </w:p>
        </w:tc>
        <w:tc>
          <w:tcPr>
            <w:tcW w:w="920" w:type="dxa"/>
            <w:vAlign w:val="bottom"/>
          </w:tcPr>
          <w:p>
            <w:pPr>
              <w:jc w:val="center"/>
              <w:spacing w:after="0"/>
              <w:rPr>
                <w:sz w:val="20"/>
                <w:szCs w:val="20"/>
                <w:color w:val="auto"/>
              </w:rPr>
            </w:pPr>
            <w:r>
              <w:rPr>
                <w:rFonts w:ascii="Arial" w:cs="Arial" w:eastAsia="Arial" w:hAnsi="Arial"/>
                <w:sz w:val="14"/>
                <w:szCs w:val="14"/>
                <w:color w:val="auto"/>
                <w:w w:val="98"/>
              </w:rPr>
              <w:t>207,649</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$7.27</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7/31/2028</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ind w:left="5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1780" w:type="dxa"/>
            <w:vAlign w:val="bottom"/>
            <w:tcBorders>
              <w:left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120" w:type="dxa"/>
            <w:vAlign w:val="bottom"/>
            <w:gridSpan w:val="4"/>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r>
              <w:rPr>
                <w:rFonts w:ascii="Arial" w:cs="Arial" w:eastAsia="Arial" w:hAnsi="Arial"/>
                <w:sz w:val="14"/>
                <w:szCs w:val="14"/>
                <w:color w:val="auto"/>
              </w:rPr>
              <w:t xml:space="preserve"> 1/25/2022(5​​​)</w:t>
            </w:r>
          </w:p>
        </w:tc>
        <w:tc>
          <w:tcPr>
            <w:tcW w:w="920" w:type="dxa"/>
            <w:vAlign w:val="bottom"/>
          </w:tcPr>
          <w:p>
            <w:pPr>
              <w:jc w:val="center"/>
              <w:spacing w:after="0"/>
              <w:rPr>
                <w:sz w:val="20"/>
                <w:szCs w:val="20"/>
                <w:color w:val="auto"/>
              </w:rPr>
            </w:pPr>
            <w:r>
              <w:rPr>
                <w:rFonts w:ascii="Arial" w:cs="Arial" w:eastAsia="Arial" w:hAnsi="Arial"/>
                <w:sz w:val="14"/>
                <w:szCs w:val="14"/>
                <w:color w:val="auto"/>
                <w:w w:val="97"/>
              </w:rPr>
              <w:t>91,872</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$13.15</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7/31/2028</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ind w:left="5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780" w:type="dxa"/>
            <w:vAlign w:val="bottom"/>
            <w:tcBorders>
              <w:left w:val="single" w:sz="8" w:color="auto"/>
            </w:tcBorders>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2/2/2023(5​​​)</w:t>
            </w:r>
          </w:p>
        </w:tc>
        <w:tc>
          <w:tcPr>
            <w:tcW w:w="920" w:type="dxa"/>
            <w:vAlign w:val="bottom"/>
          </w:tcPr>
          <w:p>
            <w:pPr>
              <w:jc w:val="center"/>
              <w:spacing w:after="0"/>
              <w:rPr>
                <w:sz w:val="20"/>
                <w:szCs w:val="20"/>
                <w:color w:val="auto"/>
              </w:rPr>
            </w:pPr>
            <w:r>
              <w:rPr>
                <w:rFonts w:ascii="Arial" w:cs="Arial" w:eastAsia="Arial" w:hAnsi="Arial"/>
                <w:sz w:val="14"/>
                <w:szCs w:val="14"/>
                <w:color w:val="auto"/>
                <w:w w:val="97"/>
              </w:rPr>
              <w:t>79,390</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$4.64</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7/31/2028</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ind w:left="5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780" w:type="dxa"/>
            <w:vAlign w:val="bottom"/>
            <w:tcBorders>
              <w:left w:val="single" w:sz="8" w:color="auto"/>
            </w:tcBorders>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2/2/2023(5​​​)</w:t>
            </w:r>
          </w:p>
        </w:tc>
        <w:tc>
          <w:tcPr>
            <w:tcW w:w="920" w:type="dxa"/>
            <w:vAlign w:val="bottom"/>
          </w:tcPr>
          <w:p>
            <w:pPr>
              <w:jc w:val="center"/>
              <w:spacing w:after="0"/>
              <w:rPr>
                <w:sz w:val="20"/>
                <w:szCs w:val="20"/>
                <w:color w:val="auto"/>
              </w:rPr>
            </w:pPr>
            <w:r>
              <w:rPr>
                <w:rFonts w:ascii="Arial" w:cs="Arial" w:eastAsia="Arial" w:hAnsi="Arial"/>
                <w:sz w:val="14"/>
                <w:szCs w:val="14"/>
                <w:color w:val="auto"/>
                <w:w w:val="97"/>
              </w:rPr>
              <w:t>79,390</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$4.64</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7/31/2028</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ind w:left="5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780" w:type="dxa"/>
            <w:vAlign w:val="bottom"/>
            <w:tcBorders>
              <w:left w:val="single" w:sz="8" w:color="auto"/>
            </w:tcBorders>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3/7/2024(5​​​)</w:t>
            </w:r>
          </w:p>
        </w:tc>
        <w:tc>
          <w:tcPr>
            <w:tcW w:w="920" w:type="dxa"/>
            <w:vAlign w:val="bottom"/>
          </w:tcPr>
          <w:p>
            <w:pPr>
              <w:jc w:val="center"/>
              <w:spacing w:after="0"/>
              <w:rPr>
                <w:sz w:val="20"/>
                <w:szCs w:val="20"/>
                <w:color w:val="auto"/>
              </w:rPr>
            </w:pPr>
            <w:r>
              <w:rPr>
                <w:rFonts w:ascii="Arial" w:cs="Arial" w:eastAsia="Arial" w:hAnsi="Arial"/>
                <w:sz w:val="14"/>
                <w:szCs w:val="14"/>
                <w:color w:val="auto"/>
                <w:w w:val="97"/>
              </w:rPr>
              <w:t>48,664</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$5.315</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7/31/2028</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ind w:left="5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
        </w:trPr>
        <w:tc>
          <w:tcPr>
            <w:tcW w:w="1780" w:type="dxa"/>
            <w:vAlign w:val="bottom"/>
            <w:tcBorders>
              <w:left w:val="single" w:sz="8" w:color="auto"/>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3"/>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1780" w:type="dxa"/>
            <w:vAlign w:val="bottom"/>
            <w:tcBorders>
              <w:left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Chad Cowan, Ph.D.</w:t>
            </w:r>
          </w:p>
        </w:tc>
        <w:tc>
          <w:tcPr>
            <w:tcW w:w="2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tcPr>
          <w:p>
            <w:pPr>
              <w:jc w:val="center"/>
              <w:spacing w:after="0" w:line="142" w:lineRule="exact"/>
              <w:rPr>
                <w:sz w:val="20"/>
                <w:szCs w:val="20"/>
                <w:color w:val="auto"/>
              </w:rPr>
            </w:pPr>
            <w:r>
              <w:rPr>
                <w:rFonts w:ascii="Arial" w:cs="Arial" w:eastAsia="Arial" w:hAnsi="Arial"/>
                <w:sz w:val="14"/>
                <w:szCs w:val="14"/>
                <w:color w:val="auto"/>
                <w:w w:val="98"/>
              </w:rPr>
              <w:t>130,154</w:t>
            </w:r>
          </w:p>
        </w:tc>
        <w:tc>
          <w:tcPr>
            <w:tcW w:w="140" w:type="dxa"/>
            <w:vAlign w:val="bottom"/>
          </w:tcPr>
          <w:p>
            <w:pPr>
              <w:ind w:left="20"/>
              <w:spacing w:after="0" w:line="142" w:lineRule="exact"/>
              <w:rPr>
                <w:sz w:val="20"/>
                <w:szCs w:val="20"/>
                <w:color w:val="auto"/>
              </w:rPr>
            </w:pPr>
            <w:r>
              <w:rPr>
                <w:rFonts w:ascii="Arial" w:cs="Arial" w:eastAsia="Arial" w:hAnsi="Arial"/>
                <w:sz w:val="14"/>
                <w:szCs w:val="14"/>
                <w:color w:val="auto"/>
              </w:rPr>
              <w:t>​​</w:t>
            </w:r>
          </w:p>
        </w:tc>
        <w:tc>
          <w:tcPr>
            <w:tcW w:w="1040" w:type="dxa"/>
            <w:vAlign w:val="bottom"/>
          </w:tcPr>
          <w:p>
            <w:pPr>
              <w:jc w:val="center"/>
              <w:spacing w:after="0" w:line="142" w:lineRule="exact"/>
              <w:rPr>
                <w:sz w:val="20"/>
                <w:szCs w:val="20"/>
                <w:color w:val="auto"/>
              </w:rPr>
            </w:pPr>
            <w:r>
              <w:rPr>
                <w:rFonts w:ascii="Arial" w:cs="Arial" w:eastAsia="Arial" w:hAnsi="Arial"/>
                <w:sz w:val="14"/>
                <w:szCs w:val="14"/>
                <w:color w:val="auto"/>
              </w:rPr>
              <w:t>316,096</w:t>
            </w:r>
          </w:p>
        </w:tc>
        <w:tc>
          <w:tcPr>
            <w:tcW w:w="140" w:type="dxa"/>
            <w:vAlign w:val="bottom"/>
          </w:tcPr>
          <w:p>
            <w:pPr>
              <w:ind w:left="20"/>
              <w:spacing w:after="0" w:line="142" w:lineRule="exact"/>
              <w:rPr>
                <w:sz w:val="20"/>
                <w:szCs w:val="20"/>
                <w:color w:val="auto"/>
              </w:rPr>
            </w:pPr>
            <w:r>
              <w:rPr>
                <w:rFonts w:ascii="Arial" w:cs="Arial" w:eastAsia="Arial" w:hAnsi="Arial"/>
                <w:sz w:val="14"/>
                <w:szCs w:val="14"/>
                <w:color w:val="auto"/>
              </w:rPr>
              <w:t>​​</w:t>
            </w:r>
          </w:p>
        </w:tc>
        <w:tc>
          <w:tcPr>
            <w:tcW w:w="640" w:type="dxa"/>
            <w:vAlign w:val="bottom"/>
          </w:tcPr>
          <w:p>
            <w:pPr>
              <w:jc w:val="center"/>
              <w:spacing w:after="0" w:line="142" w:lineRule="exact"/>
              <w:rPr>
                <w:sz w:val="20"/>
                <w:szCs w:val="20"/>
                <w:color w:val="auto"/>
              </w:rPr>
            </w:pPr>
            <w:r>
              <w:rPr>
                <w:rFonts w:ascii="Arial" w:cs="Arial" w:eastAsia="Arial" w:hAnsi="Arial"/>
                <w:sz w:val="14"/>
                <w:szCs w:val="14"/>
                <w:color w:val="auto"/>
              </w:rPr>
              <w:t>$1.65</w:t>
            </w:r>
          </w:p>
        </w:tc>
        <w:tc>
          <w:tcPr>
            <w:tcW w:w="180" w:type="dxa"/>
            <w:vAlign w:val="bottom"/>
          </w:tcPr>
          <w:p>
            <w:pPr>
              <w:ind w:left="20"/>
              <w:spacing w:after="0" w:line="142" w:lineRule="exact"/>
              <w:rPr>
                <w:sz w:val="20"/>
                <w:szCs w:val="20"/>
                <w:color w:val="auto"/>
              </w:rPr>
            </w:pPr>
            <w:r>
              <w:rPr>
                <w:rFonts w:ascii="Arial" w:cs="Arial" w:eastAsia="Arial" w:hAnsi="Arial"/>
                <w:sz w:val="14"/>
                <w:szCs w:val="14"/>
                <w:color w:val="auto"/>
              </w:rPr>
              <w:t>​ ​</w:t>
            </w:r>
          </w:p>
        </w:tc>
        <w:tc>
          <w:tcPr>
            <w:tcW w:w="720" w:type="dxa"/>
            <w:vAlign w:val="bottom"/>
          </w:tcPr>
          <w:p>
            <w:pPr>
              <w:jc w:val="center"/>
              <w:spacing w:after="0" w:line="142" w:lineRule="exact"/>
              <w:rPr>
                <w:sz w:val="20"/>
                <w:szCs w:val="20"/>
                <w:color w:val="auto"/>
              </w:rPr>
            </w:pPr>
            <w:r>
              <w:rPr>
                <w:rFonts w:ascii="Arial" w:cs="Arial" w:eastAsia="Arial" w:hAnsi="Arial"/>
                <w:sz w:val="14"/>
                <w:szCs w:val="14"/>
                <w:color w:val="auto"/>
              </w:rPr>
              <w:t>10/1/2034</w:t>
            </w:r>
          </w:p>
        </w:tc>
        <w:tc>
          <w:tcPr>
            <w:tcW w:w="160" w:type="dxa"/>
            <w:vAlign w:val="bottom"/>
          </w:tcPr>
          <w:p>
            <w:pPr>
              <w:ind w:left="40"/>
              <w:spacing w:after="0" w:line="142" w:lineRule="exact"/>
              <w:rPr>
                <w:sz w:val="20"/>
                <w:szCs w:val="20"/>
                <w:color w:val="auto"/>
              </w:rPr>
            </w:pPr>
            <w:r>
              <w:rPr>
                <w:rFonts w:ascii="Arial" w:cs="Arial" w:eastAsia="Arial" w:hAnsi="Arial"/>
                <w:sz w:val="14"/>
                <w:szCs w:val="14"/>
                <w:color w:val="auto"/>
              </w:rPr>
              <w:t>​ ​</w:t>
            </w:r>
          </w:p>
        </w:tc>
        <w:tc>
          <w:tcPr>
            <w:tcW w:w="800" w:type="dxa"/>
            <w:vAlign w:val="bottom"/>
          </w:tcPr>
          <w:p>
            <w:pPr>
              <w:ind w:left="400"/>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ind w:left="40"/>
              <w:spacing w:after="0" w:line="142" w:lineRule="exact"/>
              <w:rPr>
                <w:sz w:val="20"/>
                <w:szCs w:val="20"/>
                <w:color w:val="auto"/>
              </w:rPr>
            </w:pPr>
            <w:r>
              <w:rPr>
                <w:rFonts w:ascii="Arial" w:cs="Arial" w:eastAsia="Arial" w:hAnsi="Arial"/>
                <w:sz w:val="14"/>
                <w:szCs w:val="14"/>
                <w:color w:val="auto"/>
              </w:rPr>
              <w:t>​ ​</w:t>
            </w:r>
          </w:p>
        </w:tc>
        <w:tc>
          <w:tcPr>
            <w:tcW w:w="1080" w:type="dxa"/>
            <w:vAlign w:val="bottom"/>
          </w:tcPr>
          <w:p>
            <w:pPr>
              <w:ind w:left="520"/>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ind w:left="4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5"/>
        </w:trPr>
        <w:tc>
          <w:tcPr>
            <w:tcW w:w="1780" w:type="dxa"/>
            <w:vAlign w:val="bottom"/>
            <w:tcBorders>
              <w:left w:val="single" w:sz="8" w:color="auto"/>
            </w:tcBorders>
            <w:vMerge w:val="continue"/>
          </w:tcPr>
          <w:p>
            <w:pPr>
              <w:spacing w:after="0"/>
              <w:rPr>
                <w:sz w:val="7"/>
                <w:szCs w:val="7"/>
                <w:color w:val="auto"/>
              </w:rPr>
            </w:pPr>
          </w:p>
        </w:tc>
        <w:tc>
          <w:tcPr>
            <w:tcW w:w="200" w:type="dxa"/>
            <w:vAlign w:val="bottom"/>
          </w:tcPr>
          <w:p>
            <w:pPr>
              <w:jc w:val="right"/>
              <w:spacing w:after="0" w:line="85" w:lineRule="exact"/>
              <w:rPr>
                <w:sz w:val="20"/>
                <w:szCs w:val="20"/>
                <w:color w:val="auto"/>
              </w:rPr>
            </w:pPr>
            <w:r>
              <w:rPr>
                <w:rFonts w:ascii="Arial" w:cs="Arial" w:eastAsia="Arial" w:hAnsi="Arial"/>
                <w:sz w:val="9"/>
                <w:szCs w:val="9"/>
                <w:color w:val="auto"/>
              </w:rPr>
              <w:t>​</w:t>
            </w:r>
          </w:p>
        </w:tc>
        <w:tc>
          <w:tcPr>
            <w:tcW w:w="840" w:type="dxa"/>
            <w:vAlign w:val="bottom"/>
          </w:tcPr>
          <w:p>
            <w:pPr>
              <w:jc w:val="right"/>
              <w:spacing w:after="0" w:line="85" w:lineRule="exact"/>
              <w:rPr>
                <w:sz w:val="20"/>
                <w:szCs w:val="20"/>
                <w:color w:val="auto"/>
              </w:rPr>
            </w:pPr>
            <w:r>
              <w:rPr>
                <w:rFonts w:ascii="Arial" w:cs="Arial" w:eastAsia="Arial" w:hAnsi="Arial"/>
                <w:sz w:val="9"/>
                <w:szCs w:val="9"/>
                <w:color w:val="auto"/>
              </w:rPr>
              <w:t>10/1/2024(5)</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1780" w:type="dxa"/>
            <w:vAlign w:val="bottom"/>
            <w:tcBorders>
              <w:left w:val="single" w:sz="8" w:color="auto"/>
            </w:tcBorders>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10/1/2024(4​​​)</w:t>
            </w: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jc w:val="center"/>
              <w:spacing w:after="0"/>
              <w:rPr>
                <w:sz w:val="20"/>
                <w:szCs w:val="20"/>
                <w:color w:val="auto"/>
              </w:rPr>
            </w:pPr>
            <w:r>
              <w:rPr>
                <w:rFonts w:ascii="Arial" w:cs="Arial" w:eastAsia="Arial" w:hAnsi="Arial"/>
                <w:sz w:val="14"/>
                <w:szCs w:val="14"/>
                <w:color w:val="auto"/>
              </w:rPr>
              <w:t>55,782</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jc w:val="center"/>
              <w:spacing w:after="0"/>
              <w:rPr>
                <w:sz w:val="20"/>
                <w:szCs w:val="20"/>
                <w:color w:val="auto"/>
              </w:rPr>
            </w:pPr>
            <w:r>
              <w:rPr>
                <w:rFonts w:ascii="Arial" w:cs="Arial" w:eastAsia="Arial" w:hAnsi="Arial"/>
                <w:sz w:val="14"/>
                <w:szCs w:val="14"/>
                <w:color w:val="auto"/>
              </w:rPr>
              <w:t>$55,503</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6"/>
        </w:trPr>
        <w:tc>
          <w:tcPr>
            <w:tcW w:w="1780" w:type="dxa"/>
            <w:vAlign w:val="bottom"/>
            <w:tcBorders>
              <w:left w:val="single" w:sz="8" w:color="auto"/>
            </w:tcBorders>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line="29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3/11/2025(5​​​)</w:t>
            </w: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19,500</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$0.601</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3/11/2035</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ind w:left="5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780" w:type="dxa"/>
            <w:vAlign w:val="bottom"/>
            <w:tcBorders>
              <w:left w:val="single" w:sz="8" w:color="auto"/>
            </w:tcBorders>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3/11/2025(5​​​)</w:t>
            </w: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jc w:val="center"/>
              <w:spacing w:after="0"/>
              <w:rPr>
                <w:sz w:val="20"/>
                <w:szCs w:val="20"/>
                <w:color w:val="auto"/>
              </w:rPr>
            </w:pPr>
            <w:r>
              <w:rPr>
                <w:rFonts w:ascii="Arial" w:cs="Arial" w:eastAsia="Arial" w:hAnsi="Arial"/>
                <w:sz w:val="14"/>
                <w:szCs w:val="14"/>
                <w:color w:val="auto"/>
              </w:rPr>
              <w:t>19,500</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jc w:val="center"/>
              <w:spacing w:after="0"/>
              <w:rPr>
                <w:sz w:val="20"/>
                <w:szCs w:val="20"/>
                <w:color w:val="auto"/>
              </w:rPr>
            </w:pPr>
            <w:r>
              <w:rPr>
                <w:rFonts w:ascii="Arial" w:cs="Arial" w:eastAsia="Arial" w:hAnsi="Arial"/>
                <w:sz w:val="14"/>
                <w:szCs w:val="14"/>
                <w:color w:val="auto"/>
              </w:rPr>
              <w:t>$19,402</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1780" w:type="dxa"/>
            <w:vAlign w:val="bottom"/>
            <w:tcBorders>
              <w:left w:val="single" w:sz="8" w:color="auto"/>
            </w:tcBorders>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9/18/2025(8)</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rPr>
              <w:t>762,543</w:t>
            </w:r>
          </w:p>
        </w:tc>
        <w:tc>
          <w:tcPr>
            <w:tcW w:w="16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9"/>
              </w:rPr>
              <w:t>$758,730</w:t>
            </w:r>
          </w:p>
        </w:tc>
        <w:tc>
          <w:tcPr>
            <w:tcW w:w="1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780" w:type="dxa"/>
            <w:vAlign w:val="bottom"/>
            <w:tcBorders>
              <w:left w:val="single" w:sz="8" w:color="auto"/>
              <w:bottom w:val="single" w:sz="8" w:color="auto"/>
            </w:tcBorders>
          </w:tcPr>
          <w:p>
            <w:pPr>
              <w:spacing w:after="0"/>
              <w:rPr>
                <w:sz w:val="11"/>
                <w:szCs w:val="11"/>
                <w:color w:val="auto"/>
              </w:rPr>
            </w:pPr>
          </w:p>
        </w:tc>
        <w:tc>
          <w:tcPr>
            <w:tcW w:w="2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gridSpan w:val="3"/>
          </w:tcPr>
          <w:p>
            <w:pPr>
              <w:jc w:val="right"/>
              <w:spacing w:after="0" w:line="135"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104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2377440</wp:posOffset>
            </wp:positionH>
            <wp:positionV relativeFrom="paragraph">
              <wp:posOffset>-5356860</wp:posOffset>
            </wp:positionV>
            <wp:extent cx="3865880" cy="6940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65880" cy="694055"/>
                    </a:xfrm>
                    <a:prstGeom prst="rect">
                      <a:avLst/>
                    </a:prstGeom>
                    <a:noFill/>
                  </pic:spPr>
                </pic:pic>
              </a:graphicData>
            </a:graphic>
          </wp:anchor>
        </w:drawing>
      </w:r>
    </w:p>
    <w:p>
      <w:pPr>
        <w:spacing w:after="0" w:line="87" w:lineRule="exact"/>
        <w:rPr>
          <w:sz w:val="20"/>
          <w:szCs w:val="20"/>
          <w:color w:val="auto"/>
        </w:rPr>
      </w:pPr>
    </w:p>
    <w:p>
      <w:pPr>
        <w:ind w:left="1240" w:right="39" w:hanging="370"/>
        <w:spacing w:after="0" w:line="272" w:lineRule="auto"/>
        <w:tabs>
          <w:tab w:leader="none" w:pos="1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market value is based on the closing stock price of $0.995 on December 31, 2025 (the last trading date in the 2025 fiscal year).</w:t>
      </w:r>
    </w:p>
    <w:p>
      <w:pPr>
        <w:spacing w:after="0" w:line="1" w:lineRule="exact"/>
        <w:rPr>
          <w:rFonts w:ascii="Arial" w:cs="Arial" w:eastAsia="Arial" w:hAnsi="Arial"/>
          <w:sz w:val="16"/>
          <w:szCs w:val="16"/>
          <w:color w:val="auto"/>
        </w:rPr>
      </w:pPr>
    </w:p>
    <w:p>
      <w:pPr>
        <w:ind w:left="1240" w:right="39" w:hanging="370"/>
        <w:spacing w:after="0" w:line="268" w:lineRule="auto"/>
        <w:tabs>
          <w:tab w:leader="none" w:pos="1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option vests 25% on December 4, 2024, with the remaining 75% vesting in 36 equal monthly installments, subject generally to the NEO’s continued employment with us.</w:t>
      </w:r>
    </w:p>
    <w:p>
      <w:pPr>
        <w:spacing w:after="0" w:line="7" w:lineRule="exact"/>
        <w:rPr>
          <w:rFonts w:ascii="Arial" w:cs="Arial" w:eastAsia="Arial" w:hAnsi="Arial"/>
          <w:sz w:val="16"/>
          <w:szCs w:val="16"/>
          <w:color w:val="auto"/>
        </w:rPr>
      </w:pPr>
    </w:p>
    <w:p>
      <w:pPr>
        <w:jc w:val="both"/>
        <w:ind w:left="1240" w:right="39" w:hanging="370"/>
        <w:spacing w:after="0" w:line="248" w:lineRule="auto"/>
        <w:tabs>
          <w:tab w:leader="none" w:pos="1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restricted stock unit award vests 25% on December 4, 2024, and the remaining 75% vesting in 12 equal quarterly installments every February 15, May 15, August 15, November 15 thereafter, subject generally to the NEO’s continued employment with us.</w:t>
      </w:r>
    </w:p>
    <w:p>
      <w:pPr>
        <w:spacing w:after="0" w:line="23" w:lineRule="exact"/>
        <w:rPr>
          <w:rFonts w:ascii="Arial" w:cs="Arial" w:eastAsia="Arial" w:hAnsi="Arial"/>
          <w:sz w:val="16"/>
          <w:szCs w:val="16"/>
          <w:color w:val="auto"/>
        </w:rPr>
      </w:pPr>
    </w:p>
    <w:p>
      <w:pPr>
        <w:ind w:left="1240" w:right="19" w:hanging="370"/>
        <w:spacing w:after="0" w:line="268" w:lineRule="auto"/>
        <w:tabs>
          <w:tab w:leader="none" w:pos="1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restricted stock unit award vests 25% on the first anniversary of the grant date and the remaining 75% in 12 equal quarterly installments thereafter, subject generally to the NEO’s continued employment with us.</w:t>
      </w:r>
    </w:p>
    <w:p>
      <w:pPr>
        <w:sectPr>
          <w:pgSz w:w="11900" w:h="16838" w:orient="portrait"/>
          <w:cols w:equalWidth="0" w:num="1">
            <w:col w:w="9879"/>
          </w:cols>
          <w:pgMar w:left="580" w:top="97" w:right="1440" w:bottom="1440" w:gutter="0" w:footer="0" w:header="0"/>
        </w:sectPr>
      </w:pPr>
    </w:p>
    <w:p>
      <w:pPr>
        <w:spacing w:after="0" w:line="273"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​EXECUTIVE COMPENSATION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17" w:lineRule="exact"/>
        <w:rPr>
          <w:sz w:val="20"/>
          <w:szCs w:val="20"/>
          <w:color w:val="auto"/>
        </w:rPr>
      </w:pPr>
    </w:p>
    <w:p>
      <w:pPr>
        <w:ind w:left="1240" w:right="39" w:hanging="370"/>
        <w:spacing w:after="0" w:line="268" w:lineRule="auto"/>
        <w:tabs>
          <w:tab w:leader="none" w:pos="12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This option vests 25% on the first anniversary of the grant date and the remaining 75% in 36 equal monthly installments thereafter, subject generally to the NEO’s continued employment with us.</w:t>
      </w:r>
    </w:p>
    <w:p>
      <w:pPr>
        <w:spacing w:after="0" w:line="21" w:lineRule="exact"/>
        <w:rPr>
          <w:rFonts w:ascii="Arial" w:cs="Arial" w:eastAsia="Arial" w:hAnsi="Arial"/>
          <w:sz w:val="16"/>
          <w:szCs w:val="16"/>
          <w:color w:val="auto"/>
        </w:rPr>
      </w:pPr>
    </w:p>
    <w:p>
      <w:pPr>
        <w:ind w:left="1240" w:right="19" w:hanging="370"/>
        <w:spacing w:after="0" w:line="268" w:lineRule="auto"/>
        <w:tabs>
          <w:tab w:leader="none" w:pos="12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This restricted stock unit award vests 50% on August 14, 2027, and 50% on August 14, 2028, subject generally to the NEO’s continued employment with us.</w:t>
      </w:r>
    </w:p>
    <w:p>
      <w:pPr>
        <w:spacing w:after="0" w:line="21" w:lineRule="exact"/>
        <w:rPr>
          <w:rFonts w:ascii="Arial" w:cs="Arial" w:eastAsia="Arial" w:hAnsi="Arial"/>
          <w:sz w:val="16"/>
          <w:szCs w:val="16"/>
          <w:color w:val="auto"/>
        </w:rPr>
      </w:pPr>
    </w:p>
    <w:p>
      <w:pPr>
        <w:ind w:left="1240" w:hanging="370"/>
        <w:spacing w:after="0"/>
        <w:tabs>
          <w:tab w:leader="none" w:pos="12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This option is fully vested.</w:t>
      </w:r>
    </w:p>
    <w:p>
      <w:pPr>
        <w:spacing w:after="0" w:line="59" w:lineRule="exact"/>
        <w:rPr>
          <w:rFonts w:ascii="Arial" w:cs="Arial" w:eastAsia="Arial" w:hAnsi="Arial"/>
          <w:sz w:val="16"/>
          <w:szCs w:val="16"/>
          <w:color w:val="auto"/>
        </w:rPr>
      </w:pPr>
    </w:p>
    <w:p>
      <w:pPr>
        <w:ind w:left="1240" w:hanging="370"/>
        <w:spacing w:after="0"/>
        <w:tabs>
          <w:tab w:leader="none" w:pos="12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This restricted stock unit award vests 50% on October 1, 2026, and the remaining 50% on October 1, 2027.</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EMPLOYMENT AGREEMENTS</w:t>
      </w:r>
    </w:p>
    <w:p>
      <w:pPr>
        <w:spacing w:after="0" w:line="158" w:lineRule="exact"/>
        <w:rPr>
          <w:sz w:val="20"/>
          <w:szCs w:val="20"/>
          <w:color w:val="auto"/>
        </w:rPr>
      </w:pPr>
    </w:p>
    <w:p>
      <w:pPr>
        <w:jc w:val="both"/>
        <w:ind w:left="880" w:right="39"/>
        <w:spacing w:after="0" w:line="271" w:lineRule="auto"/>
        <w:rPr>
          <w:sz w:val="20"/>
          <w:szCs w:val="20"/>
          <w:color w:val="auto"/>
        </w:rPr>
      </w:pPr>
      <w:r>
        <w:rPr>
          <w:rFonts w:ascii="Arial" w:cs="Arial" w:eastAsia="Arial" w:hAnsi="Arial"/>
          <w:sz w:val="18"/>
          <w:szCs w:val="18"/>
          <w:color w:val="auto"/>
        </w:rPr>
        <w:t>We have entered into employment agreements with all of our named executive officers. The material terms of the employment agreements between us and our named executive officers are described in more detail below.</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Brent Pfeiffenberger, Pharm.D.</w:t>
      </w:r>
    </w:p>
    <w:p>
      <w:pPr>
        <w:spacing w:after="0" w:line="144" w:lineRule="exact"/>
        <w:rPr>
          <w:sz w:val="20"/>
          <w:szCs w:val="20"/>
          <w:color w:val="auto"/>
        </w:rPr>
      </w:pPr>
    </w:p>
    <w:p>
      <w:pPr>
        <w:jc w:val="both"/>
        <w:ind w:left="880" w:right="19"/>
        <w:spacing w:after="0" w:line="246" w:lineRule="auto"/>
        <w:rPr>
          <w:sz w:val="20"/>
          <w:szCs w:val="20"/>
          <w:color w:val="auto"/>
        </w:rPr>
      </w:pPr>
      <w:r>
        <w:rPr>
          <w:rFonts w:ascii="Arial" w:cs="Arial" w:eastAsia="Arial" w:hAnsi="Arial"/>
          <w:sz w:val="18"/>
          <w:szCs w:val="18"/>
          <w:color w:val="auto"/>
        </w:rPr>
        <w:t>We entered into an executive employment agreement on November 7, 2023, or the Pfeiffenberger Agreement. Pursuant to the Pfeiffenberger Agreement, Dr. Pfeiffenberger is entitled to (i) an initial annual base salary of $625,000, (ii) an initial annual bonus opportunity with a target amount of 55% of his annual base salary, (iii) a one-time signing bonus of $200,000, (iv) a one-time retention bonus of $450,000 and (v) certain sign-on equity awards (as described above). In addition, the Company agreed to reimburse Dr. Pfeiffenberger up to $150,000 for reasonable expenses incurred in connection with Dr. Pfeiffenberger’s relocation to the Philadelphia, Pennsylvania area.</w:t>
      </w:r>
    </w:p>
    <w:p>
      <w:pPr>
        <w:spacing w:after="0" w:line="108" w:lineRule="exact"/>
        <w:rPr>
          <w:sz w:val="20"/>
          <w:szCs w:val="20"/>
          <w:color w:val="auto"/>
        </w:rPr>
      </w:pPr>
    </w:p>
    <w:p>
      <w:pPr>
        <w:jc w:val="both"/>
        <w:ind w:left="880" w:right="19"/>
        <w:spacing w:after="0" w:line="244" w:lineRule="auto"/>
        <w:rPr>
          <w:sz w:val="20"/>
          <w:szCs w:val="20"/>
          <w:color w:val="auto"/>
        </w:rPr>
      </w:pPr>
      <w:r>
        <w:rPr>
          <w:rFonts w:ascii="Arial" w:cs="Arial" w:eastAsia="Arial" w:hAnsi="Arial"/>
          <w:sz w:val="18"/>
          <w:szCs w:val="18"/>
          <w:color w:val="auto"/>
        </w:rPr>
        <w:t>Upon a termination of Dr. Pfeiffenberger’s employment without “cause” (as​ defined in the Pfeiffenberger Agreement) by the Company or resignation for “good reason” (as​ defined in the Pfeiffenberger Agreement), Dr. Pfeiffenberger is entitled to receive (i) payment of all accrued and unpaid base salary and PTO, (ii) payment of any otherwise earned but unpaid annual bonus for the prior year, (iii) payment of pro-rata bonus for the year of termination, and (iv) continuation of his base salary and COBRA premiums paid by us for 12 months. In addition, if such termination without “cause” or for “good reason” occurs, in each case, within three months prior to or 12 months following a “change in control” ​(as defined in the Pfeiffenberger Agreement), then</w:t>
      </w:r>
    </w:p>
    <w:p>
      <w:pPr>
        <w:ind w:left="1160" w:hanging="290"/>
        <w:spacing w:after="0" w:line="238"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Dr. Pfeiffenberger’s salary and COBRA continuation period will be extended from 12 months to 18 months,</w:t>
      </w:r>
    </w:p>
    <w:p>
      <w:pPr>
        <w:jc w:val="both"/>
        <w:ind w:left="880" w:right="19" w:hanging="10"/>
        <w:spacing w:after="0" w:line="245" w:lineRule="auto"/>
        <w:tabs>
          <w:tab w:leader="none" w:pos="1153" w:val="left"/>
        </w:tabs>
        <w:numPr>
          <w:ilvl w:val="0"/>
          <w:numId w:val="24"/>
        </w:numPr>
        <w:rPr>
          <w:rFonts w:ascii="Arial" w:cs="Arial" w:eastAsia="Arial" w:hAnsi="Arial"/>
          <w:sz w:val="18"/>
          <w:szCs w:val="18"/>
          <w:color w:val="auto"/>
        </w:rPr>
      </w:pPr>
      <w:r>
        <w:rPr>
          <w:rFonts w:ascii="Arial" w:cs="Arial" w:eastAsia="Arial" w:hAnsi="Arial"/>
          <w:sz w:val="18"/>
          <w:szCs w:val="18"/>
          <w:color w:val="auto"/>
        </w:rPr>
        <w:t>Dr, Pfeiffenberger will also receive a lump sum payment in an amount equal to his target annual bonus for the calendar year in which the termination occurs, and (c) all of Dr. Pfeiffenberger’s outstanding equity awards subject to vesting solely based on the passage of time and Dr. Pfeiffenberger’s continued employment will become vested on the later of Dr. Pfeiffenberger’s termination date and the change in control.</w:t>
      </w:r>
    </w:p>
    <w:p>
      <w:pPr>
        <w:spacing w:after="0" w:line="109" w:lineRule="exact"/>
        <w:rPr>
          <w:sz w:val="20"/>
          <w:szCs w:val="20"/>
          <w:color w:val="auto"/>
        </w:rPr>
      </w:pPr>
    </w:p>
    <w:p>
      <w:pPr>
        <w:jc w:val="both"/>
        <w:ind w:left="880" w:right="39"/>
        <w:spacing w:after="0" w:line="260" w:lineRule="auto"/>
        <w:rPr>
          <w:sz w:val="20"/>
          <w:szCs w:val="20"/>
          <w:color w:val="auto"/>
        </w:rPr>
      </w:pPr>
      <w:r>
        <w:rPr>
          <w:rFonts w:ascii="Arial" w:cs="Arial" w:eastAsia="Arial" w:hAnsi="Arial"/>
          <w:sz w:val="18"/>
          <w:szCs w:val="18"/>
          <w:color w:val="auto"/>
        </w:rPr>
        <w:t>Upon a termination of Dr. Pfeiffenberger’s employment for any reason other than without cause or resignation for good reason, including, but not limited to (i) termination for cause, (ii) resignation without good reason,</w:t>
      </w:r>
    </w:p>
    <w:p>
      <w:pPr>
        <w:spacing w:after="0" w:line="2" w:lineRule="exact"/>
        <w:rPr>
          <w:sz w:val="20"/>
          <w:szCs w:val="20"/>
          <w:color w:val="auto"/>
        </w:rPr>
      </w:pPr>
    </w:p>
    <w:p>
      <w:pPr>
        <w:jc w:val="both"/>
        <w:ind w:left="880" w:right="39" w:hanging="10"/>
        <w:spacing w:after="0" w:line="255" w:lineRule="auto"/>
        <w:tabs>
          <w:tab w:leader="none" w:pos="116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termination as a result of Dr. Pfeiffenberger’s “disability” (as​ defined in the Pfeiffenberger Agreement) or death, then the Company’s obligation to Dr. Pfeiffenberger will be limited solely to the payment of accrued and unpaid base salary through the date of such termination of employment. All other compensation and benefits will cease at the time of such termination, except as otherwise provided by COBRA.</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Gregory Russotti, Ph.D.</w:t>
      </w:r>
    </w:p>
    <w:p>
      <w:pPr>
        <w:spacing w:after="0" w:line="158" w:lineRule="exact"/>
        <w:rPr>
          <w:sz w:val="20"/>
          <w:szCs w:val="20"/>
          <w:color w:val="auto"/>
        </w:rPr>
      </w:pPr>
    </w:p>
    <w:p>
      <w:pPr>
        <w:jc w:val="both"/>
        <w:ind w:left="880" w:right="19"/>
        <w:spacing w:after="0" w:line="253" w:lineRule="auto"/>
        <w:rPr>
          <w:sz w:val="20"/>
          <w:szCs w:val="20"/>
          <w:color w:val="auto"/>
        </w:rPr>
      </w:pPr>
      <w:r>
        <w:rPr>
          <w:rFonts w:ascii="Arial" w:cs="Arial" w:eastAsia="Arial" w:hAnsi="Arial"/>
          <w:sz w:val="18"/>
          <w:szCs w:val="18"/>
          <w:color w:val="auto"/>
        </w:rPr>
        <w:t>We entered into an executive employment agreement with Dr. Russotti dated May 26, 2021, or the Russotti Agreement. The Russotti Agreement provides for an initial base salary of $430,700, an initial annual bonus opportunity of 40%, and eligibility to participate generally in our employee benefit plans. The Russotti Agreement also provides for severance benefits upon a termination of Dr. Russotti’s employment by us without “cause” ​(as defined in the Russotti Agreement), or resignation by Dr. Russotti for “good reason” (as​ defined in the Russotti Agreement), subject to Dr. Russotti’s execution of a general release of claims. The severance benefits are:</w:t>
      </w:r>
    </w:p>
    <w:p>
      <w:pPr>
        <w:spacing w:after="0" w:line="5" w:lineRule="exact"/>
        <w:rPr>
          <w:sz w:val="20"/>
          <w:szCs w:val="20"/>
          <w:color w:val="auto"/>
        </w:rPr>
      </w:pPr>
    </w:p>
    <w:p>
      <w:pPr>
        <w:jc w:val="both"/>
        <w:ind w:left="880" w:right="19" w:hanging="10"/>
        <w:spacing w:after="0" w:line="253" w:lineRule="auto"/>
        <w:tabs>
          <w:tab w:leader="none" w:pos="1094"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payment of all accrued and unpaid base salary, (ii) payment of any otherwise earned but unpaid annual bonus for the prior year, and (iii) continuation of Dr. Russotti’s base salary and payment of Dr. Russotti’s COBRA premiums by us for a period of nine months. In addition, if such termination without “cause” or resignation for “good reason” occurs within three months prior or 12 months following a “change in control” (as​ defined in the Russotti Agreement), then (i) the period of Dr. Russotti’s salary continuation and COBRA premium subsidy will be extended from nine months to 12 months; (ii) Dr. Russotti will receive a lump sum payment in an amount equal to his target annual</w:t>
      </w:r>
    </w:p>
    <w:p>
      <w:pPr>
        <w:spacing w:after="0" w:line="291"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140970</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​EXECUTIVE COMPENSATION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39"/>
        <w:spacing w:after="0" w:line="253" w:lineRule="auto"/>
        <w:rPr>
          <w:sz w:val="20"/>
          <w:szCs w:val="20"/>
          <w:color w:val="auto"/>
        </w:rPr>
      </w:pPr>
      <w:r>
        <w:rPr>
          <w:rFonts w:ascii="Arial" w:cs="Arial" w:eastAsia="Arial" w:hAnsi="Arial"/>
          <w:sz w:val="18"/>
          <w:szCs w:val="18"/>
          <w:color w:val="auto"/>
        </w:rPr>
        <w:t>bonus for the calendar year in which the termination occurs, and (iii) all of Dr. Russotti’s outstanding equity awards that are subject to vesting solely based on the passage of time will vest in full on the later of Dr. Russotti’s termination date and the change in control.</w:t>
      </w:r>
    </w:p>
    <w:p>
      <w:pPr>
        <w:spacing w:after="0" w:line="101" w:lineRule="exact"/>
        <w:rPr>
          <w:sz w:val="20"/>
          <w:szCs w:val="20"/>
          <w:color w:val="auto"/>
        </w:rPr>
      </w:pPr>
    </w:p>
    <w:p>
      <w:pPr>
        <w:jc w:val="both"/>
        <w:ind w:left="880" w:right="19"/>
        <w:spacing w:after="0" w:line="243" w:lineRule="auto"/>
        <w:rPr>
          <w:sz w:val="20"/>
          <w:szCs w:val="20"/>
          <w:color w:val="auto"/>
        </w:rPr>
      </w:pPr>
      <w:r>
        <w:rPr>
          <w:rFonts w:ascii="Arial" w:cs="Arial" w:eastAsia="Arial" w:hAnsi="Arial"/>
          <w:sz w:val="18"/>
          <w:szCs w:val="18"/>
          <w:color w:val="auto"/>
        </w:rPr>
        <w:t>In April 2023, Dr. Russotti was promoted to Interim Chief Executive Officer upon the departure of our former Chief Executive Officer, Osvaldo Flores. In connection with such promotion, we entered into a side letter to his employment agreement with Dr. Russotti dated April 12, 2023, or the Russotti Side Letter. Pursuant to the terms of the Russotti Side Letter, the term of Dr. Russotti’s service as Interim Chief Executive Officer continued until the Company successfully hired a new Chief Executive Officer, provided however, that we could terminate Dr. Russotti as Interim Chief Executive Officer and restore Dr. Russotti to his position as Chief Technology Officer at any time upon (i) hiring of a new President and Chief Executive Officer, or (ii) otherwise upon ten days’ written notice. Pursuant to the Russotti Side Letter, Dr. Russotti’s target cash bonus percentage would be calculated as a sum of the following under terms of the Side Letter: (i) 40% of Dr. Russotti’s base salary in effect as of immediately prior to April 11, 2023, multiplied by a fraction the numerator of which is the number of days in such calendar year that are not part of the term he served as Interim Chief Executive Officer, and the denominator of which is 365, and (ii) 55% of the Base Salary applicable during the term served as Interim Chief Executive Officer multiplied by a fraction the numerator of which is the number of days during the term he served as Interim Chief Executive Officer and the denominator of which is 365. The Russotti Side Letter terminated in December 2023 upon the appointment of Dr. Pfeiffenberger’s as President and Chief Executive Officer.</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Adrienne Farid, Ph.D.</w:t>
      </w:r>
    </w:p>
    <w:p>
      <w:pPr>
        <w:spacing w:after="0" w:line="158" w:lineRule="exact"/>
        <w:rPr>
          <w:sz w:val="20"/>
          <w:szCs w:val="20"/>
          <w:color w:val="auto"/>
        </w:rPr>
      </w:pPr>
    </w:p>
    <w:p>
      <w:pPr>
        <w:jc w:val="both"/>
        <w:ind w:left="880" w:right="19"/>
        <w:spacing w:after="0" w:line="243" w:lineRule="auto"/>
        <w:rPr>
          <w:sz w:val="20"/>
          <w:szCs w:val="20"/>
          <w:color w:val="auto"/>
        </w:rPr>
      </w:pPr>
      <w:r>
        <w:rPr>
          <w:rFonts w:ascii="Arial" w:cs="Arial" w:eastAsia="Arial" w:hAnsi="Arial"/>
          <w:sz w:val="18"/>
          <w:szCs w:val="18"/>
          <w:color w:val="auto"/>
        </w:rPr>
        <w:t>We entered into an executive employment agreement with Dr. Farid dated May 26, 2021, or the Farid Agreement. The Farid Agreement provides for an initial base salary of $437,800, an initial annual bonus opportunity equal to 40% of her base salary, and eligibility to participate generally in our employee benefit plans. The Farid Agreement also provides for severance benefits upon a termination of Dr. Farid’s employment by us without “cause” ​(as defined in the Farid Agreement), or resignation by Dr. Farid for “good reason” ​(as defined in the Farid Agreement), subject to Dr. Farid’s execution of a general release of claims. The severance benefits are: (i) payment of all accrued and unpaid base salary, (ii) payment of any otherwise earned but unpaid annual bonus for the prior year, and (iii) continuation of Dr. Farid’s base salary and payment of Dr. Farid’s COBRA premiums by us for a period of nine months. In addition, if such termination without “cause” or resignation for “good reason” occurs within three months prior or 12 months following a “change in control” ​(as defined in the Farid Agreement), then (i) the period of Dr. Farid’s salary continuation and COBRA premium subsidy will be extended from nine months to 12 months; (ii) Dr. Farid will receive a lump sum payment in an amount equal to his target annual bonus for the calendar year in which the termination occurs, and (iii) all of Dr. Farid’s outstanding equity awards that are subject to vesting solely based on the passage of time will vest in full on the later of Dr. Farid’s termination date and the change in control.</w:t>
      </w:r>
    </w:p>
    <w:p>
      <w:pPr>
        <w:spacing w:after="0" w:line="110" w:lineRule="exact"/>
        <w:rPr>
          <w:sz w:val="20"/>
          <w:szCs w:val="20"/>
          <w:color w:val="auto"/>
        </w:rPr>
      </w:pPr>
    </w:p>
    <w:p>
      <w:pPr>
        <w:jc w:val="both"/>
        <w:ind w:left="880" w:right="19"/>
        <w:spacing w:after="0" w:line="255" w:lineRule="auto"/>
        <w:rPr>
          <w:sz w:val="20"/>
          <w:szCs w:val="20"/>
          <w:color w:val="auto"/>
        </w:rPr>
      </w:pPr>
      <w:r>
        <w:rPr>
          <w:rFonts w:ascii="Arial" w:cs="Arial" w:eastAsia="Arial" w:hAnsi="Arial"/>
          <w:sz w:val="17"/>
          <w:szCs w:val="17"/>
          <w:color w:val="auto"/>
        </w:rPr>
        <w:t>On July 8, 2025, we entered into a separation agreement with Dr. Farid, or the Farid Separation Agreement. The Farid Separation Agreement, in exchange for a release of claims and other agreements, acknowledgments and representations of Dr. Farid set forth therein, provided for the following severance benefits: (i) a lump sum severance payment of $398,888, less applicable deductions and withholdings, equal to nine months of Dr. Farid’s base salary; (ii) a lump sum payment of $123,066, less applicable deductions and withholdings, equal to the prorated portion of Dr. Farid’s 2025 performance bonus as of July 31, 2025, based on 100% attainment; (iii) if Dr. Farid timely elects to continue her group health insurance pursuant to COBRA, reimbursement of Dr. Farid’s health insurance COBRA premiums for continuing her health care coverage and the coverage of her dependents who were covered as of her departure date until the earlier of (a) nine months following July 31, 2025, (b) the date that Dr. Farid becomes eligible for group medical plan benefits under any other employer’s group medical plan, or</w:t>
      </w:r>
    </w:p>
    <w:p>
      <w:pPr>
        <w:spacing w:after="0" w:line="7" w:lineRule="exact"/>
        <w:rPr>
          <w:sz w:val="20"/>
          <w:szCs w:val="20"/>
          <w:color w:val="auto"/>
        </w:rPr>
      </w:pPr>
    </w:p>
    <w:p>
      <w:pPr>
        <w:jc w:val="both"/>
        <w:ind w:left="880" w:right="39" w:hanging="10"/>
        <w:spacing w:after="0" w:line="256" w:lineRule="auto"/>
        <w:tabs>
          <w:tab w:leader="none" w:pos="1138"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cessation of her health continuation rights under COBRA; and (iv) all vested stock options held by Dr. Farid as of July 31, 2025, shall remain exercisable until the earlier of (a) the third year anniversary of July 31, 2025, or</w:t>
      </w:r>
    </w:p>
    <w:p>
      <w:pPr>
        <w:spacing w:after="0" w:line="1" w:lineRule="exact"/>
        <w:rPr>
          <w:rFonts w:ascii="Arial" w:cs="Arial" w:eastAsia="Arial" w:hAnsi="Arial"/>
          <w:sz w:val="17"/>
          <w:szCs w:val="17"/>
          <w:color w:val="auto"/>
        </w:rPr>
      </w:pPr>
    </w:p>
    <w:p>
      <w:pPr>
        <w:ind w:left="1140" w:hanging="270"/>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original expiration date for each applicable stock option.</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Chad Cowan, Ph.D.</w:t>
      </w:r>
    </w:p>
    <w:p>
      <w:pPr>
        <w:spacing w:after="0" w:line="158" w:lineRule="exact"/>
        <w:rPr>
          <w:sz w:val="20"/>
          <w:szCs w:val="20"/>
          <w:color w:val="auto"/>
        </w:rPr>
      </w:pPr>
    </w:p>
    <w:p>
      <w:pPr>
        <w:ind w:left="880" w:right="39"/>
        <w:spacing w:after="0" w:line="271" w:lineRule="auto"/>
        <w:rPr>
          <w:sz w:val="20"/>
          <w:szCs w:val="20"/>
          <w:color w:val="auto"/>
        </w:rPr>
      </w:pPr>
      <w:r>
        <w:rPr>
          <w:rFonts w:ascii="Arial" w:cs="Arial" w:eastAsia="Arial" w:hAnsi="Arial"/>
          <w:sz w:val="18"/>
          <w:szCs w:val="18"/>
          <w:color w:val="auto"/>
        </w:rPr>
        <w:t>We entered into an executive employment agreement with Dr. Cowan dated September 13, 2024, or the Cowan Agreement. The Cowan Agreement provides for an initial base salary of $535,000, an initial annual bonus</w:t>
      </w:r>
    </w:p>
    <w:p>
      <w:pPr>
        <w:spacing w:after="0" w:line="262"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​EXECUTIVE COMPENSATION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19"/>
        <w:spacing w:after="0" w:line="269" w:lineRule="auto"/>
        <w:rPr>
          <w:sz w:val="20"/>
          <w:szCs w:val="20"/>
          <w:color w:val="auto"/>
        </w:rPr>
      </w:pPr>
      <w:r>
        <w:rPr>
          <w:rFonts w:ascii="Arial" w:cs="Arial" w:eastAsia="Arial" w:hAnsi="Arial"/>
          <w:sz w:val="17"/>
          <w:szCs w:val="17"/>
          <w:color w:val="auto"/>
        </w:rPr>
        <w:t>opportunity equal to 40% of his base salary, and eligibility to participate generally in our employee benefit plans. The Cowan Agreement also provides for severance benefits upon a termination of Dr. Cowan’s employment by us without “cause” (as​ defined in the Cowan Agreement), or resignation by Dr. Cowan for “good reason” (as​ defined in the Cowan Agreement), subject to Dr. Cowan’s executive of a general release of claims. The severance benefits are (i) payment of all accrued and unpaid base salary, (ii) payment of any otherwise earned but unpaid annual bonus for the prior year, and (iii) continuation of Dr. Cowan’s base salary and payment of Dr. Cowan’s COBRA premiums by us for a period of nine months, including the 2% COBRA administrative fee. In addition, if such termination without “cause” or resignation for “good reason” occurs within three months prior or 12 months following a “change in control” (as​ defined in the Cowan Agreement), then (i) the period of Dr. Cowan’s salary continuation and COBRA premium subsidy will be extended from nine months to 12 months; (ii) Dr. Cowan will receive a lump sum payment in an amount equal to his target annual bonus for the calendar year in which the termination occurs, and (iii) all of Dr. Cowan’s outstanding equity awards that are subject to vesting solely based on the passage of time will vest in full on the later of Dr. Cowan’s termination date and the change in control.</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Proprietary Information and Assignment Agreements</w:t>
      </w:r>
    </w:p>
    <w:p>
      <w:pPr>
        <w:spacing w:after="0" w:line="144" w:lineRule="exact"/>
        <w:rPr>
          <w:sz w:val="20"/>
          <w:szCs w:val="20"/>
          <w:color w:val="auto"/>
        </w:rPr>
      </w:pPr>
    </w:p>
    <w:p>
      <w:pPr>
        <w:jc w:val="both"/>
        <w:ind w:left="880" w:right="39"/>
        <w:spacing w:after="0" w:line="256" w:lineRule="auto"/>
        <w:rPr>
          <w:sz w:val="20"/>
          <w:szCs w:val="20"/>
          <w:color w:val="auto"/>
        </w:rPr>
      </w:pPr>
      <w:r>
        <w:rPr>
          <w:rFonts w:ascii="Arial" w:cs="Arial" w:eastAsia="Arial" w:hAnsi="Arial"/>
          <w:sz w:val="18"/>
          <w:szCs w:val="18"/>
          <w:color w:val="auto"/>
        </w:rPr>
        <w:t>We have entered into proprietary information and assignment agreements, or the Information Agreements, with all of our NEOs, that include customary prohibitions against competition with us and solicitation of our customers and employees, both during employment and for one year following any cessation of employment (for each of Dr. Pfeiffenberger and Dr. Cowan) or for nine months following cessation of employment (for each of Dr. Russotti and Dr. Farid). The Information Agreements are incorporated by reference into the employment agreements and payment of any severance benefits under each executive’s employment agreement is conditioned on continued compliance with his or her Information Agreement.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879"/>
          </w:cols>
          <w:pgMar w:left="580" w:top="97" w:right="1440" w:bottom="1440" w:gutter="0" w:footer="0" w:header="0"/>
        </w:sectPr>
      </w:pPr>
    </w:p>
    <w:p>
      <w:pPr>
        <w:spacing w:after="0" w:line="152" w:lineRule="exact"/>
        <w:rPr>
          <w:sz w:val="20"/>
          <w:szCs w:val="20"/>
          <w:color w:val="auto"/>
        </w:rPr>
      </w:pPr>
    </w:p>
    <w:p>
      <w:pPr>
        <w:ind w:left="880" w:right="540" w:firstLine="108"/>
        <w:spacing w:after="0" w:line="315" w:lineRule="auto"/>
        <w:rPr>
          <w:sz w:val="20"/>
          <w:szCs w:val="20"/>
          <w:color w:val="auto"/>
        </w:rPr>
      </w:pPr>
      <w:r>
        <w:rPr>
          <w:rFonts w:ascii="Arial" w:cs="Arial" w:eastAsia="Arial" w:hAnsi="Arial"/>
          <w:sz w:val="32"/>
          <w:szCs w:val="32"/>
          <w:b w:val="1"/>
          <w:bCs w:val="1"/>
          <w:color w:val="FFFFFF"/>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-593725</wp:posOffset>
            </wp:positionV>
            <wp:extent cx="5700395" cy="4972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00395" cy="4972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32"/>
          <w:szCs w:val="32"/>
          <w:b w:val="1"/>
          <w:bCs w:val="1"/>
          <w:color w:val="FFFFFF"/>
        </w:rPr>
        <w:t>​</w:t>
      </w:r>
    </w:p>
    <w:p>
      <w:pPr>
        <w:spacing w:after="0" w:line="344" w:lineRule="exact"/>
        <w:rPr>
          <w:sz w:val="20"/>
          <w:szCs w:val="20"/>
          <w:color w:val="auto"/>
        </w:rPr>
      </w:pPr>
    </w:p>
    <w:p>
      <w:pPr>
        <w:sectPr>
          <w:pgSz w:w="11900" w:h="16838" w:orient="portrait"/>
          <w:cols w:equalWidth="0" w:num="2">
            <w:col w:w="9020" w:space="720"/>
            <w:col w:w="139"/>
          </w:cols>
          <w:pgMar w:left="580" w:top="97" w:right="1440" w:bottom="1440" w:gutter="0" w:footer="0" w:header="0"/>
          <w:type w:val="continuous"/>
        </w:sectPr>
      </w:pPr>
    </w:p>
    <w:p>
      <w:pPr>
        <w:jc w:val="both"/>
        <w:ind w:left="880" w:right="39"/>
        <w:spacing w:after="0" w:line="252" w:lineRule="auto"/>
        <w:rPr>
          <w:sz w:val="20"/>
          <w:szCs w:val="20"/>
          <w:color w:val="auto"/>
        </w:rPr>
      </w:pPr>
      <w:r>
        <w:rPr>
          <w:rFonts w:ascii="Arial" w:cs="Arial" w:eastAsia="Arial" w:hAnsi="Arial"/>
          <w:sz w:val="18"/>
          <w:szCs w:val="18"/>
          <w:color w:val="auto"/>
        </w:rPr>
        <w:t>Since January 1, 2024, we have engaged in the following transactions with our directors, executive officers, holders of more than 5% of our voting securities, and affiliates or immediate family members of our directors, executive officers, and holders of more than 5% of our voting securities. We believe that all of these transactions were on terms as favorable as could have been obtained from unrelated third parties.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Participation in our January 2026 Private Placement</w:t>
      </w:r>
    </w:p>
    <w:p>
      <w:pPr>
        <w:spacing w:after="0" w:line="158" w:lineRule="exact"/>
        <w:rPr>
          <w:sz w:val="20"/>
          <w:szCs w:val="20"/>
          <w:color w:val="auto"/>
        </w:rPr>
      </w:pPr>
    </w:p>
    <w:p>
      <w:pPr>
        <w:jc w:val="both"/>
        <w:ind w:left="880" w:right="19"/>
        <w:spacing w:after="0" w:line="243" w:lineRule="auto"/>
        <w:rPr>
          <w:sz w:val="20"/>
          <w:szCs w:val="20"/>
          <w:color w:val="auto"/>
        </w:rPr>
      </w:pPr>
      <w:r>
        <w:rPr>
          <w:rFonts w:ascii="Arial" w:cs="Arial" w:eastAsia="Arial" w:hAnsi="Arial"/>
          <w:sz w:val="18"/>
          <w:szCs w:val="18"/>
          <w:color w:val="auto"/>
        </w:rPr>
        <w:t>In January 2026, we entered into a securities purchase agreement with certain institutional accredited investors, pursuant to which we sold in a private placement (a) (i) 92,030,595 shares of our common stock, par value $0.0001 per share, (ii) pre-funded warrants to purchase 25,360,704 shares of common stock, or the Pre-Funded Warrants, and (b) warrants to purchase 58,695,648 shares of common stock or Pre-Funded Warrants in lieu thereof, or the Common Warrants, together with the Pre-Funded Warrants, the Warrants, at a purchase price of $1.15 per share and accompanying Common Warrant to purchase 0.5 shares of common stock or Pre-Funded Warrant and a purchase price of $1.1499 per Pre-Funded Warrant and accompanying Common Warrant to purchase 0.5 shares of common stock or Pre-Funded Warrant. The gross proceeds were approximately $135 million before deducting placement agent fees and offering expenses. The following table summarizes purchases of the shares of common stock and Warrants by our related persons in connection with such private placement:</w:t>
      </w:r>
    </w:p>
    <w:p>
      <w:pPr>
        <w:spacing w:after="0" w:line="151" w:lineRule="exact"/>
        <w:rPr>
          <w:sz w:val="20"/>
          <w:szCs w:val="20"/>
          <w:color w:val="auto"/>
        </w:rPr>
      </w:pPr>
    </w:p>
    <w:tbl>
      <w:tblPr>
        <w:tblLayout w:type="fixed"/>
        <w:tblInd w:w="870" w:type="dxa"/>
        <w:tblCellMar>
          <w:top w:w="0" w:type="dxa"/>
          <w:left w:w="0" w:type="dxa"/>
          <w:bottom w:w="0" w:type="dxa"/>
          <w:right w:w="0" w:type="dxa"/>
        </w:tblCellMar>
      </w:tblPr>
      <w:tr>
        <w:trPr>
          <w:trHeight w:val="242"/>
        </w:trPr>
        <w:tc>
          <w:tcPr>
            <w:tcW w:w="3060" w:type="dxa"/>
            <w:vAlign w:val="bottom"/>
            <w:tcBorders>
              <w:top w:val="single" w:sz="8" w:color="auto"/>
              <w:left w:val="single" w:sz="8" w:color="auto"/>
            </w:tcBorders>
            <w:shd w:val="clear" w:color="auto" w:fill="148CD9"/>
          </w:tcPr>
          <w:p>
            <w:pPr>
              <w:ind w:left="80"/>
              <w:spacing w:after="0"/>
              <w:rPr>
                <w:sz w:val="20"/>
                <w:szCs w:val="20"/>
                <w:color w:val="auto"/>
              </w:rPr>
            </w:pPr>
            <w:r>
              <w:rPr>
                <w:rFonts w:ascii="Arial" w:cs="Arial" w:eastAsia="Arial" w:hAnsi="Arial"/>
                <w:sz w:val="16"/>
                <w:szCs w:val="16"/>
                <w:b w:val="1"/>
                <w:bCs w:val="1"/>
                <w:color w:val="FFFFFF"/>
              </w:rPr>
              <w:t>​</w:t>
            </w:r>
          </w:p>
        </w:tc>
        <w:tc>
          <w:tcPr>
            <w:tcW w:w="340" w:type="dxa"/>
            <w:vAlign w:val="bottom"/>
            <w:tcBorders>
              <w:top w:val="single" w:sz="8" w:color="auto"/>
            </w:tcBorders>
            <w:gridSpan w:val="2"/>
            <w:shd w:val="clear" w:color="auto" w:fill="148CD9"/>
          </w:tcPr>
          <w:p>
            <w:pPr>
              <w:jc w:val="right"/>
              <w:spacing w:after="0"/>
              <w:rPr>
                <w:sz w:val="20"/>
                <w:szCs w:val="20"/>
                <w:color w:val="auto"/>
              </w:rPr>
            </w:pPr>
            <w:r>
              <w:rPr>
                <w:rFonts w:ascii="Arial" w:cs="Arial" w:eastAsia="Arial" w:hAnsi="Arial"/>
                <w:sz w:val="16"/>
                <w:szCs w:val="16"/>
                <w:b w:val="1"/>
                <w:bCs w:val="1"/>
                <w:color w:val="FFFFFF"/>
              </w:rPr>
              <w:t>​ ​</w:t>
            </w:r>
          </w:p>
        </w:tc>
        <w:tc>
          <w:tcPr>
            <w:tcW w:w="1160" w:type="dxa"/>
            <w:vAlign w:val="bottom"/>
            <w:tcBorders>
              <w:top w:val="single" w:sz="8" w:color="auto"/>
            </w:tcBorders>
            <w:shd w:val="clear" w:color="auto" w:fill="148CD9"/>
          </w:tcPr>
          <w:p>
            <w:pPr>
              <w:spacing w:after="0"/>
              <w:rPr>
                <w:sz w:val="21"/>
                <w:szCs w:val="21"/>
                <w:color w:val="auto"/>
              </w:rPr>
            </w:pPr>
          </w:p>
        </w:tc>
        <w:tc>
          <w:tcPr>
            <w:tcW w:w="260" w:type="dxa"/>
            <w:vAlign w:val="bottom"/>
            <w:tcBorders>
              <w:top w:val="single" w:sz="8" w:color="auto"/>
            </w:tcBorders>
            <w:gridSpan w:val="2"/>
            <w:shd w:val="clear" w:color="auto" w:fill="148CD9"/>
          </w:tcPr>
          <w:p>
            <w:pPr>
              <w:jc w:val="right"/>
              <w:spacing w:after="0"/>
              <w:rPr>
                <w:sz w:val="20"/>
                <w:szCs w:val="20"/>
                <w:color w:val="auto"/>
              </w:rPr>
            </w:pPr>
            <w:r>
              <w:rPr>
                <w:rFonts w:ascii="Arial" w:cs="Arial" w:eastAsia="Arial" w:hAnsi="Arial"/>
                <w:sz w:val="16"/>
                <w:szCs w:val="16"/>
                <w:b w:val="1"/>
                <w:bCs w:val="1"/>
                <w:color w:val="FFFFFF"/>
              </w:rPr>
              <w:t>​ ​</w:t>
            </w:r>
          </w:p>
        </w:tc>
        <w:tc>
          <w:tcPr>
            <w:tcW w:w="1160" w:type="dxa"/>
            <w:vAlign w:val="bottom"/>
            <w:tcBorders>
              <w:top w:val="single" w:sz="8" w:color="auto"/>
            </w:tcBorders>
            <w:shd w:val="clear" w:color="auto" w:fill="148CD9"/>
          </w:tcPr>
          <w:p>
            <w:pPr>
              <w:jc w:val="center"/>
              <w:ind w:right="34"/>
              <w:spacing w:after="0"/>
              <w:rPr>
                <w:sz w:val="20"/>
                <w:szCs w:val="20"/>
                <w:color w:val="auto"/>
              </w:rPr>
            </w:pPr>
            <w:r>
              <w:rPr>
                <w:rFonts w:ascii="Arial" w:cs="Arial" w:eastAsia="Arial" w:hAnsi="Arial"/>
                <w:sz w:val="16"/>
                <w:szCs w:val="16"/>
                <w:b w:val="1"/>
                <w:bCs w:val="1"/>
                <w:color w:val="FFFFFF"/>
                <w:w w:val="99"/>
              </w:rPr>
              <w:t>Number of</w:t>
            </w:r>
          </w:p>
        </w:tc>
        <w:tc>
          <w:tcPr>
            <w:tcW w:w="200" w:type="dxa"/>
            <w:vAlign w:val="bottom"/>
            <w:tcBorders>
              <w:top w:val="single" w:sz="8" w:color="auto"/>
            </w:tcBorders>
            <w:gridSpan w:val="2"/>
            <w:shd w:val="clear" w:color="auto" w:fill="148CD9"/>
          </w:tcPr>
          <w:p>
            <w:pPr>
              <w:jc w:val="right"/>
              <w:spacing w:after="0"/>
              <w:rPr>
                <w:sz w:val="20"/>
                <w:szCs w:val="20"/>
                <w:color w:val="auto"/>
              </w:rPr>
            </w:pPr>
            <w:r>
              <w:rPr>
                <w:rFonts w:ascii="Arial" w:cs="Arial" w:eastAsia="Arial" w:hAnsi="Arial"/>
                <w:sz w:val="16"/>
                <w:szCs w:val="16"/>
                <w:b w:val="1"/>
                <w:bCs w:val="1"/>
                <w:color w:val="FFFFFF"/>
              </w:rPr>
              <w:t>​ ​</w:t>
            </w:r>
          </w:p>
        </w:tc>
        <w:tc>
          <w:tcPr>
            <w:tcW w:w="1220" w:type="dxa"/>
            <w:vAlign w:val="bottom"/>
            <w:tcBorders>
              <w:top w:val="single" w:sz="8" w:color="auto"/>
            </w:tcBorders>
            <w:shd w:val="clear" w:color="auto" w:fill="148CD9"/>
          </w:tcPr>
          <w:p>
            <w:pPr>
              <w:jc w:val="center"/>
              <w:spacing w:after="0"/>
              <w:rPr>
                <w:sz w:val="20"/>
                <w:szCs w:val="20"/>
                <w:color w:val="auto"/>
              </w:rPr>
            </w:pPr>
            <w:r>
              <w:rPr>
                <w:rFonts w:ascii="Arial" w:cs="Arial" w:eastAsia="Arial" w:hAnsi="Arial"/>
                <w:sz w:val="16"/>
                <w:szCs w:val="16"/>
                <w:b w:val="1"/>
                <w:bCs w:val="1"/>
                <w:color w:val="FFFFFF"/>
                <w:w w:val="99"/>
              </w:rPr>
              <w:t>Number of</w:t>
            </w:r>
          </w:p>
        </w:tc>
        <w:tc>
          <w:tcPr>
            <w:tcW w:w="1460" w:type="dxa"/>
            <w:vAlign w:val="bottom"/>
            <w:tcBorders>
              <w:top w:val="single" w:sz="8" w:color="auto"/>
            </w:tcBorders>
            <w:gridSpan w:val="2"/>
            <w:shd w:val="clear" w:color="auto" w:fill="148CD9"/>
          </w:tcPr>
          <w:p>
            <w:pPr>
              <w:ind w:left="60"/>
              <w:spacing w:after="0"/>
              <w:rPr>
                <w:sz w:val="20"/>
                <w:szCs w:val="20"/>
                <w:color w:val="auto"/>
              </w:rPr>
            </w:pPr>
            <w:r>
              <w:rPr>
                <w:rFonts w:ascii="Arial" w:cs="Arial" w:eastAsia="Arial" w:hAnsi="Arial"/>
                <w:sz w:val="16"/>
                <w:szCs w:val="16"/>
                <w:b w:val="1"/>
                <w:bCs w:val="1"/>
                <w:color w:val="FFFFFF"/>
              </w:rPr>
              <w:t>​ ​</w:t>
            </w:r>
          </w:p>
        </w:tc>
        <w:tc>
          <w:tcPr>
            <w:tcW w:w="140" w:type="dxa"/>
            <w:vAlign w:val="bottom"/>
            <w:tcBorders>
              <w:top w:val="single" w:sz="8" w:color="auto"/>
              <w:right w:val="single" w:sz="8" w:color="148CD9"/>
            </w:tcBorders>
            <w:shd w:val="clear" w:color="auto" w:fill="148CD9"/>
          </w:tcPr>
          <w:p>
            <w:pPr>
              <w:jc w:val="right"/>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189"/>
        </w:trPr>
        <w:tc>
          <w:tcPr>
            <w:tcW w:w="3060" w:type="dxa"/>
            <w:vAlign w:val="bottom"/>
            <w:tcBorders>
              <w:left w:val="single" w:sz="8" w:color="auto"/>
            </w:tcBorders>
            <w:shd w:val="clear" w:color="auto" w:fill="148CD9"/>
          </w:tcPr>
          <w:p>
            <w:pPr>
              <w:spacing w:after="0"/>
              <w:rPr>
                <w:sz w:val="16"/>
                <w:szCs w:val="16"/>
                <w:color w:val="auto"/>
              </w:rPr>
            </w:pPr>
          </w:p>
        </w:tc>
        <w:tc>
          <w:tcPr>
            <w:tcW w:w="200" w:type="dxa"/>
            <w:vAlign w:val="bottom"/>
            <w:tcBorders>
              <w:right w:val="single" w:sz="8" w:color="148CD9"/>
            </w:tcBorders>
            <w:shd w:val="clear" w:color="auto" w:fill="148CD9"/>
          </w:tcPr>
          <w:p>
            <w:pPr>
              <w:spacing w:after="0"/>
              <w:rPr>
                <w:sz w:val="16"/>
                <w:szCs w:val="16"/>
                <w:color w:val="auto"/>
              </w:rPr>
            </w:pPr>
          </w:p>
        </w:tc>
        <w:tc>
          <w:tcPr>
            <w:tcW w:w="140" w:type="dxa"/>
            <w:vAlign w:val="bottom"/>
            <w:shd w:val="clear" w:color="auto" w:fill="148CD9"/>
          </w:tcPr>
          <w:p>
            <w:pPr>
              <w:spacing w:after="0"/>
              <w:rPr>
                <w:sz w:val="16"/>
                <w:szCs w:val="16"/>
                <w:color w:val="auto"/>
              </w:rPr>
            </w:pPr>
          </w:p>
        </w:tc>
        <w:tc>
          <w:tcPr>
            <w:tcW w:w="1160" w:type="dxa"/>
            <w:vAlign w:val="bottom"/>
            <w:shd w:val="clear" w:color="auto" w:fill="148CD9"/>
          </w:tcPr>
          <w:p>
            <w:pPr>
              <w:spacing w:after="0"/>
              <w:rPr>
                <w:sz w:val="16"/>
                <w:szCs w:val="16"/>
                <w:color w:val="auto"/>
              </w:rPr>
            </w:pPr>
          </w:p>
        </w:tc>
        <w:tc>
          <w:tcPr>
            <w:tcW w:w="100" w:type="dxa"/>
            <w:vAlign w:val="bottom"/>
            <w:tcBorders>
              <w:right w:val="single" w:sz="8" w:color="148CD9"/>
            </w:tcBorders>
            <w:shd w:val="clear" w:color="auto" w:fill="148CD9"/>
          </w:tcPr>
          <w:p>
            <w:pPr>
              <w:spacing w:after="0"/>
              <w:rPr>
                <w:sz w:val="16"/>
                <w:szCs w:val="16"/>
                <w:color w:val="auto"/>
              </w:rPr>
            </w:pPr>
          </w:p>
        </w:tc>
        <w:tc>
          <w:tcPr>
            <w:tcW w:w="160" w:type="dxa"/>
            <w:vAlign w:val="bottom"/>
            <w:shd w:val="clear" w:color="auto" w:fill="148CD9"/>
          </w:tcPr>
          <w:p>
            <w:pPr>
              <w:spacing w:after="0"/>
              <w:rPr>
                <w:sz w:val="16"/>
                <w:szCs w:val="16"/>
                <w:color w:val="auto"/>
              </w:rPr>
            </w:pPr>
          </w:p>
        </w:tc>
        <w:tc>
          <w:tcPr>
            <w:tcW w:w="1160" w:type="dxa"/>
            <w:vAlign w:val="bottom"/>
            <w:shd w:val="clear" w:color="auto" w:fill="148CD9"/>
          </w:tcPr>
          <w:p>
            <w:pPr>
              <w:jc w:val="center"/>
              <w:ind w:right="54"/>
              <w:spacing w:after="0"/>
              <w:rPr>
                <w:sz w:val="20"/>
                <w:szCs w:val="20"/>
                <w:color w:val="auto"/>
              </w:rPr>
            </w:pPr>
            <w:r>
              <w:rPr>
                <w:rFonts w:ascii="Arial" w:cs="Arial" w:eastAsia="Arial" w:hAnsi="Arial"/>
                <w:sz w:val="16"/>
                <w:szCs w:val="16"/>
                <w:b w:val="1"/>
                <w:bCs w:val="1"/>
                <w:color w:val="FFFFFF"/>
              </w:rPr>
              <w:t>Pre-Funded</w:t>
            </w:r>
          </w:p>
        </w:tc>
        <w:tc>
          <w:tcPr>
            <w:tcW w:w="100" w:type="dxa"/>
            <w:vAlign w:val="bottom"/>
            <w:tcBorders>
              <w:right w:val="single" w:sz="8" w:color="148CD9"/>
            </w:tcBorders>
            <w:shd w:val="clear" w:color="auto" w:fill="148CD9"/>
          </w:tcPr>
          <w:p>
            <w:pPr>
              <w:spacing w:after="0"/>
              <w:rPr>
                <w:sz w:val="16"/>
                <w:szCs w:val="16"/>
                <w:color w:val="auto"/>
              </w:rPr>
            </w:pPr>
          </w:p>
        </w:tc>
        <w:tc>
          <w:tcPr>
            <w:tcW w:w="100" w:type="dxa"/>
            <w:vAlign w:val="bottom"/>
            <w:shd w:val="clear" w:color="auto" w:fill="148CD9"/>
          </w:tcPr>
          <w:p>
            <w:pPr>
              <w:spacing w:after="0"/>
              <w:rPr>
                <w:sz w:val="16"/>
                <w:szCs w:val="16"/>
                <w:color w:val="auto"/>
              </w:rPr>
            </w:pPr>
          </w:p>
        </w:tc>
        <w:tc>
          <w:tcPr>
            <w:tcW w:w="1220" w:type="dxa"/>
            <w:vAlign w:val="bottom"/>
            <w:shd w:val="clear" w:color="auto" w:fill="148CD9"/>
          </w:tcPr>
          <w:p>
            <w:pPr>
              <w:jc w:val="center"/>
              <w:spacing w:after="0"/>
              <w:rPr>
                <w:sz w:val="20"/>
                <w:szCs w:val="20"/>
                <w:color w:val="auto"/>
              </w:rPr>
            </w:pPr>
            <w:r>
              <w:rPr>
                <w:rFonts w:ascii="Arial" w:cs="Arial" w:eastAsia="Arial" w:hAnsi="Arial"/>
                <w:sz w:val="16"/>
                <w:szCs w:val="16"/>
                <w:b w:val="1"/>
                <w:bCs w:val="1"/>
                <w:color w:val="FFFFFF"/>
              </w:rPr>
              <w:t>Common</w:t>
            </w:r>
          </w:p>
        </w:tc>
        <w:tc>
          <w:tcPr>
            <w:tcW w:w="120" w:type="dxa"/>
            <w:vAlign w:val="bottom"/>
            <w:tcBorders>
              <w:right w:val="single" w:sz="8" w:color="148CD9"/>
            </w:tcBorders>
            <w:shd w:val="clear" w:color="auto" w:fill="148CD9"/>
          </w:tcPr>
          <w:p>
            <w:pPr>
              <w:spacing w:after="0"/>
              <w:rPr>
                <w:sz w:val="16"/>
                <w:szCs w:val="16"/>
                <w:color w:val="auto"/>
              </w:rPr>
            </w:pPr>
          </w:p>
        </w:tc>
        <w:tc>
          <w:tcPr>
            <w:tcW w:w="1340" w:type="dxa"/>
            <w:vAlign w:val="bottom"/>
            <w:shd w:val="clear" w:color="auto" w:fill="148CD9"/>
          </w:tcPr>
          <w:p>
            <w:pPr>
              <w:spacing w:after="0"/>
              <w:rPr>
                <w:sz w:val="16"/>
                <w:szCs w:val="16"/>
                <w:color w:val="auto"/>
              </w:rPr>
            </w:pPr>
          </w:p>
        </w:tc>
        <w:tc>
          <w:tcPr>
            <w:tcW w:w="140" w:type="dxa"/>
            <w:vAlign w:val="bottom"/>
            <w:tcBorders>
              <w:right w:val="single" w:sz="8" w:color="148CD9"/>
            </w:tcBorders>
            <w:shd w:val="clear" w:color="auto" w:fill="148CD9"/>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60" w:type="dxa"/>
            <w:vAlign w:val="bottom"/>
            <w:tcBorders>
              <w:left w:val="single" w:sz="8" w:color="auto"/>
            </w:tcBorders>
            <w:vMerge w:val="restart"/>
            <w:shd w:val="clear" w:color="auto" w:fill="148CD9"/>
          </w:tcPr>
          <w:p>
            <w:pPr>
              <w:ind w:left="1080"/>
              <w:spacing w:after="0"/>
              <w:rPr>
                <w:sz w:val="20"/>
                <w:szCs w:val="20"/>
                <w:color w:val="auto"/>
              </w:rPr>
            </w:pPr>
            <w:r>
              <w:rPr>
                <w:rFonts w:ascii="Arial" w:cs="Arial" w:eastAsia="Arial" w:hAnsi="Arial"/>
                <w:sz w:val="16"/>
                <w:szCs w:val="16"/>
                <w:b w:val="1"/>
                <w:bCs w:val="1"/>
                <w:color w:val="FFFFFF"/>
              </w:rPr>
              <w:t>Investor Name</w:t>
            </w:r>
          </w:p>
        </w:tc>
        <w:tc>
          <w:tcPr>
            <w:tcW w:w="200" w:type="dxa"/>
            <w:vAlign w:val="bottom"/>
            <w:tcBorders>
              <w:right w:val="single" w:sz="8" w:color="148CD9"/>
            </w:tcBorders>
            <w:shd w:val="clear" w:color="auto" w:fill="148CD9"/>
          </w:tcPr>
          <w:p>
            <w:pPr>
              <w:spacing w:after="0"/>
              <w:rPr>
                <w:sz w:val="15"/>
                <w:szCs w:val="15"/>
                <w:color w:val="auto"/>
              </w:rPr>
            </w:pPr>
          </w:p>
        </w:tc>
        <w:tc>
          <w:tcPr>
            <w:tcW w:w="140" w:type="dxa"/>
            <w:vAlign w:val="bottom"/>
            <w:shd w:val="clear" w:color="auto" w:fill="148CD9"/>
          </w:tcPr>
          <w:p>
            <w:pPr>
              <w:spacing w:after="0"/>
              <w:rPr>
                <w:sz w:val="15"/>
                <w:szCs w:val="15"/>
                <w:color w:val="auto"/>
              </w:rPr>
            </w:pPr>
          </w:p>
        </w:tc>
        <w:tc>
          <w:tcPr>
            <w:tcW w:w="1160" w:type="dxa"/>
            <w:vAlign w:val="bottom"/>
            <w:vMerge w:val="restart"/>
            <w:shd w:val="clear" w:color="auto" w:fill="148CD9"/>
          </w:tcPr>
          <w:p>
            <w:pPr>
              <w:jc w:val="center"/>
              <w:ind w:right="33"/>
              <w:spacing w:after="0"/>
              <w:rPr>
                <w:sz w:val="20"/>
                <w:szCs w:val="20"/>
                <w:color w:val="auto"/>
              </w:rPr>
            </w:pPr>
            <w:r>
              <w:rPr>
                <w:rFonts w:ascii="Arial" w:cs="Arial" w:eastAsia="Arial" w:hAnsi="Arial"/>
                <w:sz w:val="16"/>
                <w:szCs w:val="16"/>
                <w:b w:val="1"/>
                <w:bCs w:val="1"/>
                <w:color w:val="FFFFFF"/>
                <w:w w:val="99"/>
              </w:rPr>
              <w:t>Number of</w:t>
            </w:r>
          </w:p>
        </w:tc>
        <w:tc>
          <w:tcPr>
            <w:tcW w:w="100" w:type="dxa"/>
            <w:vAlign w:val="bottom"/>
            <w:tcBorders>
              <w:right w:val="single" w:sz="8" w:color="148CD9"/>
            </w:tcBorders>
            <w:shd w:val="clear" w:color="auto" w:fill="148CD9"/>
          </w:tcPr>
          <w:p>
            <w:pPr>
              <w:spacing w:after="0"/>
              <w:rPr>
                <w:sz w:val="15"/>
                <w:szCs w:val="15"/>
                <w:color w:val="auto"/>
              </w:rPr>
            </w:pPr>
          </w:p>
        </w:tc>
        <w:tc>
          <w:tcPr>
            <w:tcW w:w="1320" w:type="dxa"/>
            <w:vAlign w:val="bottom"/>
            <w:gridSpan w:val="2"/>
            <w:shd w:val="clear" w:color="auto" w:fill="148CD9"/>
          </w:tcPr>
          <w:p>
            <w:pPr>
              <w:jc w:val="center"/>
              <w:spacing w:after="0" w:line="175" w:lineRule="exact"/>
              <w:rPr>
                <w:sz w:val="20"/>
                <w:szCs w:val="20"/>
                <w:color w:val="auto"/>
              </w:rPr>
            </w:pPr>
            <w:r>
              <w:rPr>
                <w:rFonts w:ascii="Arial" w:cs="Arial" w:eastAsia="Arial" w:hAnsi="Arial"/>
                <w:sz w:val="16"/>
                <w:szCs w:val="16"/>
                <w:b w:val="1"/>
                <w:bCs w:val="1"/>
                <w:color w:val="FFFFFF"/>
                <w:w w:val="99"/>
              </w:rPr>
              <w:t>Warrant Shares</w:t>
            </w:r>
          </w:p>
        </w:tc>
        <w:tc>
          <w:tcPr>
            <w:tcW w:w="100" w:type="dxa"/>
            <w:vAlign w:val="bottom"/>
            <w:tcBorders>
              <w:right w:val="single" w:sz="8" w:color="148CD9"/>
            </w:tcBorders>
            <w:shd w:val="clear" w:color="auto" w:fill="148CD9"/>
          </w:tcPr>
          <w:p>
            <w:pPr>
              <w:spacing w:after="0"/>
              <w:rPr>
                <w:sz w:val="15"/>
                <w:szCs w:val="15"/>
                <w:color w:val="auto"/>
              </w:rPr>
            </w:pPr>
          </w:p>
        </w:tc>
        <w:tc>
          <w:tcPr>
            <w:tcW w:w="100" w:type="dxa"/>
            <w:vAlign w:val="bottom"/>
            <w:shd w:val="clear" w:color="auto" w:fill="148CD9"/>
          </w:tcPr>
          <w:p>
            <w:pPr>
              <w:spacing w:after="0"/>
              <w:rPr>
                <w:sz w:val="15"/>
                <w:szCs w:val="15"/>
                <w:color w:val="auto"/>
              </w:rPr>
            </w:pPr>
          </w:p>
        </w:tc>
        <w:tc>
          <w:tcPr>
            <w:tcW w:w="1220" w:type="dxa"/>
            <w:vAlign w:val="bottom"/>
            <w:shd w:val="clear" w:color="auto" w:fill="148CD9"/>
          </w:tcPr>
          <w:p>
            <w:pPr>
              <w:jc w:val="center"/>
              <w:spacing w:after="0" w:line="175" w:lineRule="exact"/>
              <w:rPr>
                <w:sz w:val="20"/>
                <w:szCs w:val="20"/>
                <w:color w:val="auto"/>
              </w:rPr>
            </w:pPr>
            <w:r>
              <w:rPr>
                <w:rFonts w:ascii="Arial" w:cs="Arial" w:eastAsia="Arial" w:hAnsi="Arial"/>
                <w:sz w:val="16"/>
                <w:szCs w:val="16"/>
                <w:b w:val="1"/>
                <w:bCs w:val="1"/>
                <w:color w:val="FFFFFF"/>
                <w:w w:val="99"/>
              </w:rPr>
              <w:t>Warrant Shares</w:t>
            </w:r>
          </w:p>
        </w:tc>
        <w:tc>
          <w:tcPr>
            <w:tcW w:w="120" w:type="dxa"/>
            <w:vAlign w:val="bottom"/>
            <w:tcBorders>
              <w:right w:val="single" w:sz="8" w:color="148CD9"/>
            </w:tcBorders>
            <w:shd w:val="clear" w:color="auto" w:fill="148CD9"/>
          </w:tcPr>
          <w:p>
            <w:pPr>
              <w:spacing w:after="0"/>
              <w:rPr>
                <w:sz w:val="15"/>
                <w:szCs w:val="15"/>
                <w:color w:val="auto"/>
              </w:rPr>
            </w:pPr>
          </w:p>
        </w:tc>
        <w:tc>
          <w:tcPr>
            <w:tcW w:w="1340" w:type="dxa"/>
            <w:vAlign w:val="bottom"/>
            <w:vMerge w:val="restart"/>
            <w:shd w:val="clear" w:color="auto" w:fill="148CD9"/>
          </w:tcPr>
          <w:p>
            <w:pPr>
              <w:jc w:val="center"/>
              <w:spacing w:after="0"/>
              <w:rPr>
                <w:sz w:val="20"/>
                <w:szCs w:val="20"/>
                <w:color w:val="auto"/>
              </w:rPr>
            </w:pPr>
            <w:r>
              <w:rPr>
                <w:rFonts w:ascii="Arial" w:cs="Arial" w:eastAsia="Arial" w:hAnsi="Arial"/>
                <w:sz w:val="16"/>
                <w:szCs w:val="16"/>
                <w:b w:val="1"/>
                <w:bCs w:val="1"/>
                <w:color w:val="FFFFFF"/>
              </w:rPr>
              <w:t>Aggregate</w:t>
            </w:r>
          </w:p>
        </w:tc>
        <w:tc>
          <w:tcPr>
            <w:tcW w:w="140" w:type="dxa"/>
            <w:vAlign w:val="bottom"/>
            <w:tcBorders>
              <w:right w:val="single" w:sz="8" w:color="148CD9"/>
            </w:tcBorders>
            <w:shd w:val="clear" w:color="auto" w:fill="148CD9"/>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Borders>
              <w:left w:val="single" w:sz="8" w:color="auto"/>
            </w:tcBorders>
            <w:vMerge w:val="continue"/>
            <w:shd w:val="clear" w:color="auto" w:fill="148CD9"/>
          </w:tcPr>
          <w:p>
            <w:pPr>
              <w:spacing w:after="0"/>
              <w:rPr>
                <w:sz w:val="15"/>
                <w:szCs w:val="15"/>
                <w:color w:val="auto"/>
              </w:rPr>
            </w:pPr>
          </w:p>
        </w:tc>
        <w:tc>
          <w:tcPr>
            <w:tcW w:w="200" w:type="dxa"/>
            <w:vAlign w:val="bottom"/>
            <w:tcBorders>
              <w:right w:val="single" w:sz="8" w:color="148CD9"/>
            </w:tcBorders>
            <w:shd w:val="clear" w:color="auto" w:fill="148CD9"/>
          </w:tcPr>
          <w:p>
            <w:pPr>
              <w:spacing w:after="0"/>
              <w:rPr>
                <w:sz w:val="15"/>
                <w:szCs w:val="15"/>
                <w:color w:val="auto"/>
              </w:rPr>
            </w:pPr>
          </w:p>
        </w:tc>
        <w:tc>
          <w:tcPr>
            <w:tcW w:w="140" w:type="dxa"/>
            <w:vAlign w:val="bottom"/>
            <w:shd w:val="clear" w:color="auto" w:fill="148CD9"/>
          </w:tcPr>
          <w:p>
            <w:pPr>
              <w:spacing w:after="0"/>
              <w:rPr>
                <w:sz w:val="15"/>
                <w:szCs w:val="15"/>
                <w:color w:val="auto"/>
              </w:rPr>
            </w:pPr>
          </w:p>
        </w:tc>
        <w:tc>
          <w:tcPr>
            <w:tcW w:w="1160" w:type="dxa"/>
            <w:vAlign w:val="bottom"/>
            <w:vMerge w:val="continue"/>
            <w:shd w:val="clear" w:color="auto" w:fill="148CD9"/>
          </w:tcPr>
          <w:p>
            <w:pPr>
              <w:spacing w:after="0"/>
              <w:rPr>
                <w:sz w:val="15"/>
                <w:szCs w:val="15"/>
                <w:color w:val="auto"/>
              </w:rPr>
            </w:pPr>
          </w:p>
        </w:tc>
        <w:tc>
          <w:tcPr>
            <w:tcW w:w="100" w:type="dxa"/>
            <w:vAlign w:val="bottom"/>
            <w:tcBorders>
              <w:right w:val="single" w:sz="8" w:color="148CD9"/>
            </w:tcBorders>
            <w:shd w:val="clear" w:color="auto" w:fill="148CD9"/>
          </w:tcPr>
          <w:p>
            <w:pPr>
              <w:spacing w:after="0"/>
              <w:rPr>
                <w:sz w:val="15"/>
                <w:szCs w:val="15"/>
                <w:color w:val="auto"/>
              </w:rPr>
            </w:pPr>
          </w:p>
        </w:tc>
        <w:tc>
          <w:tcPr>
            <w:tcW w:w="160" w:type="dxa"/>
            <w:vAlign w:val="bottom"/>
            <w:shd w:val="clear" w:color="auto" w:fill="148CD9"/>
          </w:tcPr>
          <w:p>
            <w:pPr>
              <w:spacing w:after="0"/>
              <w:rPr>
                <w:sz w:val="15"/>
                <w:szCs w:val="15"/>
                <w:color w:val="auto"/>
              </w:rPr>
            </w:pPr>
          </w:p>
        </w:tc>
        <w:tc>
          <w:tcPr>
            <w:tcW w:w="1160" w:type="dxa"/>
            <w:vAlign w:val="bottom"/>
            <w:shd w:val="clear" w:color="auto" w:fill="148CD9"/>
          </w:tcPr>
          <w:p>
            <w:pPr>
              <w:jc w:val="center"/>
              <w:ind w:right="34"/>
              <w:spacing w:after="0" w:line="175" w:lineRule="exact"/>
              <w:rPr>
                <w:sz w:val="20"/>
                <w:szCs w:val="20"/>
                <w:color w:val="auto"/>
              </w:rPr>
            </w:pPr>
            <w:r>
              <w:rPr>
                <w:rFonts w:ascii="Arial" w:cs="Arial" w:eastAsia="Arial" w:hAnsi="Arial"/>
                <w:sz w:val="16"/>
                <w:szCs w:val="16"/>
                <w:b w:val="1"/>
                <w:bCs w:val="1"/>
                <w:color w:val="FFFFFF"/>
              </w:rPr>
              <w:t>Underlying</w:t>
            </w:r>
          </w:p>
        </w:tc>
        <w:tc>
          <w:tcPr>
            <w:tcW w:w="100" w:type="dxa"/>
            <w:vAlign w:val="bottom"/>
            <w:tcBorders>
              <w:right w:val="single" w:sz="8" w:color="148CD9"/>
            </w:tcBorders>
            <w:shd w:val="clear" w:color="auto" w:fill="148CD9"/>
          </w:tcPr>
          <w:p>
            <w:pPr>
              <w:spacing w:after="0"/>
              <w:rPr>
                <w:sz w:val="15"/>
                <w:szCs w:val="15"/>
                <w:color w:val="auto"/>
              </w:rPr>
            </w:pPr>
          </w:p>
        </w:tc>
        <w:tc>
          <w:tcPr>
            <w:tcW w:w="100" w:type="dxa"/>
            <w:vAlign w:val="bottom"/>
            <w:shd w:val="clear" w:color="auto" w:fill="148CD9"/>
          </w:tcPr>
          <w:p>
            <w:pPr>
              <w:spacing w:after="0"/>
              <w:rPr>
                <w:sz w:val="15"/>
                <w:szCs w:val="15"/>
                <w:color w:val="auto"/>
              </w:rPr>
            </w:pPr>
          </w:p>
        </w:tc>
        <w:tc>
          <w:tcPr>
            <w:tcW w:w="1220" w:type="dxa"/>
            <w:vAlign w:val="bottom"/>
            <w:shd w:val="clear" w:color="auto" w:fill="148CD9"/>
          </w:tcPr>
          <w:p>
            <w:pPr>
              <w:jc w:val="center"/>
              <w:spacing w:after="0" w:line="175" w:lineRule="exact"/>
              <w:rPr>
                <w:sz w:val="20"/>
                <w:szCs w:val="20"/>
                <w:color w:val="auto"/>
              </w:rPr>
            </w:pPr>
            <w:r>
              <w:rPr>
                <w:rFonts w:ascii="Arial" w:cs="Arial" w:eastAsia="Arial" w:hAnsi="Arial"/>
                <w:sz w:val="16"/>
                <w:szCs w:val="16"/>
                <w:b w:val="1"/>
                <w:bCs w:val="1"/>
                <w:color w:val="FFFFFF"/>
              </w:rPr>
              <w:t>Underlying</w:t>
            </w:r>
          </w:p>
        </w:tc>
        <w:tc>
          <w:tcPr>
            <w:tcW w:w="120" w:type="dxa"/>
            <w:vAlign w:val="bottom"/>
            <w:tcBorders>
              <w:right w:val="single" w:sz="8" w:color="148CD9"/>
            </w:tcBorders>
            <w:shd w:val="clear" w:color="auto" w:fill="148CD9"/>
          </w:tcPr>
          <w:p>
            <w:pPr>
              <w:spacing w:after="0"/>
              <w:rPr>
                <w:sz w:val="15"/>
                <w:szCs w:val="15"/>
                <w:color w:val="auto"/>
              </w:rPr>
            </w:pPr>
          </w:p>
        </w:tc>
        <w:tc>
          <w:tcPr>
            <w:tcW w:w="1340" w:type="dxa"/>
            <w:vAlign w:val="bottom"/>
            <w:vMerge w:val="continue"/>
            <w:shd w:val="clear" w:color="auto" w:fill="148CD9"/>
          </w:tcPr>
          <w:p>
            <w:pPr>
              <w:spacing w:after="0"/>
              <w:rPr>
                <w:sz w:val="15"/>
                <w:szCs w:val="15"/>
                <w:color w:val="auto"/>
              </w:rPr>
            </w:pPr>
          </w:p>
        </w:tc>
        <w:tc>
          <w:tcPr>
            <w:tcW w:w="140" w:type="dxa"/>
            <w:vAlign w:val="bottom"/>
            <w:tcBorders>
              <w:right w:val="single" w:sz="8" w:color="148CD9"/>
            </w:tcBorders>
            <w:shd w:val="clear" w:color="auto" w:fill="148CD9"/>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60" w:type="dxa"/>
            <w:vAlign w:val="bottom"/>
            <w:tcBorders>
              <w:left w:val="single" w:sz="8" w:color="auto"/>
            </w:tcBorders>
            <w:shd w:val="clear" w:color="auto" w:fill="148CD9"/>
          </w:tcPr>
          <w:p>
            <w:pPr>
              <w:spacing w:after="0"/>
              <w:rPr>
                <w:sz w:val="16"/>
                <w:szCs w:val="16"/>
                <w:color w:val="auto"/>
              </w:rPr>
            </w:pPr>
          </w:p>
        </w:tc>
        <w:tc>
          <w:tcPr>
            <w:tcW w:w="200" w:type="dxa"/>
            <w:vAlign w:val="bottom"/>
            <w:tcBorders>
              <w:right w:val="single" w:sz="8" w:color="148CD9"/>
            </w:tcBorders>
            <w:shd w:val="clear" w:color="auto" w:fill="148CD9"/>
          </w:tcPr>
          <w:p>
            <w:pPr>
              <w:spacing w:after="0"/>
              <w:rPr>
                <w:sz w:val="16"/>
                <w:szCs w:val="16"/>
                <w:color w:val="auto"/>
              </w:rPr>
            </w:pPr>
          </w:p>
        </w:tc>
        <w:tc>
          <w:tcPr>
            <w:tcW w:w="1300" w:type="dxa"/>
            <w:vAlign w:val="bottom"/>
            <w:gridSpan w:val="2"/>
            <w:shd w:val="clear" w:color="auto" w:fill="148CD9"/>
          </w:tcPr>
          <w:p>
            <w:pPr>
              <w:jc w:val="center"/>
              <w:spacing w:after="0"/>
              <w:rPr>
                <w:sz w:val="20"/>
                <w:szCs w:val="20"/>
                <w:color w:val="auto"/>
              </w:rPr>
            </w:pPr>
            <w:r>
              <w:rPr>
                <w:rFonts w:ascii="Arial" w:cs="Arial" w:eastAsia="Arial" w:hAnsi="Arial"/>
                <w:sz w:val="16"/>
                <w:szCs w:val="16"/>
                <w:b w:val="1"/>
                <w:bCs w:val="1"/>
                <w:color w:val="FFFFFF"/>
              </w:rPr>
              <w:t>Common Stock</w:t>
            </w:r>
          </w:p>
        </w:tc>
        <w:tc>
          <w:tcPr>
            <w:tcW w:w="100" w:type="dxa"/>
            <w:vAlign w:val="bottom"/>
            <w:tcBorders>
              <w:right w:val="single" w:sz="8" w:color="148CD9"/>
            </w:tcBorders>
            <w:shd w:val="clear" w:color="auto" w:fill="148CD9"/>
          </w:tcPr>
          <w:p>
            <w:pPr>
              <w:spacing w:after="0"/>
              <w:rPr>
                <w:sz w:val="16"/>
                <w:szCs w:val="16"/>
                <w:color w:val="auto"/>
              </w:rPr>
            </w:pPr>
          </w:p>
        </w:tc>
        <w:tc>
          <w:tcPr>
            <w:tcW w:w="160" w:type="dxa"/>
            <w:vAlign w:val="bottom"/>
            <w:shd w:val="clear" w:color="auto" w:fill="148CD9"/>
          </w:tcPr>
          <w:p>
            <w:pPr>
              <w:spacing w:after="0"/>
              <w:rPr>
                <w:sz w:val="16"/>
                <w:szCs w:val="16"/>
                <w:color w:val="auto"/>
              </w:rPr>
            </w:pPr>
          </w:p>
        </w:tc>
        <w:tc>
          <w:tcPr>
            <w:tcW w:w="1160" w:type="dxa"/>
            <w:vAlign w:val="bottom"/>
            <w:shd w:val="clear" w:color="auto" w:fill="148CD9"/>
          </w:tcPr>
          <w:p>
            <w:pPr>
              <w:jc w:val="center"/>
              <w:ind w:right="54"/>
              <w:spacing w:after="0"/>
              <w:rPr>
                <w:sz w:val="20"/>
                <w:szCs w:val="20"/>
                <w:color w:val="auto"/>
              </w:rPr>
            </w:pPr>
            <w:r>
              <w:rPr>
                <w:rFonts w:ascii="Arial" w:cs="Arial" w:eastAsia="Arial" w:hAnsi="Arial"/>
                <w:sz w:val="16"/>
                <w:szCs w:val="16"/>
                <w:b w:val="1"/>
                <w:bCs w:val="1"/>
                <w:color w:val="FFFFFF"/>
              </w:rPr>
              <w:t>Pre-Funded</w:t>
            </w:r>
          </w:p>
        </w:tc>
        <w:tc>
          <w:tcPr>
            <w:tcW w:w="100" w:type="dxa"/>
            <w:vAlign w:val="bottom"/>
            <w:tcBorders>
              <w:right w:val="single" w:sz="8" w:color="148CD9"/>
            </w:tcBorders>
            <w:shd w:val="clear" w:color="auto" w:fill="148CD9"/>
          </w:tcPr>
          <w:p>
            <w:pPr>
              <w:spacing w:after="0"/>
              <w:rPr>
                <w:sz w:val="16"/>
                <w:szCs w:val="16"/>
                <w:color w:val="auto"/>
              </w:rPr>
            </w:pPr>
          </w:p>
        </w:tc>
        <w:tc>
          <w:tcPr>
            <w:tcW w:w="100" w:type="dxa"/>
            <w:vAlign w:val="bottom"/>
            <w:shd w:val="clear" w:color="auto" w:fill="148CD9"/>
          </w:tcPr>
          <w:p>
            <w:pPr>
              <w:spacing w:after="0"/>
              <w:rPr>
                <w:sz w:val="16"/>
                <w:szCs w:val="16"/>
                <w:color w:val="auto"/>
              </w:rPr>
            </w:pPr>
          </w:p>
        </w:tc>
        <w:tc>
          <w:tcPr>
            <w:tcW w:w="1220" w:type="dxa"/>
            <w:vAlign w:val="bottom"/>
            <w:shd w:val="clear" w:color="auto" w:fill="148CD9"/>
          </w:tcPr>
          <w:p>
            <w:pPr>
              <w:jc w:val="center"/>
              <w:spacing w:after="0"/>
              <w:rPr>
                <w:sz w:val="20"/>
                <w:szCs w:val="20"/>
                <w:color w:val="auto"/>
              </w:rPr>
            </w:pPr>
            <w:r>
              <w:rPr>
                <w:rFonts w:ascii="Arial" w:cs="Arial" w:eastAsia="Arial" w:hAnsi="Arial"/>
                <w:sz w:val="16"/>
                <w:szCs w:val="16"/>
                <w:b w:val="1"/>
                <w:bCs w:val="1"/>
                <w:color w:val="FFFFFF"/>
              </w:rPr>
              <w:t>Common</w:t>
            </w:r>
          </w:p>
        </w:tc>
        <w:tc>
          <w:tcPr>
            <w:tcW w:w="120" w:type="dxa"/>
            <w:vAlign w:val="bottom"/>
            <w:tcBorders>
              <w:right w:val="single" w:sz="8" w:color="148CD9"/>
            </w:tcBorders>
            <w:shd w:val="clear" w:color="auto" w:fill="148CD9"/>
          </w:tcPr>
          <w:p>
            <w:pPr>
              <w:spacing w:after="0"/>
              <w:rPr>
                <w:sz w:val="16"/>
                <w:szCs w:val="16"/>
                <w:color w:val="auto"/>
              </w:rPr>
            </w:pPr>
          </w:p>
        </w:tc>
        <w:tc>
          <w:tcPr>
            <w:tcW w:w="1340" w:type="dxa"/>
            <w:vAlign w:val="bottom"/>
            <w:shd w:val="clear" w:color="auto" w:fill="148CD9"/>
          </w:tcPr>
          <w:p>
            <w:pPr>
              <w:jc w:val="center"/>
              <w:spacing w:after="0"/>
              <w:rPr>
                <w:sz w:val="20"/>
                <w:szCs w:val="20"/>
                <w:color w:val="auto"/>
              </w:rPr>
            </w:pPr>
            <w:r>
              <w:rPr>
                <w:rFonts w:ascii="Arial" w:cs="Arial" w:eastAsia="Arial" w:hAnsi="Arial"/>
                <w:sz w:val="16"/>
                <w:szCs w:val="16"/>
                <w:b w:val="1"/>
                <w:bCs w:val="1"/>
                <w:color w:val="FFFFFF"/>
              </w:rPr>
              <w:t>Purchase Price</w:t>
            </w:r>
          </w:p>
        </w:tc>
        <w:tc>
          <w:tcPr>
            <w:tcW w:w="140" w:type="dxa"/>
            <w:vAlign w:val="bottom"/>
            <w:tcBorders>
              <w:right w:val="single" w:sz="8" w:color="148CD9"/>
            </w:tcBorders>
            <w:shd w:val="clear" w:color="auto" w:fill="148CD9"/>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60" w:type="dxa"/>
            <w:vAlign w:val="bottom"/>
            <w:tcBorders>
              <w:left w:val="single" w:sz="8" w:color="auto"/>
            </w:tcBorders>
            <w:shd w:val="clear" w:color="auto" w:fill="148CD9"/>
          </w:tcPr>
          <w:p>
            <w:pPr>
              <w:spacing w:after="0"/>
              <w:rPr>
                <w:sz w:val="15"/>
                <w:szCs w:val="15"/>
                <w:color w:val="auto"/>
              </w:rPr>
            </w:pPr>
          </w:p>
        </w:tc>
        <w:tc>
          <w:tcPr>
            <w:tcW w:w="200" w:type="dxa"/>
            <w:vAlign w:val="bottom"/>
            <w:tcBorders>
              <w:right w:val="single" w:sz="8" w:color="148CD9"/>
            </w:tcBorders>
            <w:shd w:val="clear" w:color="auto" w:fill="148CD9"/>
          </w:tcPr>
          <w:p>
            <w:pPr>
              <w:spacing w:after="0"/>
              <w:rPr>
                <w:sz w:val="15"/>
                <w:szCs w:val="15"/>
                <w:color w:val="auto"/>
              </w:rPr>
            </w:pPr>
          </w:p>
        </w:tc>
        <w:tc>
          <w:tcPr>
            <w:tcW w:w="140" w:type="dxa"/>
            <w:vAlign w:val="bottom"/>
            <w:shd w:val="clear" w:color="auto" w:fill="148CD9"/>
          </w:tcPr>
          <w:p>
            <w:pPr>
              <w:spacing w:after="0"/>
              <w:rPr>
                <w:sz w:val="15"/>
                <w:szCs w:val="15"/>
                <w:color w:val="auto"/>
              </w:rPr>
            </w:pPr>
          </w:p>
        </w:tc>
        <w:tc>
          <w:tcPr>
            <w:tcW w:w="1160" w:type="dxa"/>
            <w:vAlign w:val="bottom"/>
            <w:shd w:val="clear" w:color="auto" w:fill="148CD9"/>
          </w:tcPr>
          <w:p>
            <w:pPr>
              <w:jc w:val="center"/>
              <w:ind w:right="33"/>
              <w:spacing w:after="0" w:line="175" w:lineRule="exact"/>
              <w:rPr>
                <w:sz w:val="20"/>
                <w:szCs w:val="20"/>
                <w:color w:val="auto"/>
              </w:rPr>
            </w:pPr>
            <w:r>
              <w:rPr>
                <w:rFonts w:ascii="Arial" w:cs="Arial" w:eastAsia="Arial" w:hAnsi="Arial"/>
                <w:sz w:val="16"/>
                <w:szCs w:val="16"/>
                <w:b w:val="1"/>
                <w:bCs w:val="1"/>
                <w:color w:val="FFFFFF"/>
                <w:w w:val="99"/>
              </w:rPr>
              <w:t>Shares to be</w:t>
            </w:r>
          </w:p>
        </w:tc>
        <w:tc>
          <w:tcPr>
            <w:tcW w:w="100" w:type="dxa"/>
            <w:vAlign w:val="bottom"/>
            <w:tcBorders>
              <w:right w:val="single" w:sz="8" w:color="148CD9"/>
            </w:tcBorders>
            <w:shd w:val="clear" w:color="auto" w:fill="148CD9"/>
          </w:tcPr>
          <w:p>
            <w:pPr>
              <w:spacing w:after="0"/>
              <w:rPr>
                <w:sz w:val="15"/>
                <w:szCs w:val="15"/>
                <w:color w:val="auto"/>
              </w:rPr>
            </w:pPr>
          </w:p>
        </w:tc>
        <w:tc>
          <w:tcPr>
            <w:tcW w:w="160" w:type="dxa"/>
            <w:vAlign w:val="bottom"/>
            <w:shd w:val="clear" w:color="auto" w:fill="148CD9"/>
          </w:tcPr>
          <w:p>
            <w:pPr>
              <w:spacing w:after="0"/>
              <w:rPr>
                <w:sz w:val="15"/>
                <w:szCs w:val="15"/>
                <w:color w:val="auto"/>
              </w:rPr>
            </w:pPr>
          </w:p>
        </w:tc>
        <w:tc>
          <w:tcPr>
            <w:tcW w:w="1160" w:type="dxa"/>
            <w:vAlign w:val="bottom"/>
            <w:shd w:val="clear" w:color="auto" w:fill="148CD9"/>
          </w:tcPr>
          <w:p>
            <w:pPr>
              <w:jc w:val="center"/>
              <w:ind w:right="34"/>
              <w:spacing w:after="0" w:line="175" w:lineRule="exact"/>
              <w:rPr>
                <w:sz w:val="20"/>
                <w:szCs w:val="20"/>
                <w:color w:val="auto"/>
              </w:rPr>
            </w:pPr>
            <w:r>
              <w:rPr>
                <w:rFonts w:ascii="Arial" w:cs="Arial" w:eastAsia="Arial" w:hAnsi="Arial"/>
                <w:sz w:val="16"/>
                <w:szCs w:val="16"/>
                <w:b w:val="1"/>
                <w:bCs w:val="1"/>
                <w:color w:val="FFFFFF"/>
                <w:w w:val="99"/>
              </w:rPr>
              <w:t>Warrant</w:t>
            </w:r>
          </w:p>
        </w:tc>
        <w:tc>
          <w:tcPr>
            <w:tcW w:w="100" w:type="dxa"/>
            <w:vAlign w:val="bottom"/>
            <w:tcBorders>
              <w:right w:val="single" w:sz="8" w:color="148CD9"/>
            </w:tcBorders>
            <w:shd w:val="clear" w:color="auto" w:fill="148CD9"/>
          </w:tcPr>
          <w:p>
            <w:pPr>
              <w:spacing w:after="0"/>
              <w:rPr>
                <w:sz w:val="15"/>
                <w:szCs w:val="15"/>
                <w:color w:val="auto"/>
              </w:rPr>
            </w:pPr>
          </w:p>
        </w:tc>
        <w:tc>
          <w:tcPr>
            <w:tcW w:w="100" w:type="dxa"/>
            <w:vAlign w:val="bottom"/>
            <w:shd w:val="clear" w:color="auto" w:fill="148CD9"/>
          </w:tcPr>
          <w:p>
            <w:pPr>
              <w:spacing w:after="0"/>
              <w:rPr>
                <w:sz w:val="15"/>
                <w:szCs w:val="15"/>
                <w:color w:val="auto"/>
              </w:rPr>
            </w:pPr>
          </w:p>
        </w:tc>
        <w:tc>
          <w:tcPr>
            <w:tcW w:w="1220" w:type="dxa"/>
            <w:vAlign w:val="bottom"/>
            <w:shd w:val="clear" w:color="auto" w:fill="148CD9"/>
          </w:tcPr>
          <w:p>
            <w:pPr>
              <w:jc w:val="center"/>
              <w:spacing w:after="0" w:line="175" w:lineRule="exact"/>
              <w:rPr>
                <w:sz w:val="20"/>
                <w:szCs w:val="20"/>
                <w:color w:val="auto"/>
              </w:rPr>
            </w:pPr>
            <w:r>
              <w:rPr>
                <w:rFonts w:ascii="Arial" w:cs="Arial" w:eastAsia="Arial" w:hAnsi="Arial"/>
                <w:sz w:val="16"/>
                <w:szCs w:val="16"/>
                <w:b w:val="1"/>
                <w:bCs w:val="1"/>
                <w:color w:val="FFFFFF"/>
                <w:w w:val="99"/>
              </w:rPr>
              <w:t>Warrant</w:t>
            </w:r>
          </w:p>
        </w:tc>
        <w:tc>
          <w:tcPr>
            <w:tcW w:w="120" w:type="dxa"/>
            <w:vAlign w:val="bottom"/>
            <w:tcBorders>
              <w:right w:val="single" w:sz="8" w:color="148CD9"/>
            </w:tcBorders>
            <w:shd w:val="clear" w:color="auto" w:fill="148CD9"/>
          </w:tcPr>
          <w:p>
            <w:pPr>
              <w:spacing w:after="0"/>
              <w:rPr>
                <w:sz w:val="15"/>
                <w:szCs w:val="15"/>
                <w:color w:val="auto"/>
              </w:rPr>
            </w:pPr>
          </w:p>
        </w:tc>
        <w:tc>
          <w:tcPr>
            <w:tcW w:w="1340" w:type="dxa"/>
            <w:vAlign w:val="bottom"/>
            <w:shd w:val="clear" w:color="auto" w:fill="148CD9"/>
          </w:tcPr>
          <w:p>
            <w:pPr>
              <w:jc w:val="center"/>
              <w:spacing w:after="0" w:line="175" w:lineRule="exact"/>
              <w:rPr>
                <w:sz w:val="20"/>
                <w:szCs w:val="20"/>
                <w:color w:val="auto"/>
              </w:rPr>
            </w:pPr>
            <w:r>
              <w:rPr>
                <w:rFonts w:ascii="Arial" w:cs="Arial" w:eastAsia="Arial" w:hAnsi="Arial"/>
                <w:sz w:val="16"/>
                <w:szCs w:val="16"/>
                <w:b w:val="1"/>
                <w:bCs w:val="1"/>
                <w:color w:val="FFFFFF"/>
              </w:rPr>
              <w:t>of Placement</w:t>
            </w:r>
          </w:p>
        </w:tc>
        <w:tc>
          <w:tcPr>
            <w:tcW w:w="140" w:type="dxa"/>
            <w:vAlign w:val="bottom"/>
            <w:tcBorders>
              <w:right w:val="single" w:sz="8" w:color="148CD9"/>
            </w:tcBorders>
            <w:shd w:val="clear" w:color="auto" w:fill="148CD9"/>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060" w:type="dxa"/>
            <w:vAlign w:val="bottom"/>
            <w:tcBorders>
              <w:left w:val="single" w:sz="8" w:color="auto"/>
              <w:bottom w:val="single" w:sz="8" w:color="148CD9"/>
            </w:tcBorders>
            <w:shd w:val="clear" w:color="auto" w:fill="148CD9"/>
          </w:tcPr>
          <w:p>
            <w:pPr>
              <w:spacing w:after="0"/>
              <w:rPr>
                <w:sz w:val="20"/>
                <w:szCs w:val="20"/>
                <w:color w:val="auto"/>
              </w:rPr>
            </w:pPr>
          </w:p>
        </w:tc>
        <w:tc>
          <w:tcPr>
            <w:tcW w:w="200" w:type="dxa"/>
            <w:vAlign w:val="bottom"/>
            <w:tcBorders>
              <w:bottom w:val="single" w:sz="8" w:color="148CD9"/>
              <w:right w:val="single" w:sz="8" w:color="148CD9"/>
            </w:tcBorders>
            <w:shd w:val="clear" w:color="auto" w:fill="148CD9"/>
          </w:tcPr>
          <w:p>
            <w:pPr>
              <w:spacing w:after="0"/>
              <w:rPr>
                <w:sz w:val="20"/>
                <w:szCs w:val="20"/>
                <w:color w:val="auto"/>
              </w:rPr>
            </w:pPr>
          </w:p>
        </w:tc>
        <w:tc>
          <w:tcPr>
            <w:tcW w:w="140" w:type="dxa"/>
            <w:vAlign w:val="bottom"/>
            <w:tcBorders>
              <w:bottom w:val="single" w:sz="8" w:color="148CD9"/>
            </w:tcBorders>
            <w:shd w:val="clear" w:color="auto" w:fill="148CD9"/>
          </w:tcPr>
          <w:p>
            <w:pPr>
              <w:spacing w:after="0"/>
              <w:rPr>
                <w:sz w:val="20"/>
                <w:szCs w:val="20"/>
                <w:color w:val="auto"/>
              </w:rPr>
            </w:pPr>
          </w:p>
        </w:tc>
        <w:tc>
          <w:tcPr>
            <w:tcW w:w="1160" w:type="dxa"/>
            <w:vAlign w:val="bottom"/>
            <w:tcBorders>
              <w:bottom w:val="single" w:sz="8" w:color="148CD9"/>
            </w:tcBorders>
            <w:shd w:val="clear" w:color="auto" w:fill="148CD9"/>
          </w:tcPr>
          <w:p>
            <w:pPr>
              <w:jc w:val="center"/>
              <w:spacing w:after="0"/>
              <w:rPr>
                <w:sz w:val="20"/>
                <w:szCs w:val="20"/>
                <w:color w:val="auto"/>
              </w:rPr>
            </w:pPr>
            <w:r>
              <w:rPr>
                <w:rFonts w:ascii="Arial" w:cs="Arial" w:eastAsia="Arial" w:hAnsi="Arial"/>
                <w:sz w:val="16"/>
                <w:szCs w:val="16"/>
                <w:b w:val="1"/>
                <w:bCs w:val="1"/>
                <w:color w:val="FFFFFF"/>
              </w:rPr>
              <w:t>Purchased</w:t>
            </w:r>
          </w:p>
        </w:tc>
        <w:tc>
          <w:tcPr>
            <w:tcW w:w="100" w:type="dxa"/>
            <w:vAlign w:val="bottom"/>
            <w:tcBorders>
              <w:bottom w:val="single" w:sz="8" w:color="148CD9"/>
              <w:right w:val="single" w:sz="8" w:color="148CD9"/>
            </w:tcBorders>
            <w:shd w:val="clear" w:color="auto" w:fill="148CD9"/>
          </w:tcPr>
          <w:p>
            <w:pPr>
              <w:spacing w:after="0"/>
              <w:rPr>
                <w:sz w:val="20"/>
                <w:szCs w:val="20"/>
                <w:color w:val="auto"/>
              </w:rPr>
            </w:pPr>
          </w:p>
        </w:tc>
        <w:tc>
          <w:tcPr>
            <w:tcW w:w="160" w:type="dxa"/>
            <w:vAlign w:val="bottom"/>
            <w:tcBorders>
              <w:bottom w:val="single" w:sz="8" w:color="148CD9"/>
            </w:tcBorders>
            <w:shd w:val="clear" w:color="auto" w:fill="148CD9"/>
          </w:tcPr>
          <w:p>
            <w:pPr>
              <w:spacing w:after="0"/>
              <w:rPr>
                <w:sz w:val="20"/>
                <w:szCs w:val="20"/>
                <w:color w:val="auto"/>
              </w:rPr>
            </w:pPr>
          </w:p>
        </w:tc>
        <w:tc>
          <w:tcPr>
            <w:tcW w:w="1160" w:type="dxa"/>
            <w:vAlign w:val="bottom"/>
            <w:tcBorders>
              <w:bottom w:val="single" w:sz="8" w:color="148CD9"/>
            </w:tcBorders>
            <w:shd w:val="clear" w:color="auto" w:fill="148CD9"/>
          </w:tcPr>
          <w:p>
            <w:pPr>
              <w:jc w:val="center"/>
              <w:ind w:right="14"/>
              <w:spacing w:after="0"/>
              <w:rPr>
                <w:sz w:val="20"/>
                <w:szCs w:val="20"/>
                <w:color w:val="auto"/>
              </w:rPr>
            </w:pPr>
            <w:r>
              <w:rPr>
                <w:rFonts w:ascii="Arial" w:cs="Arial" w:eastAsia="Arial" w:hAnsi="Arial"/>
                <w:sz w:val="16"/>
                <w:szCs w:val="16"/>
                <w:b w:val="1"/>
                <w:bCs w:val="1"/>
                <w:color w:val="FFFFFF"/>
              </w:rPr>
              <w:t>Purchased</w:t>
            </w:r>
          </w:p>
        </w:tc>
        <w:tc>
          <w:tcPr>
            <w:tcW w:w="100" w:type="dxa"/>
            <w:vAlign w:val="bottom"/>
            <w:tcBorders>
              <w:bottom w:val="single" w:sz="8" w:color="148CD9"/>
              <w:right w:val="single" w:sz="8" w:color="148CD9"/>
            </w:tcBorders>
            <w:shd w:val="clear" w:color="auto" w:fill="148CD9"/>
          </w:tcPr>
          <w:p>
            <w:pPr>
              <w:spacing w:after="0"/>
              <w:rPr>
                <w:sz w:val="20"/>
                <w:szCs w:val="20"/>
                <w:color w:val="auto"/>
              </w:rPr>
            </w:pPr>
          </w:p>
        </w:tc>
        <w:tc>
          <w:tcPr>
            <w:tcW w:w="100" w:type="dxa"/>
            <w:vAlign w:val="bottom"/>
            <w:tcBorders>
              <w:bottom w:val="single" w:sz="8" w:color="148CD9"/>
            </w:tcBorders>
            <w:shd w:val="clear" w:color="auto" w:fill="148CD9"/>
          </w:tcPr>
          <w:p>
            <w:pPr>
              <w:spacing w:after="0"/>
              <w:rPr>
                <w:sz w:val="20"/>
                <w:szCs w:val="20"/>
                <w:color w:val="auto"/>
              </w:rPr>
            </w:pPr>
          </w:p>
        </w:tc>
        <w:tc>
          <w:tcPr>
            <w:tcW w:w="1220" w:type="dxa"/>
            <w:vAlign w:val="bottom"/>
            <w:tcBorders>
              <w:bottom w:val="single" w:sz="8" w:color="148CD9"/>
            </w:tcBorders>
            <w:shd w:val="clear" w:color="auto" w:fill="148CD9"/>
          </w:tcPr>
          <w:p>
            <w:pPr>
              <w:jc w:val="center"/>
              <w:spacing w:after="0"/>
              <w:rPr>
                <w:sz w:val="20"/>
                <w:szCs w:val="20"/>
                <w:color w:val="auto"/>
              </w:rPr>
            </w:pPr>
            <w:r>
              <w:rPr>
                <w:rFonts w:ascii="Arial" w:cs="Arial" w:eastAsia="Arial" w:hAnsi="Arial"/>
                <w:sz w:val="16"/>
                <w:szCs w:val="16"/>
                <w:b w:val="1"/>
                <w:bCs w:val="1"/>
                <w:color w:val="FFFFFF"/>
              </w:rPr>
              <w:t>Purchased</w:t>
            </w:r>
          </w:p>
        </w:tc>
        <w:tc>
          <w:tcPr>
            <w:tcW w:w="120" w:type="dxa"/>
            <w:vAlign w:val="bottom"/>
            <w:tcBorders>
              <w:bottom w:val="single" w:sz="8" w:color="148CD9"/>
              <w:right w:val="single" w:sz="8" w:color="148CD9"/>
            </w:tcBorders>
            <w:shd w:val="clear" w:color="auto" w:fill="148CD9"/>
          </w:tcPr>
          <w:p>
            <w:pPr>
              <w:spacing w:after="0"/>
              <w:rPr>
                <w:sz w:val="20"/>
                <w:szCs w:val="20"/>
                <w:color w:val="auto"/>
              </w:rPr>
            </w:pPr>
          </w:p>
        </w:tc>
        <w:tc>
          <w:tcPr>
            <w:tcW w:w="1340" w:type="dxa"/>
            <w:vAlign w:val="bottom"/>
            <w:tcBorders>
              <w:bottom w:val="single" w:sz="8" w:color="148CD9"/>
            </w:tcBorders>
            <w:shd w:val="clear" w:color="auto" w:fill="148CD9"/>
          </w:tcPr>
          <w:p>
            <w:pPr>
              <w:jc w:val="center"/>
              <w:ind w:left="13"/>
              <w:spacing w:after="0"/>
              <w:rPr>
                <w:sz w:val="20"/>
                <w:szCs w:val="20"/>
                <w:color w:val="auto"/>
              </w:rPr>
            </w:pPr>
            <w:r>
              <w:rPr>
                <w:rFonts w:ascii="Arial" w:cs="Arial" w:eastAsia="Arial" w:hAnsi="Arial"/>
                <w:sz w:val="16"/>
                <w:szCs w:val="16"/>
                <w:b w:val="1"/>
                <w:bCs w:val="1"/>
                <w:color w:val="FFFFFF"/>
                <w:w w:val="99"/>
              </w:rPr>
              <w:t>Securities</w:t>
            </w:r>
          </w:p>
        </w:tc>
        <w:tc>
          <w:tcPr>
            <w:tcW w:w="140" w:type="dxa"/>
            <w:vAlign w:val="bottom"/>
            <w:tcBorders>
              <w:bottom w:val="single" w:sz="8" w:color="148CD9"/>
              <w:right w:val="single" w:sz="8" w:color="148CD9"/>
            </w:tcBorders>
            <w:shd w:val="clear" w:color="auto" w:fill="148CD9"/>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060" w:type="dxa"/>
            <w:vAlign w:val="bottom"/>
            <w:tcBorders>
              <w:left w:val="single" w:sz="8" w:color="auto"/>
            </w:tcBorders>
          </w:tcPr>
          <w:p>
            <w:pPr>
              <w:ind w:left="80"/>
              <w:spacing w:after="0" w:line="297"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8"/>
                <w:szCs w:val="18"/>
                <w:color w:val="auto"/>
              </w:rPr>
              <w:t>TCG Crossover Management, LLC</w:t>
            </w:r>
          </w:p>
        </w:tc>
        <w:tc>
          <w:tcPr>
            <w:tcW w:w="2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17,754,430</w:t>
            </w:r>
          </w:p>
        </w:tc>
        <w:tc>
          <w:tcPr>
            <w:tcW w:w="1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center"/>
              <w:spacing w:after="0"/>
              <w:rPr>
                <w:sz w:val="20"/>
                <w:szCs w:val="20"/>
                <w:color w:val="auto"/>
              </w:rPr>
            </w:pPr>
            <w:r>
              <w:rPr>
                <w:rFonts w:ascii="Arial" w:cs="Arial" w:eastAsia="Arial" w:hAnsi="Arial"/>
                <w:sz w:val="18"/>
                <w:szCs w:val="18"/>
                <w:color w:val="auto"/>
                <w:w w:val="97"/>
              </w:rPr>
              <w:t>17,028,178</w:t>
            </w:r>
          </w:p>
        </w:tc>
        <w:tc>
          <w:tcPr>
            <w:tcW w:w="1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17,391,304</w:t>
            </w:r>
          </w:p>
        </w:tc>
        <w:tc>
          <w:tcPr>
            <w:tcW w:w="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​$39,998,296.38 ​</w:t>
            </w:r>
          </w:p>
        </w:tc>
        <w:tc>
          <w:tcPr>
            <w:tcW w:w="0" w:type="dxa"/>
            <w:vAlign w:val="bottom"/>
          </w:tcPr>
          <w:p>
            <w:pPr>
              <w:spacing w:after="0"/>
              <w:rPr>
                <w:sz w:val="1"/>
                <w:szCs w:val="1"/>
                <w:color w:val="auto"/>
              </w:rPr>
            </w:pPr>
          </w:p>
        </w:tc>
      </w:tr>
      <w:tr>
        <w:trPr>
          <w:trHeight w:val="203"/>
        </w:trPr>
        <w:tc>
          <w:tcPr>
            <w:tcW w:w="3060" w:type="dxa"/>
            <w:vAlign w:val="bottom"/>
            <w:tcBorders>
              <w:left w:val="single" w:sz="8" w:color="auto"/>
              <w:bottom w:val="single" w:sz="8" w:color="auto"/>
            </w:tcBorders>
          </w:tcPr>
          <w:p>
            <w:pPr>
              <w:ind w:left="140"/>
              <w:spacing w:after="0" w:line="202" w:lineRule="exact"/>
              <w:rPr>
                <w:sz w:val="20"/>
                <w:szCs w:val="20"/>
                <w:color w:val="auto"/>
              </w:rPr>
            </w:pPr>
            <w:r>
              <w:rPr>
                <w:rFonts w:ascii="Arial" w:cs="Arial" w:eastAsia="Arial" w:hAnsi="Arial"/>
                <w:sz w:val="18"/>
                <w:szCs w:val="18"/>
                <w:color w:val="auto"/>
              </w:rPr>
              <w:t>Entities(1)</w:t>
            </w:r>
          </w:p>
        </w:tc>
        <w:tc>
          <w:tcPr>
            <w:tcW w:w="20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0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​RA Capital Healthcare Fund, L.P.(2)</w:t>
            </w:r>
          </w:p>
        </w:tc>
        <w:tc>
          <w:tcPr>
            <w:tcW w:w="2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17,754,430</w:t>
            </w:r>
          </w:p>
        </w:tc>
        <w:tc>
          <w:tcPr>
            <w:tcW w:w="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8,332,526</w:t>
            </w:r>
          </w:p>
        </w:tc>
        <w:tc>
          <w:tcPr>
            <w:tcW w:w="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13,043,478</w:t>
            </w:r>
          </w:p>
        </w:tc>
        <w:tc>
          <w:tcPr>
            <w:tcW w:w="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​$29,999,166.15 ​</w:t>
            </w:r>
          </w:p>
        </w:tc>
        <w:tc>
          <w:tcPr>
            <w:tcW w:w="0" w:type="dxa"/>
            <w:vAlign w:val="bottom"/>
          </w:tcPr>
          <w:p>
            <w:pPr>
              <w:spacing w:after="0"/>
              <w:rPr>
                <w:sz w:val="1"/>
                <w:szCs w:val="1"/>
                <w:color w:val="auto"/>
              </w:rPr>
            </w:pPr>
          </w:p>
        </w:tc>
      </w:tr>
      <w:tr>
        <w:trPr>
          <w:trHeight w:val="250"/>
        </w:trPr>
        <w:tc>
          <w:tcPr>
            <w:tcW w:w="30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​RTW Investments, LP Entities(3)</w:t>
            </w:r>
          </w:p>
        </w:tc>
        <w:tc>
          <w:tcPr>
            <w:tcW w:w="2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8,695,652</w:t>
            </w:r>
          </w:p>
        </w:tc>
        <w:tc>
          <w:tcPr>
            <w:tcW w:w="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center"/>
              <w:ind w:right="14"/>
              <w:spacing w:after="0"/>
              <w:rPr>
                <w:sz w:val="20"/>
                <w:szCs w:val="20"/>
                <w:color w:val="auto"/>
              </w:rPr>
            </w:pPr>
            <w:r>
              <w:rPr>
                <w:rFonts w:ascii="Arial" w:cs="Arial" w:eastAsia="Arial" w:hAnsi="Arial"/>
                <w:sz w:val="18"/>
                <w:szCs w:val="18"/>
                <w:color w:val="auto"/>
                <w:w w:val="99"/>
              </w:rPr>
              <w:t>0</w:t>
            </w:r>
          </w:p>
        </w:tc>
        <w:tc>
          <w:tcPr>
            <w:tcW w:w="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4,347,826</w:t>
            </w:r>
          </w:p>
        </w:tc>
        <w:tc>
          <w:tcPr>
            <w:tcW w:w="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$9,999,999.80</w:t>
            </w:r>
          </w:p>
        </w:tc>
        <w:tc>
          <w:tcPr>
            <w:tcW w:w="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5"/>
        </w:trPr>
        <w:tc>
          <w:tcPr>
            <w:tcW w:w="3060" w:type="dxa"/>
            <w:vAlign w:val="bottom"/>
            <w:tcBorders>
              <w:left w:val="single" w:sz="8" w:color="auto"/>
            </w:tcBorders>
          </w:tcPr>
          <w:p>
            <w:pPr>
              <w:ind w:left="80"/>
              <w:spacing w:after="0" w:line="295"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8"/>
                <w:szCs w:val="18"/>
                <w:color w:val="auto"/>
              </w:rPr>
              <w:t>Venrock Healthcare Capital</w:t>
            </w:r>
          </w:p>
        </w:tc>
        <w:tc>
          <w:tcPr>
            <w:tcW w:w="2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center"/>
              <w:spacing w:after="0"/>
              <w:rPr>
                <w:sz w:val="20"/>
                <w:szCs w:val="20"/>
                <w:color w:val="auto"/>
              </w:rPr>
            </w:pPr>
            <w:r>
              <w:rPr>
                <w:rFonts w:ascii="Arial" w:cs="Arial" w:eastAsia="Arial" w:hAnsi="Arial"/>
                <w:sz w:val="18"/>
                <w:szCs w:val="18"/>
                <w:color w:val="auto"/>
                <w:w w:val="97"/>
              </w:rPr>
              <w:t>8,695,652</w:t>
            </w:r>
          </w:p>
        </w:tc>
        <w:tc>
          <w:tcPr>
            <w:tcW w:w="1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center"/>
              <w:ind w:right="14"/>
              <w:spacing w:after="0"/>
              <w:rPr>
                <w:sz w:val="20"/>
                <w:szCs w:val="20"/>
                <w:color w:val="auto"/>
              </w:rPr>
            </w:pPr>
            <w:r>
              <w:rPr>
                <w:rFonts w:ascii="Arial" w:cs="Arial" w:eastAsia="Arial" w:hAnsi="Arial"/>
                <w:sz w:val="18"/>
                <w:szCs w:val="18"/>
                <w:color w:val="auto"/>
                <w:w w:val="99"/>
              </w:rPr>
              <w:t>0</w:t>
            </w:r>
          </w:p>
        </w:tc>
        <w:tc>
          <w:tcPr>
            <w:tcW w:w="1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97"/>
              </w:rPr>
              <w:t>4,347,826</w:t>
            </w:r>
          </w:p>
        </w:tc>
        <w:tc>
          <w:tcPr>
            <w:tcW w:w="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340" w:type="dxa"/>
            <w:vAlign w:val="bottom"/>
          </w:tcPr>
          <w:p>
            <w:pPr>
              <w:ind w:left="40"/>
              <w:spacing w:after="0"/>
              <w:rPr>
                <w:sz w:val="20"/>
                <w:szCs w:val="20"/>
                <w:color w:val="auto"/>
              </w:rPr>
            </w:pPr>
            <w:r>
              <w:rPr>
                <w:rFonts w:ascii="Arial" w:cs="Arial" w:eastAsia="Arial" w:hAnsi="Arial"/>
                <w:sz w:val="18"/>
                <w:szCs w:val="18"/>
                <w:color w:val="auto"/>
              </w:rPr>
              <w:t>​ $9,999,999.80</w:t>
            </w:r>
          </w:p>
        </w:tc>
        <w:tc>
          <w:tcPr>
            <w:tcW w:w="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3060" w:type="dxa"/>
            <w:vAlign w:val="bottom"/>
            <w:tcBorders>
              <w:left w:val="single" w:sz="8" w:color="auto"/>
              <w:bottom w:val="single" w:sz="8" w:color="auto"/>
            </w:tcBorders>
          </w:tcPr>
          <w:p>
            <w:pPr>
              <w:ind w:left="140"/>
              <w:spacing w:after="0" w:line="189" w:lineRule="exact"/>
              <w:rPr>
                <w:sz w:val="20"/>
                <w:szCs w:val="20"/>
                <w:color w:val="auto"/>
              </w:rPr>
            </w:pPr>
            <w:r>
              <w:rPr>
                <w:rFonts w:ascii="Arial" w:cs="Arial" w:eastAsia="Arial" w:hAnsi="Arial"/>
                <w:sz w:val="18"/>
                <w:szCs w:val="18"/>
                <w:color w:val="auto"/>
              </w:rPr>
              <w:t>Partners EG, L.P Entities(4)</w:t>
            </w:r>
          </w:p>
        </w:tc>
        <w:tc>
          <w:tcPr>
            <w:tcW w:w="200" w:type="dxa"/>
            <w:vAlign w:val="bottom"/>
            <w:tcBorders>
              <w:bottom w:val="single" w:sz="8" w:color="auto"/>
              <w:right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0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​Point72 Associates, LLC(5)</w:t>
            </w:r>
          </w:p>
        </w:tc>
        <w:tc>
          <w:tcPr>
            <w:tcW w:w="2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2,173,913</w:t>
            </w:r>
          </w:p>
        </w:tc>
        <w:tc>
          <w:tcPr>
            <w:tcW w:w="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center"/>
              <w:ind w:right="14"/>
              <w:spacing w:after="0"/>
              <w:rPr>
                <w:sz w:val="20"/>
                <w:szCs w:val="20"/>
                <w:color w:val="auto"/>
              </w:rPr>
            </w:pPr>
            <w:r>
              <w:rPr>
                <w:rFonts w:ascii="Arial" w:cs="Arial" w:eastAsia="Arial" w:hAnsi="Arial"/>
                <w:sz w:val="18"/>
                <w:szCs w:val="18"/>
                <w:color w:val="auto"/>
                <w:w w:val="99"/>
              </w:rPr>
              <w:t>0</w:t>
            </w:r>
          </w:p>
        </w:tc>
        <w:tc>
          <w:tcPr>
            <w:tcW w:w="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1,086,956</w:t>
            </w:r>
          </w:p>
        </w:tc>
        <w:tc>
          <w:tcPr>
            <w:tcW w:w="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$2,499,999.95</w:t>
            </w:r>
          </w:p>
        </w:tc>
        <w:tc>
          <w:tcPr>
            <w:tcW w:w="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0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​Deep Track Capital, LP Entities(6)</w:t>
            </w:r>
          </w:p>
        </w:tc>
        <w:tc>
          <w:tcPr>
            <w:tcW w:w="2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8,695,652</w:t>
            </w:r>
          </w:p>
        </w:tc>
        <w:tc>
          <w:tcPr>
            <w:tcW w:w="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center"/>
              <w:ind w:right="14"/>
              <w:spacing w:after="0"/>
              <w:rPr>
                <w:sz w:val="20"/>
                <w:szCs w:val="20"/>
                <w:color w:val="auto"/>
              </w:rPr>
            </w:pPr>
            <w:r>
              <w:rPr>
                <w:rFonts w:ascii="Arial" w:cs="Arial" w:eastAsia="Arial" w:hAnsi="Arial"/>
                <w:sz w:val="18"/>
                <w:szCs w:val="18"/>
                <w:color w:val="auto"/>
                <w:w w:val="99"/>
              </w:rPr>
              <w:t>0</w:t>
            </w:r>
          </w:p>
        </w:tc>
        <w:tc>
          <w:tcPr>
            <w:tcW w:w="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4,347,826</w:t>
            </w:r>
          </w:p>
        </w:tc>
        <w:tc>
          <w:tcPr>
            <w:tcW w:w="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$9,999,999.80</w:t>
            </w:r>
          </w:p>
        </w:tc>
        <w:tc>
          <w:tcPr>
            <w:tcW w:w="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0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​Commodore Capital Master LP(7)</w:t>
            </w:r>
          </w:p>
        </w:tc>
        <w:tc>
          <w:tcPr>
            <w:tcW w:w="2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8,695,652</w:t>
            </w:r>
          </w:p>
        </w:tc>
        <w:tc>
          <w:tcPr>
            <w:tcW w:w="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center"/>
              <w:ind w:right="14"/>
              <w:spacing w:after="0"/>
              <w:rPr>
                <w:sz w:val="20"/>
                <w:szCs w:val="20"/>
                <w:color w:val="auto"/>
              </w:rPr>
            </w:pPr>
            <w:r>
              <w:rPr>
                <w:rFonts w:ascii="Arial" w:cs="Arial" w:eastAsia="Arial" w:hAnsi="Arial"/>
                <w:sz w:val="18"/>
                <w:szCs w:val="18"/>
                <w:color w:val="auto"/>
                <w:w w:val="99"/>
              </w:rPr>
              <w:t>0</w:t>
            </w:r>
          </w:p>
        </w:tc>
        <w:tc>
          <w:tcPr>
            <w:tcW w:w="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4,347,826</w:t>
            </w:r>
          </w:p>
        </w:tc>
        <w:tc>
          <w:tcPr>
            <w:tcW w:w="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$9,999,999.80</w:t>
            </w:r>
          </w:p>
        </w:tc>
        <w:tc>
          <w:tcPr>
            <w:tcW w:w="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40" w:hanging="370"/>
        <w:spacing w:after="0"/>
        <w:tabs>
          <w:tab w:leader="none" w:pos="12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Funds affiliated with TCG Crossover Management, LLC are holders of five percent or more of our common stock.</w:t>
      </w:r>
    </w:p>
    <w:p>
      <w:pPr>
        <w:spacing w:after="0" w:line="59" w:lineRule="exact"/>
        <w:rPr>
          <w:rFonts w:ascii="Arial" w:cs="Arial" w:eastAsia="Arial" w:hAnsi="Arial"/>
          <w:sz w:val="16"/>
          <w:szCs w:val="16"/>
          <w:color w:val="auto"/>
        </w:rPr>
      </w:pPr>
    </w:p>
    <w:p>
      <w:pPr>
        <w:ind w:left="1240" w:hanging="370"/>
        <w:spacing w:after="0"/>
        <w:tabs>
          <w:tab w:leader="none" w:pos="12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Funds affiliated with RA Capital Healthcare Fund, L.P. are holders of five percent or more of our common stock.</w:t>
      </w:r>
    </w:p>
    <w:p>
      <w:pPr>
        <w:spacing w:after="0" w:line="72" w:lineRule="exact"/>
        <w:rPr>
          <w:rFonts w:ascii="Arial" w:cs="Arial" w:eastAsia="Arial" w:hAnsi="Arial"/>
          <w:sz w:val="16"/>
          <w:szCs w:val="16"/>
          <w:color w:val="auto"/>
        </w:rPr>
      </w:pPr>
    </w:p>
    <w:p>
      <w:pPr>
        <w:ind w:left="1240" w:hanging="370"/>
        <w:spacing w:after="0"/>
        <w:tabs>
          <w:tab w:leader="none" w:pos="12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Funds affiliated with RTW Investments, LP. are holders of five percent or more of our common stock.</w:t>
      </w:r>
    </w:p>
    <w:p>
      <w:pPr>
        <w:spacing w:after="0" w:line="59" w:lineRule="exact"/>
        <w:rPr>
          <w:rFonts w:ascii="Arial" w:cs="Arial" w:eastAsia="Arial" w:hAnsi="Arial"/>
          <w:sz w:val="16"/>
          <w:szCs w:val="16"/>
          <w:color w:val="auto"/>
        </w:rPr>
      </w:pPr>
    </w:p>
    <w:p>
      <w:pPr>
        <w:ind w:left="1240" w:right="39" w:hanging="370"/>
        <w:spacing w:after="0" w:line="268" w:lineRule="auto"/>
        <w:tabs>
          <w:tab w:leader="none" w:pos="12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Funds affiliated with Venrock Healthcare Capital Partners EG, L.P are holders of five percent or more of our common stock.</w:t>
      </w:r>
    </w:p>
    <w:p>
      <w:pPr>
        <w:spacing w:after="0" w:line="21" w:lineRule="exact"/>
        <w:rPr>
          <w:rFonts w:ascii="Arial" w:cs="Arial" w:eastAsia="Arial" w:hAnsi="Arial"/>
          <w:sz w:val="16"/>
          <w:szCs w:val="16"/>
          <w:color w:val="auto"/>
        </w:rPr>
      </w:pPr>
    </w:p>
    <w:p>
      <w:pPr>
        <w:ind w:left="1240" w:hanging="370"/>
        <w:spacing w:after="0"/>
        <w:tabs>
          <w:tab w:leader="none" w:pos="12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Point72 Associates, LLC holds more than five percent of our common stock.</w:t>
      </w:r>
    </w:p>
    <w:p>
      <w:pPr>
        <w:spacing w:after="0" w:line="59" w:lineRule="exact"/>
        <w:rPr>
          <w:rFonts w:ascii="Arial" w:cs="Arial" w:eastAsia="Arial" w:hAnsi="Arial"/>
          <w:sz w:val="16"/>
          <w:szCs w:val="16"/>
          <w:color w:val="auto"/>
        </w:rPr>
      </w:pPr>
    </w:p>
    <w:p>
      <w:pPr>
        <w:ind w:left="1240" w:hanging="370"/>
        <w:spacing w:after="0"/>
        <w:tabs>
          <w:tab w:leader="none" w:pos="12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Funds affiliated with Deep Track Capital, LP are holders of five percent or more of our common stock.</w:t>
      </w:r>
    </w:p>
    <w:p>
      <w:pPr>
        <w:spacing w:after="0" w:line="72" w:lineRule="exact"/>
        <w:rPr>
          <w:rFonts w:ascii="Arial" w:cs="Arial" w:eastAsia="Arial" w:hAnsi="Arial"/>
          <w:sz w:val="16"/>
          <w:szCs w:val="16"/>
          <w:color w:val="auto"/>
        </w:rPr>
      </w:pPr>
    </w:p>
    <w:p>
      <w:pPr>
        <w:ind w:left="1240" w:hanging="370"/>
        <w:spacing w:after="0"/>
        <w:tabs>
          <w:tab w:leader="none" w:pos="12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Commodore Capital Master LP holds more than five percent of our common stock.</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158" w:lineRule="exact"/>
        <w:rPr>
          <w:sz w:val="20"/>
          <w:szCs w:val="20"/>
          <w:color w:val="auto"/>
        </w:rPr>
      </w:pPr>
    </w:p>
    <w:p>
      <w:pPr>
        <w:jc w:val="both"/>
        <w:ind w:left="880" w:right="39"/>
        <w:spacing w:after="0" w:line="287" w:lineRule="auto"/>
        <w:rPr>
          <w:sz w:val="20"/>
          <w:szCs w:val="20"/>
          <w:color w:val="auto"/>
        </w:rPr>
      </w:pPr>
      <w:r>
        <w:rPr>
          <w:rFonts w:ascii="Arial" w:cs="Arial" w:eastAsia="Arial" w:hAnsi="Arial"/>
          <w:sz w:val="18"/>
          <w:szCs w:val="18"/>
          <w:color w:val="auto"/>
        </w:rPr>
        <w:t>Please see “Executive Compensation” and “Director Compensation” for information regarding the compensation of our directors and executive officers.</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Employment Agreements</w:t>
      </w:r>
    </w:p>
    <w:p>
      <w:pPr>
        <w:spacing w:after="0" w:line="158" w:lineRule="exact"/>
        <w:rPr>
          <w:sz w:val="20"/>
          <w:szCs w:val="20"/>
          <w:color w:val="auto"/>
        </w:rPr>
      </w:pPr>
    </w:p>
    <w:p>
      <w:pPr>
        <w:jc w:val="both"/>
        <w:ind w:left="880" w:right="39"/>
        <w:spacing w:after="0" w:line="262" w:lineRule="auto"/>
        <w:rPr>
          <w:sz w:val="20"/>
          <w:szCs w:val="20"/>
          <w:color w:val="auto"/>
        </w:rPr>
      </w:pPr>
      <w:r>
        <w:rPr>
          <w:rFonts w:ascii="Arial" w:cs="Arial" w:eastAsia="Arial" w:hAnsi="Arial"/>
          <w:sz w:val="18"/>
          <w:szCs w:val="18"/>
          <w:color w:val="auto"/>
        </w:rPr>
        <w:t>We have entered into employment agreements or offer letter agreements with certain of our executive officers that, among other things, provide for certain compensatory and change in control benefits, as well as severance benefits. For a description of these agreements with our NEOs, see the Section titled “Executive Compensation — Employment Agreements.”</w:t>
      </w:r>
    </w:p>
    <w:p>
      <w:pPr>
        <w:spacing w:after="0" w:line="284"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140970</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152" w:lineRule="exact"/>
        <w:rPr>
          <w:sz w:val="20"/>
          <w:szCs w:val="20"/>
          <w:color w:val="auto"/>
        </w:rPr>
      </w:pPr>
    </w:p>
    <w:p>
      <w:pPr>
        <w:ind w:left="980"/>
        <w:spacing w:after="0"/>
        <w:rPr>
          <w:sz w:val="20"/>
          <w:szCs w:val="20"/>
          <w:color w:val="auto"/>
        </w:rPr>
      </w:pPr>
      <w:r>
        <w:rPr>
          <w:rFonts w:ascii="Arial" w:cs="Arial" w:eastAsia="Arial" w:hAnsi="Arial"/>
          <w:sz w:val="32"/>
          <w:szCs w:val="32"/>
          <w:b w:val="1"/>
          <w:bCs w:val="1"/>
          <w:color w:val="FFFFFF"/>
        </w:rPr>
        <w:t>CERTAIN RELATIONSHIPS AND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4972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00395" cy="497205"/>
                    </a:xfrm>
                    <a:prstGeom prst="rect">
                      <a:avLst/>
                    </a:prstGeom>
                    <a:noFill/>
                  </pic:spPr>
                </pic:pic>
              </a:graphicData>
            </a:graphic>
          </wp:anchor>
        </w:drawing>
      </w:r>
    </w:p>
    <w:p>
      <w:pPr>
        <w:spacing w:after="0" w:line="38"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​TRANSACTIONS</w:t>
      </w:r>
      <w:r>
        <w:rPr>
          <w:sz w:val="20"/>
          <w:szCs w:val="20"/>
          <w:color w:val="auto"/>
        </w:rPr>
        <w:tab/>
      </w:r>
      <w:r>
        <w:rPr>
          <w:rFonts w:ascii="Arial" w:cs="Arial" w:eastAsia="Arial" w:hAnsi="Arial"/>
          <w:sz w:val="32"/>
          <w:szCs w:val="32"/>
          <w:b w:val="1"/>
          <w:bCs w:val="1"/>
          <w:color w:val="FFFFFF"/>
        </w:rPr>
        <w:t>​</w:t>
      </w:r>
    </w:p>
    <w:p>
      <w:pPr>
        <w:spacing w:after="0" w:line="3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Proprietary Information and Assignment Agreements</w:t>
      </w:r>
    </w:p>
    <w:p>
      <w:pPr>
        <w:spacing w:after="0" w:line="158" w:lineRule="exact"/>
        <w:rPr>
          <w:sz w:val="20"/>
          <w:szCs w:val="20"/>
          <w:color w:val="auto"/>
        </w:rPr>
      </w:pPr>
    </w:p>
    <w:p>
      <w:pPr>
        <w:jc w:val="both"/>
        <w:ind w:left="880" w:right="19"/>
        <w:spacing w:after="0" w:line="287" w:lineRule="auto"/>
        <w:rPr>
          <w:sz w:val="20"/>
          <w:szCs w:val="20"/>
          <w:color w:val="auto"/>
        </w:rPr>
      </w:pPr>
      <w:r>
        <w:rPr>
          <w:rFonts w:ascii="Arial" w:cs="Arial" w:eastAsia="Arial" w:hAnsi="Arial"/>
          <w:sz w:val="18"/>
          <w:szCs w:val="18"/>
          <w:color w:val="auto"/>
        </w:rPr>
        <w:t>We have entered into the Information Agreements with all of our executive officers. For a description of these agreements with our NEOs, see the Section titled “Executive Compensation — Employment Agreements.”</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Indemnification Agreements</w:t>
      </w:r>
    </w:p>
    <w:p>
      <w:pPr>
        <w:spacing w:after="0" w:line="144" w:lineRule="exact"/>
        <w:rPr>
          <w:sz w:val="20"/>
          <w:szCs w:val="20"/>
          <w:color w:val="auto"/>
        </w:rPr>
      </w:pPr>
    </w:p>
    <w:p>
      <w:pPr>
        <w:jc w:val="both"/>
        <w:ind w:left="880" w:right="19"/>
        <w:spacing w:after="0" w:line="259" w:lineRule="auto"/>
        <w:rPr>
          <w:sz w:val="20"/>
          <w:szCs w:val="20"/>
          <w:color w:val="auto"/>
        </w:rPr>
      </w:pPr>
      <w:r>
        <w:rPr>
          <w:rFonts w:ascii="Arial" w:cs="Arial" w:eastAsia="Arial" w:hAnsi="Arial"/>
          <w:sz w:val="18"/>
          <w:szCs w:val="18"/>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58" w:lineRule="exact"/>
        <w:rPr>
          <w:sz w:val="20"/>
          <w:szCs w:val="20"/>
          <w:color w:val="auto"/>
        </w:rPr>
      </w:pPr>
    </w:p>
    <w:p>
      <w:pPr>
        <w:jc w:val="both"/>
        <w:ind w:left="880" w:right="19"/>
        <w:spacing w:after="0" w:line="253" w:lineRule="auto"/>
        <w:rPr>
          <w:sz w:val="20"/>
          <w:szCs w:val="20"/>
          <w:color w:val="auto"/>
        </w:rPr>
      </w:pPr>
      <w:r>
        <w:rPr>
          <w:rFonts w:ascii="Arial" w:cs="Arial" w:eastAsia="Arial" w:hAnsi="Arial"/>
          <w:sz w:val="18"/>
          <w:szCs w:val="18"/>
          <w:color w:val="auto"/>
        </w:rPr>
        <w:t>Our Board has adopted a written Related Party Transaction Policy that governs the review and approval of related party transactions. This Related Party Transaction Policy covers any transaction, arrangement or relationship, or any series of similar transactions, arrangements or relationships, in which we were or are to be a participant, where the amount involved exceeds $120,000 and a related person had or will have a direct or indirect material interest. Pursuant to the Related Party Transaction Policy, if we want to enter into a transaction with a related party or an affiliate of a related party, the Audit Committee will review the proposed transaction to determine, based on applicable rules of Nasdaq and the SEC, whether such transaction requires approval by the Audit Committee. If approval is required, the proposed transaction will be reviewed at the next regular meeting of the Audit Committee, and we may not enter into a related party transaction unless the Audit Committee has specifically confirmed in writing that either no further reviews are necessary or that all requisite corporate reviews have been obtained. In reviewing and approving any such transactions, our Audit Committee is tasked to consider all relevant facts and circumstances with respect to the transaction and shall evaluate all available options, including ratification, revision or termination of the transaction. The Audit Committee will not approve or ratify a transaction with a related party unless it has determined, upon consideration of all relevant information, that the transaction is in, or not inconsistent with, the best interests of the Company or its stockholders.</w:t>
      </w:r>
    </w:p>
    <w:p>
      <w:pPr>
        <w:spacing w:after="0" w:line="116" w:lineRule="exact"/>
        <w:rPr>
          <w:sz w:val="20"/>
          <w:szCs w:val="20"/>
          <w:color w:val="auto"/>
        </w:rPr>
      </w:pPr>
    </w:p>
    <w:p>
      <w:pPr>
        <w:jc w:val="both"/>
        <w:ind w:left="880" w:right="39"/>
        <w:spacing w:after="0" w:line="259" w:lineRule="auto"/>
        <w:rPr>
          <w:sz w:val="20"/>
          <w:szCs w:val="20"/>
          <w:color w:val="auto"/>
        </w:rPr>
      </w:pPr>
      <w:r>
        <w:rPr>
          <w:rFonts w:ascii="Arial" w:cs="Arial" w:eastAsia="Arial" w:hAnsi="Arial"/>
          <w:sz w:val="18"/>
          <w:szCs w:val="18"/>
          <w:color w:val="auto"/>
        </w:rPr>
        <w:t>Other than entry into the Letter Agreement, all of the transactions described under “Certain Relationships and Related Party Transactions” in this Proxy Statement occurred prior to or concurrently with the adoption of the Related Party Transaction Policy and as such, these transactions were not subject to the approval and review procedures set forth in the policy. However, these transactions were reviewed and approved by our Board, and the Letter Agreement was reviewed and approved in accordance with our Related Party Transaction Policy.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140970</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​EQUITY COMPENSATION PLAN INFORMATION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ind w:left="880" w:right="39"/>
        <w:spacing w:after="0" w:line="287" w:lineRule="auto"/>
        <w:rPr>
          <w:sz w:val="20"/>
          <w:szCs w:val="20"/>
          <w:color w:val="auto"/>
        </w:rPr>
      </w:pPr>
      <w:r>
        <w:rPr>
          <w:rFonts w:ascii="Arial" w:cs="Arial" w:eastAsia="Arial" w:hAnsi="Arial"/>
          <w:sz w:val="18"/>
          <w:szCs w:val="18"/>
          <w:color w:val="auto"/>
        </w:rPr>
        <w:t>The following table sets forth certain information regarding our equity compensation plans as of December 31, 2025:</w:t>
      </w:r>
    </w:p>
    <w:p>
      <w:pPr>
        <w:spacing w:after="0" w:line="111" w:lineRule="exact"/>
        <w:rPr>
          <w:sz w:val="20"/>
          <w:szCs w:val="20"/>
          <w:color w:val="auto"/>
        </w:rPr>
      </w:pPr>
    </w:p>
    <w:tbl>
      <w:tblPr>
        <w:tblLayout w:type="fixed"/>
        <w:tblInd w:w="870" w:type="dxa"/>
        <w:tblCellMar>
          <w:top w:w="0" w:type="dxa"/>
          <w:left w:w="0" w:type="dxa"/>
          <w:bottom w:w="0" w:type="dxa"/>
          <w:right w:w="0" w:type="dxa"/>
        </w:tblCellMar>
      </w:tblPr>
      <w:tr>
        <w:trPr>
          <w:trHeight w:val="215"/>
        </w:trPr>
        <w:tc>
          <w:tcPr>
            <w:tcW w:w="4300" w:type="dxa"/>
            <w:vAlign w:val="bottom"/>
            <w:tcBorders>
              <w:top w:val="single" w:sz="8" w:color="auto"/>
              <w:left w:val="single" w:sz="8" w:color="auto"/>
            </w:tcBorders>
            <w:shd w:val="clear" w:color="auto" w:fill="148CD9"/>
          </w:tcPr>
          <w:p>
            <w:pPr>
              <w:spacing w:after="0"/>
              <w:rPr>
                <w:sz w:val="18"/>
                <w:szCs w:val="18"/>
                <w:color w:val="auto"/>
              </w:rPr>
            </w:pPr>
          </w:p>
        </w:tc>
        <w:tc>
          <w:tcPr>
            <w:tcW w:w="140" w:type="dxa"/>
            <w:vAlign w:val="bottom"/>
            <w:tcBorders>
              <w:top w:val="single" w:sz="8" w:color="auto"/>
              <w:right w:val="single" w:sz="8" w:color="148CD9"/>
            </w:tcBorders>
            <w:shd w:val="clear" w:color="auto" w:fill="148CD9"/>
          </w:tcPr>
          <w:p>
            <w:pPr>
              <w:spacing w:after="0"/>
              <w:rPr>
                <w:sz w:val="18"/>
                <w:szCs w:val="18"/>
                <w:color w:val="auto"/>
              </w:rPr>
            </w:pPr>
          </w:p>
        </w:tc>
        <w:tc>
          <w:tcPr>
            <w:tcW w:w="100" w:type="dxa"/>
            <w:vAlign w:val="bottom"/>
            <w:tcBorders>
              <w:top w:val="single" w:sz="8" w:color="auto"/>
            </w:tcBorders>
            <w:shd w:val="clear" w:color="auto" w:fill="148CD9"/>
          </w:tcPr>
          <w:p>
            <w:pPr>
              <w:spacing w:after="0"/>
              <w:rPr>
                <w:sz w:val="18"/>
                <w:szCs w:val="18"/>
                <w:color w:val="auto"/>
              </w:rPr>
            </w:pPr>
          </w:p>
        </w:tc>
        <w:tc>
          <w:tcPr>
            <w:tcW w:w="1160" w:type="dxa"/>
            <w:vAlign w:val="bottom"/>
            <w:tcBorders>
              <w:top w:val="single" w:sz="8" w:color="auto"/>
            </w:tcBorders>
            <w:shd w:val="clear" w:color="auto" w:fill="148CD9"/>
          </w:tcPr>
          <w:p>
            <w:pPr>
              <w:spacing w:after="0"/>
              <w:rPr>
                <w:sz w:val="18"/>
                <w:szCs w:val="18"/>
                <w:color w:val="auto"/>
              </w:rPr>
            </w:pPr>
          </w:p>
        </w:tc>
        <w:tc>
          <w:tcPr>
            <w:tcW w:w="120" w:type="dxa"/>
            <w:vAlign w:val="bottom"/>
            <w:tcBorders>
              <w:top w:val="single" w:sz="8" w:color="auto"/>
              <w:right w:val="single" w:sz="8" w:color="148CD9"/>
            </w:tcBorders>
            <w:shd w:val="clear" w:color="auto" w:fill="148CD9"/>
          </w:tcPr>
          <w:p>
            <w:pPr>
              <w:spacing w:after="0"/>
              <w:rPr>
                <w:sz w:val="18"/>
                <w:szCs w:val="18"/>
                <w:color w:val="auto"/>
              </w:rPr>
            </w:pPr>
          </w:p>
        </w:tc>
        <w:tc>
          <w:tcPr>
            <w:tcW w:w="120" w:type="dxa"/>
            <w:vAlign w:val="bottom"/>
            <w:tcBorders>
              <w:top w:val="single" w:sz="8" w:color="auto"/>
            </w:tcBorders>
            <w:shd w:val="clear" w:color="auto" w:fill="148CD9"/>
          </w:tcPr>
          <w:p>
            <w:pPr>
              <w:spacing w:after="0"/>
              <w:rPr>
                <w:sz w:val="18"/>
                <w:szCs w:val="18"/>
                <w:color w:val="auto"/>
              </w:rPr>
            </w:pPr>
          </w:p>
        </w:tc>
        <w:tc>
          <w:tcPr>
            <w:tcW w:w="1040" w:type="dxa"/>
            <w:vAlign w:val="bottom"/>
            <w:tcBorders>
              <w:top w:val="single" w:sz="8" w:color="auto"/>
            </w:tcBorders>
            <w:shd w:val="clear" w:color="auto" w:fill="148CD9"/>
          </w:tcPr>
          <w:p>
            <w:pPr>
              <w:spacing w:after="0"/>
              <w:rPr>
                <w:sz w:val="18"/>
                <w:szCs w:val="18"/>
                <w:color w:val="auto"/>
              </w:rPr>
            </w:pPr>
          </w:p>
        </w:tc>
        <w:tc>
          <w:tcPr>
            <w:tcW w:w="140" w:type="dxa"/>
            <w:vAlign w:val="bottom"/>
            <w:tcBorders>
              <w:top w:val="single" w:sz="8" w:color="auto"/>
              <w:right w:val="single" w:sz="8" w:color="148CD9"/>
            </w:tcBorders>
            <w:shd w:val="clear" w:color="auto" w:fill="148CD9"/>
          </w:tcPr>
          <w:p>
            <w:pPr>
              <w:spacing w:after="0"/>
              <w:rPr>
                <w:sz w:val="18"/>
                <w:szCs w:val="18"/>
                <w:color w:val="auto"/>
              </w:rPr>
            </w:pPr>
          </w:p>
        </w:tc>
        <w:tc>
          <w:tcPr>
            <w:tcW w:w="80" w:type="dxa"/>
            <w:vAlign w:val="bottom"/>
            <w:tcBorders>
              <w:top w:val="single" w:sz="8" w:color="auto"/>
            </w:tcBorders>
            <w:shd w:val="clear" w:color="auto" w:fill="148CD9"/>
          </w:tcPr>
          <w:p>
            <w:pPr>
              <w:spacing w:after="0"/>
              <w:rPr>
                <w:sz w:val="18"/>
                <w:szCs w:val="18"/>
                <w:color w:val="auto"/>
              </w:rPr>
            </w:pPr>
          </w:p>
        </w:tc>
        <w:tc>
          <w:tcPr>
            <w:tcW w:w="1660" w:type="dxa"/>
            <w:vAlign w:val="bottom"/>
            <w:tcBorders>
              <w:top w:val="single" w:sz="8" w:color="auto"/>
            </w:tcBorders>
            <w:shd w:val="clear" w:color="auto" w:fill="148CD9"/>
          </w:tcPr>
          <w:p>
            <w:pPr>
              <w:jc w:val="center"/>
              <w:spacing w:after="0"/>
              <w:rPr>
                <w:sz w:val="20"/>
                <w:szCs w:val="20"/>
                <w:color w:val="auto"/>
              </w:rPr>
            </w:pPr>
            <w:r>
              <w:rPr>
                <w:rFonts w:ascii="Arial" w:cs="Arial" w:eastAsia="Arial" w:hAnsi="Arial"/>
                <w:sz w:val="16"/>
                <w:szCs w:val="16"/>
                <w:b w:val="1"/>
                <w:bCs w:val="1"/>
                <w:color w:val="FFFFFF"/>
              </w:rPr>
              <w:t>Number of securities</w:t>
            </w:r>
          </w:p>
        </w:tc>
        <w:tc>
          <w:tcPr>
            <w:tcW w:w="140" w:type="dxa"/>
            <w:vAlign w:val="bottom"/>
            <w:tcBorders>
              <w:top w:val="single" w:sz="8" w:color="auto"/>
              <w:right w:val="single" w:sz="8" w:color="148CD9"/>
            </w:tcBorders>
            <w:shd w:val="clear" w:color="auto" w:fill="148CD9"/>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300" w:type="dxa"/>
            <w:vAlign w:val="bottom"/>
            <w:tcBorders>
              <w:left w:val="single" w:sz="8" w:color="auto"/>
            </w:tcBorders>
            <w:shd w:val="clear" w:color="auto" w:fill="148CD9"/>
          </w:tcPr>
          <w:p>
            <w:pPr>
              <w:spacing w:after="0"/>
              <w:rPr>
                <w:sz w:val="15"/>
                <w:szCs w:val="15"/>
                <w:color w:val="auto"/>
              </w:rPr>
            </w:pPr>
          </w:p>
        </w:tc>
        <w:tc>
          <w:tcPr>
            <w:tcW w:w="140" w:type="dxa"/>
            <w:vAlign w:val="bottom"/>
            <w:tcBorders>
              <w:right w:val="single" w:sz="8" w:color="148CD9"/>
            </w:tcBorders>
            <w:shd w:val="clear" w:color="auto" w:fill="148CD9"/>
          </w:tcPr>
          <w:p>
            <w:pPr>
              <w:spacing w:after="0"/>
              <w:rPr>
                <w:sz w:val="15"/>
                <w:szCs w:val="15"/>
                <w:color w:val="auto"/>
              </w:rPr>
            </w:pPr>
          </w:p>
        </w:tc>
        <w:tc>
          <w:tcPr>
            <w:tcW w:w="100" w:type="dxa"/>
            <w:vAlign w:val="bottom"/>
            <w:shd w:val="clear" w:color="auto" w:fill="148CD9"/>
          </w:tcPr>
          <w:p>
            <w:pPr>
              <w:spacing w:after="0"/>
              <w:rPr>
                <w:sz w:val="15"/>
                <w:szCs w:val="15"/>
                <w:color w:val="auto"/>
              </w:rPr>
            </w:pPr>
          </w:p>
        </w:tc>
        <w:tc>
          <w:tcPr>
            <w:tcW w:w="1160" w:type="dxa"/>
            <w:vAlign w:val="bottom"/>
            <w:shd w:val="clear" w:color="auto" w:fill="148CD9"/>
          </w:tcPr>
          <w:p>
            <w:pPr>
              <w:jc w:val="center"/>
              <w:spacing w:after="0" w:line="175" w:lineRule="exact"/>
              <w:rPr>
                <w:sz w:val="20"/>
                <w:szCs w:val="20"/>
                <w:color w:val="auto"/>
              </w:rPr>
            </w:pPr>
            <w:r>
              <w:rPr>
                <w:rFonts w:ascii="Arial" w:cs="Arial" w:eastAsia="Arial" w:hAnsi="Arial"/>
                <w:sz w:val="16"/>
                <w:szCs w:val="16"/>
                <w:b w:val="1"/>
                <w:bCs w:val="1"/>
                <w:color w:val="FFFFFF"/>
                <w:w w:val="99"/>
              </w:rPr>
              <w:t>Number of</w:t>
            </w:r>
          </w:p>
        </w:tc>
        <w:tc>
          <w:tcPr>
            <w:tcW w:w="120" w:type="dxa"/>
            <w:vAlign w:val="bottom"/>
            <w:tcBorders>
              <w:right w:val="single" w:sz="8" w:color="148CD9"/>
            </w:tcBorders>
            <w:shd w:val="clear" w:color="auto" w:fill="148CD9"/>
          </w:tcPr>
          <w:p>
            <w:pPr>
              <w:spacing w:after="0"/>
              <w:rPr>
                <w:sz w:val="15"/>
                <w:szCs w:val="15"/>
                <w:color w:val="auto"/>
              </w:rPr>
            </w:pPr>
          </w:p>
        </w:tc>
        <w:tc>
          <w:tcPr>
            <w:tcW w:w="120" w:type="dxa"/>
            <w:vAlign w:val="bottom"/>
            <w:shd w:val="clear" w:color="auto" w:fill="148CD9"/>
          </w:tcPr>
          <w:p>
            <w:pPr>
              <w:spacing w:after="0"/>
              <w:rPr>
                <w:sz w:val="15"/>
                <w:szCs w:val="15"/>
                <w:color w:val="auto"/>
              </w:rPr>
            </w:pPr>
          </w:p>
        </w:tc>
        <w:tc>
          <w:tcPr>
            <w:tcW w:w="1040" w:type="dxa"/>
            <w:vAlign w:val="bottom"/>
            <w:shd w:val="clear" w:color="auto" w:fill="148CD9"/>
          </w:tcPr>
          <w:p>
            <w:pPr>
              <w:jc w:val="center"/>
              <w:spacing w:after="0" w:line="175" w:lineRule="exact"/>
              <w:rPr>
                <w:sz w:val="20"/>
                <w:szCs w:val="20"/>
                <w:color w:val="auto"/>
              </w:rPr>
            </w:pPr>
            <w:r>
              <w:rPr>
                <w:rFonts w:ascii="Arial" w:cs="Arial" w:eastAsia="Arial" w:hAnsi="Arial"/>
                <w:sz w:val="16"/>
                <w:szCs w:val="16"/>
                <w:b w:val="1"/>
                <w:bCs w:val="1"/>
                <w:color w:val="FFFFFF"/>
              </w:rPr>
              <w:t>Weighted-</w:t>
            </w:r>
          </w:p>
        </w:tc>
        <w:tc>
          <w:tcPr>
            <w:tcW w:w="140" w:type="dxa"/>
            <w:vAlign w:val="bottom"/>
            <w:tcBorders>
              <w:right w:val="single" w:sz="8" w:color="148CD9"/>
            </w:tcBorders>
            <w:shd w:val="clear" w:color="auto" w:fill="148CD9"/>
          </w:tcPr>
          <w:p>
            <w:pPr>
              <w:spacing w:after="0"/>
              <w:rPr>
                <w:sz w:val="15"/>
                <w:szCs w:val="15"/>
                <w:color w:val="auto"/>
              </w:rPr>
            </w:pPr>
          </w:p>
        </w:tc>
        <w:tc>
          <w:tcPr>
            <w:tcW w:w="80" w:type="dxa"/>
            <w:vAlign w:val="bottom"/>
            <w:shd w:val="clear" w:color="auto" w:fill="148CD9"/>
          </w:tcPr>
          <w:p>
            <w:pPr>
              <w:spacing w:after="0"/>
              <w:rPr>
                <w:sz w:val="15"/>
                <w:szCs w:val="15"/>
                <w:color w:val="auto"/>
              </w:rPr>
            </w:pPr>
          </w:p>
        </w:tc>
        <w:tc>
          <w:tcPr>
            <w:tcW w:w="1660" w:type="dxa"/>
            <w:vAlign w:val="bottom"/>
            <w:shd w:val="clear" w:color="auto" w:fill="148CD9"/>
          </w:tcPr>
          <w:p>
            <w:pPr>
              <w:jc w:val="center"/>
              <w:spacing w:after="0" w:line="175" w:lineRule="exact"/>
              <w:rPr>
                <w:sz w:val="20"/>
                <w:szCs w:val="20"/>
                <w:color w:val="auto"/>
              </w:rPr>
            </w:pPr>
            <w:r>
              <w:rPr>
                <w:rFonts w:ascii="Arial" w:cs="Arial" w:eastAsia="Arial" w:hAnsi="Arial"/>
                <w:sz w:val="16"/>
                <w:szCs w:val="16"/>
                <w:b w:val="1"/>
                <w:bCs w:val="1"/>
                <w:color w:val="FFFFFF"/>
              </w:rPr>
              <w:t>remaining available</w:t>
            </w:r>
          </w:p>
        </w:tc>
        <w:tc>
          <w:tcPr>
            <w:tcW w:w="140" w:type="dxa"/>
            <w:vAlign w:val="bottom"/>
            <w:tcBorders>
              <w:right w:val="single" w:sz="8" w:color="148CD9"/>
            </w:tcBorders>
            <w:shd w:val="clear" w:color="auto" w:fill="148CD9"/>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00" w:type="dxa"/>
            <w:vAlign w:val="bottom"/>
            <w:tcBorders>
              <w:left w:val="single" w:sz="8" w:color="auto"/>
            </w:tcBorders>
            <w:shd w:val="clear" w:color="auto" w:fill="148CD9"/>
          </w:tcPr>
          <w:p>
            <w:pPr>
              <w:spacing w:after="0"/>
              <w:rPr>
                <w:sz w:val="16"/>
                <w:szCs w:val="16"/>
                <w:color w:val="auto"/>
              </w:rPr>
            </w:pPr>
          </w:p>
        </w:tc>
        <w:tc>
          <w:tcPr>
            <w:tcW w:w="140" w:type="dxa"/>
            <w:vAlign w:val="bottom"/>
            <w:tcBorders>
              <w:right w:val="single" w:sz="8" w:color="148CD9"/>
            </w:tcBorders>
            <w:shd w:val="clear" w:color="auto" w:fill="148CD9"/>
          </w:tcPr>
          <w:p>
            <w:pPr>
              <w:spacing w:after="0"/>
              <w:rPr>
                <w:sz w:val="16"/>
                <w:szCs w:val="16"/>
                <w:color w:val="auto"/>
              </w:rPr>
            </w:pPr>
          </w:p>
        </w:tc>
        <w:tc>
          <w:tcPr>
            <w:tcW w:w="100" w:type="dxa"/>
            <w:vAlign w:val="bottom"/>
            <w:shd w:val="clear" w:color="auto" w:fill="148CD9"/>
          </w:tcPr>
          <w:p>
            <w:pPr>
              <w:spacing w:after="0"/>
              <w:rPr>
                <w:sz w:val="16"/>
                <w:szCs w:val="16"/>
                <w:color w:val="auto"/>
              </w:rPr>
            </w:pPr>
          </w:p>
        </w:tc>
        <w:tc>
          <w:tcPr>
            <w:tcW w:w="1160" w:type="dxa"/>
            <w:vAlign w:val="bottom"/>
            <w:shd w:val="clear" w:color="auto" w:fill="148CD9"/>
          </w:tcPr>
          <w:p>
            <w:pPr>
              <w:jc w:val="center"/>
              <w:spacing w:after="0"/>
              <w:rPr>
                <w:sz w:val="20"/>
                <w:szCs w:val="20"/>
                <w:color w:val="auto"/>
              </w:rPr>
            </w:pPr>
            <w:r>
              <w:rPr>
                <w:rFonts w:ascii="Arial" w:cs="Arial" w:eastAsia="Arial" w:hAnsi="Arial"/>
                <w:sz w:val="16"/>
                <w:szCs w:val="16"/>
                <w:b w:val="1"/>
                <w:bCs w:val="1"/>
                <w:color w:val="FFFFFF"/>
              </w:rPr>
              <w:t>securities to</w:t>
            </w:r>
          </w:p>
        </w:tc>
        <w:tc>
          <w:tcPr>
            <w:tcW w:w="120" w:type="dxa"/>
            <w:vAlign w:val="bottom"/>
            <w:tcBorders>
              <w:right w:val="single" w:sz="8" w:color="148CD9"/>
            </w:tcBorders>
            <w:shd w:val="clear" w:color="auto" w:fill="148CD9"/>
          </w:tcPr>
          <w:p>
            <w:pPr>
              <w:spacing w:after="0"/>
              <w:rPr>
                <w:sz w:val="16"/>
                <w:szCs w:val="16"/>
                <w:color w:val="auto"/>
              </w:rPr>
            </w:pPr>
          </w:p>
        </w:tc>
        <w:tc>
          <w:tcPr>
            <w:tcW w:w="120" w:type="dxa"/>
            <w:vAlign w:val="bottom"/>
            <w:shd w:val="clear" w:color="auto" w:fill="148CD9"/>
          </w:tcPr>
          <w:p>
            <w:pPr>
              <w:spacing w:after="0"/>
              <w:rPr>
                <w:sz w:val="16"/>
                <w:szCs w:val="16"/>
                <w:color w:val="auto"/>
              </w:rPr>
            </w:pPr>
          </w:p>
        </w:tc>
        <w:tc>
          <w:tcPr>
            <w:tcW w:w="1040" w:type="dxa"/>
            <w:vAlign w:val="bottom"/>
            <w:shd w:val="clear" w:color="auto" w:fill="148CD9"/>
          </w:tcPr>
          <w:p>
            <w:pPr>
              <w:jc w:val="center"/>
              <w:spacing w:after="0"/>
              <w:rPr>
                <w:sz w:val="20"/>
                <w:szCs w:val="20"/>
                <w:color w:val="auto"/>
              </w:rPr>
            </w:pPr>
            <w:r>
              <w:rPr>
                <w:rFonts w:ascii="Arial" w:cs="Arial" w:eastAsia="Arial" w:hAnsi="Arial"/>
                <w:sz w:val="16"/>
                <w:szCs w:val="16"/>
                <w:b w:val="1"/>
                <w:bCs w:val="1"/>
                <w:color w:val="FFFFFF"/>
              </w:rPr>
              <w:t>average</w:t>
            </w:r>
          </w:p>
        </w:tc>
        <w:tc>
          <w:tcPr>
            <w:tcW w:w="140" w:type="dxa"/>
            <w:vAlign w:val="bottom"/>
            <w:tcBorders>
              <w:right w:val="single" w:sz="8" w:color="148CD9"/>
            </w:tcBorders>
            <w:shd w:val="clear" w:color="auto" w:fill="148CD9"/>
          </w:tcPr>
          <w:p>
            <w:pPr>
              <w:spacing w:after="0"/>
              <w:rPr>
                <w:sz w:val="16"/>
                <w:szCs w:val="16"/>
                <w:color w:val="auto"/>
              </w:rPr>
            </w:pPr>
          </w:p>
        </w:tc>
        <w:tc>
          <w:tcPr>
            <w:tcW w:w="80" w:type="dxa"/>
            <w:vAlign w:val="bottom"/>
            <w:shd w:val="clear" w:color="auto" w:fill="148CD9"/>
          </w:tcPr>
          <w:p>
            <w:pPr>
              <w:spacing w:after="0"/>
              <w:rPr>
                <w:sz w:val="16"/>
                <w:szCs w:val="16"/>
                <w:color w:val="auto"/>
              </w:rPr>
            </w:pPr>
          </w:p>
        </w:tc>
        <w:tc>
          <w:tcPr>
            <w:tcW w:w="1660" w:type="dxa"/>
            <w:vAlign w:val="bottom"/>
            <w:shd w:val="clear" w:color="auto" w:fill="148CD9"/>
          </w:tcPr>
          <w:p>
            <w:pPr>
              <w:jc w:val="center"/>
              <w:spacing w:after="0"/>
              <w:rPr>
                <w:sz w:val="20"/>
                <w:szCs w:val="20"/>
                <w:color w:val="auto"/>
              </w:rPr>
            </w:pPr>
            <w:r>
              <w:rPr>
                <w:rFonts w:ascii="Arial" w:cs="Arial" w:eastAsia="Arial" w:hAnsi="Arial"/>
                <w:sz w:val="16"/>
                <w:szCs w:val="16"/>
                <w:b w:val="1"/>
                <w:bCs w:val="1"/>
                <w:color w:val="FFFFFF"/>
              </w:rPr>
              <w:t>for future issuance</w:t>
            </w:r>
          </w:p>
        </w:tc>
        <w:tc>
          <w:tcPr>
            <w:tcW w:w="140" w:type="dxa"/>
            <w:vAlign w:val="bottom"/>
            <w:tcBorders>
              <w:right w:val="single" w:sz="8" w:color="148CD9"/>
            </w:tcBorders>
            <w:shd w:val="clear" w:color="auto" w:fill="148CD9"/>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300" w:type="dxa"/>
            <w:vAlign w:val="bottom"/>
            <w:tcBorders>
              <w:left w:val="single" w:sz="8" w:color="auto"/>
            </w:tcBorders>
            <w:vMerge w:val="restart"/>
            <w:shd w:val="clear" w:color="auto" w:fill="148CD9"/>
          </w:tcPr>
          <w:p>
            <w:pPr>
              <w:ind w:left="1680"/>
              <w:spacing w:after="0"/>
              <w:rPr>
                <w:sz w:val="20"/>
                <w:szCs w:val="20"/>
                <w:color w:val="auto"/>
              </w:rPr>
            </w:pPr>
            <w:r>
              <w:rPr>
                <w:rFonts w:ascii="Arial" w:cs="Arial" w:eastAsia="Arial" w:hAnsi="Arial"/>
                <w:sz w:val="16"/>
                <w:szCs w:val="16"/>
                <w:b w:val="1"/>
                <w:bCs w:val="1"/>
                <w:color w:val="FFFFFF"/>
              </w:rPr>
              <w:t>Plan Category</w:t>
            </w:r>
          </w:p>
        </w:tc>
        <w:tc>
          <w:tcPr>
            <w:tcW w:w="140" w:type="dxa"/>
            <w:vAlign w:val="bottom"/>
            <w:tcBorders>
              <w:right w:val="single" w:sz="8" w:color="148CD9"/>
            </w:tcBorders>
            <w:shd w:val="clear" w:color="auto" w:fill="148CD9"/>
          </w:tcPr>
          <w:p>
            <w:pPr>
              <w:spacing w:after="0"/>
              <w:rPr>
                <w:sz w:val="15"/>
                <w:szCs w:val="15"/>
                <w:color w:val="auto"/>
              </w:rPr>
            </w:pPr>
          </w:p>
        </w:tc>
        <w:tc>
          <w:tcPr>
            <w:tcW w:w="100" w:type="dxa"/>
            <w:vAlign w:val="bottom"/>
            <w:shd w:val="clear" w:color="auto" w:fill="148CD9"/>
          </w:tcPr>
          <w:p>
            <w:pPr>
              <w:spacing w:after="0"/>
              <w:rPr>
                <w:sz w:val="15"/>
                <w:szCs w:val="15"/>
                <w:color w:val="auto"/>
              </w:rPr>
            </w:pPr>
          </w:p>
        </w:tc>
        <w:tc>
          <w:tcPr>
            <w:tcW w:w="1160" w:type="dxa"/>
            <w:vAlign w:val="bottom"/>
            <w:shd w:val="clear" w:color="auto" w:fill="148CD9"/>
          </w:tcPr>
          <w:p>
            <w:pPr>
              <w:jc w:val="center"/>
              <w:spacing w:after="0" w:line="175" w:lineRule="exact"/>
              <w:rPr>
                <w:sz w:val="20"/>
                <w:szCs w:val="20"/>
                <w:color w:val="auto"/>
              </w:rPr>
            </w:pPr>
            <w:r>
              <w:rPr>
                <w:rFonts w:ascii="Arial" w:cs="Arial" w:eastAsia="Arial" w:hAnsi="Arial"/>
                <w:sz w:val="16"/>
                <w:szCs w:val="16"/>
                <w:b w:val="1"/>
                <w:bCs w:val="1"/>
                <w:color w:val="FFFFFF"/>
              </w:rPr>
              <w:t>be issued</w:t>
            </w:r>
          </w:p>
        </w:tc>
        <w:tc>
          <w:tcPr>
            <w:tcW w:w="120" w:type="dxa"/>
            <w:vAlign w:val="bottom"/>
            <w:tcBorders>
              <w:right w:val="single" w:sz="8" w:color="148CD9"/>
            </w:tcBorders>
            <w:shd w:val="clear" w:color="auto" w:fill="148CD9"/>
          </w:tcPr>
          <w:p>
            <w:pPr>
              <w:spacing w:after="0"/>
              <w:rPr>
                <w:sz w:val="15"/>
                <w:szCs w:val="15"/>
                <w:color w:val="auto"/>
              </w:rPr>
            </w:pPr>
          </w:p>
        </w:tc>
        <w:tc>
          <w:tcPr>
            <w:tcW w:w="120" w:type="dxa"/>
            <w:vAlign w:val="bottom"/>
            <w:shd w:val="clear" w:color="auto" w:fill="148CD9"/>
          </w:tcPr>
          <w:p>
            <w:pPr>
              <w:spacing w:after="0"/>
              <w:rPr>
                <w:sz w:val="15"/>
                <w:szCs w:val="15"/>
                <w:color w:val="auto"/>
              </w:rPr>
            </w:pPr>
          </w:p>
        </w:tc>
        <w:tc>
          <w:tcPr>
            <w:tcW w:w="1040" w:type="dxa"/>
            <w:vAlign w:val="bottom"/>
            <w:shd w:val="clear" w:color="auto" w:fill="148CD9"/>
          </w:tcPr>
          <w:p>
            <w:pPr>
              <w:jc w:val="center"/>
              <w:spacing w:after="0" w:line="175" w:lineRule="exact"/>
              <w:rPr>
                <w:sz w:val="20"/>
                <w:szCs w:val="20"/>
                <w:color w:val="auto"/>
              </w:rPr>
            </w:pPr>
            <w:r>
              <w:rPr>
                <w:rFonts w:ascii="Arial" w:cs="Arial" w:eastAsia="Arial" w:hAnsi="Arial"/>
                <w:sz w:val="16"/>
                <w:szCs w:val="16"/>
                <w:b w:val="1"/>
                <w:bCs w:val="1"/>
                <w:color w:val="FFFFFF"/>
                <w:w w:val="99"/>
              </w:rPr>
              <w:t>exercise</w:t>
            </w:r>
          </w:p>
        </w:tc>
        <w:tc>
          <w:tcPr>
            <w:tcW w:w="140" w:type="dxa"/>
            <w:vAlign w:val="bottom"/>
            <w:tcBorders>
              <w:right w:val="single" w:sz="8" w:color="148CD9"/>
            </w:tcBorders>
            <w:shd w:val="clear" w:color="auto" w:fill="148CD9"/>
          </w:tcPr>
          <w:p>
            <w:pPr>
              <w:spacing w:after="0"/>
              <w:rPr>
                <w:sz w:val="15"/>
                <w:szCs w:val="15"/>
                <w:color w:val="auto"/>
              </w:rPr>
            </w:pPr>
          </w:p>
        </w:tc>
        <w:tc>
          <w:tcPr>
            <w:tcW w:w="80" w:type="dxa"/>
            <w:vAlign w:val="bottom"/>
            <w:shd w:val="clear" w:color="auto" w:fill="148CD9"/>
          </w:tcPr>
          <w:p>
            <w:pPr>
              <w:spacing w:after="0"/>
              <w:rPr>
                <w:sz w:val="15"/>
                <w:szCs w:val="15"/>
                <w:color w:val="auto"/>
              </w:rPr>
            </w:pPr>
          </w:p>
        </w:tc>
        <w:tc>
          <w:tcPr>
            <w:tcW w:w="1660" w:type="dxa"/>
            <w:vAlign w:val="bottom"/>
            <w:shd w:val="clear" w:color="auto" w:fill="148CD9"/>
          </w:tcPr>
          <w:p>
            <w:pPr>
              <w:jc w:val="center"/>
              <w:spacing w:after="0" w:line="175" w:lineRule="exact"/>
              <w:rPr>
                <w:sz w:val="20"/>
                <w:szCs w:val="20"/>
                <w:color w:val="auto"/>
              </w:rPr>
            </w:pPr>
            <w:r>
              <w:rPr>
                <w:rFonts w:ascii="Arial" w:cs="Arial" w:eastAsia="Arial" w:hAnsi="Arial"/>
                <w:sz w:val="16"/>
                <w:szCs w:val="16"/>
                <w:b w:val="1"/>
                <w:bCs w:val="1"/>
                <w:color w:val="FFFFFF"/>
              </w:rPr>
              <w:t>under equity</w:t>
            </w:r>
          </w:p>
        </w:tc>
        <w:tc>
          <w:tcPr>
            <w:tcW w:w="140" w:type="dxa"/>
            <w:vAlign w:val="bottom"/>
            <w:tcBorders>
              <w:right w:val="single" w:sz="8" w:color="148CD9"/>
            </w:tcBorders>
            <w:shd w:val="clear" w:color="auto" w:fill="148CD9"/>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300" w:type="dxa"/>
            <w:vAlign w:val="bottom"/>
            <w:tcBorders>
              <w:left w:val="single" w:sz="8" w:color="auto"/>
            </w:tcBorders>
            <w:vMerge w:val="continue"/>
            <w:shd w:val="clear" w:color="auto" w:fill="148CD9"/>
          </w:tcPr>
          <w:p>
            <w:pPr>
              <w:spacing w:after="0"/>
              <w:rPr>
                <w:sz w:val="11"/>
                <w:szCs w:val="11"/>
                <w:color w:val="auto"/>
              </w:rPr>
            </w:pPr>
          </w:p>
        </w:tc>
        <w:tc>
          <w:tcPr>
            <w:tcW w:w="140" w:type="dxa"/>
            <w:vAlign w:val="bottom"/>
            <w:tcBorders>
              <w:right w:val="single" w:sz="8" w:color="148CD9"/>
            </w:tcBorders>
            <w:shd w:val="clear" w:color="auto" w:fill="148CD9"/>
          </w:tcPr>
          <w:p>
            <w:pPr>
              <w:spacing w:after="0"/>
              <w:rPr>
                <w:sz w:val="11"/>
                <w:szCs w:val="11"/>
                <w:color w:val="auto"/>
              </w:rPr>
            </w:pPr>
          </w:p>
        </w:tc>
        <w:tc>
          <w:tcPr>
            <w:tcW w:w="100" w:type="dxa"/>
            <w:vAlign w:val="bottom"/>
            <w:shd w:val="clear" w:color="auto" w:fill="148CD9"/>
          </w:tcPr>
          <w:p>
            <w:pPr>
              <w:spacing w:after="0"/>
              <w:rPr>
                <w:sz w:val="11"/>
                <w:szCs w:val="11"/>
                <w:color w:val="auto"/>
              </w:rPr>
            </w:pPr>
          </w:p>
        </w:tc>
        <w:tc>
          <w:tcPr>
            <w:tcW w:w="1160" w:type="dxa"/>
            <w:vAlign w:val="bottom"/>
            <w:vMerge w:val="restart"/>
            <w:shd w:val="clear" w:color="auto" w:fill="148CD9"/>
          </w:tcPr>
          <w:p>
            <w:pPr>
              <w:jc w:val="center"/>
              <w:spacing w:after="0"/>
              <w:rPr>
                <w:sz w:val="20"/>
                <w:szCs w:val="20"/>
                <w:color w:val="auto"/>
              </w:rPr>
            </w:pPr>
            <w:r>
              <w:rPr>
                <w:rFonts w:ascii="Arial" w:cs="Arial" w:eastAsia="Arial" w:hAnsi="Arial"/>
                <w:sz w:val="16"/>
                <w:szCs w:val="16"/>
                <w:b w:val="1"/>
                <w:bCs w:val="1"/>
                <w:color w:val="FFFFFF"/>
              </w:rPr>
              <w:t>upon exercise</w:t>
            </w:r>
          </w:p>
        </w:tc>
        <w:tc>
          <w:tcPr>
            <w:tcW w:w="120" w:type="dxa"/>
            <w:vAlign w:val="bottom"/>
            <w:tcBorders>
              <w:right w:val="single" w:sz="8" w:color="148CD9"/>
            </w:tcBorders>
            <w:shd w:val="clear" w:color="auto" w:fill="148CD9"/>
          </w:tcPr>
          <w:p>
            <w:pPr>
              <w:spacing w:after="0"/>
              <w:rPr>
                <w:sz w:val="11"/>
                <w:szCs w:val="11"/>
                <w:color w:val="auto"/>
              </w:rPr>
            </w:pPr>
          </w:p>
        </w:tc>
        <w:tc>
          <w:tcPr>
            <w:tcW w:w="120" w:type="dxa"/>
            <w:vAlign w:val="bottom"/>
            <w:shd w:val="clear" w:color="auto" w:fill="148CD9"/>
          </w:tcPr>
          <w:p>
            <w:pPr>
              <w:spacing w:after="0"/>
              <w:rPr>
                <w:sz w:val="11"/>
                <w:szCs w:val="11"/>
                <w:color w:val="auto"/>
              </w:rPr>
            </w:pPr>
          </w:p>
        </w:tc>
        <w:tc>
          <w:tcPr>
            <w:tcW w:w="1040" w:type="dxa"/>
            <w:vAlign w:val="bottom"/>
            <w:vMerge w:val="restart"/>
            <w:shd w:val="clear" w:color="auto" w:fill="148CD9"/>
          </w:tcPr>
          <w:p>
            <w:pPr>
              <w:jc w:val="center"/>
              <w:spacing w:after="0"/>
              <w:rPr>
                <w:sz w:val="20"/>
                <w:szCs w:val="20"/>
                <w:color w:val="auto"/>
              </w:rPr>
            </w:pPr>
            <w:r>
              <w:rPr>
                <w:rFonts w:ascii="Arial" w:cs="Arial" w:eastAsia="Arial" w:hAnsi="Arial"/>
                <w:sz w:val="16"/>
                <w:szCs w:val="16"/>
                <w:b w:val="1"/>
                <w:bCs w:val="1"/>
                <w:color w:val="FFFFFF"/>
              </w:rPr>
              <w:t>price of</w:t>
            </w:r>
          </w:p>
        </w:tc>
        <w:tc>
          <w:tcPr>
            <w:tcW w:w="140" w:type="dxa"/>
            <w:vAlign w:val="bottom"/>
            <w:tcBorders>
              <w:right w:val="single" w:sz="8" w:color="148CD9"/>
            </w:tcBorders>
            <w:shd w:val="clear" w:color="auto" w:fill="148CD9"/>
          </w:tcPr>
          <w:p>
            <w:pPr>
              <w:spacing w:after="0"/>
              <w:rPr>
                <w:sz w:val="11"/>
                <w:szCs w:val="11"/>
                <w:color w:val="auto"/>
              </w:rPr>
            </w:pPr>
          </w:p>
        </w:tc>
        <w:tc>
          <w:tcPr>
            <w:tcW w:w="80" w:type="dxa"/>
            <w:vAlign w:val="bottom"/>
            <w:shd w:val="clear" w:color="auto" w:fill="148CD9"/>
          </w:tcPr>
          <w:p>
            <w:pPr>
              <w:spacing w:after="0"/>
              <w:rPr>
                <w:sz w:val="11"/>
                <w:szCs w:val="11"/>
                <w:color w:val="auto"/>
              </w:rPr>
            </w:pPr>
          </w:p>
        </w:tc>
        <w:tc>
          <w:tcPr>
            <w:tcW w:w="1660" w:type="dxa"/>
            <w:vAlign w:val="bottom"/>
            <w:vMerge w:val="restart"/>
            <w:shd w:val="clear" w:color="auto" w:fill="148CD9"/>
          </w:tcPr>
          <w:p>
            <w:pPr>
              <w:jc w:val="center"/>
              <w:spacing w:after="0"/>
              <w:rPr>
                <w:sz w:val="20"/>
                <w:szCs w:val="20"/>
                <w:color w:val="auto"/>
              </w:rPr>
            </w:pPr>
            <w:r>
              <w:rPr>
                <w:rFonts w:ascii="Arial" w:cs="Arial" w:eastAsia="Arial" w:hAnsi="Arial"/>
                <w:sz w:val="16"/>
                <w:szCs w:val="16"/>
                <w:b w:val="1"/>
                <w:bCs w:val="1"/>
                <w:color w:val="FFFFFF"/>
              </w:rPr>
              <w:t>compensation plans</w:t>
            </w:r>
          </w:p>
        </w:tc>
        <w:tc>
          <w:tcPr>
            <w:tcW w:w="140" w:type="dxa"/>
            <w:vAlign w:val="bottom"/>
            <w:tcBorders>
              <w:right w:val="single" w:sz="8" w:color="148CD9"/>
            </w:tcBorders>
            <w:shd w:val="clear" w:color="auto" w:fill="148CD9"/>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4300" w:type="dxa"/>
            <w:vAlign w:val="bottom"/>
            <w:tcBorders>
              <w:left w:val="single" w:sz="8" w:color="auto"/>
            </w:tcBorders>
            <w:shd w:val="clear" w:color="auto" w:fill="148CD9"/>
          </w:tcPr>
          <w:p>
            <w:pPr>
              <w:spacing w:after="0"/>
              <w:rPr>
                <w:sz w:val="5"/>
                <w:szCs w:val="5"/>
                <w:color w:val="auto"/>
              </w:rPr>
            </w:pPr>
          </w:p>
        </w:tc>
        <w:tc>
          <w:tcPr>
            <w:tcW w:w="140" w:type="dxa"/>
            <w:vAlign w:val="bottom"/>
            <w:tcBorders>
              <w:right w:val="single" w:sz="8" w:color="148CD9"/>
            </w:tcBorders>
            <w:shd w:val="clear" w:color="auto" w:fill="148CD9"/>
          </w:tcPr>
          <w:p>
            <w:pPr>
              <w:spacing w:after="0"/>
              <w:rPr>
                <w:sz w:val="5"/>
                <w:szCs w:val="5"/>
                <w:color w:val="auto"/>
              </w:rPr>
            </w:pPr>
          </w:p>
        </w:tc>
        <w:tc>
          <w:tcPr>
            <w:tcW w:w="100" w:type="dxa"/>
            <w:vAlign w:val="bottom"/>
            <w:shd w:val="clear" w:color="auto" w:fill="148CD9"/>
          </w:tcPr>
          <w:p>
            <w:pPr>
              <w:spacing w:after="0"/>
              <w:rPr>
                <w:sz w:val="5"/>
                <w:szCs w:val="5"/>
                <w:color w:val="auto"/>
              </w:rPr>
            </w:pPr>
          </w:p>
        </w:tc>
        <w:tc>
          <w:tcPr>
            <w:tcW w:w="1160" w:type="dxa"/>
            <w:vAlign w:val="bottom"/>
            <w:vMerge w:val="continue"/>
            <w:shd w:val="clear" w:color="auto" w:fill="148CD9"/>
          </w:tcPr>
          <w:p>
            <w:pPr>
              <w:spacing w:after="0"/>
              <w:rPr>
                <w:sz w:val="5"/>
                <w:szCs w:val="5"/>
                <w:color w:val="auto"/>
              </w:rPr>
            </w:pPr>
          </w:p>
        </w:tc>
        <w:tc>
          <w:tcPr>
            <w:tcW w:w="120" w:type="dxa"/>
            <w:vAlign w:val="bottom"/>
            <w:tcBorders>
              <w:right w:val="single" w:sz="8" w:color="148CD9"/>
            </w:tcBorders>
            <w:shd w:val="clear" w:color="auto" w:fill="148CD9"/>
          </w:tcPr>
          <w:p>
            <w:pPr>
              <w:spacing w:after="0"/>
              <w:rPr>
                <w:sz w:val="5"/>
                <w:szCs w:val="5"/>
                <w:color w:val="auto"/>
              </w:rPr>
            </w:pPr>
          </w:p>
        </w:tc>
        <w:tc>
          <w:tcPr>
            <w:tcW w:w="120" w:type="dxa"/>
            <w:vAlign w:val="bottom"/>
            <w:shd w:val="clear" w:color="auto" w:fill="148CD9"/>
          </w:tcPr>
          <w:p>
            <w:pPr>
              <w:spacing w:after="0"/>
              <w:rPr>
                <w:sz w:val="5"/>
                <w:szCs w:val="5"/>
                <w:color w:val="auto"/>
              </w:rPr>
            </w:pPr>
          </w:p>
        </w:tc>
        <w:tc>
          <w:tcPr>
            <w:tcW w:w="1040" w:type="dxa"/>
            <w:vAlign w:val="bottom"/>
            <w:vMerge w:val="continue"/>
            <w:shd w:val="clear" w:color="auto" w:fill="148CD9"/>
          </w:tcPr>
          <w:p>
            <w:pPr>
              <w:spacing w:after="0"/>
              <w:rPr>
                <w:sz w:val="5"/>
                <w:szCs w:val="5"/>
                <w:color w:val="auto"/>
              </w:rPr>
            </w:pPr>
          </w:p>
        </w:tc>
        <w:tc>
          <w:tcPr>
            <w:tcW w:w="140" w:type="dxa"/>
            <w:vAlign w:val="bottom"/>
            <w:tcBorders>
              <w:right w:val="single" w:sz="8" w:color="148CD9"/>
            </w:tcBorders>
            <w:shd w:val="clear" w:color="auto" w:fill="148CD9"/>
          </w:tcPr>
          <w:p>
            <w:pPr>
              <w:spacing w:after="0"/>
              <w:rPr>
                <w:sz w:val="5"/>
                <w:szCs w:val="5"/>
                <w:color w:val="auto"/>
              </w:rPr>
            </w:pPr>
          </w:p>
        </w:tc>
        <w:tc>
          <w:tcPr>
            <w:tcW w:w="80" w:type="dxa"/>
            <w:vAlign w:val="bottom"/>
            <w:shd w:val="clear" w:color="auto" w:fill="148CD9"/>
          </w:tcPr>
          <w:p>
            <w:pPr>
              <w:spacing w:after="0"/>
              <w:rPr>
                <w:sz w:val="5"/>
                <w:szCs w:val="5"/>
                <w:color w:val="auto"/>
              </w:rPr>
            </w:pPr>
          </w:p>
        </w:tc>
        <w:tc>
          <w:tcPr>
            <w:tcW w:w="1660" w:type="dxa"/>
            <w:vAlign w:val="bottom"/>
            <w:vMerge w:val="continue"/>
            <w:shd w:val="clear" w:color="auto" w:fill="148CD9"/>
          </w:tcPr>
          <w:p>
            <w:pPr>
              <w:spacing w:after="0"/>
              <w:rPr>
                <w:sz w:val="5"/>
                <w:szCs w:val="5"/>
                <w:color w:val="auto"/>
              </w:rPr>
            </w:pPr>
          </w:p>
        </w:tc>
        <w:tc>
          <w:tcPr>
            <w:tcW w:w="140" w:type="dxa"/>
            <w:vAlign w:val="bottom"/>
            <w:tcBorders>
              <w:right w:val="single" w:sz="8" w:color="148CD9"/>
            </w:tcBorders>
            <w:shd w:val="clear" w:color="auto" w:fill="148CD9"/>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300" w:type="dxa"/>
            <w:vAlign w:val="bottom"/>
            <w:tcBorders>
              <w:left w:val="single" w:sz="8" w:color="auto"/>
            </w:tcBorders>
            <w:shd w:val="clear" w:color="auto" w:fill="148CD9"/>
          </w:tcPr>
          <w:p>
            <w:pPr>
              <w:spacing w:after="0"/>
              <w:rPr>
                <w:sz w:val="15"/>
                <w:szCs w:val="15"/>
                <w:color w:val="auto"/>
              </w:rPr>
            </w:pPr>
          </w:p>
        </w:tc>
        <w:tc>
          <w:tcPr>
            <w:tcW w:w="140" w:type="dxa"/>
            <w:vAlign w:val="bottom"/>
            <w:tcBorders>
              <w:right w:val="single" w:sz="8" w:color="148CD9"/>
            </w:tcBorders>
            <w:shd w:val="clear" w:color="auto" w:fill="148CD9"/>
          </w:tcPr>
          <w:p>
            <w:pPr>
              <w:spacing w:after="0"/>
              <w:rPr>
                <w:sz w:val="15"/>
                <w:szCs w:val="15"/>
                <w:color w:val="auto"/>
              </w:rPr>
            </w:pPr>
          </w:p>
        </w:tc>
        <w:tc>
          <w:tcPr>
            <w:tcW w:w="100" w:type="dxa"/>
            <w:vAlign w:val="bottom"/>
            <w:shd w:val="clear" w:color="auto" w:fill="148CD9"/>
          </w:tcPr>
          <w:p>
            <w:pPr>
              <w:spacing w:after="0"/>
              <w:rPr>
                <w:sz w:val="15"/>
                <w:szCs w:val="15"/>
                <w:color w:val="auto"/>
              </w:rPr>
            </w:pPr>
          </w:p>
        </w:tc>
        <w:tc>
          <w:tcPr>
            <w:tcW w:w="1160" w:type="dxa"/>
            <w:vAlign w:val="bottom"/>
            <w:shd w:val="clear" w:color="auto" w:fill="148CD9"/>
          </w:tcPr>
          <w:p>
            <w:pPr>
              <w:jc w:val="center"/>
              <w:spacing w:after="0" w:line="175" w:lineRule="exact"/>
              <w:rPr>
                <w:sz w:val="20"/>
                <w:szCs w:val="20"/>
                <w:color w:val="auto"/>
              </w:rPr>
            </w:pPr>
            <w:r>
              <w:rPr>
                <w:rFonts w:ascii="Arial" w:cs="Arial" w:eastAsia="Arial" w:hAnsi="Arial"/>
                <w:sz w:val="16"/>
                <w:szCs w:val="16"/>
                <w:b w:val="1"/>
                <w:bCs w:val="1"/>
                <w:color w:val="FFFFFF"/>
              </w:rPr>
              <w:t>of outstanding</w:t>
            </w:r>
          </w:p>
        </w:tc>
        <w:tc>
          <w:tcPr>
            <w:tcW w:w="120" w:type="dxa"/>
            <w:vAlign w:val="bottom"/>
            <w:tcBorders>
              <w:right w:val="single" w:sz="8" w:color="148CD9"/>
            </w:tcBorders>
            <w:shd w:val="clear" w:color="auto" w:fill="148CD9"/>
          </w:tcPr>
          <w:p>
            <w:pPr>
              <w:spacing w:after="0"/>
              <w:rPr>
                <w:sz w:val="15"/>
                <w:szCs w:val="15"/>
                <w:color w:val="auto"/>
              </w:rPr>
            </w:pPr>
          </w:p>
        </w:tc>
        <w:tc>
          <w:tcPr>
            <w:tcW w:w="120" w:type="dxa"/>
            <w:vAlign w:val="bottom"/>
            <w:shd w:val="clear" w:color="auto" w:fill="148CD9"/>
          </w:tcPr>
          <w:p>
            <w:pPr>
              <w:spacing w:after="0"/>
              <w:rPr>
                <w:sz w:val="15"/>
                <w:szCs w:val="15"/>
                <w:color w:val="auto"/>
              </w:rPr>
            </w:pPr>
          </w:p>
        </w:tc>
        <w:tc>
          <w:tcPr>
            <w:tcW w:w="1040" w:type="dxa"/>
            <w:vAlign w:val="bottom"/>
            <w:shd w:val="clear" w:color="auto" w:fill="148CD9"/>
          </w:tcPr>
          <w:p>
            <w:pPr>
              <w:jc w:val="center"/>
              <w:spacing w:after="0" w:line="175" w:lineRule="exact"/>
              <w:rPr>
                <w:sz w:val="20"/>
                <w:szCs w:val="20"/>
                <w:color w:val="auto"/>
              </w:rPr>
            </w:pPr>
            <w:r>
              <w:rPr>
                <w:rFonts w:ascii="Arial" w:cs="Arial" w:eastAsia="Arial" w:hAnsi="Arial"/>
                <w:sz w:val="16"/>
                <w:szCs w:val="16"/>
                <w:b w:val="1"/>
                <w:bCs w:val="1"/>
                <w:color w:val="FFFFFF"/>
              </w:rPr>
              <w:t>outstanding</w:t>
            </w:r>
          </w:p>
        </w:tc>
        <w:tc>
          <w:tcPr>
            <w:tcW w:w="140" w:type="dxa"/>
            <w:vAlign w:val="bottom"/>
            <w:tcBorders>
              <w:right w:val="single" w:sz="8" w:color="148CD9"/>
            </w:tcBorders>
            <w:shd w:val="clear" w:color="auto" w:fill="148CD9"/>
          </w:tcPr>
          <w:p>
            <w:pPr>
              <w:spacing w:after="0"/>
              <w:rPr>
                <w:sz w:val="15"/>
                <w:szCs w:val="15"/>
                <w:color w:val="auto"/>
              </w:rPr>
            </w:pPr>
          </w:p>
        </w:tc>
        <w:tc>
          <w:tcPr>
            <w:tcW w:w="80" w:type="dxa"/>
            <w:vAlign w:val="bottom"/>
            <w:shd w:val="clear" w:color="auto" w:fill="148CD9"/>
          </w:tcPr>
          <w:p>
            <w:pPr>
              <w:spacing w:after="0"/>
              <w:rPr>
                <w:sz w:val="15"/>
                <w:szCs w:val="15"/>
                <w:color w:val="auto"/>
              </w:rPr>
            </w:pPr>
          </w:p>
        </w:tc>
        <w:tc>
          <w:tcPr>
            <w:tcW w:w="1660" w:type="dxa"/>
            <w:vAlign w:val="bottom"/>
            <w:shd w:val="clear" w:color="auto" w:fill="148CD9"/>
          </w:tcPr>
          <w:p>
            <w:pPr>
              <w:jc w:val="center"/>
              <w:spacing w:after="0" w:line="175" w:lineRule="exact"/>
              <w:rPr>
                <w:sz w:val="20"/>
                <w:szCs w:val="20"/>
                <w:color w:val="auto"/>
              </w:rPr>
            </w:pPr>
            <w:r>
              <w:rPr>
                <w:rFonts w:ascii="Arial" w:cs="Arial" w:eastAsia="Arial" w:hAnsi="Arial"/>
                <w:sz w:val="16"/>
                <w:szCs w:val="16"/>
                <w:b w:val="1"/>
                <w:bCs w:val="1"/>
                <w:color w:val="FFFFFF"/>
              </w:rPr>
              <w:t>(excluding securities</w:t>
            </w:r>
          </w:p>
        </w:tc>
        <w:tc>
          <w:tcPr>
            <w:tcW w:w="140" w:type="dxa"/>
            <w:vAlign w:val="bottom"/>
            <w:tcBorders>
              <w:right w:val="single" w:sz="8" w:color="148CD9"/>
            </w:tcBorders>
            <w:shd w:val="clear" w:color="auto" w:fill="148CD9"/>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00" w:type="dxa"/>
            <w:vAlign w:val="bottom"/>
            <w:tcBorders>
              <w:left w:val="single" w:sz="8" w:color="auto"/>
            </w:tcBorders>
            <w:shd w:val="clear" w:color="auto" w:fill="148CD9"/>
          </w:tcPr>
          <w:p>
            <w:pPr>
              <w:spacing w:after="0"/>
              <w:rPr>
                <w:sz w:val="15"/>
                <w:szCs w:val="15"/>
                <w:color w:val="auto"/>
              </w:rPr>
            </w:pPr>
          </w:p>
        </w:tc>
        <w:tc>
          <w:tcPr>
            <w:tcW w:w="140" w:type="dxa"/>
            <w:vAlign w:val="bottom"/>
            <w:tcBorders>
              <w:right w:val="single" w:sz="8" w:color="148CD9"/>
            </w:tcBorders>
            <w:shd w:val="clear" w:color="auto" w:fill="148CD9"/>
          </w:tcPr>
          <w:p>
            <w:pPr>
              <w:spacing w:after="0"/>
              <w:rPr>
                <w:sz w:val="15"/>
                <w:szCs w:val="15"/>
                <w:color w:val="auto"/>
              </w:rPr>
            </w:pPr>
          </w:p>
        </w:tc>
        <w:tc>
          <w:tcPr>
            <w:tcW w:w="100" w:type="dxa"/>
            <w:vAlign w:val="bottom"/>
            <w:shd w:val="clear" w:color="auto" w:fill="148CD9"/>
          </w:tcPr>
          <w:p>
            <w:pPr>
              <w:spacing w:after="0"/>
              <w:rPr>
                <w:sz w:val="15"/>
                <w:szCs w:val="15"/>
                <w:color w:val="auto"/>
              </w:rPr>
            </w:pPr>
          </w:p>
        </w:tc>
        <w:tc>
          <w:tcPr>
            <w:tcW w:w="1160" w:type="dxa"/>
            <w:vAlign w:val="bottom"/>
            <w:shd w:val="clear" w:color="auto" w:fill="148CD9"/>
          </w:tcPr>
          <w:p>
            <w:pPr>
              <w:jc w:val="center"/>
              <w:spacing w:after="0" w:line="176" w:lineRule="exact"/>
              <w:rPr>
                <w:sz w:val="20"/>
                <w:szCs w:val="20"/>
                <w:color w:val="auto"/>
              </w:rPr>
            </w:pPr>
            <w:r>
              <w:rPr>
                <w:rFonts w:ascii="Arial" w:cs="Arial" w:eastAsia="Arial" w:hAnsi="Arial"/>
                <w:sz w:val="16"/>
                <w:szCs w:val="16"/>
                <w:b w:val="1"/>
                <w:bCs w:val="1"/>
                <w:color w:val="FFFFFF"/>
              </w:rPr>
              <w:t>options and</w:t>
            </w:r>
          </w:p>
        </w:tc>
        <w:tc>
          <w:tcPr>
            <w:tcW w:w="120" w:type="dxa"/>
            <w:vAlign w:val="bottom"/>
            <w:tcBorders>
              <w:right w:val="single" w:sz="8" w:color="148CD9"/>
            </w:tcBorders>
            <w:shd w:val="clear" w:color="auto" w:fill="148CD9"/>
          </w:tcPr>
          <w:p>
            <w:pPr>
              <w:spacing w:after="0"/>
              <w:rPr>
                <w:sz w:val="15"/>
                <w:szCs w:val="15"/>
                <w:color w:val="auto"/>
              </w:rPr>
            </w:pPr>
          </w:p>
        </w:tc>
        <w:tc>
          <w:tcPr>
            <w:tcW w:w="120" w:type="dxa"/>
            <w:vAlign w:val="bottom"/>
            <w:shd w:val="clear" w:color="auto" w:fill="148CD9"/>
          </w:tcPr>
          <w:p>
            <w:pPr>
              <w:spacing w:after="0"/>
              <w:rPr>
                <w:sz w:val="15"/>
                <w:szCs w:val="15"/>
                <w:color w:val="auto"/>
              </w:rPr>
            </w:pPr>
          </w:p>
        </w:tc>
        <w:tc>
          <w:tcPr>
            <w:tcW w:w="1040" w:type="dxa"/>
            <w:vAlign w:val="bottom"/>
            <w:shd w:val="clear" w:color="auto" w:fill="148CD9"/>
          </w:tcPr>
          <w:p>
            <w:pPr>
              <w:jc w:val="center"/>
              <w:spacing w:after="0" w:line="176" w:lineRule="exact"/>
              <w:rPr>
                <w:sz w:val="20"/>
                <w:szCs w:val="20"/>
                <w:color w:val="auto"/>
              </w:rPr>
            </w:pPr>
            <w:r>
              <w:rPr>
                <w:rFonts w:ascii="Arial" w:cs="Arial" w:eastAsia="Arial" w:hAnsi="Arial"/>
                <w:sz w:val="16"/>
                <w:szCs w:val="16"/>
                <w:b w:val="1"/>
                <w:bCs w:val="1"/>
                <w:color w:val="FFFFFF"/>
              </w:rPr>
              <w:t>options and</w:t>
            </w:r>
          </w:p>
        </w:tc>
        <w:tc>
          <w:tcPr>
            <w:tcW w:w="140" w:type="dxa"/>
            <w:vAlign w:val="bottom"/>
            <w:tcBorders>
              <w:right w:val="single" w:sz="8" w:color="148CD9"/>
            </w:tcBorders>
            <w:shd w:val="clear" w:color="auto" w:fill="148CD9"/>
          </w:tcPr>
          <w:p>
            <w:pPr>
              <w:spacing w:after="0"/>
              <w:rPr>
                <w:sz w:val="15"/>
                <w:szCs w:val="15"/>
                <w:color w:val="auto"/>
              </w:rPr>
            </w:pPr>
          </w:p>
        </w:tc>
        <w:tc>
          <w:tcPr>
            <w:tcW w:w="80" w:type="dxa"/>
            <w:vAlign w:val="bottom"/>
            <w:shd w:val="clear" w:color="auto" w:fill="148CD9"/>
          </w:tcPr>
          <w:p>
            <w:pPr>
              <w:spacing w:after="0"/>
              <w:rPr>
                <w:sz w:val="15"/>
                <w:szCs w:val="15"/>
                <w:color w:val="auto"/>
              </w:rPr>
            </w:pPr>
          </w:p>
        </w:tc>
        <w:tc>
          <w:tcPr>
            <w:tcW w:w="1660" w:type="dxa"/>
            <w:vAlign w:val="bottom"/>
            <w:shd w:val="clear" w:color="auto" w:fill="148CD9"/>
          </w:tcPr>
          <w:p>
            <w:pPr>
              <w:jc w:val="center"/>
              <w:spacing w:after="0" w:line="176" w:lineRule="exact"/>
              <w:rPr>
                <w:sz w:val="20"/>
                <w:szCs w:val="20"/>
                <w:color w:val="auto"/>
              </w:rPr>
            </w:pPr>
            <w:r>
              <w:rPr>
                <w:rFonts w:ascii="Arial" w:cs="Arial" w:eastAsia="Arial" w:hAnsi="Arial"/>
                <w:sz w:val="16"/>
                <w:szCs w:val="16"/>
                <w:b w:val="1"/>
                <w:bCs w:val="1"/>
                <w:color w:val="FFFFFF"/>
              </w:rPr>
              <w:t>reflected in column</w:t>
            </w:r>
          </w:p>
        </w:tc>
        <w:tc>
          <w:tcPr>
            <w:tcW w:w="140" w:type="dxa"/>
            <w:vAlign w:val="bottom"/>
            <w:tcBorders>
              <w:right w:val="single" w:sz="8" w:color="148CD9"/>
            </w:tcBorders>
            <w:shd w:val="clear" w:color="auto" w:fill="148CD9"/>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300" w:type="dxa"/>
            <w:vAlign w:val="bottom"/>
            <w:tcBorders>
              <w:left w:val="single" w:sz="8" w:color="auto"/>
            </w:tcBorders>
            <w:shd w:val="clear" w:color="auto" w:fill="148CD9"/>
          </w:tcPr>
          <w:p>
            <w:pPr>
              <w:ind w:left="80"/>
              <w:spacing w:after="0"/>
              <w:rPr>
                <w:sz w:val="20"/>
                <w:szCs w:val="20"/>
                <w:color w:val="auto"/>
              </w:rPr>
            </w:pPr>
            <w:r>
              <w:rPr>
                <w:rFonts w:ascii="Arial" w:cs="Arial" w:eastAsia="Arial" w:hAnsi="Arial"/>
                <w:sz w:val="16"/>
                <w:szCs w:val="16"/>
                <w:b w:val="1"/>
                <w:bCs w:val="1"/>
                <w:color w:val="FFFFFF"/>
              </w:rPr>
              <w:t>​</w:t>
            </w:r>
          </w:p>
        </w:tc>
        <w:tc>
          <w:tcPr>
            <w:tcW w:w="240" w:type="dxa"/>
            <w:vAlign w:val="bottom"/>
            <w:gridSpan w:val="2"/>
            <w:shd w:val="clear" w:color="auto" w:fill="148CD9"/>
          </w:tcPr>
          <w:p>
            <w:pPr>
              <w:ind w:left="80"/>
              <w:spacing w:after="0"/>
              <w:rPr>
                <w:sz w:val="20"/>
                <w:szCs w:val="20"/>
                <w:color w:val="auto"/>
              </w:rPr>
            </w:pPr>
            <w:r>
              <w:rPr>
                <w:rFonts w:ascii="Arial" w:cs="Arial" w:eastAsia="Arial" w:hAnsi="Arial"/>
                <w:sz w:val="16"/>
                <w:szCs w:val="16"/>
                <w:b w:val="1"/>
                <w:bCs w:val="1"/>
                <w:color w:val="FFFFFF"/>
              </w:rPr>
              <w:t>​ ​</w:t>
            </w:r>
          </w:p>
        </w:tc>
        <w:tc>
          <w:tcPr>
            <w:tcW w:w="1160" w:type="dxa"/>
            <w:vAlign w:val="bottom"/>
            <w:shd w:val="clear" w:color="auto" w:fill="148CD9"/>
          </w:tcPr>
          <w:p>
            <w:pPr>
              <w:jc w:val="center"/>
              <w:spacing w:after="0"/>
              <w:rPr>
                <w:sz w:val="20"/>
                <w:szCs w:val="20"/>
                <w:color w:val="auto"/>
              </w:rPr>
            </w:pPr>
            <w:r>
              <w:rPr>
                <w:rFonts w:ascii="Arial" w:cs="Arial" w:eastAsia="Arial" w:hAnsi="Arial"/>
                <w:sz w:val="16"/>
                <w:szCs w:val="16"/>
                <w:b w:val="1"/>
                <w:bCs w:val="1"/>
                <w:color w:val="FFFFFF"/>
                <w:w w:val="98"/>
              </w:rPr>
              <w:t>other rights</w:t>
            </w:r>
          </w:p>
        </w:tc>
        <w:tc>
          <w:tcPr>
            <w:tcW w:w="1500" w:type="dxa"/>
            <w:vAlign w:val="bottom"/>
            <w:gridSpan w:val="5"/>
            <w:shd w:val="clear" w:color="auto" w:fill="148CD9"/>
          </w:tcPr>
          <w:p>
            <w:pPr>
              <w:ind w:left="60"/>
              <w:spacing w:after="0" w:line="256" w:lineRule="exact"/>
              <w:rPr>
                <w:sz w:val="20"/>
                <w:szCs w:val="20"/>
                <w:color w:val="auto"/>
              </w:rPr>
            </w:pPr>
            <w:r>
              <w:rPr>
                <w:rFonts w:ascii="Arial" w:cs="Arial" w:eastAsia="Arial" w:hAnsi="Arial"/>
                <w:sz w:val="29"/>
                <w:szCs w:val="29"/>
                <w:b w:val="1"/>
                <w:bCs w:val="1"/>
                <w:color w:val="FFFFFF"/>
                <w:vertAlign w:val="subscript"/>
              </w:rPr>
              <w:t>​ ​</w:t>
            </w:r>
            <w:r>
              <w:rPr>
                <w:rFonts w:ascii="Arial" w:cs="Arial" w:eastAsia="Arial" w:hAnsi="Arial"/>
                <w:sz w:val="15"/>
                <w:szCs w:val="15"/>
                <w:b w:val="1"/>
                <w:bCs w:val="1"/>
                <w:color w:val="FFFFFF"/>
              </w:rPr>
              <w:t xml:space="preserve">other rights(1) </w:t>
            </w:r>
            <w:r>
              <w:rPr>
                <w:rFonts w:ascii="Arial" w:cs="Arial" w:eastAsia="Arial" w:hAnsi="Arial"/>
                <w:sz w:val="29"/>
                <w:szCs w:val="29"/>
                <w:b w:val="1"/>
                <w:bCs w:val="1"/>
                <w:color w:val="FFFFFF"/>
                <w:vertAlign w:val="subscript"/>
              </w:rPr>
              <w:t>​ ​</w:t>
            </w:r>
          </w:p>
        </w:tc>
        <w:tc>
          <w:tcPr>
            <w:tcW w:w="1660" w:type="dxa"/>
            <w:vAlign w:val="bottom"/>
            <w:shd w:val="clear" w:color="auto" w:fill="148CD9"/>
          </w:tcPr>
          <w:p>
            <w:pPr>
              <w:jc w:val="center"/>
              <w:spacing w:after="0"/>
              <w:rPr>
                <w:sz w:val="20"/>
                <w:szCs w:val="20"/>
                <w:color w:val="auto"/>
              </w:rPr>
            </w:pPr>
            <w:r>
              <w:rPr>
                <w:rFonts w:ascii="Arial" w:cs="Arial" w:eastAsia="Arial" w:hAnsi="Arial"/>
                <w:sz w:val="16"/>
                <w:szCs w:val="16"/>
                <w:b w:val="1"/>
                <w:bCs w:val="1"/>
                <w:color w:val="FFFFFF"/>
                <w:w w:val="96"/>
              </w:rPr>
              <w:t>(a))</w:t>
            </w:r>
          </w:p>
        </w:tc>
        <w:tc>
          <w:tcPr>
            <w:tcW w:w="140" w:type="dxa"/>
            <w:vAlign w:val="bottom"/>
            <w:tcBorders>
              <w:right w:val="single" w:sz="8" w:color="148CD9"/>
            </w:tcBorders>
            <w:shd w:val="clear" w:color="auto" w:fill="148CD9"/>
          </w:tcPr>
          <w:p>
            <w:pPr>
              <w:ind w:left="6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43"/>
        </w:trPr>
        <w:tc>
          <w:tcPr>
            <w:tcW w:w="4300" w:type="dxa"/>
            <w:vAlign w:val="bottom"/>
            <w:tcBorders>
              <w:left w:val="single" w:sz="8" w:color="auto"/>
            </w:tcBorders>
            <w:shd w:val="clear" w:color="auto" w:fill="148CD9"/>
          </w:tcPr>
          <w:p>
            <w:pPr>
              <w:ind w:left="80"/>
              <w:spacing w:after="0"/>
              <w:rPr>
                <w:sz w:val="20"/>
                <w:szCs w:val="20"/>
                <w:color w:val="auto"/>
              </w:rPr>
            </w:pPr>
            <w:r>
              <w:rPr>
                <w:rFonts w:ascii="Arial" w:cs="Arial" w:eastAsia="Arial" w:hAnsi="Arial"/>
                <w:sz w:val="16"/>
                <w:szCs w:val="16"/>
                <w:b w:val="1"/>
                <w:bCs w:val="1"/>
                <w:color w:val="FFFFFF"/>
              </w:rPr>
              <w:t>​​</w:t>
            </w:r>
          </w:p>
        </w:tc>
        <w:tc>
          <w:tcPr>
            <w:tcW w:w="240" w:type="dxa"/>
            <w:vAlign w:val="bottom"/>
            <w:gridSpan w:val="2"/>
            <w:shd w:val="clear" w:color="auto" w:fill="148CD9"/>
          </w:tcPr>
          <w:p>
            <w:pPr>
              <w:ind w:left="80"/>
              <w:spacing w:after="0"/>
              <w:rPr>
                <w:sz w:val="20"/>
                <w:szCs w:val="20"/>
                <w:color w:val="auto"/>
              </w:rPr>
            </w:pPr>
            <w:r>
              <w:rPr>
                <w:rFonts w:ascii="Arial" w:cs="Arial" w:eastAsia="Arial" w:hAnsi="Arial"/>
                <w:sz w:val="16"/>
                <w:szCs w:val="16"/>
                <w:b w:val="1"/>
                <w:bCs w:val="1"/>
                <w:color w:val="FFFFFF"/>
              </w:rPr>
              <w:t>​ ​</w:t>
            </w:r>
          </w:p>
        </w:tc>
        <w:tc>
          <w:tcPr>
            <w:tcW w:w="1160" w:type="dxa"/>
            <w:vAlign w:val="bottom"/>
            <w:shd w:val="clear" w:color="auto" w:fill="148CD9"/>
          </w:tcPr>
          <w:p>
            <w:pPr>
              <w:jc w:val="center"/>
              <w:spacing w:after="0"/>
              <w:rPr>
                <w:sz w:val="20"/>
                <w:szCs w:val="20"/>
                <w:color w:val="auto"/>
              </w:rPr>
            </w:pPr>
            <w:r>
              <w:rPr>
                <w:rFonts w:ascii="Arial" w:cs="Arial" w:eastAsia="Arial" w:hAnsi="Arial"/>
                <w:sz w:val="16"/>
                <w:szCs w:val="16"/>
                <w:b w:val="1"/>
                <w:bCs w:val="1"/>
                <w:color w:val="FFFFFF"/>
              </w:rPr>
              <w:t>(a)</w:t>
            </w:r>
          </w:p>
        </w:tc>
        <w:tc>
          <w:tcPr>
            <w:tcW w:w="240" w:type="dxa"/>
            <w:vAlign w:val="bottom"/>
            <w:gridSpan w:val="2"/>
            <w:shd w:val="clear" w:color="auto" w:fill="148CD9"/>
          </w:tcPr>
          <w:p>
            <w:pPr>
              <w:jc w:val="right"/>
              <w:spacing w:after="0"/>
              <w:rPr>
                <w:sz w:val="20"/>
                <w:szCs w:val="20"/>
                <w:color w:val="auto"/>
              </w:rPr>
            </w:pPr>
            <w:r>
              <w:rPr>
                <w:rFonts w:ascii="Arial" w:cs="Arial" w:eastAsia="Arial" w:hAnsi="Arial"/>
                <w:sz w:val="16"/>
                <w:szCs w:val="16"/>
                <w:b w:val="1"/>
                <w:bCs w:val="1"/>
                <w:color w:val="FFFFFF"/>
              </w:rPr>
              <w:t>​ ​</w:t>
            </w:r>
          </w:p>
        </w:tc>
        <w:tc>
          <w:tcPr>
            <w:tcW w:w="1040" w:type="dxa"/>
            <w:vAlign w:val="bottom"/>
            <w:shd w:val="clear" w:color="auto" w:fill="148CD9"/>
          </w:tcPr>
          <w:p>
            <w:pPr>
              <w:jc w:val="center"/>
              <w:spacing w:after="0"/>
              <w:rPr>
                <w:sz w:val="20"/>
                <w:szCs w:val="20"/>
                <w:color w:val="auto"/>
              </w:rPr>
            </w:pPr>
            <w:r>
              <w:rPr>
                <w:rFonts w:ascii="Arial" w:cs="Arial" w:eastAsia="Arial" w:hAnsi="Arial"/>
                <w:sz w:val="16"/>
                <w:szCs w:val="16"/>
                <w:b w:val="1"/>
                <w:bCs w:val="1"/>
                <w:color w:val="FFFFFF"/>
                <w:w w:val="97"/>
              </w:rPr>
              <w:t>(b)</w:t>
            </w:r>
          </w:p>
        </w:tc>
        <w:tc>
          <w:tcPr>
            <w:tcW w:w="220" w:type="dxa"/>
            <w:vAlign w:val="bottom"/>
            <w:gridSpan w:val="2"/>
            <w:shd w:val="clear" w:color="auto" w:fill="148CD9"/>
          </w:tcPr>
          <w:p>
            <w:pPr>
              <w:jc w:val="right"/>
              <w:spacing w:after="0"/>
              <w:rPr>
                <w:sz w:val="20"/>
                <w:szCs w:val="20"/>
                <w:color w:val="auto"/>
              </w:rPr>
            </w:pPr>
            <w:r>
              <w:rPr>
                <w:rFonts w:ascii="Arial" w:cs="Arial" w:eastAsia="Arial" w:hAnsi="Arial"/>
                <w:sz w:val="16"/>
                <w:szCs w:val="16"/>
                <w:b w:val="1"/>
                <w:bCs w:val="1"/>
                <w:color w:val="FFFFFF"/>
              </w:rPr>
              <w:t>​ ​</w:t>
            </w:r>
          </w:p>
        </w:tc>
        <w:tc>
          <w:tcPr>
            <w:tcW w:w="1660" w:type="dxa"/>
            <w:vAlign w:val="bottom"/>
            <w:shd w:val="clear" w:color="auto" w:fill="148CD9"/>
          </w:tcPr>
          <w:p>
            <w:pPr>
              <w:jc w:val="center"/>
              <w:spacing w:after="0"/>
              <w:rPr>
                <w:sz w:val="20"/>
                <w:szCs w:val="20"/>
                <w:color w:val="auto"/>
              </w:rPr>
            </w:pPr>
            <w:r>
              <w:rPr>
                <w:rFonts w:ascii="Arial" w:cs="Arial" w:eastAsia="Arial" w:hAnsi="Arial"/>
                <w:sz w:val="16"/>
                <w:szCs w:val="16"/>
                <w:b w:val="1"/>
                <w:bCs w:val="1"/>
                <w:color w:val="FFFFFF"/>
              </w:rPr>
              <w:t>(c)</w:t>
            </w:r>
          </w:p>
        </w:tc>
        <w:tc>
          <w:tcPr>
            <w:tcW w:w="140" w:type="dxa"/>
            <w:vAlign w:val="bottom"/>
            <w:tcBorders>
              <w:right w:val="single" w:sz="8" w:color="148CD9"/>
            </w:tcBorders>
            <w:shd w:val="clear" w:color="auto" w:fill="148CD9"/>
          </w:tcPr>
          <w:p>
            <w:pPr>
              <w:ind w:left="6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97"/>
        </w:trPr>
        <w:tc>
          <w:tcPr>
            <w:tcW w:w="4300" w:type="dxa"/>
            <w:vAlign w:val="bottom"/>
            <w:tcBorders>
              <w:left w:val="single" w:sz="8" w:color="auto"/>
            </w:tcBorders>
          </w:tcPr>
          <w:p>
            <w:pPr>
              <w:ind w:left="80"/>
              <w:spacing w:after="0" w:line="297"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8"/>
                <w:szCs w:val="18"/>
                <w:color w:val="auto"/>
              </w:rPr>
              <w:t>Equity compensation plans approved by security</w:t>
            </w:r>
          </w:p>
        </w:tc>
        <w:tc>
          <w:tcPr>
            <w:tcW w:w="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 9,105,976(3)</w:t>
            </w:r>
          </w:p>
        </w:tc>
        <w:tc>
          <w:tcPr>
            <w:tcW w:w="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center"/>
              <w:spacing w:after="0"/>
              <w:rPr>
                <w:sz w:val="20"/>
                <w:szCs w:val="20"/>
                <w:color w:val="auto"/>
              </w:rPr>
            </w:pPr>
            <w:r>
              <w:rPr>
                <w:rFonts w:ascii="Arial" w:cs="Arial" w:eastAsia="Arial" w:hAnsi="Arial"/>
                <w:sz w:val="18"/>
                <w:szCs w:val="18"/>
                <w:color w:val="auto"/>
                <w:w w:val="97"/>
              </w:rPr>
              <w:t>$4.30</w:t>
            </w:r>
          </w:p>
        </w:tc>
        <w:tc>
          <w:tcPr>
            <w:tcW w:w="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8"/>
                <w:szCs w:val="18"/>
                <w:color w:val="auto"/>
                <w:w w:val="97"/>
              </w:rPr>
              <w:t>4,815,191(4)</w:t>
            </w:r>
          </w:p>
        </w:tc>
        <w:tc>
          <w:tcPr>
            <w:tcW w:w="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300" w:type="dxa"/>
            <w:vAlign w:val="bottom"/>
            <w:tcBorders>
              <w:left w:val="single" w:sz="8" w:color="auto"/>
              <w:bottom w:val="single" w:sz="8" w:color="auto"/>
            </w:tcBorders>
          </w:tcPr>
          <w:p>
            <w:pPr>
              <w:ind w:left="140"/>
              <w:spacing w:after="0" w:line="202" w:lineRule="exact"/>
              <w:rPr>
                <w:sz w:val="20"/>
                <w:szCs w:val="20"/>
                <w:color w:val="auto"/>
              </w:rPr>
            </w:pPr>
            <w:r>
              <w:rPr>
                <w:rFonts w:ascii="Arial" w:cs="Arial" w:eastAsia="Arial" w:hAnsi="Arial"/>
                <w:sz w:val="18"/>
                <w:szCs w:val="18"/>
                <w:color w:val="auto"/>
              </w:rPr>
              <w:t>holders(2)</w:t>
            </w:r>
          </w:p>
        </w:tc>
        <w:tc>
          <w:tcPr>
            <w:tcW w:w="14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300" w:type="dxa"/>
            <w:vAlign w:val="bottom"/>
            <w:tcBorders>
              <w:left w:val="single" w:sz="8" w:color="auto"/>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Equity compensation plans not approved by security</w:t>
            </w:r>
          </w:p>
        </w:tc>
        <w:tc>
          <w:tcPr>
            <w:tcW w:w="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ind w:left="40"/>
              <w:spacing w:after="0"/>
              <w:rPr>
                <w:sz w:val="20"/>
                <w:szCs w:val="20"/>
                <w:color w:val="auto"/>
              </w:rPr>
            </w:pPr>
            <w:r>
              <w:rPr>
                <w:rFonts w:ascii="Arial" w:cs="Arial" w:eastAsia="Arial" w:hAnsi="Arial"/>
                <w:sz w:val="18"/>
                <w:szCs w:val="18"/>
                <w:color w:val="auto"/>
              </w:rPr>
              <w:t>​</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430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holders</w:t>
            </w:r>
          </w:p>
        </w:tc>
        <w:tc>
          <w:tcPr>
            <w:tcW w:w="1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3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9,105,976</w:t>
            </w:r>
          </w:p>
        </w:tc>
        <w:tc>
          <w:tcPr>
            <w:tcW w:w="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$4.30</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4,815,191</w:t>
            </w:r>
          </w:p>
        </w:tc>
        <w:tc>
          <w:tcPr>
            <w:tcW w:w="1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240" w:right="19" w:hanging="370"/>
        <w:spacing w:after="0" w:line="268" w:lineRule="auto"/>
        <w:tabs>
          <w:tab w:leader="none" w:pos="12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the weighted-average exercise price of outstanding stock options. This weighted-average exercise price does not reflect shares subject to outstanding RSUs.</w:t>
      </w:r>
    </w:p>
    <w:p>
      <w:pPr>
        <w:spacing w:after="0" w:line="21" w:lineRule="exact"/>
        <w:rPr>
          <w:rFonts w:ascii="Arial" w:cs="Arial" w:eastAsia="Arial" w:hAnsi="Arial"/>
          <w:sz w:val="16"/>
          <w:szCs w:val="16"/>
          <w:color w:val="auto"/>
        </w:rPr>
      </w:pPr>
    </w:p>
    <w:p>
      <w:pPr>
        <w:jc w:val="both"/>
        <w:ind w:left="1240" w:right="19" w:hanging="370"/>
        <w:spacing w:after="0" w:line="239" w:lineRule="auto"/>
        <w:tabs>
          <w:tab w:leader="none" w:pos="12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shares available for future issues under the 2021 Plan and 2021 Employee Stock Purchase Plan, or the 2021 ESPP. No new grants will be made under our 2018 Equity Incentive Plan. The 2021 Plan contains an “evergreen” provision, pursuant to which, on or about January 1 each year, the maximum number of shares reserved for issuance under the 2021 Plan is increased by a number equal to the lesser of (i) 5% of the shares of common stock issued and outstanding on the last day of the immediately preceding fiscal year and (ii) such smaller number of shares of common stock as determined by the Board. The 2021 ESPP provides that the number of shares reserved and available for issuance will automatically increase each January 1, beginning on January 1, 2022, by the lesser (a) 1,128,42 shares of common stock, (b) 1% of the shares of common stock outstanding on the final day of the immediately preceding calendar year, and (c) such smaller number of shares as determined by the Board. The Board determined not to increase the shares on January 1, 2026, for the 2021 ESPP.</w:t>
      </w:r>
    </w:p>
    <w:p>
      <w:pPr>
        <w:spacing w:after="0" w:line="44" w:lineRule="exact"/>
        <w:rPr>
          <w:rFonts w:ascii="Arial" w:cs="Arial" w:eastAsia="Arial" w:hAnsi="Arial"/>
          <w:sz w:val="16"/>
          <w:szCs w:val="16"/>
          <w:color w:val="auto"/>
        </w:rPr>
      </w:pPr>
    </w:p>
    <w:p>
      <w:pPr>
        <w:jc w:val="both"/>
        <w:ind w:left="1240" w:right="39" w:hanging="370"/>
        <w:spacing w:after="0" w:line="243" w:lineRule="auto"/>
        <w:tabs>
          <w:tab w:leader="none" w:pos="12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Does not include purchase rights accruing under the 2021 ESPP as of December 31, 2025, because the purchase rights (and, therefore, the number of shares to be purchased) will not be determined until the end of the purchase period on June 30, 2026. Subject to the number of shares remaining in the share reserve, the maximum number of shares purchasable by any participant in the 2021 ESPP during the purchase period beginning January 1, 2026, and ending on June 30, 2026, is 5,000.</w:t>
      </w:r>
    </w:p>
    <w:p>
      <w:pPr>
        <w:spacing w:after="0" w:line="40" w:lineRule="exact"/>
        <w:rPr>
          <w:rFonts w:ascii="Arial" w:cs="Arial" w:eastAsia="Arial" w:hAnsi="Arial"/>
          <w:sz w:val="16"/>
          <w:szCs w:val="16"/>
          <w:color w:val="auto"/>
        </w:rPr>
      </w:pPr>
    </w:p>
    <w:p>
      <w:pPr>
        <w:jc w:val="both"/>
        <w:ind w:left="1240" w:right="19" w:hanging="370"/>
        <w:spacing w:after="0" w:line="248" w:lineRule="auto"/>
        <w:tabs>
          <w:tab w:leader="none" w:pos="12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shares available for future issues under the 2021 ESPP and 2021 Plan. As of December 31, 2025, 639,745 shares of common stock were available for issuance under the 2021 ESPP and 4,175,446 shares of common stock were available for issuance under the 2021 Plan, which does not include 4,375,954 shares that were added to the 2021 Plan share reserve on January 1, 2026, pursuant to the evergreen provision described above.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52" w:lineRule="exact"/>
        <w:rPr>
          <w:sz w:val="20"/>
          <w:szCs w:val="20"/>
          <w:color w:val="auto"/>
        </w:rPr>
      </w:pPr>
    </w:p>
    <w:p>
      <w:pPr>
        <w:ind w:left="980"/>
        <w:spacing w:after="0"/>
        <w:rPr>
          <w:sz w:val="20"/>
          <w:szCs w:val="20"/>
          <w:color w:val="auto"/>
        </w:rPr>
      </w:pPr>
      <w:r>
        <w:rPr>
          <w:rFonts w:ascii="Arial" w:cs="Arial" w:eastAsia="Arial" w:hAnsi="Arial"/>
          <w:sz w:val="32"/>
          <w:szCs w:val="32"/>
          <w:b w:val="1"/>
          <w:bCs w:val="1"/>
          <w:color w:val="FFFFFF"/>
        </w:rPr>
        <w:t>SECURITY OWNERSHIP OF CERTAIN BENEFICIAL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4972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00395" cy="497205"/>
                    </a:xfrm>
                    <a:prstGeom prst="rect">
                      <a:avLst/>
                    </a:prstGeom>
                    <a:noFill/>
                  </pic:spPr>
                </pic:pic>
              </a:graphicData>
            </a:graphic>
          </wp:anchor>
        </w:drawing>
      </w:r>
    </w:p>
    <w:p>
      <w:pPr>
        <w:spacing w:after="0" w:line="38"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​OWNERS AND MANAGEMENT</w:t>
      </w:r>
      <w:r>
        <w:rPr>
          <w:sz w:val="20"/>
          <w:szCs w:val="20"/>
          <w:color w:val="auto"/>
        </w:rPr>
        <w:tab/>
      </w:r>
      <w:r>
        <w:rPr>
          <w:rFonts w:ascii="Arial" w:cs="Arial" w:eastAsia="Arial" w:hAnsi="Arial"/>
          <w:sz w:val="32"/>
          <w:szCs w:val="32"/>
          <w:b w:val="1"/>
          <w:bCs w:val="1"/>
          <w:color w:val="FFFFFF"/>
        </w:rPr>
        <w:t>​</w:t>
      </w:r>
    </w:p>
    <w:p>
      <w:pPr>
        <w:spacing w:after="0" w:line="325" w:lineRule="exact"/>
        <w:rPr>
          <w:sz w:val="20"/>
          <w:szCs w:val="20"/>
          <w:color w:val="auto"/>
        </w:rPr>
      </w:pPr>
    </w:p>
    <w:p>
      <w:pPr>
        <w:jc w:val="both"/>
        <w:ind w:left="880" w:right="39"/>
        <w:spacing w:after="0" w:line="247" w:lineRule="auto"/>
        <w:rPr>
          <w:sz w:val="20"/>
          <w:szCs w:val="20"/>
          <w:color w:val="auto"/>
        </w:rPr>
      </w:pPr>
      <w:r>
        <w:rPr>
          <w:rFonts w:ascii="Arial" w:cs="Arial" w:eastAsia="Arial" w:hAnsi="Arial"/>
          <w:sz w:val="18"/>
          <w:szCs w:val="18"/>
          <w:color w:val="auto"/>
        </w:rPr>
        <w:t>The following table sets forth certain information regarding the beneficial ownership of common stock as of March 31, 2026, except to the extent otherwise indicated in the footnotes below, by (a) each person known by us to be the beneficial owner of more than 5% of the outstanding shares of common stock, (b) each NEO identified in the “Summary Compensation Table” above, (c) each director and nominee for director, and (d) all executive officers and directors as a group.</w:t>
      </w:r>
    </w:p>
    <w:p>
      <w:pPr>
        <w:spacing w:after="0" w:line="55" w:lineRule="exact"/>
        <w:rPr>
          <w:sz w:val="20"/>
          <w:szCs w:val="20"/>
          <w:color w:val="auto"/>
        </w:rPr>
      </w:pPr>
    </w:p>
    <w:p>
      <w:pPr>
        <w:jc w:val="both"/>
        <w:ind w:left="880" w:right="19"/>
        <w:spacing w:after="0" w:line="244" w:lineRule="auto"/>
        <w:rPr>
          <w:sz w:val="20"/>
          <w:szCs w:val="20"/>
          <w:color w:val="auto"/>
        </w:rPr>
      </w:pPr>
      <w:r>
        <w:rPr>
          <w:rFonts w:ascii="Arial" w:cs="Arial" w:eastAsia="Arial" w:hAnsi="Arial"/>
          <w:sz w:val="18"/>
          <w:szCs w:val="18"/>
          <w:color w:val="auto"/>
        </w:rPr>
        <w:t>The percentage of common stock outstanding is based on 180,057,279 shares of our common stock outstanding as of March 31, 2026. For purposes of the table below, and in accordance with the rules of the SEC, we deem shares of common stock subject to options that are currently exercisable or exercisable within sixty days of March 31, 2026, to be outstanding and to be beneficially owned by the person holding the options or warrants for the purpose of computing the percentage ownership of that person, but we do not treat them as outstanding for the purpose of computing the percentage ownership of any other person. Except as otherwise noted, each of the persons or entities in this table has sole voting and investing power with respect to all of the shares of common stock beneficially owned by them, subject to community property laws, where applicable. Except as otherwise noted below, the street address of each beneficial owner is c/o Century Therapeutics, Inc., 25 North 38th Street, 11th Floor, Philadelphia, PA 19104.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107315</wp:posOffset>
            </wp:positionV>
            <wp:extent cx="5683250" cy="3429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83250" cy="342900"/>
                    </a:xfrm>
                    <a:prstGeom prst="rect">
                      <a:avLst/>
                    </a:prstGeom>
                    <a:noFill/>
                  </pic:spPr>
                </pic:pic>
              </a:graphicData>
            </a:graphic>
          </wp:anchor>
        </w:drawing>
      </w:r>
    </w:p>
    <w:p>
      <w:pPr>
        <w:spacing w:after="0" w:line="129" w:lineRule="exact"/>
        <w:rPr>
          <w:sz w:val="20"/>
          <w:szCs w:val="20"/>
          <w:color w:val="auto"/>
        </w:rPr>
      </w:pPr>
    </w:p>
    <w:tbl>
      <w:tblPr>
        <w:tblLayout w:type="fixed"/>
        <w:tblInd w:w="870" w:type="dxa"/>
        <w:tblCellMar>
          <w:top w:w="0" w:type="dxa"/>
          <w:left w:w="0" w:type="dxa"/>
          <w:bottom w:w="0" w:type="dxa"/>
          <w:right w:w="0" w:type="dxa"/>
        </w:tblCellMar>
      </w:tblPr>
      <w:tr>
        <w:trPr>
          <w:trHeight w:val="236"/>
        </w:trPr>
        <w:tc>
          <w:tcPr>
            <w:tcW w:w="1700" w:type="dxa"/>
            <w:vAlign w:val="bottom"/>
            <w:tcBorders>
              <w:top w:val="single" w:sz="8" w:color="auto"/>
              <w:left w:val="single" w:sz="8" w:color="auto"/>
            </w:tcBorders>
            <w:vMerge w:val="restart"/>
          </w:tcPr>
          <w:p>
            <w:pPr>
              <w:ind w:left="80"/>
              <w:spacing w:after="0"/>
              <w:rPr>
                <w:sz w:val="20"/>
                <w:szCs w:val="20"/>
                <w:color w:val="auto"/>
              </w:rPr>
            </w:pPr>
            <w:r>
              <w:rPr>
                <w:rFonts w:ascii="Arial" w:cs="Arial" w:eastAsia="Arial" w:hAnsi="Arial"/>
                <w:sz w:val="16"/>
                <w:szCs w:val="16"/>
                <w:b w:val="1"/>
                <w:bCs w:val="1"/>
                <w:color w:val="FFFFFF"/>
              </w:rPr>
              <w:t>​</w:t>
            </w:r>
          </w:p>
        </w:tc>
        <w:tc>
          <w:tcPr>
            <w:tcW w:w="3620" w:type="dxa"/>
            <w:vAlign w:val="bottom"/>
            <w:tcBorders>
              <w:top w:val="single" w:sz="8" w:color="auto"/>
            </w:tcBorders>
            <w:vMerge w:val="restart"/>
          </w:tcPr>
          <w:p>
            <w:pPr>
              <w:ind w:left="100"/>
              <w:spacing w:after="0"/>
              <w:rPr>
                <w:sz w:val="20"/>
                <w:szCs w:val="20"/>
                <w:color w:val="auto"/>
              </w:rPr>
            </w:pPr>
            <w:r>
              <w:rPr>
                <w:rFonts w:ascii="Arial" w:cs="Arial" w:eastAsia="Arial" w:hAnsi="Arial"/>
                <w:sz w:val="16"/>
                <w:szCs w:val="16"/>
                <w:b w:val="1"/>
                <w:bCs w:val="1"/>
                <w:color w:val="FFFFFF"/>
              </w:rPr>
              <w:t>NAME OF BENEFICIAL OWNER</w:t>
            </w:r>
          </w:p>
        </w:tc>
        <w:tc>
          <w:tcPr>
            <w:tcW w:w="3480" w:type="dxa"/>
            <w:vAlign w:val="bottom"/>
            <w:tcBorders>
              <w:top w:val="single" w:sz="8" w:color="auto"/>
            </w:tcBorders>
            <w:gridSpan w:val="4"/>
            <w:vMerge w:val="restart"/>
          </w:tcPr>
          <w:p>
            <w:pPr>
              <w:ind w:left="560"/>
              <w:spacing w:after="0" w:line="310" w:lineRule="exact"/>
              <w:rPr>
                <w:sz w:val="20"/>
                <w:szCs w:val="20"/>
                <w:color w:val="auto"/>
              </w:rPr>
            </w:pPr>
            <w:r>
              <w:rPr>
                <w:rFonts w:ascii="Arial" w:cs="Arial" w:eastAsia="Arial" w:hAnsi="Arial"/>
                <w:sz w:val="32"/>
                <w:szCs w:val="32"/>
                <w:b w:val="1"/>
                <w:bCs w:val="1"/>
                <w:color w:val="FFFFFF"/>
                <w:vertAlign w:val="subscript"/>
              </w:rPr>
              <w:t>​</w:t>
            </w:r>
            <w:r>
              <w:rPr>
                <w:rFonts w:ascii="Arial" w:cs="Arial" w:eastAsia="Arial" w:hAnsi="Arial"/>
                <w:sz w:val="16"/>
                <w:szCs w:val="16"/>
                <w:b w:val="1"/>
                <w:bCs w:val="1"/>
                <w:color w:val="FFFFFF"/>
              </w:rPr>
              <w:t>​  SHARES BENEFICIALLY OWNED</w:t>
            </w:r>
          </w:p>
        </w:tc>
        <w:tc>
          <w:tcPr>
            <w:tcW w:w="2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74"/>
        </w:trPr>
        <w:tc>
          <w:tcPr>
            <w:tcW w:w="1700" w:type="dxa"/>
            <w:vAlign w:val="bottom"/>
            <w:tcBorders>
              <w:left w:val="single" w:sz="8" w:color="auto"/>
            </w:tcBorders>
            <w:vMerge w:val="continue"/>
          </w:tcPr>
          <w:p>
            <w:pPr>
              <w:spacing w:after="0"/>
              <w:rPr>
                <w:sz w:val="6"/>
                <w:szCs w:val="6"/>
                <w:color w:val="auto"/>
              </w:rPr>
            </w:pPr>
          </w:p>
        </w:tc>
        <w:tc>
          <w:tcPr>
            <w:tcW w:w="3620" w:type="dxa"/>
            <w:vAlign w:val="bottom"/>
            <w:vMerge w:val="continue"/>
          </w:tcPr>
          <w:p>
            <w:pPr>
              <w:spacing w:after="0"/>
              <w:rPr>
                <w:sz w:val="6"/>
                <w:szCs w:val="6"/>
                <w:color w:val="auto"/>
              </w:rPr>
            </w:pPr>
          </w:p>
        </w:tc>
        <w:tc>
          <w:tcPr>
            <w:tcW w:w="3480" w:type="dxa"/>
            <w:vAlign w:val="bottom"/>
            <w:gridSpan w:val="4"/>
            <w:vMerge w:val="continue"/>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700" w:type="dxa"/>
            <w:vAlign w:val="bottom"/>
            <w:tcBorders>
              <w:left w:val="single" w:sz="8" w:color="auto"/>
            </w:tcBorders>
          </w:tcPr>
          <w:p>
            <w:pPr>
              <w:spacing w:after="0"/>
              <w:rPr>
                <w:sz w:val="19"/>
                <w:szCs w:val="19"/>
                <w:color w:val="auto"/>
              </w:rPr>
            </w:pPr>
          </w:p>
        </w:tc>
        <w:tc>
          <w:tcPr>
            <w:tcW w:w="3620" w:type="dxa"/>
            <w:vAlign w:val="bottom"/>
          </w:tcPr>
          <w:p>
            <w:pPr>
              <w:spacing w:after="0"/>
              <w:rPr>
                <w:sz w:val="19"/>
                <w:szCs w:val="19"/>
                <w:color w:val="auto"/>
              </w:rPr>
            </w:pPr>
          </w:p>
        </w:tc>
        <w:tc>
          <w:tcPr>
            <w:tcW w:w="3680" w:type="dxa"/>
            <w:vAlign w:val="bottom"/>
            <w:tcBorders>
              <w:right w:val="single" w:sz="8" w:color="auto"/>
            </w:tcBorders>
            <w:gridSpan w:val="5"/>
          </w:tcPr>
          <w:p>
            <w:pPr>
              <w:jc w:val="right"/>
              <w:spacing w:after="0" w:line="230" w:lineRule="exact"/>
              <w:rPr>
                <w:sz w:val="20"/>
                <w:szCs w:val="20"/>
                <w:color w:val="auto"/>
              </w:rPr>
            </w:pPr>
            <w:r>
              <w:rPr>
                <w:rFonts w:ascii="Arial" w:cs="Arial" w:eastAsia="Arial" w:hAnsi="Arial"/>
                <w:sz w:val="26"/>
                <w:szCs w:val="26"/>
                <w:b w:val="1"/>
                <w:bCs w:val="1"/>
                <w:color w:val="FFFFFF"/>
                <w:vertAlign w:val="subscript"/>
              </w:rPr>
              <w:t>​</w:t>
            </w:r>
            <w:r>
              <w:rPr>
                <w:rFonts w:ascii="Arial" w:cs="Arial" w:eastAsia="Arial" w:hAnsi="Arial"/>
                <w:sz w:val="14"/>
                <w:szCs w:val="14"/>
                <w:b w:val="1"/>
                <w:bCs w:val="1"/>
                <w:color w:val="FFFFFF"/>
                <w:shd w:val="clear" w:color="auto" w:fill="148CD9"/>
              </w:rPr>
              <w:t xml:space="preserve">NUMBER OF SHARES </w:t>
            </w:r>
            <w:r>
              <w:rPr>
                <w:rFonts w:ascii="Arial" w:cs="Arial" w:eastAsia="Arial" w:hAnsi="Arial"/>
                <w:sz w:val="26"/>
                <w:szCs w:val="26"/>
                <w:b w:val="1"/>
                <w:bCs w:val="1"/>
                <w:color w:val="FFFFFF"/>
                <w:vertAlign w:val="subscript"/>
                <w:shd w:val="clear" w:color="auto" w:fill="148CD9"/>
              </w:rPr>
              <w:t>​​</w:t>
            </w:r>
            <w:r>
              <w:rPr>
                <w:rFonts w:ascii="Arial" w:cs="Arial" w:eastAsia="Arial" w:hAnsi="Arial"/>
                <w:sz w:val="14"/>
                <w:szCs w:val="14"/>
                <w:b w:val="1"/>
                <w:bCs w:val="1"/>
                <w:color w:val="FFFFFF"/>
                <w:shd w:val="clear" w:color="auto" w:fill="148CD9"/>
              </w:rPr>
              <w:t xml:space="preserve">PERCENTAGE </w:t>
            </w:r>
            <w:r>
              <w:rPr>
                <w:rFonts w:ascii="Arial" w:cs="Arial" w:eastAsia="Arial" w:hAnsi="Arial"/>
                <w:sz w:val="26"/>
                <w:szCs w:val="26"/>
                <w:b w:val="1"/>
                <w:bCs w:val="1"/>
                <w:color w:val="FFFFFF"/>
                <w:vertAlign w:val="subscript"/>
                <w:shd w:val="clear" w:color="auto" w:fill="148CD9"/>
              </w:rPr>
              <w:t>​</w:t>
            </w:r>
          </w:p>
        </w:tc>
        <w:tc>
          <w:tcPr>
            <w:tcW w:w="0" w:type="dxa"/>
            <w:vAlign w:val="bottom"/>
          </w:tcPr>
          <w:p>
            <w:pPr>
              <w:spacing w:after="0"/>
              <w:rPr>
                <w:sz w:val="1"/>
                <w:szCs w:val="1"/>
                <w:color w:val="auto"/>
              </w:rPr>
            </w:pPr>
          </w:p>
        </w:tc>
      </w:tr>
      <w:tr>
        <w:trPr>
          <w:trHeight w:val="257"/>
        </w:trPr>
        <w:tc>
          <w:tcPr>
            <w:tcW w:w="5320" w:type="dxa"/>
            <w:vAlign w:val="bottom"/>
            <w:tcBorders>
              <w:left w:val="single" w:sz="8" w:color="auto"/>
              <w:bottom w:val="single" w:sz="8" w:color="auto"/>
            </w:tcBorders>
            <w:gridSpan w:val="2"/>
          </w:tcPr>
          <w:p>
            <w:pPr>
              <w:ind w:left="80"/>
              <w:spacing w:after="0" w:line="256"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6"/>
                <w:szCs w:val="16"/>
                <w:b w:val="1"/>
                <w:bCs w:val="1"/>
                <w:color w:val="auto"/>
              </w:rPr>
              <w:t>Greater than 5% Stockholders</w:t>
            </w: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0"/>
        </w:trPr>
        <w:tc>
          <w:tcPr>
            <w:tcW w:w="53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TCG Crossover Management, LLC Entities(1)</w:t>
            </w: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17,944,649</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7"/>
              </w:rPr>
              <w:t>9.97%</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RA Capital Healthcare Fund, L.P.(2)</w:t>
            </w: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17,944,649</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7"/>
              </w:rPr>
              <w:t>9.97%</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Deep Track Capital, LP Entities(3)</w:t>
            </w: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13,486,400</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7"/>
              </w:rPr>
              <w:t>7.49%</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Venrock Healthcare Capital Partners EG, L.P. Entities(4)</w:t>
            </w: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13,043,478</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7"/>
              </w:rPr>
              <w:t>7.01%</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Commodore Capital LP(5)</w:t>
            </w: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13,043,478</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7"/>
              </w:rPr>
              <w:t>7.01%</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RTW Investments, LP Entities(6)</w:t>
            </w: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13,043,478</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7"/>
              </w:rPr>
              <w:t>7.01%</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Bayer World Investments B.V.(7)</w:t>
            </w: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12,675,838</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7"/>
              </w:rPr>
              <w:t>7.04%</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700" w:type="dxa"/>
            <w:vAlign w:val="bottom"/>
            <w:tcBorders>
              <w:left w:val="single" w:sz="8" w:color="auto"/>
              <w:bottom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Versant Entities(8)</w:t>
            </w:r>
          </w:p>
        </w:tc>
        <w:tc>
          <w:tcPr>
            <w:tcW w:w="36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12,166,109</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7"/>
              </w:rPr>
              <w:t>6.76%</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color w:val="auto"/>
              </w:rPr>
              <w:t>Named Executive Officers and Directors</w:t>
            </w: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0"/>
        </w:trPr>
        <w:tc>
          <w:tcPr>
            <w:tcW w:w="53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Brent Pfeiffenberger, Pharm.D.(9)</w:t>
            </w: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1,290,305</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4"/>
              </w:rPr>
              <w:t>*</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Gregory Russotti, Ph.D.(10)</w:t>
            </w: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1,221,693</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4"/>
              </w:rPr>
              <w:t>*</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Adrienne Farid, Ph.D.(11)</w:t>
            </w: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675,420</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4"/>
              </w:rPr>
              <w:t>*</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Chad Cowan, Ph.D.(12)</w:t>
            </w: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411,413</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4"/>
              </w:rPr>
              <w:t>*</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Kimberly Blackwell, M.D.(13)</w:t>
            </w: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227,227</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4"/>
              </w:rPr>
              <w:t>*</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Alessandro Riva, M.D.(14)</w:t>
            </w: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227,227</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4"/>
              </w:rPr>
              <w:t>*</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700" w:type="dxa"/>
            <w:vAlign w:val="bottom"/>
            <w:tcBorders>
              <w:left w:val="single" w:sz="8" w:color="auto"/>
              <w:bottom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Daphne Quimi(15)</w:t>
            </w:r>
          </w:p>
        </w:tc>
        <w:tc>
          <w:tcPr>
            <w:tcW w:w="36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132,744</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4"/>
              </w:rPr>
              <w:t>*</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Timothy P. Walbert(16)</w:t>
            </w: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127,744</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4"/>
              </w:rPr>
              <w:t>*</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Han Lee, Ph.D., M.B.A.(17)</w:t>
            </w: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12,222</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4"/>
              </w:rPr>
              <w:t>*</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Martin Murphy, Ph.D.(18)</w:t>
            </w: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12,222</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4"/>
              </w:rPr>
              <w:t>*</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All executive officers and directors as a group (12 persons)</w:t>
            </w: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4,338,217</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2.4%</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240" w:hanging="370"/>
        <w:spacing w:after="0"/>
        <w:tabs>
          <w:tab w:leader="none" w:pos="12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59" w:lineRule="exact"/>
        <w:rPr>
          <w:sz w:val="20"/>
          <w:szCs w:val="20"/>
          <w:color w:val="auto"/>
        </w:rPr>
      </w:pPr>
    </w:p>
    <w:p>
      <w:pPr>
        <w:jc w:val="both"/>
        <w:ind w:left="1240" w:right="19" w:hanging="370"/>
        <w:spacing w:after="0" w:line="238" w:lineRule="auto"/>
        <w:tabs>
          <w:tab w:leader="none" w:pos="12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solely upon information set forth in a Schedule 13G filed on January 15, 2026. Consists of (i) (a) 8,877,215 shares of common stock, (b) 8,514,089 Pre-Funded Warrants and (c) 8,695,652 Common Warrants purchased in the private placement by TCG Crossover Fund II, L.P., or TCGX II, and (ii) (a) 8,877,215 shares of common stock, (b) 8,514,089 Pre-Funded Warrants and (c) 8,695,652 Common Warrants purchased in the private placement by TCG Crossover Fund III, L.P., or TCGX III. TCG Crossover GP II, LLC, or TCGX II GP, is the general partner of TCGX II and may be deemed to have voting, investment, and dispositive power with respect to the securities held by TCGX II and TCG Crossover GP III, LLC, or TCGX III GP, is the general partner TCGX III and may be deemed to have voting, investment, and dispositive power with respect to the securities held by TCGX III. Chen Yu is the sole managing member of each of TCGX II GP and</w:t>
      </w:r>
    </w:p>
    <w:p>
      <w:pPr>
        <w:ind w:left="1240"/>
        <w:spacing w:after="0"/>
        <w:rPr>
          <w:rFonts w:ascii="Arial" w:cs="Arial" w:eastAsia="Arial" w:hAnsi="Arial"/>
          <w:sz w:val="16"/>
          <w:szCs w:val="16"/>
          <w:color w:val="auto"/>
        </w:rPr>
      </w:pPr>
      <w:r>
        <w:rPr>
          <w:rFonts w:ascii="Arial" w:cs="Arial" w:eastAsia="Arial" w:hAnsi="Arial"/>
          <w:sz w:val="16"/>
          <w:szCs w:val="16"/>
          <w:color w:val="auto"/>
        </w:rPr>
        <w:t>TCGX III GP</w:t>
      </w:r>
    </w:p>
    <w:p>
      <w:pPr>
        <w:sectPr>
          <w:pgSz w:w="11900" w:h="16838" w:orient="portrait"/>
          <w:cols w:equalWidth="0" w:num="1">
            <w:col w:w="9879"/>
          </w:cols>
          <w:pgMar w:left="580" w:top="97" w:right="1440" w:bottom="1440" w:gutter="0" w:footer="0" w:header="0"/>
        </w:sectPr>
      </w:pPr>
    </w:p>
    <w:p>
      <w:pPr>
        <w:spacing w:after="0" w:line="308"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152" w:lineRule="exact"/>
        <w:rPr>
          <w:sz w:val="20"/>
          <w:szCs w:val="20"/>
          <w:color w:val="auto"/>
        </w:rPr>
      </w:pPr>
    </w:p>
    <w:p>
      <w:pPr>
        <w:ind w:left="980"/>
        <w:spacing w:after="0"/>
        <w:rPr>
          <w:sz w:val="20"/>
          <w:szCs w:val="20"/>
          <w:color w:val="auto"/>
        </w:rPr>
      </w:pPr>
      <w:r>
        <w:rPr>
          <w:rFonts w:ascii="Arial" w:cs="Arial" w:eastAsia="Arial" w:hAnsi="Arial"/>
          <w:sz w:val="32"/>
          <w:szCs w:val="32"/>
          <w:b w:val="1"/>
          <w:bCs w:val="1"/>
          <w:color w:val="FFFFFF"/>
        </w:rPr>
        <w:t>SECURITY OWNERSHIP OF CERTAIN BENEFICIAL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4972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00395" cy="497205"/>
                    </a:xfrm>
                    <a:prstGeom prst="rect">
                      <a:avLst/>
                    </a:prstGeom>
                    <a:noFill/>
                  </pic:spPr>
                </pic:pic>
              </a:graphicData>
            </a:graphic>
          </wp:anchor>
        </w:drawing>
      </w:r>
    </w:p>
    <w:p>
      <w:pPr>
        <w:spacing w:after="0" w:line="38"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​OWNERS AND MANAGEMENT</w:t>
      </w:r>
      <w:r>
        <w:rPr>
          <w:sz w:val="20"/>
          <w:szCs w:val="20"/>
          <w:color w:val="auto"/>
        </w:rPr>
        <w:tab/>
      </w:r>
      <w:r>
        <w:rPr>
          <w:rFonts w:ascii="Arial" w:cs="Arial" w:eastAsia="Arial" w:hAnsi="Arial"/>
          <w:sz w:val="32"/>
          <w:szCs w:val="32"/>
          <w:b w:val="1"/>
          <w:bCs w:val="1"/>
          <w:color w:val="FFFFFF"/>
        </w:rPr>
        <w:t>​</w:t>
      </w:r>
    </w:p>
    <w:p>
      <w:pPr>
        <w:spacing w:after="0" w:line="316"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and may be deemed to share voting, investment and dispositive power with respect to these securities. Each of TCGX II</w:t>
      </w:r>
    </w:p>
    <w:p>
      <w:pPr>
        <w:spacing w:after="0" w:line="8" w:lineRule="exact"/>
        <w:rPr>
          <w:sz w:val="20"/>
          <w:szCs w:val="20"/>
          <w:color w:val="auto"/>
        </w:rPr>
      </w:pPr>
    </w:p>
    <w:p>
      <w:pPr>
        <w:ind w:left="1240" w:right="39"/>
        <w:spacing w:after="0" w:line="234" w:lineRule="auto"/>
        <w:rPr>
          <w:sz w:val="20"/>
          <w:szCs w:val="20"/>
          <w:color w:val="auto"/>
        </w:rPr>
      </w:pPr>
      <w:r>
        <w:rPr>
          <w:rFonts w:ascii="Arial" w:cs="Arial" w:eastAsia="Arial" w:hAnsi="Arial"/>
          <w:sz w:val="15"/>
          <w:szCs w:val="15"/>
          <w:color w:val="auto"/>
        </w:rPr>
        <w:t>GP, TCGX III GP and Chen Yu disclaim beneficial ownership of these securities, except to the extent of their respective pecuniary interest in such securities. The principal business address for TCGX II, TCGX III, TCGX II GP, TCGX III GP and</w:t>
      </w:r>
    </w:p>
    <w:p>
      <w:pPr>
        <w:ind w:left="1240"/>
        <w:spacing w:after="0" w:line="230" w:lineRule="auto"/>
        <w:rPr>
          <w:sz w:val="20"/>
          <w:szCs w:val="20"/>
          <w:color w:val="auto"/>
        </w:rPr>
      </w:pPr>
      <w:r>
        <w:rPr>
          <w:rFonts w:ascii="Arial" w:cs="Arial" w:eastAsia="Arial" w:hAnsi="Arial"/>
          <w:sz w:val="16"/>
          <w:szCs w:val="16"/>
          <w:color w:val="auto"/>
        </w:rPr>
        <w:t>Chen Yu, or collectively, the TCGX Fund, is c/o TCG Crossover Management, LLC, 245 Lytton Ave., Suite 350, Palo Alto,</w:t>
      </w:r>
    </w:p>
    <w:p>
      <w:pPr>
        <w:ind w:left="1240" w:right="39"/>
        <w:spacing w:after="0" w:line="220" w:lineRule="auto"/>
        <w:rPr>
          <w:sz w:val="20"/>
          <w:szCs w:val="20"/>
          <w:color w:val="auto"/>
        </w:rPr>
      </w:pPr>
      <w:r>
        <w:rPr>
          <w:rFonts w:ascii="Arial" w:cs="Arial" w:eastAsia="Arial" w:hAnsi="Arial"/>
          <w:sz w:val="16"/>
          <w:szCs w:val="16"/>
          <w:color w:val="auto"/>
        </w:rPr>
        <w:t>CA 94301. The shares of common stock issuable upon exercise of the Pre-Funded Warrants and Common Warrants held by each of TCGX II and TCGX III are subject to a Beneficial Ownership Limitation of 9.99%. TCGX II and TCGX III are</w:t>
      </w:r>
    </w:p>
    <w:p>
      <w:pPr>
        <w:ind w:left="1240" w:right="39"/>
        <w:spacing w:after="0" w:line="248" w:lineRule="auto"/>
        <w:rPr>
          <w:sz w:val="20"/>
          <w:szCs w:val="20"/>
          <w:color w:val="auto"/>
        </w:rPr>
      </w:pPr>
      <w:r>
        <w:rPr>
          <w:rFonts w:ascii="Arial" w:cs="Arial" w:eastAsia="Arial" w:hAnsi="Arial"/>
          <w:sz w:val="16"/>
          <w:szCs w:val="16"/>
          <w:color w:val="auto"/>
        </w:rPr>
        <w:t>currently prohibited from exercising the Common Warrants to the extent that such exercise would result in the TCGX Fund’s beneficial ownership of more than 17,944,649 shares of common stock.</w:t>
      </w:r>
    </w:p>
    <w:p>
      <w:pPr>
        <w:spacing w:after="0" w:line="9" w:lineRule="exact"/>
        <w:rPr>
          <w:sz w:val="20"/>
          <w:szCs w:val="20"/>
          <w:color w:val="auto"/>
        </w:rPr>
      </w:pPr>
    </w:p>
    <w:p>
      <w:pPr>
        <w:jc w:val="both"/>
        <w:ind w:left="1240" w:right="19" w:hanging="370"/>
        <w:spacing w:after="0" w:line="238" w:lineRule="auto"/>
        <w:tabs>
          <w:tab w:leader="none" w:pos="12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solely upon information set forth in a Schedule 13G filed on January 16, 2026. Consists of (i) 17,754,430 shares of common stock, (ii) 8,332,526 Pre-Funded Warrants and (iii) 13,043,478 Common Warrants purchased in the private placement by RA Capital Healthcare Fund, L.P., or RACHF. RA Capital Management, L.P., is the investment manager for RACHF. The general partner of RA Capital Management, L.P., is RA Capital Management GP, LLC, of which Peter Kolchinsky, Ph.D., and Rajeev Shah are the managing members. Each of RA Capital Management, L.P., RA Capital Management GP, LLC, Mr. Kolchinsky and Mr. Shah may be deemed to have voting and investment power with respect to the securities held by RACHF. RA Capital Management, L.P., RA Capital Management GP, LLC, Mr. Kolchinsky and Mr. Shah, or, collectively, the RA Capital Fund, disclaim beneficial ownership of such securities, except to the extent of any pecuniary interest therein. The principal business address of the persons and entities listed above is 200 Berkeley Street, 18th Floor, Boston, MA 02116. The shares of common stock issuable upon conversion of the shares of the Warrants held by RACHF are subject to a Beneficial Ownership Limitation of 9.99%. RACHF is currently prohibited from exercising the Common Warrants to the extent that such exercise would result in the RA Capital Fund’s beneficial ownership of more than 17,944,649 shares of common stock.</w:t>
      </w:r>
    </w:p>
    <w:p>
      <w:pPr>
        <w:spacing w:after="0" w:line="44" w:lineRule="exact"/>
        <w:rPr>
          <w:rFonts w:ascii="Arial" w:cs="Arial" w:eastAsia="Arial" w:hAnsi="Arial"/>
          <w:sz w:val="16"/>
          <w:szCs w:val="16"/>
          <w:color w:val="auto"/>
        </w:rPr>
      </w:pPr>
    </w:p>
    <w:p>
      <w:pPr>
        <w:jc w:val="both"/>
        <w:ind w:left="1240" w:right="19" w:hanging="370"/>
        <w:spacing w:after="0" w:line="238" w:lineRule="auto"/>
        <w:tabs>
          <w:tab w:leader="none" w:pos="12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in part upon information set forth in a Schedule 13G filed on January 16, 2026. Consists of (i)(a) 7,220,313 shares of common stock and (b) 3,388,695 Common Warrants purchased by Deep Track Biotechnology Master Fund, Ltd., in the private placement, (ii)(a) 1,918,261 shares of common stock and (b) 959,131 Common Warrants purchased by Deep Track Special Opportunities Fund, LP, in the private placement and (iii) 442,922 shares of common stock held by Deep Track Biotechnology Master Fund, Ltd., prior to the private placement. David Kroin is the managing member of Deep Track Capital GP, LLC, or the General Partner. The General Partner is the general partner of Deep Track Capital, LP., or the Investment Manager. The Investment Manager is the Investment Manager for Deep Track Biotechnology Master Fund, Ltd., and for Deep Track Special Opportunities Fund, LP. The address of the fund is c/o Deep Track Capital L.P., 200 Greenwich Ave, 3rd Floor, Greenwich CT, 06830. The shares of common stock issuable upon conversion of the shares of the Common Warrants held by each of Deep Track Biotechnology Master Fund, Ltd., and Deep Track Special Opportunities Fund, LP, are subject to a Beneficial Ownership Limitation of 9.99%.</w:t>
      </w:r>
    </w:p>
    <w:p>
      <w:pPr>
        <w:spacing w:after="0" w:line="31" w:lineRule="exact"/>
        <w:rPr>
          <w:rFonts w:ascii="Arial" w:cs="Arial" w:eastAsia="Arial" w:hAnsi="Arial"/>
          <w:sz w:val="16"/>
          <w:szCs w:val="16"/>
          <w:color w:val="auto"/>
        </w:rPr>
      </w:pPr>
    </w:p>
    <w:p>
      <w:pPr>
        <w:jc w:val="both"/>
        <w:ind w:left="1240" w:right="19" w:hanging="370"/>
        <w:spacing w:after="0" w:line="239" w:lineRule="auto"/>
        <w:tabs>
          <w:tab w:leader="none" w:pos="12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solely upon information set forth in a Schedule 13G filed on January 16, 2026. Consists of (i)(a) 1,414,783 shares of common stock and (b) 707,392 Common Warrants purchased by Venrock Healthcare Capital Partners III, L.P., or VHCP III, in the Private Placement, (ii)(a) 141,739 shares of common stock and (b) 70,869 Common Warrants purchased by VHCP Co-Investment Holdings III, LLC, or VHCP Co-Invest III, in the private placement, and (iii)(a) 7,139,130 shares of common stock and (b) 3,569,565 Common Warrants purchased by VHCP EG. VHCP Management III, LLC, or VHCPM, is the sole general partner of VHCP III and the sole manager of VHCP Co-Invest III. VHCP Management EG, LLC, or VHCPM EG, is the sole general partner of VHCP EG. Dr. Bong Koh and Nimish Shah are the voting members of VHCPM and VHCPM EG. The address of each of these persons and entities is 7 Bryant Park, 23rd Floor, New York, NY 10018. The shares of common stock issuable upon conversion of the shares of the Common Warrants held by each of VHCP EG, VHCP III and VHCP Co-Invest III are subject to a Beneficial Ownership Limitation of 9.99%.</w:t>
      </w:r>
    </w:p>
    <w:p>
      <w:pPr>
        <w:spacing w:after="0" w:line="44" w:lineRule="exact"/>
        <w:rPr>
          <w:rFonts w:ascii="Arial" w:cs="Arial" w:eastAsia="Arial" w:hAnsi="Arial"/>
          <w:sz w:val="16"/>
          <w:szCs w:val="16"/>
          <w:color w:val="auto"/>
        </w:rPr>
      </w:pPr>
    </w:p>
    <w:p>
      <w:pPr>
        <w:jc w:val="both"/>
        <w:ind w:left="1240" w:right="19" w:hanging="370"/>
        <w:spacing w:after="0" w:line="238" w:lineRule="auto"/>
        <w:tabs>
          <w:tab w:leader="none" w:pos="12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solely upon information set forth in a Schedule 13G filed on January 16, 2026. Consists of (i) 8,695,652 shares of common stock and (ii) 4,347,826 Common Warrants purchased by Commodore Capital Master LP, or Commodore, in the private placement. Commodore Capital LP is the investment manager to Commodore and may be deemed to beneficially own the securities held by Commodore. Michael Kramarz and Robert Egen Atkinson are the managing partners of Commodore Capital LP and exercise investment discretion with respect to these securities. Commodore Capital LP and Commodore have shared voting and dispositive power with respect to these securities. The address of Commodore Capital LP and Commodore is 444 Madison Avenue, 35th Floor, New York, NY 10022. The shares of common stock issuable upon conversion of the shares of the Common Warrants held by Commodore are subject to a Beneficial Ownership Limitation of 9.99%.</w:t>
      </w:r>
    </w:p>
    <w:p>
      <w:pPr>
        <w:spacing w:after="0" w:line="45" w:lineRule="exact"/>
        <w:rPr>
          <w:rFonts w:ascii="Arial" w:cs="Arial" w:eastAsia="Arial" w:hAnsi="Arial"/>
          <w:sz w:val="16"/>
          <w:szCs w:val="16"/>
          <w:color w:val="auto"/>
        </w:rPr>
      </w:pPr>
    </w:p>
    <w:p>
      <w:pPr>
        <w:jc w:val="both"/>
        <w:ind w:left="1240" w:right="19" w:hanging="370"/>
        <w:spacing w:after="0" w:line="237" w:lineRule="auto"/>
        <w:tabs>
          <w:tab w:leader="none" w:pos="12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Consists of (i)(a) 4,505,024 shares of common stock and (b) 2,252,512 Common Warrants purchased by RTW Master Fund, LTD. in the private placement, (ii)(a) 3,806,992 shares of common stock and (b) 1,903,496 Common Warrants purchased by RTW Innovation Master Fund, LTD. in the private placement, and (iii)(a) 383,636 shares of common stock and (b) 191,818 Common Warrants purchased by RTW Biotech Opportunities Operating LTD. in the private placement. RTW Investments, LP, or RTW,, in its capacity as the investment manager of each of RTW Master Fund, Ltd., RTW Innovation Master Fund, Ltd., and RTW Biotech Opportunities Operating, Ltd., or collectively, the RTW Funds, has the power to vote and the power to direct the disposition of the shares held by the RTW Funds. Accordingly, RTW may be deemed to be the beneficial owner of such securities. Roderick Wong, M.D., as the Managing Partner of RTW, has the power to direct the vote and disposition of the securities held by RTW. Dr. Wong disclaims beneficial ownership of the shares held by the RTW Funds, except to the extent of his pecuniary interest therein. The address and principal office of RTW is 40 10th Avenue, Floor 7, New York, NY 10014, and the address of Dr. Wong and each of the RTW Funds is c/o RTW Investments, LP, 40 10th Avenue, Floor 7, New York, NY 10014. The shares of common stock issuable upon conversion of the shares of the Common Warrants held by the RTW Funds are subject to a Beneficial Ownership Limitation of 9.99%.</w:t>
      </w:r>
    </w:p>
    <w:p>
      <w:pPr>
        <w:sectPr>
          <w:pgSz w:w="11900" w:h="16838" w:orient="portrait"/>
          <w:cols w:equalWidth="0" w:num="1">
            <w:col w:w="9879"/>
          </w:cols>
          <w:pgMar w:left="580" w:top="97" w:right="1440" w:bottom="1440" w:gutter="0" w:footer="0" w:header="0"/>
        </w:sectPr>
      </w:pPr>
    </w:p>
    <w:p>
      <w:pPr>
        <w:spacing w:after="0" w:line="300"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879"/>
          </w:cols>
          <w:pgMar w:left="580" w:top="97" w:right="1440" w:bottom="1440" w:gutter="0" w:footer="0" w:header="0"/>
        </w:sectPr>
      </w:pPr>
    </w:p>
    <w:p>
      <w:pPr>
        <w:spacing w:after="0" w:line="152" w:lineRule="exact"/>
        <w:rPr>
          <w:sz w:val="20"/>
          <w:szCs w:val="20"/>
          <w:color w:val="auto"/>
        </w:rPr>
      </w:pPr>
    </w:p>
    <w:p>
      <w:pPr>
        <w:ind w:left="880" w:right="400" w:firstLine="108"/>
        <w:spacing w:after="0" w:line="315" w:lineRule="auto"/>
        <w:rPr>
          <w:sz w:val="20"/>
          <w:szCs w:val="20"/>
          <w:color w:val="auto"/>
        </w:rPr>
      </w:pPr>
      <w:r>
        <w:rPr>
          <w:rFonts w:ascii="Arial" w:cs="Arial" w:eastAsia="Arial" w:hAnsi="Arial"/>
          <w:sz w:val="32"/>
          <w:szCs w:val="32"/>
          <w:b w:val="1"/>
          <w:bCs w:val="1"/>
          <w:color w:val="FFFFFF"/>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-593725</wp:posOffset>
            </wp:positionV>
            <wp:extent cx="5700395" cy="4972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00395" cy="4972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32"/>
          <w:szCs w:val="32"/>
          <w:b w:val="1"/>
          <w:bCs w:val="1"/>
          <w:color w:val="FFFFFF"/>
        </w:rPr>
        <w:t>​</w:t>
      </w:r>
    </w:p>
    <w:p>
      <w:pPr>
        <w:spacing w:after="0" w:line="336" w:lineRule="exact"/>
        <w:rPr>
          <w:sz w:val="20"/>
          <w:szCs w:val="20"/>
          <w:color w:val="auto"/>
        </w:rPr>
      </w:pPr>
    </w:p>
    <w:p>
      <w:pPr>
        <w:sectPr>
          <w:pgSz w:w="11900" w:h="16838" w:orient="portrait"/>
          <w:cols w:equalWidth="0" w:num="2">
            <w:col w:w="9020" w:space="720"/>
            <w:col w:w="139"/>
          </w:cols>
          <w:pgMar w:left="580" w:top="97" w:right="1440" w:bottom="1440" w:gutter="0" w:footer="0" w:header="0"/>
          <w:type w:val="continuous"/>
        </w:sectPr>
      </w:pPr>
    </w:p>
    <w:p>
      <w:pPr>
        <w:jc w:val="both"/>
        <w:ind w:left="1240" w:right="19" w:hanging="370"/>
        <w:spacing w:after="0" w:line="243" w:lineRule="auto"/>
        <w:tabs>
          <w:tab w:leader="none" w:pos="12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solely upon information set forth in a Schedule 13G filed on February 11, 2022. Bayer World Investments B.V. is a subsidiary of Bayer AG and voting and investment decisions with respect to these shares are made by Bayer AG’s Board of Management, which consists of Werner Baumann, Liam Condom, Serena Lin, Wolfgang Nickl, Stefan Oelrich, and Heiko Schipper. Each of Messrs. Baumann, Condon, Nickl, Oelrich, Schipper, and Ms. Lin disclaim beneficial ownership over the shares held by Bayer World Investments B.V. The address for Bayer World Investments B.V. is Bayer AG, Kaiser-Wilhelm-Allee 3, 51373 Leverkusen, Germany.</w:t>
      </w:r>
    </w:p>
    <w:p>
      <w:pPr>
        <w:spacing w:after="0" w:line="29" w:lineRule="exact"/>
        <w:rPr>
          <w:rFonts w:ascii="Arial" w:cs="Arial" w:eastAsia="Arial" w:hAnsi="Arial"/>
          <w:sz w:val="16"/>
          <w:szCs w:val="16"/>
          <w:color w:val="auto"/>
        </w:rPr>
      </w:pPr>
    </w:p>
    <w:p>
      <w:pPr>
        <w:jc w:val="both"/>
        <w:ind w:left="1240" w:right="19" w:hanging="370"/>
        <w:spacing w:after="0" w:line="238" w:lineRule="auto"/>
        <w:tabs>
          <w:tab w:leader="none" w:pos="12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solely upon information set forth in a Schedule 13G/A filed on February 8, 2024. Consists of (i) 11,452,014 shares of common stock held by Versant Venture Capital VI, L.P., or Versant VI, and (ii) 714,095 shares of common stock held by Versant Vantage II GP-GP, LLC, or Versant II. Versant Ventures VI GP, L.P., or Versant VI GP LP, is the sole general partner of Versant VI and Versant Ventures VI GP-GP, LLC is the sole general partner of Versant VI GP LP and has voting and dispositive control over the shares held by Versant VI. Jerel Davis, Brad Bolzon, Tom Woiwode, Clare Ozawa, Kirk Nielsen and Robin Praeger, the managing directors of Versant Ventures VI GP-GP, LLC, may be deemed to possess voting and dispositive control over the shares held by Versant VI and may be deemed to have indirect beneficial ownership of the shares held by Versant VI but disclaims beneficial ownership of such securities, except to the extent of their respective pecuniary interest therein, if any. Versant Vantage II GP, L.P., or Versant II GP LP, is the sole general partner of Versant II and Versant Vantage II GP-GP, LLC is the sole general partner of Versant II GP LP and has voting and dispositive control over the shares held by Versant II. Dr. Davis, Mr. Bolzan, Mr. Woiwode, Ms. Owaza, Alex Mayweg and Ms. Praeger, the managing directors of Versant Vantage II GP-GP, LLC, may be deemed to possess voting and dispositive control over the shares held by Versant II and may be deemed to have indirect beneficial ownership of the shares held by Versant II but disclaims beneficial ownership of such securities, except to the extent of their respective pecuniary interest therein, if any. The business address for each of Versant VI, Versant VI GP LP, Versant Ventures VI GP-GP, LLC, Versant II, Versant II GP LP and Versant Vantage II GP-GP, LLC is One Sansome Street, Suite 3630, San Francisco, CA 94104.</w:t>
      </w:r>
    </w:p>
    <w:p>
      <w:pPr>
        <w:spacing w:after="0" w:line="30" w:lineRule="exact"/>
        <w:rPr>
          <w:rFonts w:ascii="Arial" w:cs="Arial" w:eastAsia="Arial" w:hAnsi="Arial"/>
          <w:sz w:val="16"/>
          <w:szCs w:val="16"/>
          <w:color w:val="auto"/>
        </w:rPr>
      </w:pPr>
    </w:p>
    <w:p>
      <w:pPr>
        <w:jc w:val="both"/>
        <w:ind w:left="1240" w:right="39" w:hanging="370"/>
        <w:spacing w:after="0" w:line="257" w:lineRule="auto"/>
        <w:tabs>
          <w:tab w:leader="none" w:pos="12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Consists of (i) 647,980 shares of common stock, (ii) 555,355 shares of common stock issuable pursuant to options that are exercisable within 60 days of March 31, 2026, and (iii) 87,000 shares of common stock acquired by open market purchase.</w:t>
      </w:r>
    </w:p>
    <w:p>
      <w:pPr>
        <w:spacing w:after="0" w:line="29" w:lineRule="exact"/>
        <w:rPr>
          <w:rFonts w:ascii="Arial" w:cs="Arial" w:eastAsia="Arial" w:hAnsi="Arial"/>
          <w:sz w:val="16"/>
          <w:szCs w:val="16"/>
          <w:color w:val="auto"/>
        </w:rPr>
      </w:pPr>
    </w:p>
    <w:p>
      <w:pPr>
        <w:jc w:val="both"/>
        <w:ind w:left="1240" w:right="39" w:hanging="370"/>
        <w:spacing w:after="0" w:line="248" w:lineRule="auto"/>
        <w:tabs>
          <w:tab w:leader="none" w:pos="12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Consists of (i) 278,427 shares of common stock, (ii) 850,493 shares of common stock issuable pursuant to options that are exercisable within 60 days of March 31, 2026, and (iii) 92,773 shares of common stock held by the Gregory Russotti 2021 Family Trust. Christina Russotti and Mary Jane Laurer are trustees.</w:t>
      </w:r>
    </w:p>
    <w:p>
      <w:pPr>
        <w:spacing w:after="0" w:line="37" w:lineRule="exact"/>
        <w:rPr>
          <w:rFonts w:ascii="Arial" w:cs="Arial" w:eastAsia="Arial" w:hAnsi="Arial"/>
          <w:sz w:val="16"/>
          <w:szCs w:val="16"/>
          <w:color w:val="auto"/>
        </w:rPr>
      </w:pPr>
    </w:p>
    <w:p>
      <w:pPr>
        <w:jc w:val="both"/>
        <w:ind w:left="1240" w:right="19" w:hanging="370"/>
        <w:spacing w:after="0" w:line="257" w:lineRule="auto"/>
        <w:tabs>
          <w:tab w:leader="none" w:pos="12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Information herein is based solely on Form 4 filed with the SEC on June 11, 2025 by the Company on behalf of Dr. Farid and on the Company’s records. Dr. Farid directly holds 250,141 shares of common stock and (ii) 675,420 shares of common stock issuable pursuant to options that are exercisable within 60 days of March 31, 2026.</w:t>
      </w:r>
    </w:p>
    <w:p>
      <w:pPr>
        <w:spacing w:after="0" w:line="16" w:lineRule="exact"/>
        <w:rPr>
          <w:rFonts w:ascii="Arial" w:cs="Arial" w:eastAsia="Arial" w:hAnsi="Arial"/>
          <w:sz w:val="16"/>
          <w:szCs w:val="16"/>
          <w:color w:val="auto"/>
        </w:rPr>
      </w:pPr>
    </w:p>
    <w:p>
      <w:pPr>
        <w:jc w:val="both"/>
        <w:ind w:left="1240" w:right="39" w:hanging="370"/>
        <w:spacing w:after="0" w:line="248" w:lineRule="auto"/>
        <w:tabs>
          <w:tab w:leader="none" w:pos="12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Consists of (i) 160,322 shares of common stock, (ii) 182,324 shares of common stock issuable pursuant to options that are exercisable within 60 days of March 31, 2026, (iii) 58,060 shares of common stock acquired by open market purchase and (iv) 10,697 shares of common stock held by the Cowan Investment Nominee Trust. Dr. Cowan and Lindsay Cowan are trustees.</w:t>
      </w:r>
    </w:p>
    <w:p>
      <w:pPr>
        <w:spacing w:after="0" w:line="36" w:lineRule="exact"/>
        <w:rPr>
          <w:rFonts w:ascii="Arial" w:cs="Arial" w:eastAsia="Arial" w:hAnsi="Arial"/>
          <w:sz w:val="16"/>
          <w:szCs w:val="16"/>
          <w:color w:val="auto"/>
        </w:rPr>
      </w:pPr>
    </w:p>
    <w:p>
      <w:pPr>
        <w:ind w:left="1240" w:right="39" w:hanging="370"/>
        <w:spacing w:after="0" w:line="268" w:lineRule="auto"/>
        <w:tabs>
          <w:tab w:leader="none" w:pos="12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Consists of 227,227 shares of common stock issuable pursuant to options that are exercisable within 60 days of March 31, 2026.</w:t>
      </w:r>
    </w:p>
    <w:p>
      <w:pPr>
        <w:spacing w:after="0" w:line="21" w:lineRule="exact"/>
        <w:rPr>
          <w:rFonts w:ascii="Arial" w:cs="Arial" w:eastAsia="Arial" w:hAnsi="Arial"/>
          <w:sz w:val="16"/>
          <w:szCs w:val="16"/>
          <w:color w:val="auto"/>
        </w:rPr>
      </w:pPr>
    </w:p>
    <w:p>
      <w:pPr>
        <w:ind w:left="1240" w:right="39" w:hanging="370"/>
        <w:spacing w:after="0" w:line="268" w:lineRule="auto"/>
        <w:tabs>
          <w:tab w:leader="none" w:pos="12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Consists of 227,227 shares of common stock issuable pursuant to options that are exercisable within 60 days of March 31, 2026.</w:t>
      </w:r>
    </w:p>
    <w:p>
      <w:pPr>
        <w:spacing w:after="0" w:line="21" w:lineRule="exact"/>
        <w:rPr>
          <w:rFonts w:ascii="Arial" w:cs="Arial" w:eastAsia="Arial" w:hAnsi="Arial"/>
          <w:sz w:val="16"/>
          <w:szCs w:val="16"/>
          <w:color w:val="auto"/>
        </w:rPr>
      </w:pPr>
    </w:p>
    <w:p>
      <w:pPr>
        <w:ind w:left="1240" w:right="19" w:hanging="370"/>
        <w:spacing w:after="0" w:line="268" w:lineRule="auto"/>
        <w:tabs>
          <w:tab w:leader="none" w:pos="12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Consists of (i) 127,744 shares of common stock issuable pursuant to options that are exercisable within 60 days of March 31, 2026 and (ii) 5,000 shares of common stock acquired by open market purchase.</w:t>
      </w:r>
    </w:p>
    <w:p>
      <w:pPr>
        <w:spacing w:after="0" w:line="21" w:lineRule="exact"/>
        <w:rPr>
          <w:rFonts w:ascii="Arial" w:cs="Arial" w:eastAsia="Arial" w:hAnsi="Arial"/>
          <w:sz w:val="16"/>
          <w:szCs w:val="16"/>
          <w:color w:val="auto"/>
        </w:rPr>
      </w:pPr>
    </w:p>
    <w:p>
      <w:pPr>
        <w:ind w:left="1240" w:right="39" w:hanging="370"/>
        <w:spacing w:after="0" w:line="268" w:lineRule="auto"/>
        <w:tabs>
          <w:tab w:leader="none" w:pos="12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Consists of 127,744 shares of common stock issuable pursuant to options that are exercisable within 60 days of March 31, 2026.</w:t>
      </w:r>
    </w:p>
    <w:p>
      <w:pPr>
        <w:spacing w:after="0" w:line="21" w:lineRule="exact"/>
        <w:rPr>
          <w:rFonts w:ascii="Arial" w:cs="Arial" w:eastAsia="Arial" w:hAnsi="Arial"/>
          <w:sz w:val="16"/>
          <w:szCs w:val="16"/>
          <w:color w:val="auto"/>
        </w:rPr>
      </w:pPr>
    </w:p>
    <w:p>
      <w:pPr>
        <w:ind w:left="1240" w:right="39" w:hanging="370"/>
        <w:spacing w:after="0" w:line="268" w:lineRule="auto"/>
        <w:tabs>
          <w:tab w:leader="none" w:pos="12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Consists of 12,222 shares of common stock issuable pursuant to options that are exercisable within 60 days of March 31, 2026.</w:t>
      </w:r>
    </w:p>
    <w:p>
      <w:pPr>
        <w:spacing w:after="0" w:line="21" w:lineRule="exact"/>
        <w:rPr>
          <w:rFonts w:ascii="Arial" w:cs="Arial" w:eastAsia="Arial" w:hAnsi="Arial"/>
          <w:sz w:val="16"/>
          <w:szCs w:val="16"/>
          <w:color w:val="auto"/>
        </w:rPr>
      </w:pPr>
    </w:p>
    <w:p>
      <w:pPr>
        <w:ind w:left="1240" w:right="39" w:hanging="370"/>
        <w:spacing w:after="0" w:line="268" w:lineRule="auto"/>
        <w:tabs>
          <w:tab w:leader="none" w:pos="12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Consists of 12,222 shares of common stock issuable pursuant to options that are exercisable within 60 days of March 31, 2026.</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Delinquent Section 16(a) Reports</w:t>
      </w:r>
    </w:p>
    <w:p>
      <w:pPr>
        <w:spacing w:after="0" w:line="158" w:lineRule="exact"/>
        <w:rPr>
          <w:sz w:val="20"/>
          <w:szCs w:val="20"/>
          <w:color w:val="auto"/>
        </w:rPr>
      </w:pPr>
    </w:p>
    <w:p>
      <w:pPr>
        <w:jc w:val="both"/>
        <w:ind w:left="880" w:right="19"/>
        <w:spacing w:after="0" w:line="255" w:lineRule="auto"/>
        <w:rPr>
          <w:sz w:val="20"/>
          <w:szCs w:val="20"/>
          <w:color w:val="auto"/>
        </w:rPr>
      </w:pPr>
      <w:r>
        <w:rPr>
          <w:rFonts w:ascii="Arial" w:cs="Arial" w:eastAsia="Arial" w:hAnsi="Arial"/>
          <w:sz w:val="18"/>
          <w:szCs w:val="18"/>
          <w:color w:val="auto"/>
        </w:rPr>
        <w:t>Section 16(a) of the Exchange Act requires our officers and directors, and persons who own more than ten percent of our common stock, to file reports of ownership and changes in ownership on Forms 3, 4 and 5 with the SEC. As a matter of practice, we assist many of our directors and all of our executive officers by preparing initial ownership reports and reporting ownership changes, and typically file these reports on their behalf. To our knowledge, based solely on our review of the copies of such reports filed electronically with the SEC and on written information given to us by the reporting persons, we believe that all Section 16(a) filing requirements applicable to our officers, directors and greater than ten percent beneficial owners were complied with on a timely basis during the fiscal year ended December 31, 2025, except that, due to an administrative error, one Form 3 and Form 4 for Martin Murphy were filed on April 10, 2026.</w:t>
      </w:r>
    </w:p>
    <w:p>
      <w:pPr>
        <w:spacing w:after="0" w:line="289"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​ITEMS TO BE VOTED 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PROPOSAL 1: ELECTION OF CLASS II DIRECTORS FOR A THREE-YEAR TERM EXPIRING IN 2028</w:t>
      </w:r>
    </w:p>
    <w:p>
      <w:pPr>
        <w:spacing w:after="0" w:line="144" w:lineRule="exact"/>
        <w:rPr>
          <w:sz w:val="20"/>
          <w:szCs w:val="20"/>
          <w:color w:val="auto"/>
        </w:rPr>
      </w:pPr>
    </w:p>
    <w:p>
      <w:pPr>
        <w:jc w:val="both"/>
        <w:ind w:left="880" w:right="19"/>
        <w:spacing w:after="0" w:line="262" w:lineRule="auto"/>
        <w:rPr>
          <w:sz w:val="20"/>
          <w:szCs w:val="20"/>
          <w:color w:val="auto"/>
        </w:rPr>
      </w:pPr>
      <w:r>
        <w:rPr>
          <w:rFonts w:ascii="Arial" w:cs="Arial" w:eastAsia="Arial" w:hAnsi="Arial"/>
          <w:sz w:val="18"/>
          <w:szCs w:val="18"/>
          <w:color w:val="auto"/>
        </w:rPr>
        <w:t>At the Annual Meeting, our stockholders will vote on the election of two Class II director nominees named in this Proxy Statement as directors, each to serve until our 2029 Annual Meeting of Stockholders and until their respective successors are elected and qualified. Our Board has unanimously nominated Alessandro Riva, M.D. and Han Lee, Ph.D., M.B.A. for election to our Board at the Annual Meeting.</w:t>
      </w:r>
    </w:p>
    <w:p>
      <w:pPr>
        <w:spacing w:after="0" w:line="109" w:lineRule="exact"/>
        <w:rPr>
          <w:sz w:val="20"/>
          <w:szCs w:val="20"/>
          <w:color w:val="auto"/>
        </w:rPr>
      </w:pPr>
    </w:p>
    <w:p>
      <w:pPr>
        <w:jc w:val="both"/>
        <w:ind w:left="880" w:right="19"/>
        <w:spacing w:after="0" w:line="257" w:lineRule="auto"/>
        <w:rPr>
          <w:sz w:val="20"/>
          <w:szCs w:val="20"/>
          <w:color w:val="auto"/>
        </w:rPr>
      </w:pPr>
      <w:r>
        <w:rPr>
          <w:rFonts w:ascii="Arial" w:cs="Arial" w:eastAsia="Arial" w:hAnsi="Arial"/>
          <w:sz w:val="18"/>
          <w:szCs w:val="18"/>
          <w:color w:val="auto"/>
        </w:rPr>
        <w:t>Each of the nominees has agreed to be named and to serve, and we expect each nominee to be able to serve if elected. If any nominee is unable to serve, the Nominating and Corporate Governance Committee will recommend to our Board a replacement nominee. The Board may then designate the other nominee to stand for election. If you voted for the unavailable nominee, your vote will be cast for his or her replacement.</w:t>
      </w:r>
    </w:p>
    <w:p>
      <w:pPr>
        <w:spacing w:after="0" w:line="3" w:lineRule="exact"/>
        <w:rPr>
          <w:sz w:val="20"/>
          <w:szCs w:val="20"/>
          <w:color w:val="auto"/>
        </w:rPr>
      </w:pPr>
    </w:p>
    <w:p>
      <w:pPr>
        <w:ind w:left="2720" w:right="119" w:hanging="1817"/>
        <w:spacing w:after="0" w:line="399"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OUR BOARD UNANIMOUSLY RECOMMENDS STOCKHOLDERS VOTE </w:t>
      </w:r>
      <w:r>
        <w:rPr>
          <w:rFonts w:ascii="Arial" w:cs="Arial" w:eastAsia="Arial" w:hAnsi="Arial"/>
          <w:sz w:val="18"/>
          <w:szCs w:val="18"/>
          <w:b w:val="1"/>
          <w:bCs w:val="1"/>
          <w:color w:val="1DA46F"/>
        </w:rPr>
        <w:t>FOR</w:t>
      </w:r>
      <w:r>
        <w:rPr>
          <w:rFonts w:ascii="Arial" w:cs="Arial" w:eastAsia="Arial" w:hAnsi="Arial"/>
          <w:sz w:val="18"/>
          <w:szCs w:val="18"/>
          <w:color w:val="auto"/>
        </w:rPr>
        <w:t xml:space="preserve"> THE ELECTION OF</w:t>
      </w:r>
      <w:r>
        <w:rPr>
          <w:rFonts w:ascii="Arial" w:cs="Arial" w:eastAsia="Arial" w:hAnsi="Arial"/>
          <w:sz w:val="35"/>
          <w:szCs w:val="35"/>
          <w:color w:val="auto"/>
          <w:vertAlign w:val="subscript"/>
        </w:rPr>
        <w:t>​ ​</w:t>
      </w:r>
      <w:r>
        <w:rPr>
          <w:rFonts w:ascii="Arial" w:cs="Arial" w:eastAsia="Arial" w:hAnsi="Arial"/>
          <w:sz w:val="18"/>
          <w:szCs w:val="18"/>
          <w:color w:val="auto"/>
        </w:rPr>
        <w:t xml:space="preserve"> </w:t>
      </w:r>
      <w:r>
        <w:rPr>
          <w:rFonts w:ascii="MS PGothic" w:cs="MS PGothic" w:eastAsia="MS PGothic" w:hAnsi="MS PGothic"/>
          <w:sz w:val="57"/>
          <w:szCs w:val="57"/>
          <w:color w:val="1DA46F"/>
        </w:rPr>
        <w:t>✓</w:t>
      </w:r>
      <w:r>
        <w:rPr>
          <w:rFonts w:ascii="Arial" w:cs="Arial" w:eastAsia="Arial" w:hAnsi="Arial"/>
          <w:sz w:val="35"/>
          <w:szCs w:val="35"/>
          <w:color w:val="auto"/>
          <w:vertAlign w:val="subscript"/>
        </w:rPr>
        <w:t>​</w:t>
      </w:r>
      <w:r>
        <w:rPr>
          <w:rFonts w:ascii="Arial" w:cs="Arial" w:eastAsia="Arial" w:hAnsi="Arial"/>
          <w:sz w:val="18"/>
          <w:szCs w:val="18"/>
          <w:color w:val="auto"/>
        </w:rPr>
        <w:t xml:space="preserve"> ALESSANDRO RIVA, M.D. AND HAN LEE,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-398780</wp:posOffset>
            </wp:positionV>
            <wp:extent cx="5700395" cy="4203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00395" cy="42037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​ITEMS TO BE VOTED 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39"/>
        <w:spacing w:after="0" w:line="296" w:lineRule="auto"/>
        <w:rPr>
          <w:sz w:val="20"/>
          <w:szCs w:val="20"/>
          <w:color w:val="auto"/>
        </w:rPr>
      </w:pPr>
      <w:r>
        <w:rPr>
          <w:rFonts w:ascii="Arial" w:cs="Arial" w:eastAsia="Arial" w:hAnsi="Arial"/>
          <w:sz w:val="18"/>
          <w:szCs w:val="18"/>
          <w:b w:val="1"/>
          <w:bCs w:val="1"/>
          <w:color w:val="auto"/>
        </w:rPr>
        <w:t>PROPOSAL 2: RATIFICATION OF APPOINTMENT OF ERNST &amp; YOUNG LLP AS OUR INDEPENDENT REGISTERED PUBLIC ACCOUNTING FIRM FOR 2026</w:t>
      </w:r>
    </w:p>
    <w:p>
      <w:pPr>
        <w:spacing w:after="0" w:line="56" w:lineRule="exact"/>
        <w:rPr>
          <w:sz w:val="20"/>
          <w:szCs w:val="20"/>
          <w:color w:val="auto"/>
        </w:rPr>
      </w:pPr>
    </w:p>
    <w:p>
      <w:pPr>
        <w:jc w:val="both"/>
        <w:ind w:left="880" w:right="39"/>
        <w:spacing w:after="0" w:line="262" w:lineRule="auto"/>
        <w:rPr>
          <w:sz w:val="20"/>
          <w:szCs w:val="20"/>
          <w:color w:val="auto"/>
        </w:rPr>
      </w:pPr>
      <w:r>
        <w:rPr>
          <w:rFonts w:ascii="Arial" w:cs="Arial" w:eastAsia="Arial" w:hAnsi="Arial"/>
          <w:sz w:val="18"/>
          <w:szCs w:val="18"/>
          <w:color w:val="auto"/>
        </w:rPr>
        <w:t>The Audit Committee of the Board has appointed and engaged EY to serve as our independent registered public accounting firm to audit the consolidated financial statements of the Company and our subsidiary for the 2026 fiscal year, and to perform audit-related services. EY has served as our independent registered public accounting firm since 2019.</w:t>
      </w:r>
    </w:p>
    <w:p>
      <w:pPr>
        <w:spacing w:after="0" w:line="109" w:lineRule="exact"/>
        <w:rPr>
          <w:sz w:val="20"/>
          <w:szCs w:val="20"/>
          <w:color w:val="auto"/>
        </w:rPr>
      </w:pPr>
    </w:p>
    <w:p>
      <w:pPr>
        <w:jc w:val="both"/>
        <w:ind w:left="880" w:right="19"/>
        <w:spacing w:after="0" w:line="287" w:lineRule="auto"/>
        <w:rPr>
          <w:sz w:val="20"/>
          <w:szCs w:val="20"/>
          <w:color w:val="auto"/>
        </w:rPr>
      </w:pPr>
      <w:r>
        <w:rPr>
          <w:rFonts w:ascii="Arial" w:cs="Arial" w:eastAsia="Arial" w:hAnsi="Arial"/>
          <w:sz w:val="18"/>
          <w:szCs w:val="18"/>
          <w:color w:val="auto"/>
        </w:rPr>
        <w:t>Stockholders are hereby asked to ratify the Audit Committee’s appointment of EY as our independent registered public accounting firm for the 2026 fiscal year.</w:t>
      </w:r>
    </w:p>
    <w:p>
      <w:pPr>
        <w:spacing w:after="0" w:line="85" w:lineRule="exact"/>
        <w:rPr>
          <w:sz w:val="20"/>
          <w:szCs w:val="20"/>
          <w:color w:val="auto"/>
        </w:rPr>
      </w:pPr>
    </w:p>
    <w:p>
      <w:pPr>
        <w:jc w:val="both"/>
        <w:ind w:left="880" w:right="19"/>
        <w:spacing w:after="0" w:line="256" w:lineRule="auto"/>
        <w:rPr>
          <w:sz w:val="20"/>
          <w:szCs w:val="20"/>
          <w:color w:val="auto"/>
        </w:rPr>
      </w:pPr>
      <w:r>
        <w:rPr>
          <w:rFonts w:ascii="Arial" w:cs="Arial" w:eastAsia="Arial" w:hAnsi="Arial"/>
          <w:sz w:val="18"/>
          <w:szCs w:val="18"/>
          <w:color w:val="auto"/>
        </w:rPr>
        <w:t>The Audit Committee is solely responsible for selecting our independent auditors. Although stockholder ratification of the appointment of EY to serve as our independent registered public accounting firm is not required by law or our organizational documents, the Board has determined that it is desirable to seek stockholder ratification as a matter of good corporate governance in view of the critical role played by independent registered public accounting firms in maintaining the integrity of financial controls and reporting. If the stockholders do not ratify the appointment of EY, the Audit Committee will reconsider its selection and whether to engage an alternative independent registered public accounting firm.</w:t>
      </w:r>
    </w:p>
    <w:p>
      <w:pPr>
        <w:spacing w:after="0" w:line="102" w:lineRule="exact"/>
        <w:rPr>
          <w:sz w:val="20"/>
          <w:szCs w:val="20"/>
          <w:color w:val="auto"/>
        </w:rPr>
      </w:pPr>
    </w:p>
    <w:p>
      <w:pPr>
        <w:jc w:val="both"/>
        <w:ind w:left="880" w:right="39"/>
        <w:spacing w:after="0" w:line="287" w:lineRule="auto"/>
        <w:rPr>
          <w:sz w:val="20"/>
          <w:szCs w:val="20"/>
          <w:color w:val="auto"/>
        </w:rPr>
      </w:pPr>
      <w:r>
        <w:rPr>
          <w:rFonts w:ascii="Arial" w:cs="Arial" w:eastAsia="Arial" w:hAnsi="Arial"/>
          <w:sz w:val="18"/>
          <w:szCs w:val="18"/>
          <w:color w:val="auto"/>
        </w:rPr>
        <w:t>Representatives of EY are expected to virtually attend the Annual Meeting where they will be available to respond to appropriate questions and, if they desire, to make a statement.</w:t>
      </w:r>
    </w:p>
    <w:p>
      <w:pPr>
        <w:spacing w:after="0" w:line="125" w:lineRule="exact"/>
        <w:rPr>
          <w:sz w:val="20"/>
          <w:szCs w:val="20"/>
          <w:color w:val="auto"/>
        </w:rPr>
      </w:pPr>
    </w:p>
    <w:tbl>
      <w:tblPr>
        <w:tblLayout w:type="fixed"/>
        <w:tblInd w:w="870" w:type="dxa"/>
        <w:tblCellMar>
          <w:top w:w="0" w:type="dxa"/>
          <w:left w:w="0" w:type="dxa"/>
          <w:bottom w:w="0" w:type="dxa"/>
          <w:right w:w="0" w:type="dxa"/>
        </w:tblCellMar>
      </w:tblPr>
      <w:tr>
        <w:trPr>
          <w:trHeight w:val="386"/>
        </w:trPr>
        <w:tc>
          <w:tcPr>
            <w:tcW w:w="8220" w:type="dxa"/>
            <w:vAlign w:val="bottom"/>
            <w:tcBorders>
              <w:top w:val="single" w:sz="8" w:color="148CD9"/>
              <w:left w:val="single" w:sz="8" w:color="148CD9"/>
            </w:tcBorders>
          </w:tcPr>
          <w:p>
            <w:pPr>
              <w:jc w:val="center"/>
              <w:spacing w:after="0"/>
              <w:rPr>
                <w:sz w:val="20"/>
                <w:szCs w:val="20"/>
                <w:color w:val="auto"/>
              </w:rPr>
            </w:pPr>
            <w:r>
              <w:rPr>
                <w:rFonts w:ascii="Arial" w:cs="Arial" w:eastAsia="Arial" w:hAnsi="Arial"/>
                <w:sz w:val="18"/>
                <w:szCs w:val="18"/>
                <w:color w:val="auto"/>
              </w:rPr>
              <w:t xml:space="preserve">THE BOARD UNANIMOUSLY RECOMMENDS A VOTE </w:t>
            </w:r>
            <w:r>
              <w:rPr>
                <w:rFonts w:ascii="Arial" w:cs="Arial" w:eastAsia="Arial" w:hAnsi="Arial"/>
                <w:sz w:val="18"/>
                <w:szCs w:val="18"/>
                <w:b w:val="1"/>
                <w:bCs w:val="1"/>
                <w:color w:val="1DA46F"/>
              </w:rPr>
              <w:t>FOR</w:t>
            </w:r>
            <w:r>
              <w:rPr>
                <w:rFonts w:ascii="Arial" w:cs="Arial" w:eastAsia="Arial" w:hAnsi="Arial"/>
                <w:sz w:val="18"/>
                <w:szCs w:val="18"/>
                <w:color w:val="auto"/>
              </w:rPr>
              <w:t xml:space="preserve"> THE RATIFICATION OF ERNST &amp;</w:t>
            </w:r>
          </w:p>
        </w:tc>
        <w:tc>
          <w:tcPr>
            <w:tcW w:w="760" w:type="dxa"/>
            <w:vAlign w:val="bottom"/>
            <w:tcBorders>
              <w:top w:val="single" w:sz="8" w:color="148CD9"/>
              <w:right w:val="single" w:sz="8" w:color="148CD9"/>
            </w:tcBorders>
          </w:tcPr>
          <w:p>
            <w:pPr>
              <w:spacing w:after="0"/>
              <w:rPr>
                <w:sz w:val="24"/>
                <w:szCs w:val="24"/>
                <w:color w:val="auto"/>
              </w:rPr>
            </w:pPr>
          </w:p>
        </w:tc>
      </w:tr>
      <w:tr>
        <w:trPr>
          <w:trHeight w:val="208"/>
        </w:trPr>
        <w:tc>
          <w:tcPr>
            <w:tcW w:w="8220" w:type="dxa"/>
            <w:vAlign w:val="bottom"/>
            <w:tcBorders>
              <w:left w:val="single" w:sz="8" w:color="148CD9"/>
            </w:tcBorders>
          </w:tcPr>
          <w:p>
            <w:pPr>
              <w:ind w:left="40"/>
              <w:spacing w:after="0"/>
              <w:rPr>
                <w:sz w:val="20"/>
                <w:szCs w:val="20"/>
                <w:color w:val="auto"/>
              </w:rPr>
            </w:pPr>
            <w:r>
              <w:rPr>
                <w:rFonts w:ascii="Arial" w:cs="Arial" w:eastAsia="Arial" w:hAnsi="Arial"/>
                <w:sz w:val="18"/>
                <w:szCs w:val="18"/>
                <w:color w:val="auto"/>
              </w:rPr>
              <w:t>​ YOUNG LLP AS INDEPENDENT REGISTERED PUBLIC ACCOUNTING FIRM FOR THE​ ​</w:t>
            </w:r>
          </w:p>
        </w:tc>
        <w:tc>
          <w:tcPr>
            <w:tcW w:w="760" w:type="dxa"/>
            <w:vAlign w:val="bottom"/>
            <w:tcBorders>
              <w:right w:val="single" w:sz="8" w:color="148CD9"/>
            </w:tcBorders>
          </w:tcPr>
          <w:p>
            <w:pPr>
              <w:ind w:left="640"/>
              <w:spacing w:after="0"/>
              <w:rPr>
                <w:sz w:val="20"/>
                <w:szCs w:val="20"/>
                <w:color w:val="auto"/>
              </w:rPr>
            </w:pPr>
            <w:r>
              <w:rPr>
                <w:rFonts w:ascii="Arial" w:cs="Arial" w:eastAsia="Arial" w:hAnsi="Arial"/>
                <w:sz w:val="18"/>
                <w:szCs w:val="18"/>
                <w:color w:val="auto"/>
              </w:rPr>
              <w:t>​</w:t>
            </w:r>
          </w:p>
        </w:tc>
      </w:tr>
      <w:tr>
        <w:trPr>
          <w:trHeight w:val="331"/>
        </w:trPr>
        <w:tc>
          <w:tcPr>
            <w:tcW w:w="8220" w:type="dxa"/>
            <w:vAlign w:val="bottom"/>
            <w:tcBorders>
              <w:left w:val="single" w:sz="8" w:color="148CD9"/>
              <w:bottom w:val="single" w:sz="8" w:color="148CD9"/>
            </w:tcBorders>
          </w:tcPr>
          <w:p>
            <w:pPr>
              <w:jc w:val="center"/>
              <w:spacing w:after="0"/>
              <w:rPr>
                <w:sz w:val="20"/>
                <w:szCs w:val="20"/>
                <w:color w:val="auto"/>
              </w:rPr>
            </w:pPr>
            <w:r>
              <w:rPr>
                <w:rFonts w:ascii="Arial" w:cs="Arial" w:eastAsia="Arial" w:hAnsi="Arial"/>
                <w:sz w:val="18"/>
                <w:szCs w:val="18"/>
                <w:color w:val="auto"/>
                <w:w w:val="98"/>
              </w:rPr>
              <w:t>COMPANY FOR THE FISCAL YEAR ENDING DECEMBER 31, 2026.</w:t>
            </w:r>
          </w:p>
        </w:tc>
        <w:tc>
          <w:tcPr>
            <w:tcW w:w="760" w:type="dxa"/>
            <w:vAlign w:val="bottom"/>
            <w:tcBorders>
              <w:bottom w:val="single" w:sz="8" w:color="148CD9"/>
              <w:right w:val="single" w:sz="8" w:color="148CD9"/>
            </w:tcBorders>
          </w:tcPr>
          <w:p>
            <w:pPr>
              <w:ind w:left="40"/>
              <w:spacing w:after="0" w:line="323" w:lineRule="exact"/>
              <w:rPr>
                <w:sz w:val="20"/>
                <w:szCs w:val="20"/>
                <w:color w:val="auto"/>
              </w:rPr>
            </w:pPr>
            <w:r>
              <w:rPr>
                <w:rFonts w:ascii="MS PGothic" w:cs="MS PGothic" w:eastAsia="MS PGothic" w:hAnsi="MS PGothic"/>
                <w:sz w:val="43"/>
                <w:szCs w:val="43"/>
                <w:color w:val="1DA46F"/>
              </w:rPr>
              <w:t>✓</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​ITEMS TO BE VOTED 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19"/>
        <w:spacing w:after="0" w:line="273" w:lineRule="auto"/>
        <w:rPr>
          <w:sz w:val="20"/>
          <w:szCs w:val="20"/>
          <w:color w:val="auto"/>
        </w:rPr>
      </w:pPr>
      <w:r>
        <w:rPr>
          <w:rFonts w:ascii="Arial" w:cs="Arial" w:eastAsia="Arial" w:hAnsi="Arial"/>
          <w:sz w:val="18"/>
          <w:szCs w:val="18"/>
          <w:b w:val="1"/>
          <w:bCs w:val="1"/>
          <w:color w:val="auto"/>
        </w:rPr>
        <w:t>PROPOSAL 3: APPROVAL OF AN AMENDMENT TO OUR SECOND AMENDED AND RESTATED CERTIFICATE OF INCORPORATION, AS AMENDED, OR OUR CHARTER, TO INCREASE THE NUMBER OF AUTHORIZED SHARES OF COMMON STOCK FROM 300,000,000 TO 450,000,000</w:t>
      </w:r>
    </w:p>
    <w:p>
      <w:pPr>
        <w:spacing w:after="0" w:line="160"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Background</w:t>
      </w:r>
    </w:p>
    <w:p>
      <w:pPr>
        <w:spacing w:after="0" w:line="142" w:lineRule="exact"/>
        <w:rPr>
          <w:sz w:val="20"/>
          <w:szCs w:val="20"/>
          <w:color w:val="auto"/>
        </w:rPr>
      </w:pPr>
    </w:p>
    <w:p>
      <w:pPr>
        <w:jc w:val="both"/>
        <w:ind w:left="880" w:right="39"/>
        <w:spacing w:after="0" w:line="257" w:lineRule="auto"/>
        <w:rPr>
          <w:sz w:val="20"/>
          <w:szCs w:val="20"/>
          <w:color w:val="auto"/>
        </w:rPr>
      </w:pPr>
      <w:r>
        <w:rPr>
          <w:rFonts w:ascii="Arial" w:cs="Arial" w:eastAsia="Arial" w:hAnsi="Arial"/>
          <w:sz w:val="18"/>
          <w:szCs w:val="18"/>
          <w:color w:val="auto"/>
        </w:rPr>
        <w:t>The Board has approved an amendment to our Charter, or the Charter Amendment, to increase the number of authorized shares of common stock from 300,000,000 to 450,000,000. The Charter Amendment will not change the number of authorized shares of preferred stock, which currently consists of 10,000,000 shares of preferred stock. The additional shares of common stock authorized for issuance by the Charter Amendment would be a part of the existing class of common stock and, if and when issued, would have the same rights and privileges as the common stock presently issued and outstanding.</w:t>
      </w:r>
    </w:p>
    <w:p>
      <w:pPr>
        <w:spacing w:after="0" w:line="115" w:lineRule="exact"/>
        <w:rPr>
          <w:sz w:val="20"/>
          <w:szCs w:val="20"/>
          <w:color w:val="auto"/>
        </w:rPr>
      </w:pPr>
    </w:p>
    <w:p>
      <w:pPr>
        <w:jc w:val="both"/>
        <w:ind w:left="880" w:right="19"/>
        <w:spacing w:after="0" w:line="256" w:lineRule="auto"/>
        <w:rPr>
          <w:sz w:val="20"/>
          <w:szCs w:val="20"/>
          <w:color w:val="auto"/>
        </w:rPr>
      </w:pPr>
      <w:r>
        <w:rPr>
          <w:rFonts w:ascii="Arial" w:cs="Arial" w:eastAsia="Arial" w:hAnsi="Arial"/>
          <w:sz w:val="18"/>
          <w:szCs w:val="18"/>
          <w:color w:val="auto"/>
        </w:rPr>
        <w:t>Provided the stockholders approve the Charter Amendment, the increased number of shares would be authorized for issuance, but would remain unissued until such time as the Board approves a specific issuance of shares. Adoption of the Charter Amendment would not affect the rights of the holders of currently outstanding common stock, except for effects incidental to increasing the number of shares of our common stock outstanding, such as dilution of the earnings per share and voting rights of current holders of common stock, to the extent that any additional shares of common stock are ultimately issued out of the increase in authorized shares proposed in the Charter Amendment.</w:t>
      </w:r>
    </w:p>
    <w:p>
      <w:pPr>
        <w:spacing w:after="0" w:line="115" w:lineRule="exact"/>
        <w:rPr>
          <w:sz w:val="20"/>
          <w:szCs w:val="20"/>
          <w:color w:val="auto"/>
        </w:rPr>
      </w:pPr>
    </w:p>
    <w:p>
      <w:pPr>
        <w:jc w:val="both"/>
        <w:ind w:left="880" w:right="19"/>
        <w:spacing w:after="0" w:line="256" w:lineRule="auto"/>
        <w:rPr>
          <w:sz w:val="20"/>
          <w:szCs w:val="20"/>
          <w:color w:val="auto"/>
        </w:rPr>
      </w:pPr>
      <w:r>
        <w:rPr>
          <w:rFonts w:ascii="Arial" w:cs="Arial" w:eastAsia="Arial" w:hAnsi="Arial"/>
          <w:sz w:val="18"/>
          <w:szCs w:val="18"/>
          <w:color w:val="auto"/>
        </w:rPr>
        <w:t>If the proposed Charter Amendment is approved by the requisite vote of the stockholders, it will become effective immediately upon the filing of a Certificate of Amendment with the Secretary of State of the State of Delaware. On April 13, 2026, our Board determined that the proposed Charter Amendment is advisable and in the best interests of the Company and our stockholders and authorized and approved the proposed Charter Amendment and directed that it be considered at the Annual Meeting. The Board of Directors reserves its right to elect not to proceed with and abandon the Charter Amendment if it determines, in its sole discretion at any time, that this proposal is no longer in the best interests of our stockholders.</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Text of Proposed Charter Amendment</w:t>
      </w:r>
    </w:p>
    <w:p>
      <w:pPr>
        <w:spacing w:after="0" w:line="142" w:lineRule="exact"/>
        <w:rPr>
          <w:sz w:val="20"/>
          <w:szCs w:val="20"/>
          <w:color w:val="auto"/>
        </w:rPr>
      </w:pPr>
    </w:p>
    <w:p>
      <w:pPr>
        <w:jc w:val="both"/>
        <w:ind w:left="880" w:right="39"/>
        <w:spacing w:after="0" w:line="262" w:lineRule="auto"/>
        <w:rPr>
          <w:sz w:val="20"/>
          <w:szCs w:val="20"/>
          <w:color w:val="auto"/>
        </w:rPr>
      </w:pPr>
      <w:r>
        <w:rPr>
          <w:rFonts w:ascii="Arial" w:cs="Arial" w:eastAsia="Arial" w:hAnsi="Arial"/>
          <w:sz w:val="18"/>
          <w:szCs w:val="18"/>
          <w:color w:val="auto"/>
        </w:rPr>
        <w:t>The proposed Certificate of Amendment reflecting the foregoing Charter Amendment is attached as Exhibit A to this Proxy Statement. However, the text of the Charter Amendment is subject to revision to include such changes as may be required by the Secretary of State of the State of Delaware and as the Board of Directors deems necessary and advisable to effect the proposed amendment of the Certificate of Incorporation.</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Purposes and Effects of the Charter Amendment</w:t>
      </w:r>
    </w:p>
    <w:p>
      <w:pPr>
        <w:spacing w:after="0" w:line="156" w:lineRule="exact"/>
        <w:rPr>
          <w:sz w:val="20"/>
          <w:szCs w:val="20"/>
          <w:color w:val="auto"/>
        </w:rPr>
      </w:pPr>
    </w:p>
    <w:p>
      <w:pPr>
        <w:jc w:val="both"/>
        <w:ind w:left="880" w:right="19"/>
        <w:spacing w:after="0" w:line="257" w:lineRule="auto"/>
        <w:rPr>
          <w:sz w:val="20"/>
          <w:szCs w:val="20"/>
          <w:color w:val="auto"/>
        </w:rPr>
      </w:pPr>
      <w:r>
        <w:rPr>
          <w:rFonts w:ascii="Arial" w:cs="Arial" w:eastAsia="Arial" w:hAnsi="Arial"/>
          <w:sz w:val="18"/>
          <w:szCs w:val="18"/>
          <w:color w:val="auto"/>
        </w:rPr>
        <w:t>Currently, we are authorized to issue up to a total of 300,000,000 shares of common stock. On the Record Date, there were           shares of our common stock outstanding, warrants to purchase           shares of our common stock issued and outstanding (with a weighted average exercise price of $            ), options to purchase</w:t>
      </w:r>
    </w:p>
    <w:p>
      <w:pPr>
        <w:spacing w:after="0" w:line="1" w:lineRule="exact"/>
        <w:rPr>
          <w:sz w:val="20"/>
          <w:szCs w:val="20"/>
          <w:color w:val="auto"/>
        </w:rPr>
      </w:pPr>
    </w:p>
    <w:p>
      <w:pPr>
        <w:jc w:val="both"/>
        <w:ind w:left="880" w:right="39" w:hanging="10"/>
        <w:spacing w:after="0" w:line="258" w:lineRule="auto"/>
        <w:tabs>
          <w:tab w:leader="none" w:pos="979" w:val="left"/>
        </w:tabs>
        <w:numPr>
          <w:ilvl w:val="0"/>
          <w:numId w:val="35"/>
        </w:numPr>
        <w:rPr>
          <w:rFonts w:ascii="Arial" w:cs="Arial" w:eastAsia="Arial" w:hAnsi="Arial"/>
          <w:sz w:val="18"/>
          <w:szCs w:val="18"/>
          <w:color w:val="auto"/>
        </w:rPr>
      </w:pPr>
      <w:r>
        <w:rPr>
          <w:rFonts w:ascii="Arial" w:cs="Arial" w:eastAsia="Arial" w:hAnsi="Arial"/>
          <w:sz w:val="18"/>
          <w:szCs w:val="18"/>
          <w:color w:val="auto"/>
        </w:rPr>
        <w:t>          shares of our common stock issued and outstanding under our equity incentive plans (with a weighted average exercise price of $            ), an aggregate of           shares available for issuance pursuant to the our equity incentive plans and           shares of our common stock issuable upon conversion of our Preferred Stock.</w:t>
      </w:r>
    </w:p>
    <w:p>
      <w:pPr>
        <w:spacing w:after="0" w:line="111" w:lineRule="exact"/>
        <w:rPr>
          <w:sz w:val="20"/>
          <w:szCs w:val="20"/>
          <w:color w:val="auto"/>
        </w:rPr>
      </w:pPr>
    </w:p>
    <w:p>
      <w:pPr>
        <w:jc w:val="both"/>
        <w:ind w:left="880" w:right="19"/>
        <w:spacing w:after="0" w:line="253" w:lineRule="auto"/>
        <w:rPr>
          <w:sz w:val="20"/>
          <w:szCs w:val="20"/>
          <w:color w:val="auto"/>
        </w:rPr>
      </w:pPr>
      <w:r>
        <w:rPr>
          <w:rFonts w:ascii="Arial" w:cs="Arial" w:eastAsia="Arial" w:hAnsi="Arial"/>
          <w:sz w:val="18"/>
          <w:szCs w:val="18"/>
          <w:color w:val="auto"/>
        </w:rPr>
        <w:t>The ability to issue equity is fundamental to our growth strategy. In order to implement our growth strategy, we may need to raise additional financing through the issuance of equity securities. The availability of equity incentive compensation is necessary for us to attract, retain and motivate the most high-performing executives and key employees who ultimately drive our performance. The Board is recommending the proposed increase in the authorized number of shares of common stock to provide the Company with appropriate flexibility to issue additional shares in the future on a timely basis if such need arises in connection with potential financings, business combinations or other corporate purposes. Approval of the Charter Amendment could enable the Company to take advantage of market conditions, the availability of more favorable financing, and opportunities for business combinations and other strategic transactions, without the potential delay and expense associated with convening a special stockholders’ meeting. Our success also depends in part on our continued ability to attract, retain and motivate highly qualified management and key personnel, and the approval of the Charter Amendment would</w:t>
      </w:r>
    </w:p>
    <w:p>
      <w:pPr>
        <w:spacing w:after="0" w:line="298"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140970</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​ITEMS TO BE VOTED 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39"/>
        <w:spacing w:after="0" w:line="287" w:lineRule="auto"/>
        <w:rPr>
          <w:sz w:val="20"/>
          <w:szCs w:val="20"/>
          <w:color w:val="auto"/>
        </w:rPr>
      </w:pPr>
      <w:r>
        <w:rPr>
          <w:rFonts w:ascii="Arial" w:cs="Arial" w:eastAsia="Arial" w:hAnsi="Arial"/>
          <w:sz w:val="18"/>
          <w:szCs w:val="18"/>
          <w:color w:val="auto"/>
        </w:rPr>
        <w:t>ensure that there is no lack of unissued and unreserved authorized shares of common stock to provide future equity incentive opportunities.</w:t>
      </w:r>
    </w:p>
    <w:p>
      <w:pPr>
        <w:spacing w:after="0" w:line="99" w:lineRule="exact"/>
        <w:rPr>
          <w:sz w:val="20"/>
          <w:szCs w:val="20"/>
          <w:color w:val="auto"/>
        </w:rPr>
      </w:pPr>
    </w:p>
    <w:p>
      <w:pPr>
        <w:jc w:val="both"/>
        <w:ind w:left="880" w:right="19"/>
        <w:spacing w:after="0" w:line="280" w:lineRule="auto"/>
        <w:rPr>
          <w:sz w:val="20"/>
          <w:szCs w:val="20"/>
          <w:color w:val="auto"/>
        </w:rPr>
      </w:pPr>
      <w:r>
        <w:rPr>
          <w:rFonts w:ascii="Arial" w:cs="Arial" w:eastAsia="Arial" w:hAnsi="Arial"/>
          <w:sz w:val="17"/>
          <w:szCs w:val="17"/>
          <w:color w:val="auto"/>
        </w:rPr>
        <w:t>The proposed Charter Amendment will not, by itself, have an immediate dilutive effect on our current stockholders. However, if the Charter Amendment is approved, unless otherwise required by applicable law or stock exchange rules, the Board will be able to issue the additional shares of common stock from time to time in its discretion without further action or authorization by the stockholders. The newly authorized shares of common stock would be issuable for any proper corporate purpose, including capital raising transactions of equity or convertible debt securities, the establishment of collaborations or other strategic agreements, stock splits, stock dividends, issuance under current or future equity incentive plans, future acquisitions, investment opportunities, or for other corporate purposes. The future issuance of additional shares of common stock or securities convertible into our common stock, may occur at times or under circumstances that could result in a dilutive effect on the earnings per share, book value per share, voting power and percentage interest of the present holders of our common stock, some of whom have preemptive rights to subscribe for additional shares that we may issue.</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If the stockholders do not approve this Proposal 3, then we will not have the needed additional shares available.</w:t>
      </w:r>
    </w:p>
    <w:p>
      <w:pPr>
        <w:spacing w:after="0" w:line="22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Potential Anti-Takeover Effect</w:t>
      </w:r>
    </w:p>
    <w:p>
      <w:pPr>
        <w:spacing w:after="0" w:line="142" w:lineRule="exact"/>
        <w:rPr>
          <w:sz w:val="20"/>
          <w:szCs w:val="20"/>
          <w:color w:val="auto"/>
        </w:rPr>
      </w:pPr>
    </w:p>
    <w:p>
      <w:pPr>
        <w:jc w:val="both"/>
        <w:ind w:left="880" w:right="19"/>
        <w:spacing w:after="0" w:line="279" w:lineRule="auto"/>
        <w:rPr>
          <w:sz w:val="20"/>
          <w:szCs w:val="20"/>
          <w:color w:val="auto"/>
        </w:rPr>
      </w:pPr>
      <w:r>
        <w:rPr>
          <w:rFonts w:ascii="Arial" w:cs="Arial" w:eastAsia="Arial" w:hAnsi="Arial"/>
          <w:sz w:val="17"/>
          <w:szCs w:val="17"/>
          <w:color w:val="auto"/>
        </w:rPr>
        <w:t>Release No. 34-15230 of the staff of the SEC requires disclosure and discussion of the effects of any action, including the proposal discussed herein, that may be used as an anti-takeover mechanism. An increase in the number of authorized shares of common stock may also, under certain circumstances, be construed as having an anti-takeover effect. Although not designed or intended for such purposes, the effect of the proposed increase might be to render more difficult or to discourage a merger, tender offer, proxy contest or change in control of us and the removal of management, which stockholders might otherwise deem favorable. For example, the authority of the Board to issue common stock might be used to create voting impediments or to frustrate an attempt by another person or entity to effect a takeover or otherwise gain control of us because the issuance of additional common stock would dilute the voting power of the common stock then outstanding. Our common stock could also be issued to purchasers who would support the Board in opposing a takeover bid which our Board determines not to be in our best interests and those of our stockholders. Although the Charter Amendment has been prompted by business and financial considerations and not by the threat of any known or threatened hostile takeover attempt, stockholders should be aware that the effect of the Charter Amendment could facilitate future attempts by us to oppose changes in control and perpetuate our management, including transactions in which the stockholders might otherwise receive a premium for their shares over then current market prices. We cannot provide assurances that any such transactions will be consummated on favorable terms or at all, that they will enhance stockholder value, or that they will not adversely affect our business or the trading price of the common stock.</w:t>
      </w:r>
    </w:p>
    <w:p>
      <w:pPr>
        <w:spacing w:after="0" w:line="106" w:lineRule="exact"/>
        <w:rPr>
          <w:sz w:val="20"/>
          <w:szCs w:val="20"/>
          <w:color w:val="auto"/>
        </w:rPr>
      </w:pPr>
    </w:p>
    <w:p>
      <w:pPr>
        <w:jc w:val="both"/>
        <w:ind w:left="880" w:right="19"/>
        <w:spacing w:after="0" w:line="267" w:lineRule="auto"/>
        <w:rPr>
          <w:sz w:val="20"/>
          <w:szCs w:val="20"/>
          <w:color w:val="auto"/>
        </w:rPr>
      </w:pPr>
      <w:r>
        <w:rPr>
          <w:rFonts w:ascii="Arial" w:cs="Arial" w:eastAsia="Arial" w:hAnsi="Arial"/>
          <w:sz w:val="18"/>
          <w:szCs w:val="18"/>
          <w:color w:val="auto"/>
        </w:rPr>
        <w:t>The Charter Amendment is not being proposed in response to any effort of which we are aware to accumulate shares of common stock or obtain control of the Company. While it is possible that our management could use the Charter Amendment to resist or frustrate a third-party transaction providing an above-market premium that is favored by a majority of stockholders, we do not intend to construct or enable any anti-takeover defense or mechanism on its behalf. We have no current intent or plans to employ the Charter Amendment as an anti-takeover device and do not have any plans or proposals to adopt any other provisions or enter into other arrangements that may have material anti-takeover consequences.</w:t>
      </w:r>
    </w:p>
    <w:p>
      <w:pPr>
        <w:spacing w:after="0" w:line="103" w:lineRule="exact"/>
        <w:rPr>
          <w:sz w:val="20"/>
          <w:szCs w:val="20"/>
          <w:color w:val="auto"/>
        </w:rPr>
      </w:pPr>
    </w:p>
    <w:p>
      <w:pPr>
        <w:jc w:val="both"/>
        <w:ind w:left="880" w:right="19"/>
        <w:spacing w:after="0" w:line="273" w:lineRule="auto"/>
        <w:rPr>
          <w:sz w:val="20"/>
          <w:szCs w:val="20"/>
          <w:color w:val="auto"/>
        </w:rPr>
      </w:pPr>
      <w:r>
        <w:rPr>
          <w:rFonts w:ascii="Arial" w:cs="Arial" w:eastAsia="Arial" w:hAnsi="Arial"/>
          <w:sz w:val="18"/>
          <w:szCs w:val="18"/>
          <w:color w:val="auto"/>
        </w:rPr>
        <w:t>In addition to the Charter Amendment, provisions of our governing documents and applicable provisions of Delaware law may also have anti-takeover effects, making it more difficult for, or preventing a third-party from acquiring control of the Company or changing our Board and management. These provisions may also have the effect of deterring hostile takeovers or delaying changes in the Company’s control or in our management.</w:t>
      </w:r>
    </w:p>
    <w:p>
      <w:pPr>
        <w:spacing w:after="0" w:line="111" w:lineRule="exact"/>
        <w:rPr>
          <w:sz w:val="20"/>
          <w:szCs w:val="20"/>
          <w:color w:val="auto"/>
        </w:rPr>
      </w:pPr>
    </w:p>
    <w:p>
      <w:pPr>
        <w:jc w:val="both"/>
        <w:ind w:left="880" w:right="39"/>
        <w:spacing w:after="0" w:line="273" w:lineRule="auto"/>
        <w:rPr>
          <w:sz w:val="20"/>
          <w:szCs w:val="20"/>
          <w:color w:val="auto"/>
        </w:rPr>
      </w:pPr>
      <w:r>
        <w:rPr>
          <w:rFonts w:ascii="Arial" w:cs="Arial" w:eastAsia="Arial" w:hAnsi="Arial"/>
          <w:sz w:val="18"/>
          <w:szCs w:val="18"/>
          <w:color w:val="auto"/>
        </w:rPr>
        <w:t>Our Charter and Bylaws do not provide for cumulative voting in the election of directors. The combination of the present ownership by a relative few stockholders of a significant portion of the Company’s voting capital stock and lack of cumulative voting makes it more difficult for other stockholders to replace the members of the Board or for another party to obtain control of the Company by replacing our Board.</w:t>
      </w:r>
    </w:p>
    <w:p>
      <w:pPr>
        <w:spacing w:after="0" w:line="273"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​ITEMS TO BE VOTED 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Certain Disadvantages of the Charter Amendment</w:t>
      </w:r>
    </w:p>
    <w:p>
      <w:pPr>
        <w:spacing w:after="0" w:line="142" w:lineRule="exact"/>
        <w:rPr>
          <w:sz w:val="20"/>
          <w:szCs w:val="20"/>
          <w:color w:val="auto"/>
        </w:rPr>
      </w:pPr>
    </w:p>
    <w:p>
      <w:pPr>
        <w:jc w:val="both"/>
        <w:ind w:left="880" w:right="19"/>
        <w:spacing w:after="0" w:line="291" w:lineRule="auto"/>
        <w:rPr>
          <w:sz w:val="20"/>
          <w:szCs w:val="20"/>
          <w:color w:val="auto"/>
        </w:rPr>
      </w:pPr>
      <w:r>
        <w:rPr>
          <w:rFonts w:ascii="Arial" w:cs="Arial" w:eastAsia="Arial" w:hAnsi="Arial"/>
          <w:sz w:val="17"/>
          <w:szCs w:val="17"/>
          <w:color w:val="auto"/>
        </w:rPr>
        <w:t>If the authorized number of shares of common stock increases from 300,000,000 to 450,000,000 shares as proposed by this Proposal 3, we will be able to issue more shares of common stock which could result in additional dilution to current stockholders and which could have a negative effect on the market price of our common stock.</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Timing and Effect of the Charter Amendment</w:t>
      </w:r>
    </w:p>
    <w:p>
      <w:pPr>
        <w:spacing w:after="0" w:line="156" w:lineRule="exact"/>
        <w:rPr>
          <w:sz w:val="20"/>
          <w:szCs w:val="20"/>
          <w:color w:val="auto"/>
        </w:rPr>
      </w:pPr>
    </w:p>
    <w:p>
      <w:pPr>
        <w:jc w:val="both"/>
        <w:ind w:left="880" w:right="19"/>
        <w:spacing w:after="0" w:line="255" w:lineRule="auto"/>
        <w:rPr>
          <w:sz w:val="20"/>
          <w:szCs w:val="20"/>
          <w:color w:val="auto"/>
        </w:rPr>
      </w:pPr>
      <w:r>
        <w:rPr>
          <w:rFonts w:ascii="Arial" w:cs="Arial" w:eastAsia="Arial" w:hAnsi="Arial"/>
          <w:sz w:val="18"/>
          <w:szCs w:val="18"/>
          <w:color w:val="auto"/>
        </w:rPr>
        <w:t>If the proposed Charter Amendment is approved by our stockholders, it will become effective immediately upon the filing of the Certificate of Amendment with the Secretary of State of the State of Delaware, which we expect to file promptly after the Annual Meeting. Other than the proposed amendment of Article IV containing the Charter Amendment, the remainder of our Charter will remain unchanged after effectiveness of the Charter Amendment. If the proposed Charter Amendment is not approved by our stockholders, our Charter will not reflect this change. In accordance with the DGCL, the Board may elect to abandon the proposed Charter Amendment without further action by the stockholders at any time prior to the effectiveness of the filing of the Certificate of Amendment with the Secretary of State of the State of Delaware, notwithstanding stockholder approval of the proposed Charter Amendment.</w:t>
      </w:r>
    </w:p>
    <w:p>
      <w:pPr>
        <w:spacing w:after="0" w:line="113" w:lineRule="exact"/>
        <w:rPr>
          <w:sz w:val="20"/>
          <w:szCs w:val="20"/>
          <w:color w:val="auto"/>
        </w:rPr>
      </w:pPr>
    </w:p>
    <w:p>
      <w:pPr>
        <w:jc w:val="both"/>
        <w:ind w:left="880" w:right="39"/>
        <w:spacing w:after="0" w:line="268" w:lineRule="auto"/>
        <w:rPr>
          <w:sz w:val="20"/>
          <w:szCs w:val="20"/>
          <w:color w:val="auto"/>
        </w:rPr>
      </w:pPr>
      <w:r>
        <w:rPr>
          <w:rFonts w:ascii="Arial" w:cs="Arial" w:eastAsia="Arial" w:hAnsi="Arial"/>
          <w:sz w:val="18"/>
          <w:szCs w:val="18"/>
          <w:color w:val="auto"/>
        </w:rPr>
        <w:t>If a quorum is present, the affirmative vote of a majority of all of our issued and outstanding shares of common stock entitled to vote is required for approval of the proposed Charter Amendment. Abstentions and broker non-votes will have the effect of voting against this proposal.</w:t>
      </w:r>
    </w:p>
    <w:p>
      <w:pPr>
        <w:spacing w:after="0" w:line="129" w:lineRule="exact"/>
        <w:rPr>
          <w:sz w:val="20"/>
          <w:szCs w:val="20"/>
          <w:color w:val="auto"/>
        </w:rPr>
      </w:pPr>
    </w:p>
    <w:tbl>
      <w:tblPr>
        <w:tblLayout w:type="fixed"/>
        <w:tblInd w:w="870" w:type="dxa"/>
        <w:tblCellMar>
          <w:top w:w="0" w:type="dxa"/>
          <w:left w:w="0" w:type="dxa"/>
          <w:bottom w:w="0" w:type="dxa"/>
          <w:right w:w="0" w:type="dxa"/>
        </w:tblCellMar>
      </w:tblPr>
      <w:tr>
        <w:trPr>
          <w:trHeight w:val="386"/>
        </w:trPr>
        <w:tc>
          <w:tcPr>
            <w:tcW w:w="8220" w:type="dxa"/>
            <w:vAlign w:val="bottom"/>
            <w:tcBorders>
              <w:top w:val="single" w:sz="8" w:color="148CD9"/>
              <w:left w:val="single" w:sz="8" w:color="148CD9"/>
            </w:tcBorders>
          </w:tcPr>
          <w:p>
            <w:pPr>
              <w:jc w:val="center"/>
              <w:spacing w:after="0"/>
              <w:rPr>
                <w:sz w:val="20"/>
                <w:szCs w:val="20"/>
                <w:color w:val="auto"/>
              </w:rPr>
            </w:pPr>
            <w:r>
              <w:rPr>
                <w:rFonts w:ascii="Arial" w:cs="Arial" w:eastAsia="Arial" w:hAnsi="Arial"/>
                <w:sz w:val="18"/>
                <w:szCs w:val="18"/>
                <w:color w:val="auto"/>
              </w:rPr>
              <w:t xml:space="preserve">THE BOARD UNANIMOUSLY RECOMMENDS A VOTE </w:t>
            </w:r>
            <w:r>
              <w:rPr>
                <w:rFonts w:ascii="Arial" w:cs="Arial" w:eastAsia="Arial" w:hAnsi="Arial"/>
                <w:sz w:val="18"/>
                <w:szCs w:val="18"/>
                <w:b w:val="1"/>
                <w:bCs w:val="1"/>
                <w:color w:val="1DA46F"/>
              </w:rPr>
              <w:t>FOR</w:t>
            </w:r>
            <w:r>
              <w:rPr>
                <w:rFonts w:ascii="Arial" w:cs="Arial" w:eastAsia="Arial" w:hAnsi="Arial"/>
                <w:sz w:val="18"/>
                <w:szCs w:val="18"/>
                <w:color w:val="auto"/>
              </w:rPr>
              <w:t xml:space="preserve"> THE AMENDMENT TO OUR</w:t>
            </w:r>
          </w:p>
        </w:tc>
        <w:tc>
          <w:tcPr>
            <w:tcW w:w="760" w:type="dxa"/>
            <w:vAlign w:val="bottom"/>
            <w:tcBorders>
              <w:top w:val="single" w:sz="8" w:color="148CD9"/>
              <w:right w:val="single" w:sz="8" w:color="148CD9"/>
            </w:tcBorders>
          </w:tcPr>
          <w:p>
            <w:pPr>
              <w:spacing w:after="0"/>
              <w:rPr>
                <w:sz w:val="24"/>
                <w:szCs w:val="24"/>
                <w:color w:val="auto"/>
              </w:rPr>
            </w:pPr>
          </w:p>
        </w:tc>
      </w:tr>
      <w:tr>
        <w:trPr>
          <w:trHeight w:val="208"/>
        </w:trPr>
        <w:tc>
          <w:tcPr>
            <w:tcW w:w="8220" w:type="dxa"/>
            <w:vAlign w:val="bottom"/>
            <w:tcBorders>
              <w:left w:val="single" w:sz="8" w:color="148CD9"/>
            </w:tcBorders>
          </w:tcPr>
          <w:p>
            <w:pPr>
              <w:ind w:left="40"/>
              <w:spacing w:after="0"/>
              <w:rPr>
                <w:sz w:val="20"/>
                <w:szCs w:val="20"/>
                <w:color w:val="auto"/>
              </w:rPr>
            </w:pPr>
            <w:r>
              <w:rPr>
                <w:rFonts w:ascii="Arial" w:cs="Arial" w:eastAsia="Arial" w:hAnsi="Arial"/>
                <w:sz w:val="18"/>
                <w:szCs w:val="18"/>
                <w:color w:val="auto"/>
              </w:rPr>
              <w:t>​ SECOND AMENDED AND RESTATED CERTIFICATE OF INCORPORATION TO INCREASE THE​ ​</w:t>
            </w:r>
          </w:p>
        </w:tc>
        <w:tc>
          <w:tcPr>
            <w:tcW w:w="760" w:type="dxa"/>
            <w:vAlign w:val="bottom"/>
            <w:tcBorders>
              <w:right w:val="single" w:sz="8" w:color="148CD9"/>
            </w:tcBorders>
          </w:tcPr>
          <w:p>
            <w:pPr>
              <w:ind w:left="640"/>
              <w:spacing w:after="0"/>
              <w:rPr>
                <w:sz w:val="20"/>
                <w:szCs w:val="20"/>
                <w:color w:val="auto"/>
              </w:rPr>
            </w:pPr>
            <w:r>
              <w:rPr>
                <w:rFonts w:ascii="Arial" w:cs="Arial" w:eastAsia="Arial" w:hAnsi="Arial"/>
                <w:sz w:val="18"/>
                <w:szCs w:val="18"/>
                <w:color w:val="auto"/>
              </w:rPr>
              <w:t>​</w:t>
            </w:r>
          </w:p>
        </w:tc>
      </w:tr>
      <w:tr>
        <w:trPr>
          <w:trHeight w:val="331"/>
        </w:trPr>
        <w:tc>
          <w:tcPr>
            <w:tcW w:w="8220" w:type="dxa"/>
            <w:vAlign w:val="bottom"/>
            <w:tcBorders>
              <w:left w:val="single" w:sz="8" w:color="148CD9"/>
              <w:bottom w:val="single" w:sz="8" w:color="148CD9"/>
            </w:tcBorders>
          </w:tcPr>
          <w:p>
            <w:pPr>
              <w:jc w:val="center"/>
              <w:spacing w:after="0"/>
              <w:rPr>
                <w:sz w:val="20"/>
                <w:szCs w:val="20"/>
                <w:color w:val="auto"/>
              </w:rPr>
            </w:pPr>
            <w:r>
              <w:rPr>
                <w:rFonts w:ascii="Arial" w:cs="Arial" w:eastAsia="Arial" w:hAnsi="Arial"/>
                <w:sz w:val="18"/>
                <w:szCs w:val="18"/>
                <w:color w:val="auto"/>
                <w:w w:val="98"/>
              </w:rPr>
              <w:t>NUMBER OF AUTHORIZED SHARES OF COMMON STOCK .</w:t>
            </w:r>
          </w:p>
        </w:tc>
        <w:tc>
          <w:tcPr>
            <w:tcW w:w="760" w:type="dxa"/>
            <w:vAlign w:val="bottom"/>
            <w:tcBorders>
              <w:bottom w:val="single" w:sz="8" w:color="148CD9"/>
              <w:right w:val="single" w:sz="8" w:color="148CD9"/>
            </w:tcBorders>
          </w:tcPr>
          <w:p>
            <w:pPr>
              <w:ind w:left="40"/>
              <w:spacing w:after="0" w:line="323" w:lineRule="exact"/>
              <w:rPr>
                <w:sz w:val="20"/>
                <w:szCs w:val="20"/>
                <w:color w:val="auto"/>
              </w:rPr>
            </w:pPr>
            <w:r>
              <w:rPr>
                <w:rFonts w:ascii="MS PGothic" w:cs="MS PGothic" w:eastAsia="MS PGothic" w:hAnsi="MS PGothic"/>
                <w:sz w:val="43"/>
                <w:szCs w:val="43"/>
                <w:color w:val="1DA46F"/>
              </w:rPr>
              <w:t>✓</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​ITEMS TO BE VOTED 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39"/>
        <w:spacing w:after="0" w:line="296" w:lineRule="auto"/>
        <w:rPr>
          <w:sz w:val="20"/>
          <w:szCs w:val="20"/>
          <w:color w:val="auto"/>
        </w:rPr>
      </w:pPr>
      <w:r>
        <w:rPr>
          <w:rFonts w:ascii="Arial" w:cs="Arial" w:eastAsia="Arial" w:hAnsi="Arial"/>
          <w:sz w:val="18"/>
          <w:szCs w:val="18"/>
          <w:b w:val="1"/>
          <w:bCs w:val="1"/>
          <w:color w:val="auto"/>
        </w:rPr>
        <w:t>PROPOSAL 4: ADJOURNMENT OF THE ANNUAL MEETING TO THE EXTENT THERE ARE INSUFFICIENT VOTES AT THE ANNUAL MEETING TO APPROVE THE IMMEDIATELY PRECEDING PROPOSAL.</w:t>
      </w:r>
    </w:p>
    <w:p>
      <w:pPr>
        <w:spacing w:after="0" w:line="56" w:lineRule="exact"/>
        <w:rPr>
          <w:sz w:val="20"/>
          <w:szCs w:val="20"/>
          <w:color w:val="auto"/>
        </w:rPr>
      </w:pPr>
    </w:p>
    <w:p>
      <w:pPr>
        <w:jc w:val="both"/>
        <w:ind w:left="880" w:right="19"/>
        <w:spacing w:after="0" w:line="259" w:lineRule="auto"/>
        <w:rPr>
          <w:sz w:val="20"/>
          <w:szCs w:val="20"/>
          <w:color w:val="auto"/>
        </w:rPr>
      </w:pPr>
      <w:r>
        <w:rPr>
          <w:rFonts w:ascii="Arial" w:cs="Arial" w:eastAsia="Arial" w:hAnsi="Arial"/>
          <w:sz w:val="18"/>
          <w:szCs w:val="18"/>
          <w:color w:val="auto"/>
        </w:rPr>
        <w:t>In the event that the number of shares of common stock present virtually or represented by proxy at the Annual Meeting and voting “FOR” the adoption of the Certificate of Amendment in Proposal 3 are insufficient to approve such proposal, we may move to adjourn the Annual Meeting in order to enable us to solicit additional proxies in favor of the adoption of such proposal. If the adjournment is for more than thirty days, a notice of the adjourned meeting shall be given to each shareholder of record entitled to vote at the Annual Meeting.</w:t>
      </w:r>
    </w:p>
    <w:p>
      <w:pPr>
        <w:spacing w:after="0" w:line="112" w:lineRule="exact"/>
        <w:rPr>
          <w:sz w:val="20"/>
          <w:szCs w:val="20"/>
          <w:color w:val="auto"/>
        </w:rPr>
      </w:pPr>
    </w:p>
    <w:p>
      <w:pPr>
        <w:jc w:val="both"/>
        <w:ind w:left="880" w:right="39"/>
        <w:spacing w:after="0" w:line="268" w:lineRule="auto"/>
        <w:rPr>
          <w:sz w:val="20"/>
          <w:szCs w:val="20"/>
          <w:color w:val="auto"/>
        </w:rPr>
      </w:pPr>
      <w:r>
        <w:rPr>
          <w:rFonts w:ascii="Arial" w:cs="Arial" w:eastAsia="Arial" w:hAnsi="Arial"/>
          <w:sz w:val="18"/>
          <w:szCs w:val="18"/>
          <w:color w:val="auto"/>
        </w:rPr>
        <w:t>For the avoidance of doubt, any proxy authorizing the adjournment of the Annual Meeting shall also authorize successive adjournments thereof, at any meeting so adjourned, to the extent necessary for us to solicit additional proxies in favor of the adoption of any such proposal.</w:t>
      </w:r>
    </w:p>
    <w:p>
      <w:pPr>
        <w:spacing w:after="0" w:line="129" w:lineRule="exact"/>
        <w:rPr>
          <w:sz w:val="20"/>
          <w:szCs w:val="20"/>
          <w:color w:val="auto"/>
        </w:rPr>
      </w:pPr>
    </w:p>
    <w:tbl>
      <w:tblPr>
        <w:tblLayout w:type="fixed"/>
        <w:tblInd w:w="870" w:type="dxa"/>
        <w:tblCellMar>
          <w:top w:w="0" w:type="dxa"/>
          <w:left w:w="0" w:type="dxa"/>
          <w:bottom w:w="0" w:type="dxa"/>
          <w:right w:w="0" w:type="dxa"/>
        </w:tblCellMar>
      </w:tblPr>
      <w:tr>
        <w:trPr>
          <w:trHeight w:val="305"/>
        </w:trPr>
        <w:tc>
          <w:tcPr>
            <w:tcW w:w="8220" w:type="dxa"/>
            <w:vAlign w:val="bottom"/>
            <w:tcBorders>
              <w:top w:val="single" w:sz="8" w:color="148CD9"/>
              <w:left w:val="single" w:sz="8" w:color="148CD9"/>
            </w:tcBorders>
          </w:tcPr>
          <w:p>
            <w:pPr>
              <w:ind w:left="140"/>
              <w:spacing w:after="0"/>
              <w:rPr>
                <w:sz w:val="20"/>
                <w:szCs w:val="20"/>
                <w:color w:val="auto"/>
              </w:rPr>
            </w:pPr>
            <w:r>
              <w:rPr>
                <w:rFonts w:ascii="Arial" w:cs="Arial" w:eastAsia="Arial" w:hAnsi="Arial"/>
                <w:sz w:val="18"/>
                <w:szCs w:val="18"/>
                <w:color w:val="auto"/>
              </w:rPr>
              <w:t xml:space="preserve">THE BOARD UNANIMOUSLY RECOMMENDS A VOTE </w:t>
            </w:r>
            <w:r>
              <w:rPr>
                <w:rFonts w:ascii="Arial" w:cs="Arial" w:eastAsia="Arial" w:hAnsi="Arial"/>
                <w:sz w:val="18"/>
                <w:szCs w:val="18"/>
                <w:b w:val="1"/>
                <w:bCs w:val="1"/>
                <w:color w:val="1DA46F"/>
              </w:rPr>
              <w:t>FOR</w:t>
            </w:r>
            <w:r>
              <w:rPr>
                <w:rFonts w:ascii="Arial" w:cs="Arial" w:eastAsia="Arial" w:hAnsi="Arial"/>
                <w:sz w:val="18"/>
                <w:szCs w:val="18"/>
                <w:color w:val="auto"/>
              </w:rPr>
              <w:t xml:space="preserve">  THE APPROVAL OF THE</w:t>
            </w:r>
          </w:p>
        </w:tc>
        <w:tc>
          <w:tcPr>
            <w:tcW w:w="760" w:type="dxa"/>
            <w:vAlign w:val="bottom"/>
            <w:tcBorders>
              <w:top w:val="single" w:sz="8" w:color="148CD9"/>
              <w:right w:val="single" w:sz="8" w:color="148CD9"/>
            </w:tcBorders>
          </w:tcPr>
          <w:p>
            <w:pPr>
              <w:spacing w:after="0"/>
              <w:rPr>
                <w:sz w:val="24"/>
                <w:szCs w:val="24"/>
                <w:color w:val="auto"/>
              </w:rPr>
            </w:pPr>
          </w:p>
        </w:tc>
      </w:tr>
      <w:tr>
        <w:trPr>
          <w:trHeight w:val="189"/>
        </w:trPr>
        <w:tc>
          <w:tcPr>
            <w:tcW w:w="8220" w:type="dxa"/>
            <w:vAlign w:val="bottom"/>
            <w:tcBorders>
              <w:left w:val="single" w:sz="8" w:color="148CD9"/>
            </w:tcBorders>
          </w:tcPr>
          <w:p>
            <w:pPr>
              <w:ind w:left="140"/>
              <w:spacing w:after="0" w:line="189" w:lineRule="exact"/>
              <w:rPr>
                <w:sz w:val="20"/>
                <w:szCs w:val="20"/>
                <w:color w:val="auto"/>
              </w:rPr>
            </w:pPr>
            <w:r>
              <w:rPr>
                <w:rFonts w:ascii="Arial" w:cs="Arial" w:eastAsia="Arial" w:hAnsi="Arial"/>
                <w:sz w:val="18"/>
                <w:szCs w:val="18"/>
                <w:color w:val="auto"/>
              </w:rPr>
              <w:t>ADJOURNMENT OF THE ANNUAL MEETING TO THE EXTENT THERE ARE INSUFFICIENT</w:t>
            </w:r>
          </w:p>
        </w:tc>
        <w:tc>
          <w:tcPr>
            <w:tcW w:w="760" w:type="dxa"/>
            <w:vAlign w:val="bottom"/>
            <w:tcBorders>
              <w:right w:val="single" w:sz="8" w:color="148CD9"/>
            </w:tcBorders>
          </w:tcPr>
          <w:p>
            <w:pPr>
              <w:spacing w:after="0"/>
              <w:rPr>
                <w:sz w:val="16"/>
                <w:szCs w:val="16"/>
                <w:color w:val="auto"/>
              </w:rPr>
            </w:pPr>
          </w:p>
        </w:tc>
      </w:tr>
      <w:tr>
        <w:trPr>
          <w:trHeight w:val="208"/>
        </w:trPr>
        <w:tc>
          <w:tcPr>
            <w:tcW w:w="8220" w:type="dxa"/>
            <w:vAlign w:val="bottom"/>
            <w:tcBorders>
              <w:left w:val="single" w:sz="8" w:color="148CD9"/>
            </w:tcBorders>
          </w:tcPr>
          <w:p>
            <w:pPr>
              <w:ind w:left="40"/>
              <w:spacing w:after="0"/>
              <w:rPr>
                <w:sz w:val="20"/>
                <w:szCs w:val="20"/>
                <w:color w:val="auto"/>
              </w:rPr>
            </w:pPr>
            <w:r>
              <w:rPr>
                <w:rFonts w:ascii="Arial" w:cs="Arial" w:eastAsia="Arial" w:hAnsi="Arial"/>
                <w:sz w:val="18"/>
                <w:szCs w:val="18"/>
                <w:color w:val="auto"/>
              </w:rPr>
              <w:t>​ VOTES  AT  THE  ANNUAL  MEETING  TO  APPROVE  THE  IMMEDIATELY  PRECEDING​ ​</w:t>
            </w:r>
          </w:p>
        </w:tc>
        <w:tc>
          <w:tcPr>
            <w:tcW w:w="760" w:type="dxa"/>
            <w:vAlign w:val="bottom"/>
            <w:tcBorders>
              <w:right w:val="single" w:sz="8" w:color="148CD9"/>
            </w:tcBorders>
          </w:tcPr>
          <w:p>
            <w:pPr>
              <w:ind w:left="640"/>
              <w:spacing w:after="0"/>
              <w:rPr>
                <w:sz w:val="20"/>
                <w:szCs w:val="20"/>
                <w:color w:val="auto"/>
              </w:rPr>
            </w:pPr>
            <w:r>
              <w:rPr>
                <w:rFonts w:ascii="Arial" w:cs="Arial" w:eastAsia="Arial" w:hAnsi="Arial"/>
                <w:sz w:val="18"/>
                <w:szCs w:val="18"/>
                <w:color w:val="auto"/>
              </w:rPr>
              <w:t>​</w:t>
            </w:r>
          </w:p>
        </w:tc>
      </w:tr>
      <w:tr>
        <w:trPr>
          <w:trHeight w:val="331"/>
        </w:trPr>
        <w:tc>
          <w:tcPr>
            <w:tcW w:w="8220" w:type="dxa"/>
            <w:vAlign w:val="bottom"/>
            <w:tcBorders>
              <w:left w:val="single" w:sz="8" w:color="148CD9"/>
              <w:bottom w:val="single" w:sz="8" w:color="148CD9"/>
            </w:tcBorders>
          </w:tcPr>
          <w:p>
            <w:pPr>
              <w:ind w:left="140"/>
              <w:spacing w:after="0"/>
              <w:rPr>
                <w:sz w:val="20"/>
                <w:szCs w:val="20"/>
                <w:color w:val="auto"/>
              </w:rPr>
            </w:pPr>
            <w:r>
              <w:rPr>
                <w:rFonts w:ascii="Arial" w:cs="Arial" w:eastAsia="Arial" w:hAnsi="Arial"/>
                <w:sz w:val="18"/>
                <w:szCs w:val="18"/>
                <w:color w:val="auto"/>
              </w:rPr>
              <w:t>PROPOSAL.</w:t>
            </w:r>
          </w:p>
        </w:tc>
        <w:tc>
          <w:tcPr>
            <w:tcW w:w="760" w:type="dxa"/>
            <w:vAlign w:val="bottom"/>
            <w:tcBorders>
              <w:bottom w:val="single" w:sz="8" w:color="148CD9"/>
              <w:right w:val="single" w:sz="8" w:color="148CD9"/>
            </w:tcBorders>
          </w:tcPr>
          <w:p>
            <w:pPr>
              <w:ind w:left="40"/>
              <w:spacing w:after="0" w:line="323" w:lineRule="exact"/>
              <w:rPr>
                <w:sz w:val="20"/>
                <w:szCs w:val="20"/>
                <w:color w:val="auto"/>
              </w:rPr>
            </w:pPr>
            <w:r>
              <w:rPr>
                <w:rFonts w:ascii="MS PGothic" w:cs="MS PGothic" w:eastAsia="MS PGothic" w:hAnsi="MS PGothic"/>
                <w:sz w:val="43"/>
                <w:szCs w:val="43"/>
                <w:color w:val="1DA46F"/>
              </w:rPr>
              <w:t>✓</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​OTHER INFORMATION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OTHER MATTERS</w:t>
      </w:r>
    </w:p>
    <w:p>
      <w:pPr>
        <w:spacing w:after="0" w:line="144" w:lineRule="exact"/>
        <w:rPr>
          <w:sz w:val="20"/>
          <w:szCs w:val="20"/>
          <w:color w:val="auto"/>
        </w:rPr>
      </w:pPr>
    </w:p>
    <w:p>
      <w:pPr>
        <w:jc w:val="both"/>
        <w:ind w:left="880" w:right="19"/>
        <w:spacing w:after="0" w:line="257" w:lineRule="auto"/>
        <w:rPr>
          <w:sz w:val="20"/>
          <w:szCs w:val="20"/>
          <w:color w:val="auto"/>
        </w:rPr>
      </w:pPr>
      <w:r>
        <w:rPr>
          <w:rFonts w:ascii="Arial" w:cs="Arial" w:eastAsia="Arial" w:hAnsi="Arial"/>
          <w:sz w:val="18"/>
          <w:szCs w:val="18"/>
          <w:color w:val="auto"/>
        </w:rPr>
        <w:t>The Annual Meeting is called for the purposes set forth in the Notice. Our Board does not know of any other matters to be considered by the stockholders at the Annual Meeting, other than the matters described in the Notice. However, the enclosed proxy confers discretionary authority on the persons named in the proxy card with respect to matters that may properly come before the Annual Meeting and that are not known to our Board at the date this Proxy Statement was printed. It is the intention of the persons named in the proxy card to vote in accordance with their best judgment on any such matter.</w:t>
      </w:r>
    </w:p>
    <w:p>
      <w:pPr>
        <w:spacing w:after="0" w:line="182" w:lineRule="exact"/>
        <w:rPr>
          <w:sz w:val="20"/>
          <w:szCs w:val="20"/>
          <w:color w:val="auto"/>
        </w:rPr>
      </w:pPr>
    </w:p>
    <w:p>
      <w:pPr>
        <w:jc w:val="both"/>
        <w:ind w:left="880" w:right="19"/>
        <w:spacing w:after="0" w:line="296" w:lineRule="auto"/>
        <w:rPr>
          <w:sz w:val="20"/>
          <w:szCs w:val="20"/>
          <w:color w:val="auto"/>
        </w:rPr>
      </w:pPr>
      <w:r>
        <w:rPr>
          <w:rFonts w:ascii="Arial" w:cs="Arial" w:eastAsia="Arial" w:hAnsi="Arial"/>
          <w:sz w:val="18"/>
          <w:szCs w:val="18"/>
          <w:b w:val="1"/>
          <w:bCs w:val="1"/>
          <w:color w:val="auto"/>
        </w:rPr>
        <w:t>REQUIREMENTS FOR SUBMISSION OF STOCKHOLDER PROPOSALS FOR NEXT YEAR’S ANNUAL MEETING</w:t>
      </w:r>
    </w:p>
    <w:p>
      <w:pPr>
        <w:spacing w:after="0" w:line="70" w:lineRule="exact"/>
        <w:rPr>
          <w:sz w:val="20"/>
          <w:szCs w:val="20"/>
          <w:color w:val="auto"/>
        </w:rPr>
      </w:pPr>
    </w:p>
    <w:p>
      <w:pPr>
        <w:jc w:val="both"/>
        <w:ind w:left="880" w:right="19"/>
        <w:spacing w:after="0" w:line="255" w:lineRule="auto"/>
        <w:rPr>
          <w:sz w:val="20"/>
          <w:szCs w:val="20"/>
          <w:color w:val="auto"/>
        </w:rPr>
      </w:pPr>
      <w:r>
        <w:rPr>
          <w:rFonts w:ascii="Arial" w:cs="Arial" w:eastAsia="Arial" w:hAnsi="Arial"/>
          <w:sz w:val="18"/>
          <w:szCs w:val="18"/>
          <w:color w:val="auto"/>
        </w:rPr>
        <w:t>Stockholders intending to present a proposal to be considered for inclusion in the proxy statement for our 2027 Annual Meeting of Stockholders must submit a proposal that is received at our principal executive offices no later than December 23, 2026, which is the 120th day prior to the first anniversary we released this Proxy Statement to our stockholders for the 2026 Annual Meeting of Stockholders. Proposals must be sent via registered, certified, or express mail (or other means that allows the stockholder to determine when the proposal was received by the Secretary) to our Secretary at Century Therapeutics, Inc., 25 North 38th Street, 11th Floor, Philadelphia, PA 19104. Proposals must contain the information required under our Bylaws, a copy of which is available upon request to our Secretary, and also must comply with the SEC’s regulations regarding the inclusion of stockholder proposals in Company-sponsored proxy materials.</w:t>
      </w:r>
    </w:p>
    <w:p>
      <w:pPr>
        <w:spacing w:after="0" w:line="113" w:lineRule="exact"/>
        <w:rPr>
          <w:sz w:val="20"/>
          <w:szCs w:val="20"/>
          <w:color w:val="auto"/>
        </w:rPr>
      </w:pPr>
    </w:p>
    <w:p>
      <w:pPr>
        <w:jc w:val="both"/>
        <w:ind w:left="880" w:right="19"/>
        <w:spacing w:after="0" w:line="269" w:lineRule="auto"/>
        <w:rPr>
          <w:sz w:val="20"/>
          <w:szCs w:val="20"/>
          <w:color w:val="auto"/>
        </w:rPr>
      </w:pPr>
      <w:r>
        <w:rPr>
          <w:rFonts w:ascii="Arial" w:cs="Arial" w:eastAsia="Arial" w:hAnsi="Arial"/>
          <w:sz w:val="17"/>
          <w:szCs w:val="17"/>
          <w:color w:val="auto"/>
        </w:rPr>
        <w:t>Stockholders intending to present a proposal or nominate a director for election at our 2027 Annual Meeting of Stockholders without having the proposal or nomination included in our Proxy Statement must comply with the requirements set forth in our Bylaws. Our Bylaws require, among other things, that the Secretary of the Company receive the proposal or nomination no earlier than the close of business on the 120th day, and no later than the close of business on the 90th day, prior to the first anniversary of the preceding year’s annual meeting. Accordingly, for our 2027 Annual Meeting of Stockholders, our Secretary must receive the proposal or nomination no earlier than February 11, 2027 and no later than the close of business on March 12, 2027. However, if we change the date of the 2027 Annual Meeting of Stockholders by more than 30 days before or 60 days after the anniversary of this year’s Annual Meeting, stockholder proposals must be received no later than the close of business on the later of the 90th day prior to the scheduled date of the meeting and the tenth day following the day on which public notice of the meeting was first made. Proposals must contain the information required under our Bylaws, a copy of which is available upon request to our Corporate Secretary. If the stockholder does not meet the applicable deadlines or comply with the requirements of SEC Rule 14a-4, we may exercise discretionary voting authority under proxies we solicit to vote, in accordance with our best judgment, on any such proposal.</w:t>
      </w:r>
    </w:p>
    <w:p>
      <w:pPr>
        <w:spacing w:after="0" w:line="92" w:lineRule="exact"/>
        <w:rPr>
          <w:sz w:val="20"/>
          <w:szCs w:val="20"/>
          <w:color w:val="auto"/>
        </w:rPr>
      </w:pPr>
    </w:p>
    <w:p>
      <w:pPr>
        <w:jc w:val="both"/>
        <w:ind w:left="880" w:right="39"/>
        <w:spacing w:after="0" w:line="268" w:lineRule="auto"/>
        <w:rPr>
          <w:sz w:val="20"/>
          <w:szCs w:val="20"/>
          <w:color w:val="auto"/>
        </w:rPr>
      </w:pPr>
      <w:r>
        <w:rPr>
          <w:rFonts w:ascii="Arial" w:cs="Arial" w:eastAsia="Arial" w:hAnsi="Arial"/>
          <w:sz w:val="18"/>
          <w:szCs w:val="18"/>
          <w:color w:val="auto"/>
        </w:rPr>
        <w:t>In addition, to comply with the universal proxy rules, stockholders intending to solicit proxies in support of director nominees other than our nominees must provide notice that sets forth the information required by Rule 14a-19 under the Exchange Act in the timeline provided under our Bylaws.</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STOCKHOLDER COMMUNICATIONS TO THE BOARD</w:t>
      </w:r>
    </w:p>
    <w:p>
      <w:pPr>
        <w:spacing w:after="0" w:line="158" w:lineRule="exact"/>
        <w:rPr>
          <w:sz w:val="20"/>
          <w:szCs w:val="20"/>
          <w:color w:val="auto"/>
        </w:rPr>
      </w:pPr>
    </w:p>
    <w:p>
      <w:pPr>
        <w:jc w:val="both"/>
        <w:ind w:left="880" w:right="19"/>
        <w:spacing w:after="0" w:line="255" w:lineRule="auto"/>
        <w:rPr>
          <w:sz w:val="20"/>
          <w:szCs w:val="20"/>
          <w:color w:val="auto"/>
        </w:rPr>
      </w:pPr>
      <w:r>
        <w:rPr>
          <w:rFonts w:ascii="Arial" w:cs="Arial" w:eastAsia="Arial" w:hAnsi="Arial"/>
          <w:sz w:val="18"/>
          <w:szCs w:val="18"/>
          <w:color w:val="auto"/>
        </w:rPr>
        <w:t>Stockholders and other interested parties may communicate with the Board by writing to the Secretary, Century Therapeutics, Inc., 25 North 38th Street, 11th Floor, Philadelphia, PA 19104. Communications intended for a specific director or directors should be addressed to their attention to the Secretary at the address provided above. Communications received from stockholders are forwarded directly to Board members as part of the materials mailed in advance of the next scheduled Board meeting following receipt of the communications. The Board has authorized the Secretary, in his or her discretion, to forward communications on a more expedited basis if circumstances warrant or to exclude a communication if it is illegal, unduly hostile or threatening, or similarly inappropriate. Advertisements, solicitations for periodical or other subscriptions, and other similar communications generally will not be forwarded to the directors.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​OTHER INFORMATION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AVAILABILITY OF MATERIALS</w:t>
      </w:r>
    </w:p>
    <w:p>
      <w:pPr>
        <w:spacing w:after="0" w:line="144" w:lineRule="exact"/>
        <w:rPr>
          <w:sz w:val="20"/>
          <w:szCs w:val="20"/>
          <w:color w:val="auto"/>
        </w:rPr>
      </w:pPr>
    </w:p>
    <w:p>
      <w:pPr>
        <w:jc w:val="both"/>
        <w:ind w:left="880" w:right="19"/>
        <w:spacing w:after="0" w:line="275" w:lineRule="auto"/>
        <w:rPr>
          <w:sz w:val="20"/>
          <w:szCs w:val="20"/>
          <w:color w:val="auto"/>
        </w:rPr>
      </w:pPr>
      <w:r>
        <w:rPr>
          <w:rFonts w:ascii="Arial" w:cs="Arial" w:eastAsia="Arial" w:hAnsi="Arial"/>
          <w:sz w:val="17"/>
          <w:szCs w:val="17"/>
          <w:color w:val="auto"/>
        </w:rPr>
        <w:t>Our 2025 Annual Report, including the financial statements and financial statement schedules, has been filed with the SEC and provides additional information about us, which is incorporated by reference herein. It is available on the Internet at www.centurytx.com and is available in paper form (other than exhibits thereto) by first class mail or other equally prompt means to beneficial owners of our common stock, without charge, upon written request to Chief Financial Officer, Century Therapeutics, Inc., 25 North 38th Street, 11th Floor, Philadelphia, PA 19104. In addition, it is available to beneficial and record holders of our common stock at www.astproxyportal.com/ast/24419.</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​OTHER INFORMATION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CERTIFICATE OF INCORPORATION OF</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CENTURY THERAPEUTICS, INC.</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Century Therapeutics, Inc. (the “Corporation”), a corporation organized and existing under the provisions of the</w:t>
      </w:r>
    </w:p>
    <w:p>
      <w:pPr>
        <w:spacing w:after="0" w:line="2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General Corporation Law of the State of Delaware (the “DGCL”), hereby certifies that:</w:t>
      </w:r>
    </w:p>
    <w:p>
      <w:pPr>
        <w:spacing w:after="0" w:line="140" w:lineRule="exact"/>
        <w:rPr>
          <w:sz w:val="20"/>
          <w:szCs w:val="20"/>
          <w:color w:val="auto"/>
        </w:rPr>
      </w:pPr>
    </w:p>
    <w:p>
      <w:pPr>
        <w:jc w:val="both"/>
        <w:ind w:left="1600" w:right="19" w:hanging="370"/>
        <w:spacing w:after="0" w:line="282" w:lineRule="auto"/>
        <w:tabs>
          <w:tab w:leader="none" w:pos="1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name of this corporation is Century Therapeutics, Inc. The Corporation’s original Certificate of Incorporation was filed with the Secretary of State of the State of Delaware on February 25, 2021. Pursuant to Section 242 of the DGCL, this Certificate of Amendment (this “Amendment”) amends certain provisions of the Company’s Second Amended and Restated Certificate of Incorporation (the “Charter”).</w:t>
      </w:r>
    </w:p>
    <w:p>
      <w:pPr>
        <w:spacing w:after="0" w:line="93" w:lineRule="exact"/>
        <w:rPr>
          <w:rFonts w:ascii="Arial" w:cs="Arial" w:eastAsia="Arial" w:hAnsi="Arial"/>
          <w:sz w:val="17"/>
          <w:szCs w:val="17"/>
          <w:color w:val="auto"/>
        </w:rPr>
      </w:pPr>
    </w:p>
    <w:p>
      <w:pPr>
        <w:ind w:left="1600" w:right="39" w:hanging="370"/>
        <w:spacing w:after="0" w:line="287" w:lineRule="auto"/>
        <w:tabs>
          <w:tab w:leader="none" w:pos="1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Amendment has been approved and duly adopted by the Corporation’s Board of Directors and stockholders in accordance with the provisions of Section 242 of the DGCL.</w:t>
      </w:r>
    </w:p>
    <w:p>
      <w:pPr>
        <w:spacing w:after="0" w:line="71" w:lineRule="exact"/>
        <w:rPr>
          <w:rFonts w:ascii="Arial" w:cs="Arial" w:eastAsia="Arial" w:hAnsi="Arial"/>
          <w:sz w:val="18"/>
          <w:szCs w:val="18"/>
          <w:color w:val="auto"/>
        </w:rPr>
      </w:pPr>
    </w:p>
    <w:p>
      <w:pPr>
        <w:ind w:left="1600" w:hanging="370"/>
        <w:spacing w:after="0"/>
        <w:tabs>
          <w:tab w:leader="none" w:pos="1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Article IV of the Charter is hereby amended and restated in its entirety as follows:</w:t>
      </w:r>
    </w:p>
    <w:p>
      <w:pPr>
        <w:spacing w:after="0" w:line="15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Article IV</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u w:val="single" w:color="auto"/>
          <w:color w:val="auto"/>
        </w:rPr>
        <w:t>Capital Stock</w:t>
      </w:r>
    </w:p>
    <w:p>
      <w:pPr>
        <w:spacing w:after="0" w:line="140" w:lineRule="exact"/>
        <w:rPr>
          <w:sz w:val="20"/>
          <w:szCs w:val="20"/>
          <w:color w:val="auto"/>
        </w:rPr>
      </w:pPr>
    </w:p>
    <w:p>
      <w:pPr>
        <w:jc w:val="both"/>
        <w:ind w:left="1600" w:right="39"/>
        <w:spacing w:after="0" w:line="262" w:lineRule="auto"/>
        <w:rPr>
          <w:sz w:val="20"/>
          <w:szCs w:val="20"/>
          <w:color w:val="auto"/>
        </w:rPr>
      </w:pPr>
      <w:r>
        <w:rPr>
          <w:rFonts w:ascii="Arial" w:cs="Arial" w:eastAsia="Arial" w:hAnsi="Arial"/>
          <w:sz w:val="18"/>
          <w:szCs w:val="18"/>
          <w:color w:val="auto"/>
        </w:rPr>
        <w:t>The total number of shares of capital stock which the Corporation shall have authority to issue is 460,000,000 of which (i) 450,000,000 shares shall be a class designated as common stock, par value $0.0001 per share (the “Common Stock”), and (ii) 10,000,000 shares shall be a class designated as undesignated preferred stock, par value $0.0001 per share (the “Undesignated Preferred Stock”).</w:t>
      </w:r>
    </w:p>
    <w:p>
      <w:pPr>
        <w:spacing w:after="0" w:line="95" w:lineRule="exact"/>
        <w:rPr>
          <w:sz w:val="20"/>
          <w:szCs w:val="20"/>
          <w:color w:val="auto"/>
        </w:rPr>
      </w:pPr>
    </w:p>
    <w:p>
      <w:pPr>
        <w:jc w:val="both"/>
        <w:ind w:left="1600" w:right="19"/>
        <w:spacing w:after="0" w:line="278" w:lineRule="auto"/>
        <w:rPr>
          <w:sz w:val="20"/>
          <w:szCs w:val="20"/>
          <w:color w:val="auto"/>
        </w:rPr>
      </w:pPr>
      <w:r>
        <w:rPr>
          <w:rFonts w:ascii="Arial" w:cs="Arial" w:eastAsia="Arial" w:hAnsi="Arial"/>
          <w:sz w:val="17"/>
          <w:szCs w:val="17"/>
          <w:color w:val="auto"/>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spacing w:after="0" w:line="96" w:lineRule="exact"/>
        <w:rPr>
          <w:sz w:val="20"/>
          <w:szCs w:val="20"/>
          <w:color w:val="auto"/>
        </w:rPr>
      </w:pPr>
    </w:p>
    <w:p>
      <w:pPr>
        <w:jc w:val="both"/>
        <w:ind w:left="1600" w:right="19"/>
        <w:spacing w:after="0" w:line="287" w:lineRule="auto"/>
        <w:rPr>
          <w:sz w:val="20"/>
          <w:szCs w:val="20"/>
          <w:color w:val="auto"/>
        </w:rPr>
      </w:pPr>
      <w:r>
        <w:rPr>
          <w:rFonts w:ascii="Arial" w:cs="Arial" w:eastAsia="Arial" w:hAnsi="Arial"/>
          <w:sz w:val="18"/>
          <w:szCs w:val="18"/>
          <w:color w:val="auto"/>
        </w:rPr>
        <w:t>The powers, preferences and rights of, and the qualifications, limitations and restrictions upon, each class or series of stock shall be determined in accordance with, or as set forth below in, this Article IV.</w:t>
      </w:r>
    </w:p>
    <w:p>
      <w:pPr>
        <w:spacing w:after="0" w:line="85" w:lineRule="exact"/>
        <w:rPr>
          <w:sz w:val="20"/>
          <w:szCs w:val="20"/>
          <w:color w:val="auto"/>
        </w:rPr>
      </w:pPr>
    </w:p>
    <w:p>
      <w:pPr>
        <w:ind w:left="1600" w:hanging="370"/>
        <w:spacing w:after="0"/>
        <w:tabs>
          <w:tab w:leader="none" w:pos="1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Amendment shall become effective on                      , 2026 at 12:01 a.m. Eastern Time.</w:t>
      </w:r>
    </w:p>
    <w:p>
      <w:pPr>
        <w:spacing w:after="0" w:line="144" w:lineRule="exact"/>
        <w:rPr>
          <w:rFonts w:ascii="Arial" w:cs="Arial" w:eastAsia="Arial" w:hAnsi="Arial"/>
          <w:sz w:val="18"/>
          <w:szCs w:val="18"/>
          <w:color w:val="auto"/>
        </w:rPr>
      </w:pPr>
    </w:p>
    <w:p>
      <w:pPr>
        <w:ind w:left="1600" w:hanging="370"/>
        <w:spacing w:after="0"/>
        <w:tabs>
          <w:tab w:leader="none" w:pos="1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Except as set forth in this Amendment, the Charter remains in full force and effect.</w:t>
      </w:r>
    </w:p>
    <w:p>
      <w:pPr>
        <w:spacing w:after="0" w:line="158"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​OTHER INFORMATION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ind w:left="880" w:right="39"/>
        <w:spacing w:after="0" w:line="287" w:lineRule="auto"/>
        <w:rPr>
          <w:sz w:val="20"/>
          <w:szCs w:val="20"/>
          <w:color w:val="auto"/>
        </w:rPr>
      </w:pPr>
      <w:r>
        <w:rPr>
          <w:rFonts w:ascii="Arial" w:cs="Arial" w:eastAsia="Arial" w:hAnsi="Arial"/>
          <w:sz w:val="18"/>
          <w:szCs w:val="18"/>
          <w:color w:val="auto"/>
        </w:rPr>
        <w:t>IN WITNESS WHEREOF, this Certificate of Amendment to the Certificate of Incorporation has been executed by a duly authorized officer of this Corporation on this         day of                      , 2026.</w:t>
      </w:r>
    </w:p>
    <w:p>
      <w:pPr>
        <w:spacing w:after="0" w:line="7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CENTURY THERAPEUTICS, INC.</w:t>
      </w:r>
    </w:p>
    <w:p>
      <w:pPr>
        <w:spacing w:after="0" w:line="15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3526155</wp:posOffset>
            </wp:positionH>
            <wp:positionV relativeFrom="paragraph">
              <wp:posOffset>52070</wp:posOffset>
            </wp:positionV>
            <wp:extent cx="27260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8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Brent Pfeiffenberger, Pharm.D.</w:t>
      </w:r>
    </w:p>
    <w:p>
      <w:pPr>
        <w:spacing w:after="0" w:line="27"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President, Chief Executive Officer and Chairman of</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the Board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192405</wp:posOffset>
            </wp:positionV>
            <wp:extent cx="6831965" cy="84308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31965" cy="843089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192405</wp:posOffset>
            </wp:positionV>
            <wp:extent cx="6831965" cy="83280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1965" cy="832802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decimal"/>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1"/>
      <w:numFmt w:val="bullet"/>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lowerRoman"/>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5"/>
    </w:lvl>
  </w:abstractNum>
  <w:abstractNum w:abstractNumId="23">
    <w:nsid w:val="1E7FF521"/>
    <w:multiLevelType w:val="hybridMultilevel"/>
    <w:lvl w:ilvl="0">
      <w:lvlJc w:val="left"/>
      <w:lvlText w:val="(%1)"/>
      <w:numFmt w:val="lowerLetter"/>
      <w:start w:val="1"/>
    </w:lvl>
  </w:abstractNum>
  <w:abstractNum w:abstractNumId="24">
    <w:nsid w:val="7C3DBD3D"/>
    <w:multiLevelType w:val="hybridMultilevel"/>
    <w:lvl w:ilvl="0">
      <w:lvlJc w:val="left"/>
      <w:lvlText w:val="(%1)"/>
      <w:numFmt w:val="lowerRoman"/>
      <w:start w:val="3"/>
    </w:lvl>
  </w:abstractNum>
  <w:abstractNum w:abstractNumId="25">
    <w:nsid w:val="737B8DDC"/>
    <w:multiLevelType w:val="hybridMultilevel"/>
    <w:lvl w:ilvl="0">
      <w:lvlJc w:val="left"/>
      <w:lvlText w:val="(%1)"/>
      <w:numFmt w:val="lowerRoman"/>
      <w:start w:val="1"/>
    </w:lvl>
  </w:abstractNum>
  <w:abstractNum w:abstractNumId="26">
    <w:nsid w:val="6CEAF087"/>
    <w:multiLevelType w:val="hybridMultilevel"/>
    <w:lvl w:ilvl="0">
      <w:lvlJc w:val="left"/>
      <w:lvlText w:val="(%1)"/>
      <w:numFmt w:val="lowerLetter"/>
      <w:start w:val="3"/>
    </w:lvl>
  </w:abstractNum>
  <w:abstractNum w:abstractNumId="27">
    <w:nsid w:val="22221A70"/>
    <w:multiLevelType w:val="hybridMultilevel"/>
    <w:lvl w:ilvl="0">
      <w:lvlJc w:val="left"/>
      <w:lvlText w:val="(%1)"/>
      <w:numFmt w:val="lowerLetter"/>
      <w:start w:val="2"/>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2"/>
    </w:lvl>
  </w:abstractNum>
  <w:abstractNum w:abstractNumId="33">
    <w:nsid w:val="440BADFC"/>
    <w:multiLevelType w:val="hybridMultilevel"/>
    <w:lvl w:ilvl="0">
      <w:lvlJc w:val="left"/>
      <w:lvlText w:val="(%1)"/>
      <w:numFmt w:val="decimal"/>
      <w:start w:val="7"/>
    </w:lvl>
  </w:abstractNum>
  <w:abstractNum w:abstractNumId="34">
    <w:nsid w:val="5072367"/>
    <w:multiLevelType w:val="hybridMultilevel"/>
    <w:lvl w:ilvl="0">
      <w:lvlJc w:val="left"/>
      <w:lvlText w:val=" "/>
      <w:numFmt w:val="bullet"/>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2026-04-16T15:17:20Z</dcterms:created>
  <dcterms:modified xsi:type="dcterms:W3CDTF">2026-04-16T15:17:20Z</dcterms:modified>
</cp:coreProperties>
</file>